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3.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4.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5.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6.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7.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8.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9.xml" ContentType="application/vnd.openxmlformats-officedocument.themeOverrid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0.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1.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chart23.xml" ContentType="application/vnd.openxmlformats-officedocument.drawingml.chart+xml"/>
  <Override PartName="/word/theme/themeOverride12.xml" ContentType="application/vnd.openxmlformats-officedocument.themeOverrid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charts/chart24.xml" ContentType="application/vnd.openxmlformats-officedocument.drawingml.chart+xml"/>
  <Override PartName="/word/charts/chart25.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6.xml" ContentType="application/vnd.openxmlformats-officedocument.drawingml.chart+xml"/>
  <Override PartName="/word/charts/style23.xml" ContentType="application/vnd.ms-office.chartstyle+xml"/>
  <Override PartName="/word/charts/colors2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F0444" w14:textId="7F3C9174" w:rsidR="00BA64EC" w:rsidRPr="00B116F7" w:rsidRDefault="008A226A" w:rsidP="008A226A">
      <w:pPr>
        <w:pStyle w:val="Nagwekspisutreci"/>
        <w:numPr>
          <w:ilvl w:val="0"/>
          <w:numId w:val="0"/>
        </w:numPr>
        <w:spacing w:before="120" w:after="240"/>
        <w:rPr>
          <w:rFonts w:eastAsiaTheme="minorHAnsi"/>
        </w:rPr>
      </w:pPr>
      <w:r>
        <w:rPr>
          <w:noProof/>
        </w:rPr>
        <w:drawing>
          <wp:inline distT="0" distB="0" distL="0" distR="0" wp14:anchorId="22F6D71F" wp14:editId="6505F314">
            <wp:extent cx="1733948" cy="971550"/>
            <wp:effectExtent l="0" t="0" r="0" b="0"/>
            <wp:docPr id="1712918061" name="Obraz 98" descr="Obraz zawierający tekst, Grafika, projekt graficzny,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18061" name="Obraz 98" descr="Obraz zawierający tekst, Grafika, projekt graficzny, symbol&#10;&#10;Zawartość wygenerowana przez AI może być niepopraw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9208" cy="974497"/>
                    </a:xfrm>
                    <a:prstGeom prst="rect">
                      <a:avLst/>
                    </a:prstGeom>
                    <a:noFill/>
                    <a:ln>
                      <a:noFill/>
                    </a:ln>
                  </pic:spPr>
                </pic:pic>
              </a:graphicData>
            </a:graphic>
          </wp:inline>
        </w:drawing>
      </w:r>
      <w:r w:rsidR="00341C7C">
        <w:rPr>
          <w:rFonts w:ascii="Times New Roman" w:hAnsi="Times New Roman" w:cs="Times New Roman"/>
          <w:noProof/>
          <w:sz w:val="24"/>
          <w:szCs w:val="24"/>
        </w:rPr>
        <mc:AlternateContent>
          <mc:Choice Requires="wps">
            <w:drawing>
              <wp:anchor distT="0" distB="0" distL="114300" distR="114300" simplePos="0" relativeHeight="251658245" behindDoc="0" locked="0" layoutInCell="1" allowOverlap="1" wp14:anchorId="3B7596DE" wp14:editId="15E23146">
                <wp:simplePos x="0" y="0"/>
                <wp:positionH relativeFrom="margin">
                  <wp:align>right</wp:align>
                </wp:positionH>
                <wp:positionV relativeFrom="paragraph">
                  <wp:posOffset>83820</wp:posOffset>
                </wp:positionV>
                <wp:extent cx="1955165" cy="781050"/>
                <wp:effectExtent l="0" t="0" r="26035" b="19050"/>
                <wp:wrapNone/>
                <wp:docPr id="622425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5165" cy="781050"/>
                        </a:xfrm>
                        <a:prstGeom prst="rect">
                          <a:avLst/>
                        </a:prstGeom>
                        <a:solidFill>
                          <a:srgbClr val="920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9299C7D" w14:textId="77777777" w:rsidR="006A0B5C" w:rsidRDefault="006A0B5C" w:rsidP="00341C7C">
                            <w:pPr>
                              <w:spacing w:after="0"/>
                              <w:jc w:val="center"/>
                              <w:rPr>
                                <w:rFonts w:ascii="Bahnschrift" w:hAnsi="Bahnschrift"/>
                                <w:sz w:val="40"/>
                                <w:szCs w:val="40"/>
                              </w:rPr>
                            </w:pPr>
                            <w:r>
                              <w:rPr>
                                <w:rFonts w:ascii="Bahnschrift" w:hAnsi="Bahnschrift"/>
                                <w:sz w:val="40"/>
                                <w:szCs w:val="40"/>
                              </w:rPr>
                              <w:t>PROJEKT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596DE" id="Prostokąt 1" o:spid="_x0000_s1026" style="position:absolute;margin-left:102.75pt;margin-top:6.6pt;width:153.95pt;height:61.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ChgIAAGMFAAAOAAAAZHJzL2Uyb0RvYy54bWysVEtv2zAMvg/YfxB0X20HTdsYdYqgRYcB&#10;QVusHXpWZCkWJouapMTJfv0o+dGgG3YYdhFE8ePHh0he3xxaTfbCeQWmosVZTokwHGplthX99nL/&#10;6YoSH5ipmQYjKnoUnt4sP3647mwpZtCAroUjSGJ82dmKNiHYMss8b0TL/BlYYVApwbUsoOi2We1Y&#10;h+ytzmZ5fpF14GrrgAvv8fWuV9Jl4pdS8PAopReB6IpibCGdLp2beGbLa1ZuHbON4kMY7B+iaJky&#10;6HSiumOBkZ1Tv1G1ijvwIMMZhzYDKRUXKQfMpsjfZfPcMCtSLlgcb6cy+f9Hyx/2z/bJxdC9XQP/&#10;7rEiWWd9OWmi4AfMQbo2YjFwckhVPE5VFIdAOD4Wi/m8uJhTwlF3eVXk81TmjJWjtXU+fBbQknip&#10;qMNfSsVj+7UP0T8rR0gKDLSq75XWSXDbza12ZM/wRxfYAvnI7t9gKYE+5hR9OGoRjbX5KiRRNUY5&#10;Sx5Tn4mJj3EuTCh6VcNq0bsp5ideYmdGixRmIozMEsObuAeCEdmTjNx9fgM+morUppNx/rfAeuPJ&#10;InkGEybjVhlwfyLQmNXguccPv+z70sQqhcPmgJB43UB9fHLEQT8v3vJ7hV+1Zj48MYcDgqOEQx8e&#10;8ZAauopyrSwlDbif798iDvsVNZR0OGgV9T92zAlK9BeDnbwozs/jZCbhfH45Q8GdajanGrNrbwF/&#10;vsC1Ynm6RnzQ41U6aF9xJ6yiV1Qxw9E3BhjcKNyGfgHgVuFitUownEbLwto8Wx7JY2FjC74cXpmz&#10;Q58G7PAHGIeSle/atcdGSwOrXQCpUi+/1XMoOU5y6p1h68RVcSon1NtuXP4CAAD//wMAUEsDBBQA&#10;BgAIAAAAIQBJVRbh3AAAAAcBAAAPAAAAZHJzL2Rvd25yZXYueG1sTI/BTsMwEETvSPyDtUjcqE0i&#10;FQhxqqoCDpygRELctsk2iRKvo9htw9+zPdHjzKxm3uar2Q3qSFPoPFu4XxhQxJWvO24slF+vd4+g&#10;QkSucfBMFn4pwKq4vsoxq/2JP+m4jY2SEg4ZWmhjHDOtQ9WSw7DwI7Fkez85jCKnRtcTnqTcDTox&#10;ZqkddiwLLY60aanqtwdnYVyXL98/fW94jx/zW1qmm+adrb29mdfPoCLN8f8YzviCDoUw7fyB66AG&#10;C/JIFDdNQEmamocnULuzsUxAF7m+5C/+AAAA//8DAFBLAQItABQABgAIAAAAIQC2gziS/gAAAOEB&#10;AAATAAAAAAAAAAAAAAAAAAAAAABbQ29udGVudF9UeXBlc10ueG1sUEsBAi0AFAAGAAgAAAAhADj9&#10;If/WAAAAlAEAAAsAAAAAAAAAAAAAAAAALwEAAF9yZWxzLy5yZWxzUEsBAi0AFAAGAAgAAAAhAP/1&#10;IEKGAgAAYwUAAA4AAAAAAAAAAAAAAAAALgIAAGRycy9lMm9Eb2MueG1sUEsBAi0AFAAGAAgAAAAh&#10;AElVFuHcAAAABwEAAA8AAAAAAAAAAAAAAAAA4AQAAGRycy9kb3ducmV2LnhtbFBLBQYAAAAABAAE&#10;APMAAADpBQAAAAA=&#10;" fillcolor="#920000" strokecolor="#09101d [484]" strokeweight="1pt">
                <v:path arrowok="t"/>
                <v:textbox>
                  <w:txbxContent>
                    <w:p w14:paraId="29299C7D" w14:textId="77777777" w:rsidR="006A0B5C" w:rsidRDefault="006A0B5C" w:rsidP="00341C7C">
                      <w:pPr>
                        <w:spacing w:after="0"/>
                        <w:jc w:val="center"/>
                        <w:rPr>
                          <w:rFonts w:ascii="Bahnschrift" w:hAnsi="Bahnschrift"/>
                          <w:sz w:val="40"/>
                          <w:szCs w:val="40"/>
                        </w:rPr>
                      </w:pPr>
                      <w:r>
                        <w:rPr>
                          <w:rFonts w:ascii="Bahnschrift" w:hAnsi="Bahnschrift"/>
                          <w:sz w:val="40"/>
                          <w:szCs w:val="40"/>
                        </w:rPr>
                        <w:t>PROJEKT</w:t>
                      </w:r>
                    </w:p>
                  </w:txbxContent>
                </v:textbox>
                <w10:wrap anchorx="margin"/>
              </v:rect>
            </w:pict>
          </mc:Fallback>
        </mc:AlternateContent>
      </w:r>
      <w:r w:rsidR="00BA64EC" w:rsidRPr="00B116F7">
        <w:rPr>
          <w:rFonts w:ascii="Lato" w:eastAsiaTheme="minorHAnsi" w:hAnsi="Lato" w:cstheme="minorBidi"/>
          <w:noProof/>
          <w:kern w:val="2"/>
          <w:sz w:val="22"/>
          <w:szCs w:val="22"/>
          <w14:ligatures w14:val="standardContextual"/>
        </w:rPr>
        <mc:AlternateContent>
          <mc:Choice Requires="wps">
            <w:drawing>
              <wp:anchor distT="0" distB="0" distL="114300" distR="114300" simplePos="0" relativeHeight="251658240" behindDoc="1" locked="0" layoutInCell="1" allowOverlap="1" wp14:anchorId="1EA2614D" wp14:editId="0F8D03D8">
                <wp:simplePos x="0" y="0"/>
                <wp:positionH relativeFrom="page">
                  <wp:posOffset>-15766</wp:posOffset>
                </wp:positionH>
                <wp:positionV relativeFrom="paragraph">
                  <wp:posOffset>-899796</wp:posOffset>
                </wp:positionV>
                <wp:extent cx="7582952" cy="10815145"/>
                <wp:effectExtent l="0" t="0" r="0" b="5715"/>
                <wp:wrapNone/>
                <wp:docPr id="234755205" name="Prostokąt 2"/>
                <wp:cNvGraphicFramePr/>
                <a:graphic xmlns:a="http://schemas.openxmlformats.org/drawingml/2006/main">
                  <a:graphicData uri="http://schemas.microsoft.com/office/word/2010/wordprocessingShape">
                    <wps:wsp>
                      <wps:cNvSpPr/>
                      <wps:spPr>
                        <a:xfrm>
                          <a:off x="0" y="0"/>
                          <a:ext cx="7582952" cy="10815145"/>
                        </a:xfrm>
                        <a:prstGeom prst="rect">
                          <a:avLst/>
                        </a:prstGeom>
                        <a:solidFill>
                          <a:srgbClr val="4F7A3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C9D7CF" w14:textId="1B5D2D95" w:rsidR="006A0B5C" w:rsidRDefault="006A0B5C" w:rsidP="00BA64EC">
                            <w:pPr>
                              <w:jc w:val="center"/>
                            </w:pPr>
                            <w:r>
                              <w:t>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2614D" id="Prostokąt 2" o:spid="_x0000_s1027" style="position:absolute;margin-left:-1.25pt;margin-top:-70.85pt;width:597.1pt;height:851.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bDiwIAAHMFAAAOAAAAZHJzL2Uyb0RvYy54bWysVEtv2zAMvg/YfxB0X/xYsrZBnSJIkWFA&#10;0QZrh54VWYoNyKImKbGzXz9KdpyuLXYYdrFF8ePHh0he33SNIgdhXQ26oNkkpURoDmWtdwX98bT+&#10;dEmJ80yXTIEWBT0KR28WHz9ct2YucqhAlcISJNFu3pqCVt6beZI4XomGuQkYoVEpwTbMo2h3SWlZ&#10;i+yNSvI0/ZK0YEtjgQvn8Pa2V9JF5JdScP8gpROeqIJibD5+bfxuwzdZXLP5zjJT1XwIg/1DFA2r&#10;NTodqW6ZZ2Rv6zdUTc0tOJB+wqFJQMqai5gDZpOlr7J5rJgRMRcsjjNjmdz/o+X3h0ezsViG1ri5&#10;w2PIopO2CX+Mj3SxWMexWKLzhOPlxewyv5rllHDUZellNsums1DP5GxvrPNfBTQkHApq8Tlildjh&#10;zvkeeoIEdw5UXa5rpaJgd9uVsuTA8Omm64vl53xg/wOmdABrCGY9Y7hJztnEkz8qEXBKfxeS1CXG&#10;n8dIYqOJ0Q/jXGif9aqKlaJ3n83SNPYK5jZaxEwjYWCW6H/kHghCE7/l7qMc8MFUxD4djdO/BdYb&#10;jxbRM2g/Gje1BvsegcKsBs89/lSkvjShSr7bdlgbfM2ADDdbKI8bSyz0c+MMX9f4knfM+Q2zOCg4&#10;Ujj8/gE/UkFbUBhOlFRgf713H/DYv6ilpMXBK6j7uWdWUKK+aezsq2w6DZMahensIkfBvtRsX2r0&#10;vlkBNkiGa8bweAx4r05HaaF5xh2xDF5RxTRH3wXl3p6Ele8XAm4ZLpbLCMPpNMzf6UfDA3moc+jU&#10;p+6ZWTO0s8dRuIfTkLL5q67uscFSw3LvQdax5c91HV4AJzu20rCFwup4KUfUeVcufgMAAP//AwBQ&#10;SwMEFAAGAAgAAAAhACXfws7hAAAADQEAAA8AAABkcnMvZG93bnJldi54bWxMj0FPg0AQhe8m/ofN&#10;mHhrFxrBiiyNqfWi8dDaQ48DOwKRnSXs0qK/3uWkp3mTeXnzvXwzmU6caXCtZQXxMgJBXFndcq3g&#10;+PGyWINwHlljZ5kUfJODTXF9lWOm7YX3dD74WoQQdhkqaLzvMyld1ZBBt7Q9cbh92sGgD+tQSz3g&#10;JYSbTq6iKJUGWw4fGuxp21D1dRiNgufxrV/v9mndvZ92P+X2FSMmVOr2Znp6BOFp8n9mmPEDOhSB&#10;qbQjayc6BYtVEpxhxnfxPYjZET/MqgwqSeMEZJHL/y2KXwAAAP//AwBQSwECLQAUAAYACAAAACEA&#10;toM4kv4AAADhAQAAEwAAAAAAAAAAAAAAAAAAAAAAW0NvbnRlbnRfVHlwZXNdLnhtbFBLAQItABQA&#10;BgAIAAAAIQA4/SH/1gAAAJQBAAALAAAAAAAAAAAAAAAAAC8BAABfcmVscy8ucmVsc1BLAQItABQA&#10;BgAIAAAAIQDBsGbDiwIAAHMFAAAOAAAAAAAAAAAAAAAAAC4CAABkcnMvZTJvRG9jLnhtbFBLAQIt&#10;ABQABgAIAAAAIQAl38LO4QAAAA0BAAAPAAAAAAAAAAAAAAAAAOUEAABkcnMvZG93bnJldi54bWxQ&#10;SwUGAAAAAAQABADzAAAA8wUAAAAA&#10;" fillcolor="#4f7a32" stroked="f" strokeweight="1pt">
                <v:textbox>
                  <w:txbxContent>
                    <w:p w14:paraId="4EC9D7CF" w14:textId="1B5D2D95" w:rsidR="006A0B5C" w:rsidRDefault="006A0B5C" w:rsidP="00BA64EC">
                      <w:pPr>
                        <w:jc w:val="center"/>
                      </w:pPr>
                      <w:proofErr w:type="spellStart"/>
                      <w:r>
                        <w:t>ff</w:t>
                      </w:r>
                      <w:proofErr w:type="spellEnd"/>
                    </w:p>
                  </w:txbxContent>
                </v:textbox>
                <w10:wrap anchorx="page"/>
              </v:rect>
            </w:pict>
          </mc:Fallback>
        </mc:AlternateContent>
      </w:r>
    </w:p>
    <w:p w14:paraId="7A53867B" w14:textId="7A0032E6" w:rsidR="00BA64EC" w:rsidRPr="00B116F7" w:rsidRDefault="00BA64EC" w:rsidP="00BA64EC">
      <w:pPr>
        <w:pStyle w:val="Tytu"/>
        <w:rPr>
          <w:rFonts w:eastAsiaTheme="minorHAnsi"/>
          <w:color w:val="auto"/>
        </w:rPr>
      </w:pPr>
    </w:p>
    <w:p w14:paraId="6327870F" w14:textId="1D7E98F0" w:rsidR="001144FC" w:rsidRPr="00B116F7" w:rsidRDefault="00373FD3" w:rsidP="00373FD3">
      <w:pPr>
        <w:pStyle w:val="Tytu"/>
        <w:rPr>
          <w:rFonts w:eastAsiaTheme="minorHAnsi"/>
          <w:b/>
          <w:bCs/>
          <w:sz w:val="68"/>
          <w:szCs w:val="68"/>
        </w:rPr>
      </w:pPr>
      <w:r w:rsidRPr="00B116F7">
        <w:rPr>
          <w:rFonts w:eastAsiaTheme="minorHAnsi"/>
          <w:b/>
          <w:bCs/>
          <w:sz w:val="68"/>
          <w:szCs w:val="68"/>
        </w:rPr>
        <w:t xml:space="preserve">Załącznik </w:t>
      </w:r>
      <w:r w:rsidR="00AC556A">
        <w:rPr>
          <w:rFonts w:eastAsiaTheme="minorHAnsi"/>
          <w:b/>
          <w:bCs/>
          <w:sz w:val="68"/>
          <w:szCs w:val="68"/>
        </w:rPr>
        <w:t>1</w:t>
      </w:r>
      <w:r w:rsidRPr="00B116F7">
        <w:rPr>
          <w:rFonts w:eastAsiaTheme="minorHAnsi"/>
          <w:b/>
          <w:bCs/>
          <w:sz w:val="68"/>
          <w:szCs w:val="68"/>
        </w:rPr>
        <w:t>. do aKPEiK</w:t>
      </w:r>
    </w:p>
    <w:p w14:paraId="7884C783" w14:textId="62314D0C" w:rsidR="00BB30E2" w:rsidRPr="00B116F7" w:rsidRDefault="005B3744" w:rsidP="00BB30E2">
      <w:pPr>
        <w:pStyle w:val="Tytu"/>
        <w:spacing w:before="120" w:after="120"/>
        <w:rPr>
          <w:rFonts w:eastAsiaTheme="minorHAnsi" w:cstheme="minorBidi"/>
          <w:b/>
          <w:bCs/>
          <w:spacing w:val="0"/>
          <w:kern w:val="2"/>
          <w:sz w:val="52"/>
          <w:szCs w:val="52"/>
        </w:rPr>
      </w:pPr>
      <w:r w:rsidRPr="00B116F7">
        <w:rPr>
          <w:rFonts w:eastAsiaTheme="minorHAnsi" w:cstheme="minorBidi"/>
          <w:b/>
          <w:bCs/>
          <w:spacing w:val="0"/>
          <w:kern w:val="2"/>
          <w:sz w:val="52"/>
          <w:szCs w:val="52"/>
        </w:rPr>
        <w:t xml:space="preserve">Scenariusz </w:t>
      </w:r>
      <w:r w:rsidR="00263C2D">
        <w:rPr>
          <w:rFonts w:eastAsiaTheme="minorHAnsi" w:cstheme="minorBidi"/>
          <w:b/>
          <w:bCs/>
          <w:spacing w:val="0"/>
          <w:kern w:val="2"/>
          <w:sz w:val="52"/>
          <w:szCs w:val="52"/>
        </w:rPr>
        <w:t xml:space="preserve">aktywnej </w:t>
      </w:r>
      <w:r w:rsidRPr="00B116F7">
        <w:rPr>
          <w:rFonts w:eastAsiaTheme="minorHAnsi" w:cstheme="minorBidi"/>
          <w:b/>
          <w:bCs/>
          <w:spacing w:val="0"/>
          <w:kern w:val="2"/>
          <w:sz w:val="52"/>
          <w:szCs w:val="52"/>
        </w:rPr>
        <w:t xml:space="preserve">transformacji </w:t>
      </w:r>
    </w:p>
    <w:p w14:paraId="6AF21DB4" w14:textId="41CCD245" w:rsidR="00BB30E2" w:rsidRPr="00B116F7" w:rsidRDefault="00BB30E2" w:rsidP="00BB30E2">
      <w:pPr>
        <w:pStyle w:val="Tytu"/>
        <w:spacing w:before="120" w:after="120"/>
        <w:rPr>
          <w:rFonts w:eastAsiaTheme="minorHAnsi" w:cstheme="minorBidi"/>
          <w:b/>
          <w:bCs/>
          <w:spacing w:val="0"/>
          <w:kern w:val="2"/>
          <w:sz w:val="32"/>
          <w:szCs w:val="32"/>
        </w:rPr>
      </w:pPr>
    </w:p>
    <w:p w14:paraId="089C9A8D" w14:textId="03222255" w:rsidR="005B3744" w:rsidRPr="00B116F7" w:rsidRDefault="005B3744" w:rsidP="00BB30E2">
      <w:pPr>
        <w:pStyle w:val="Tytu"/>
        <w:spacing w:before="120" w:after="120"/>
        <w:rPr>
          <w:rFonts w:eastAsiaTheme="minorHAnsi" w:cstheme="minorBidi"/>
          <w:b/>
          <w:bCs/>
          <w:spacing w:val="0"/>
          <w:kern w:val="2"/>
          <w:sz w:val="52"/>
          <w:szCs w:val="52"/>
          <w:lang w:val="pt-BR"/>
        </w:rPr>
      </w:pPr>
      <w:r w:rsidRPr="00B116F7">
        <w:rPr>
          <w:rFonts w:eastAsiaTheme="minorHAnsi" w:cstheme="minorBidi"/>
          <w:b/>
          <w:bCs/>
          <w:spacing w:val="0"/>
          <w:kern w:val="2"/>
          <w:sz w:val="40"/>
          <w:szCs w:val="40"/>
          <w:lang w:val="pt-BR"/>
        </w:rPr>
        <w:t xml:space="preserve">(ang. with </w:t>
      </w:r>
      <w:r w:rsidR="00EB43C6">
        <w:rPr>
          <w:rFonts w:eastAsiaTheme="minorHAnsi" w:cstheme="minorBidi"/>
          <w:b/>
          <w:bCs/>
          <w:spacing w:val="0"/>
          <w:kern w:val="2"/>
          <w:sz w:val="40"/>
          <w:szCs w:val="40"/>
          <w:lang w:val="pt-BR"/>
        </w:rPr>
        <w:t>additional</w:t>
      </w:r>
      <w:r w:rsidRPr="00B116F7">
        <w:rPr>
          <w:rFonts w:eastAsiaTheme="minorHAnsi" w:cstheme="minorBidi"/>
          <w:b/>
          <w:bCs/>
          <w:spacing w:val="0"/>
          <w:kern w:val="2"/>
          <w:sz w:val="40"/>
          <w:szCs w:val="40"/>
          <w:lang w:val="pt-BR"/>
        </w:rPr>
        <w:t xml:space="preserve"> measures, W</w:t>
      </w:r>
      <w:r w:rsidR="00EB43C6">
        <w:rPr>
          <w:rFonts w:eastAsiaTheme="minorHAnsi" w:cstheme="minorBidi"/>
          <w:b/>
          <w:bCs/>
          <w:spacing w:val="0"/>
          <w:kern w:val="2"/>
          <w:sz w:val="40"/>
          <w:szCs w:val="40"/>
          <w:lang w:val="pt-BR"/>
        </w:rPr>
        <w:t>A</w:t>
      </w:r>
      <w:r w:rsidRPr="00B116F7">
        <w:rPr>
          <w:rFonts w:eastAsiaTheme="minorHAnsi" w:cstheme="minorBidi"/>
          <w:b/>
          <w:bCs/>
          <w:spacing w:val="0"/>
          <w:kern w:val="2"/>
          <w:sz w:val="40"/>
          <w:szCs w:val="40"/>
          <w:lang w:val="pt-BR"/>
        </w:rPr>
        <w:t>M)</w:t>
      </w:r>
    </w:p>
    <w:p w14:paraId="365F7DF0" w14:textId="2181CF5B" w:rsidR="00A41398" w:rsidRPr="00B116F7" w:rsidRDefault="00BB30E2" w:rsidP="005B3744">
      <w:pPr>
        <w:pStyle w:val="Nagwekspisutreci"/>
        <w:numPr>
          <w:ilvl w:val="0"/>
          <w:numId w:val="0"/>
        </w:numPr>
        <w:spacing w:before="0" w:after="360"/>
        <w:ind w:left="-985" w:hanging="8"/>
        <w:rPr>
          <w:rFonts w:ascii="Lato" w:eastAsiaTheme="minorHAnsi" w:hAnsi="Lato" w:cstheme="minorBidi"/>
          <w:kern w:val="2"/>
          <w:sz w:val="22"/>
          <w:szCs w:val="22"/>
          <w:lang w:val="pt-BR" w:eastAsia="en-US"/>
          <w14:ligatures w14:val="standardContextual"/>
        </w:rPr>
      </w:pPr>
      <w:r w:rsidRPr="00B116F7">
        <w:rPr>
          <w:noProof/>
        </w:rPr>
        <w:drawing>
          <wp:anchor distT="0" distB="0" distL="114300" distR="114300" simplePos="0" relativeHeight="251658242" behindDoc="0" locked="0" layoutInCell="1" allowOverlap="1" wp14:anchorId="6A292E4A" wp14:editId="3F1EA0CC">
            <wp:simplePos x="0" y="0"/>
            <wp:positionH relativeFrom="margin">
              <wp:posOffset>-918276</wp:posOffset>
            </wp:positionH>
            <wp:positionV relativeFrom="paragraph">
              <wp:posOffset>145415</wp:posOffset>
            </wp:positionV>
            <wp:extent cx="7582535" cy="4886692"/>
            <wp:effectExtent l="0" t="0" r="0" b="9525"/>
            <wp:wrapNone/>
            <wp:docPr id="1291594928" name="Obraz 1" descr="Obraz zawierający tekst, osoba, komputer, Materiały biurow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594928" name="Obraz 1" descr="Obraz zawierający tekst, osoba, komputer, Materiały biurowe&#10;&#10;Opis wygenerowany automatyczni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7582535" cy="488669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8110CD" w14:textId="0D3AD0CC" w:rsidR="00BA64EC" w:rsidRPr="00B116F7" w:rsidRDefault="00BA64EC" w:rsidP="00BA64EC">
      <w:pPr>
        <w:jc w:val="center"/>
        <w:rPr>
          <w:lang w:val="pt-BR"/>
        </w:rPr>
      </w:pPr>
    </w:p>
    <w:p w14:paraId="337B9218" w14:textId="2BE01AC6" w:rsidR="00BA64EC" w:rsidRPr="00B116F7" w:rsidRDefault="00BA64EC" w:rsidP="00BA64EC">
      <w:pPr>
        <w:rPr>
          <w:lang w:val="pt-BR"/>
        </w:rPr>
        <w:sectPr w:rsidR="00BA64EC" w:rsidRPr="00B116F7" w:rsidSect="000955C0">
          <w:headerReference w:type="default" r:id="rId13"/>
          <w:footerReference w:type="default" r:id="rId14"/>
          <w:pgSz w:w="11906" w:h="16838"/>
          <w:pgMar w:top="1417" w:right="1417" w:bottom="1417" w:left="1417" w:header="708" w:footer="708" w:gutter="0"/>
          <w:cols w:space="708"/>
          <w:docGrid w:linePitch="360"/>
        </w:sectPr>
      </w:pPr>
      <w:r w:rsidRPr="00B116F7">
        <w:rPr>
          <w:noProof/>
          <w:lang w:eastAsia="pl-PL"/>
        </w:rPr>
        <mc:AlternateContent>
          <mc:Choice Requires="wps">
            <w:drawing>
              <wp:anchor distT="0" distB="0" distL="114300" distR="114300" simplePos="0" relativeHeight="251658241" behindDoc="0" locked="0" layoutInCell="1" allowOverlap="1" wp14:anchorId="363AE446" wp14:editId="102BC4E6">
                <wp:simplePos x="0" y="0"/>
                <wp:positionH relativeFrom="margin">
                  <wp:posOffset>-4445</wp:posOffset>
                </wp:positionH>
                <wp:positionV relativeFrom="paragraph">
                  <wp:posOffset>4556760</wp:posOffset>
                </wp:positionV>
                <wp:extent cx="2362835" cy="403761"/>
                <wp:effectExtent l="0" t="0" r="0" b="0"/>
                <wp:wrapNone/>
                <wp:docPr id="361459272" name="Pole tekstowe 7"/>
                <wp:cNvGraphicFramePr/>
                <a:graphic xmlns:a="http://schemas.openxmlformats.org/drawingml/2006/main">
                  <a:graphicData uri="http://schemas.microsoft.com/office/word/2010/wordprocessingShape">
                    <wps:wsp>
                      <wps:cNvSpPr txBox="1"/>
                      <wps:spPr>
                        <a:xfrm>
                          <a:off x="0" y="0"/>
                          <a:ext cx="2362835" cy="403761"/>
                        </a:xfrm>
                        <a:prstGeom prst="rect">
                          <a:avLst/>
                        </a:prstGeom>
                        <a:noFill/>
                        <a:ln w="6350">
                          <a:noFill/>
                        </a:ln>
                      </wps:spPr>
                      <wps:txbx>
                        <w:txbxContent>
                          <w:p w14:paraId="120D6C9E" w14:textId="42B6B7E2" w:rsidR="006A0B5C" w:rsidRPr="003D525D" w:rsidRDefault="006A0B5C" w:rsidP="00BA64EC">
                            <w:pPr>
                              <w:rPr>
                                <w:rFonts w:ascii="Bahnschrift" w:hAnsi="Bahnschrift"/>
                                <w:color w:val="FFFFFF" w:themeColor="background1"/>
                                <w:sz w:val="24"/>
                                <w:szCs w:val="28"/>
                              </w:rPr>
                            </w:pPr>
                            <w:r w:rsidRPr="003D525D">
                              <w:rPr>
                                <w:rFonts w:ascii="Bahnschrift" w:hAnsi="Bahnschrift"/>
                                <w:color w:val="FFFFFF" w:themeColor="background1"/>
                                <w:sz w:val="24"/>
                                <w:szCs w:val="28"/>
                              </w:rPr>
                              <w:t>Warszawa</w:t>
                            </w:r>
                            <w:r>
                              <w:rPr>
                                <w:rFonts w:ascii="Bahnschrift" w:hAnsi="Bahnschrift"/>
                                <w:color w:val="FFFFFF" w:themeColor="background1"/>
                                <w:sz w:val="24"/>
                                <w:szCs w:val="28"/>
                              </w:rPr>
                              <w:t>, lipiec 2</w:t>
                            </w:r>
                            <w:r w:rsidRPr="003D525D">
                              <w:rPr>
                                <w:rFonts w:ascii="Bahnschrift" w:hAnsi="Bahnschrift"/>
                                <w:color w:val="FFFFFF" w:themeColor="background1"/>
                                <w:sz w:val="24"/>
                                <w:szCs w:val="28"/>
                              </w:rPr>
                              <w:t>02</w:t>
                            </w:r>
                            <w:r>
                              <w:rPr>
                                <w:rFonts w:ascii="Bahnschrift" w:hAnsi="Bahnschrift"/>
                                <w:color w:val="FFFFFF" w:themeColor="background1"/>
                                <w:sz w:val="24"/>
                                <w:szCs w:val="28"/>
                              </w:rPr>
                              <w:t>5 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3AE446" id="_x0000_t202" coordsize="21600,21600" o:spt="202" path="m,l,21600r21600,l21600,xe">
                <v:stroke joinstyle="miter"/>
                <v:path gradientshapeok="t" o:connecttype="rect"/>
              </v:shapetype>
              <v:shape id="Pole tekstowe 7" o:spid="_x0000_s1028" type="#_x0000_t202" style="position:absolute;left:0;text-align:left;margin-left:-.35pt;margin-top:358.8pt;width:186.05pt;height:31.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EBEQIAACMEAAAOAAAAZHJzL2Uyb0RvYy54bWysU11v2jAUfZ+0/2D5fSTAyqqIULFWTJNQ&#10;W4lOfTaOTSI5vt61IWG/fteGQNXtadqLc+P7fc7x/K5vDTso9A3Yko9HOWfKSqgauyv5j5fVp1vO&#10;fBC2EgasKvlReX63+Phh3rlCTaAGUylkVMT6onMlr0NwRZZ5WatW+BE4ZcmpAVsR6Bd3WYWio+qt&#10;ySZ5Pss6wMohSOU93T6cnHyR6mutZHjS2qvATMlptpBOTOc2ntliLoodClc38jyG+IcpWtFYanop&#10;9SCCYHts/ijVNhLBgw4jCW0GWjdSpR1om3H+bptNLZxKuxA43l1g8v+vrHw8bNwzstB/hZ4IjIB0&#10;zheeLuM+vcY2fmlSRn6C8HiBTfWBSbqcTGeT2+kNZ5J8n/Ppl1kqk12zHfrwTUHLolFyJFoSWuKw&#10;9oE6UugQEptZWDXGJGqMZV3JZ9ObPCVcPJRhLCVeZ41W6Lc9ayoaadhjC9WR1kM4Me+dXDU0w1r4&#10;8CyQqKaNSL7hiQ5tgHrB2eKsBvz1t/sYTwyQl7OOpFNy/3MvUHFmvlviJupsMHAwtoNh9+09kBrH&#10;9DCcTCYlYDCDqRHaV1L1MnYhl7CSepU8DOZ9OAmYXoVUy2UKIjU5EdZ242QsHVGMiL70rwLdGfZA&#10;hD3CICpRvEP/FHvCf7kPoJtETcT1hOIZblJiYuz8aqLU3/6nqOvbXvwGAAD//wMAUEsDBBQABgAI&#10;AAAAIQCXxQGW3wAAAAkBAAAPAAAAZHJzL2Rvd25yZXYueG1sTI9LT8MwEITvSPwHa5G4tY4LaqoQ&#10;p0I8bjxLK8HNiU0SYa8j20nDv2c5wXF2RjPfltvZWTaZEHuPEsQyA2aw8brHVsL+7X6xARaTQq2s&#10;RyPh20TYVqcnpSq0P+KrmXapZVSCsVASupSGgvPYdMapuPSDQfI+fXAqkQwt10EdqdxZvsqyNXeq&#10;R1ro1GBuOtN87UYnwb7H8FBn6WO6bR/TyzMfD3fiScrzs/n6Clgyc/oLwy8+oUNFTLUfUUdmJSxy&#10;CkrIRb4GRv5FLi6B1XTZiBXwquT/P6h+AAAA//8DAFBLAQItABQABgAIAAAAIQC2gziS/gAAAOEB&#10;AAATAAAAAAAAAAAAAAAAAAAAAABbQ29udGVudF9UeXBlc10ueG1sUEsBAi0AFAAGAAgAAAAhADj9&#10;If/WAAAAlAEAAAsAAAAAAAAAAAAAAAAALwEAAF9yZWxzLy5yZWxzUEsBAi0AFAAGAAgAAAAhAIRx&#10;EQERAgAAIwQAAA4AAAAAAAAAAAAAAAAALgIAAGRycy9lMm9Eb2MueG1sUEsBAi0AFAAGAAgAAAAh&#10;AJfFAZbfAAAACQEAAA8AAAAAAAAAAAAAAAAAawQAAGRycy9kb3ducmV2LnhtbFBLBQYAAAAABAAE&#10;APMAAAB3BQAAAAA=&#10;" filled="f" stroked="f" strokeweight=".5pt">
                <v:textbox inset="0,0,0,0">
                  <w:txbxContent>
                    <w:p w14:paraId="120D6C9E" w14:textId="42B6B7E2" w:rsidR="006A0B5C" w:rsidRPr="003D525D" w:rsidRDefault="006A0B5C" w:rsidP="00BA64EC">
                      <w:pPr>
                        <w:rPr>
                          <w:rFonts w:ascii="Bahnschrift" w:hAnsi="Bahnschrift"/>
                          <w:color w:val="FFFFFF" w:themeColor="background1"/>
                          <w:sz w:val="24"/>
                          <w:szCs w:val="28"/>
                        </w:rPr>
                      </w:pPr>
                      <w:r w:rsidRPr="003D525D">
                        <w:rPr>
                          <w:rFonts w:ascii="Bahnschrift" w:hAnsi="Bahnschrift"/>
                          <w:color w:val="FFFFFF" w:themeColor="background1"/>
                          <w:sz w:val="24"/>
                          <w:szCs w:val="28"/>
                        </w:rPr>
                        <w:t>Warszawa</w:t>
                      </w:r>
                      <w:r>
                        <w:rPr>
                          <w:rFonts w:ascii="Bahnschrift" w:hAnsi="Bahnschrift"/>
                          <w:color w:val="FFFFFF" w:themeColor="background1"/>
                          <w:sz w:val="24"/>
                          <w:szCs w:val="28"/>
                        </w:rPr>
                        <w:t>, lipiec 2</w:t>
                      </w:r>
                      <w:r w:rsidRPr="003D525D">
                        <w:rPr>
                          <w:rFonts w:ascii="Bahnschrift" w:hAnsi="Bahnschrift"/>
                          <w:color w:val="FFFFFF" w:themeColor="background1"/>
                          <w:sz w:val="24"/>
                          <w:szCs w:val="28"/>
                        </w:rPr>
                        <w:t>02</w:t>
                      </w:r>
                      <w:r>
                        <w:rPr>
                          <w:rFonts w:ascii="Bahnschrift" w:hAnsi="Bahnschrift"/>
                          <w:color w:val="FFFFFF" w:themeColor="background1"/>
                          <w:sz w:val="24"/>
                          <w:szCs w:val="28"/>
                        </w:rPr>
                        <w:t>5 r.</w:t>
                      </w:r>
                    </w:p>
                  </w:txbxContent>
                </v:textbox>
                <w10:wrap anchorx="margin"/>
              </v:shape>
            </w:pict>
          </mc:Fallback>
        </mc:AlternateContent>
      </w:r>
    </w:p>
    <w:p w14:paraId="74EA0F41" w14:textId="329359F0" w:rsidR="004A7371" w:rsidRPr="00EC699F" w:rsidRDefault="00BA46AC" w:rsidP="00EC699F">
      <w:pPr>
        <w:pStyle w:val="Nagwekspisutreci"/>
        <w:numPr>
          <w:ilvl w:val="0"/>
          <w:numId w:val="0"/>
        </w:numPr>
        <w:spacing w:before="120" w:after="240"/>
        <w:ind w:left="432" w:hanging="432"/>
        <w:rPr>
          <w:rFonts w:ascii="Bahnschrift" w:hAnsi="Bahnschrift"/>
          <w:b/>
          <w:bCs/>
          <w:sz w:val="48"/>
          <w:szCs w:val="48"/>
        </w:rPr>
      </w:pPr>
      <w:r w:rsidRPr="00B116F7">
        <w:rPr>
          <w:rFonts w:ascii="Bahnschrift" w:hAnsi="Bahnschrift"/>
          <w:b/>
          <w:bCs/>
          <w:sz w:val="48"/>
          <w:szCs w:val="48"/>
        </w:rPr>
        <w:lastRenderedPageBreak/>
        <w:t>Spis treści</w:t>
      </w:r>
    </w:p>
    <w:p w14:paraId="699D00C9" w14:textId="76ACD314" w:rsidR="00F27D6F" w:rsidRDefault="00311025">
      <w:pPr>
        <w:pStyle w:val="Spistreci1"/>
        <w:rPr>
          <w:rFonts w:asciiTheme="minorHAnsi" w:eastAsiaTheme="minorEastAsia" w:hAnsiTheme="minorHAnsi"/>
          <w:noProof/>
          <w:sz w:val="24"/>
          <w:szCs w:val="24"/>
          <w:lang w:eastAsia="pl-PL"/>
        </w:rPr>
      </w:pPr>
      <w:r>
        <w:fldChar w:fldCharType="begin"/>
      </w:r>
      <w:r>
        <w:instrText xml:space="preserve"> TOC \o "1-3" \h \z \u </w:instrText>
      </w:r>
      <w:r>
        <w:fldChar w:fldCharType="separate"/>
      </w:r>
      <w:hyperlink w:anchor="_Toc202966873" w:history="1">
        <w:r w:rsidR="00F27D6F" w:rsidRPr="007619E5">
          <w:rPr>
            <w:rStyle w:val="Hipercze"/>
            <w:noProof/>
          </w:rPr>
          <w:t>Wprowadzenie</w:t>
        </w:r>
        <w:r w:rsidR="00F27D6F">
          <w:rPr>
            <w:noProof/>
            <w:webHidden/>
          </w:rPr>
          <w:tab/>
        </w:r>
        <w:r w:rsidR="00F27D6F">
          <w:rPr>
            <w:noProof/>
            <w:webHidden/>
          </w:rPr>
          <w:fldChar w:fldCharType="begin"/>
        </w:r>
        <w:r w:rsidR="00F27D6F">
          <w:rPr>
            <w:noProof/>
            <w:webHidden/>
          </w:rPr>
          <w:instrText xml:space="preserve"> PAGEREF _Toc202966873 \h </w:instrText>
        </w:r>
        <w:r w:rsidR="00F27D6F">
          <w:rPr>
            <w:noProof/>
            <w:webHidden/>
          </w:rPr>
        </w:r>
        <w:r w:rsidR="00F27D6F">
          <w:rPr>
            <w:noProof/>
            <w:webHidden/>
          </w:rPr>
          <w:fldChar w:fldCharType="separate"/>
        </w:r>
        <w:r w:rsidR="00F27D6F">
          <w:rPr>
            <w:noProof/>
            <w:webHidden/>
          </w:rPr>
          <w:t>7</w:t>
        </w:r>
        <w:r w:rsidR="00F27D6F">
          <w:rPr>
            <w:noProof/>
            <w:webHidden/>
          </w:rPr>
          <w:fldChar w:fldCharType="end"/>
        </w:r>
      </w:hyperlink>
    </w:p>
    <w:p w14:paraId="473414BB" w14:textId="0113573C" w:rsidR="00F27D6F" w:rsidRDefault="00F27D6F">
      <w:pPr>
        <w:pStyle w:val="Spistreci1"/>
        <w:rPr>
          <w:rFonts w:asciiTheme="minorHAnsi" w:eastAsiaTheme="minorEastAsia" w:hAnsiTheme="minorHAnsi"/>
          <w:noProof/>
          <w:sz w:val="24"/>
          <w:szCs w:val="24"/>
          <w:lang w:eastAsia="pl-PL"/>
        </w:rPr>
      </w:pPr>
      <w:hyperlink w:anchor="_Toc202966874" w:history="1">
        <w:r w:rsidRPr="007619E5">
          <w:rPr>
            <w:rStyle w:val="Hipercze"/>
            <w:noProof/>
          </w:rPr>
          <w:t>1.</w:t>
        </w:r>
        <w:r>
          <w:rPr>
            <w:rFonts w:asciiTheme="minorHAnsi" w:eastAsiaTheme="minorEastAsia" w:hAnsiTheme="minorHAnsi"/>
            <w:noProof/>
            <w:sz w:val="24"/>
            <w:szCs w:val="24"/>
            <w:lang w:eastAsia="pl-PL"/>
          </w:rPr>
          <w:tab/>
        </w:r>
        <w:r w:rsidRPr="007619E5">
          <w:rPr>
            <w:rStyle w:val="Hipercze"/>
            <w:noProof/>
          </w:rPr>
          <w:t>Wymiar „obniżenie emisyjności”</w:t>
        </w:r>
        <w:r>
          <w:rPr>
            <w:noProof/>
            <w:webHidden/>
          </w:rPr>
          <w:tab/>
        </w:r>
        <w:r>
          <w:rPr>
            <w:noProof/>
            <w:webHidden/>
          </w:rPr>
          <w:fldChar w:fldCharType="begin"/>
        </w:r>
        <w:r>
          <w:rPr>
            <w:noProof/>
            <w:webHidden/>
          </w:rPr>
          <w:instrText xml:space="preserve"> PAGEREF _Toc202966874 \h </w:instrText>
        </w:r>
        <w:r>
          <w:rPr>
            <w:noProof/>
            <w:webHidden/>
          </w:rPr>
        </w:r>
        <w:r>
          <w:rPr>
            <w:noProof/>
            <w:webHidden/>
          </w:rPr>
          <w:fldChar w:fldCharType="separate"/>
        </w:r>
        <w:r>
          <w:rPr>
            <w:noProof/>
            <w:webHidden/>
          </w:rPr>
          <w:t>8</w:t>
        </w:r>
        <w:r>
          <w:rPr>
            <w:noProof/>
            <w:webHidden/>
          </w:rPr>
          <w:fldChar w:fldCharType="end"/>
        </w:r>
      </w:hyperlink>
    </w:p>
    <w:p w14:paraId="340C317C" w14:textId="337AC1AA" w:rsidR="00F27D6F" w:rsidRDefault="00F27D6F">
      <w:pPr>
        <w:pStyle w:val="Spistreci2"/>
        <w:rPr>
          <w:rFonts w:asciiTheme="minorHAnsi" w:eastAsiaTheme="minorEastAsia" w:hAnsiTheme="minorHAnsi"/>
          <w:noProof/>
          <w:sz w:val="24"/>
          <w:szCs w:val="24"/>
          <w:lang w:eastAsia="pl-PL"/>
        </w:rPr>
      </w:pPr>
      <w:hyperlink w:anchor="_Toc202966875" w:history="1">
        <w:r w:rsidRPr="007619E5">
          <w:rPr>
            <w:rStyle w:val="Hipercze"/>
            <w:noProof/>
          </w:rPr>
          <w:t>1.1.</w:t>
        </w:r>
        <w:r>
          <w:rPr>
            <w:rFonts w:asciiTheme="minorHAnsi" w:eastAsiaTheme="minorEastAsia" w:hAnsiTheme="minorHAnsi"/>
            <w:noProof/>
            <w:sz w:val="24"/>
            <w:szCs w:val="24"/>
            <w:lang w:eastAsia="pl-PL"/>
          </w:rPr>
          <w:tab/>
        </w:r>
        <w:r w:rsidRPr="007619E5">
          <w:rPr>
            <w:rStyle w:val="Hipercze"/>
            <w:noProof/>
          </w:rPr>
          <w:t>Emisje i pochłanianie gazów cieplarnianych oraz emisje innych substancji</w:t>
        </w:r>
        <w:r>
          <w:rPr>
            <w:noProof/>
            <w:webHidden/>
          </w:rPr>
          <w:tab/>
        </w:r>
        <w:r>
          <w:rPr>
            <w:noProof/>
            <w:webHidden/>
          </w:rPr>
          <w:fldChar w:fldCharType="begin"/>
        </w:r>
        <w:r>
          <w:rPr>
            <w:noProof/>
            <w:webHidden/>
          </w:rPr>
          <w:instrText xml:space="preserve"> PAGEREF _Toc202966875 \h </w:instrText>
        </w:r>
        <w:r>
          <w:rPr>
            <w:noProof/>
            <w:webHidden/>
          </w:rPr>
        </w:r>
        <w:r>
          <w:rPr>
            <w:noProof/>
            <w:webHidden/>
          </w:rPr>
          <w:fldChar w:fldCharType="separate"/>
        </w:r>
        <w:r>
          <w:rPr>
            <w:noProof/>
            <w:webHidden/>
          </w:rPr>
          <w:t>8</w:t>
        </w:r>
        <w:r>
          <w:rPr>
            <w:noProof/>
            <w:webHidden/>
          </w:rPr>
          <w:fldChar w:fldCharType="end"/>
        </w:r>
      </w:hyperlink>
    </w:p>
    <w:p w14:paraId="52D33CEF" w14:textId="301013FC" w:rsidR="00F27D6F" w:rsidRDefault="00F27D6F">
      <w:pPr>
        <w:pStyle w:val="Spistreci3"/>
        <w:rPr>
          <w:rFonts w:asciiTheme="minorHAnsi" w:eastAsiaTheme="minorEastAsia" w:hAnsiTheme="minorHAnsi"/>
          <w:noProof/>
          <w:sz w:val="24"/>
          <w:szCs w:val="24"/>
          <w:lang w:eastAsia="pl-PL"/>
        </w:rPr>
      </w:pPr>
      <w:hyperlink w:anchor="_Toc202966876" w:history="1">
        <w:r w:rsidRPr="007619E5">
          <w:rPr>
            <w:rStyle w:val="Hipercze"/>
            <w:noProof/>
          </w:rPr>
          <w:t>1.1.1.</w:t>
        </w:r>
        <w:r>
          <w:rPr>
            <w:rFonts w:asciiTheme="minorHAnsi" w:eastAsiaTheme="minorEastAsia" w:hAnsiTheme="minorHAnsi"/>
            <w:noProof/>
            <w:sz w:val="24"/>
            <w:szCs w:val="24"/>
            <w:lang w:eastAsia="pl-PL"/>
          </w:rPr>
          <w:tab/>
        </w:r>
        <w:r w:rsidRPr="007619E5">
          <w:rPr>
            <w:rStyle w:val="Hipercze"/>
            <w:noProof/>
          </w:rPr>
          <w:t>Emisje gazów cieplarnianych oraz ich pochłaniania</w:t>
        </w:r>
        <w:r>
          <w:rPr>
            <w:noProof/>
            <w:webHidden/>
          </w:rPr>
          <w:tab/>
        </w:r>
        <w:r>
          <w:rPr>
            <w:noProof/>
            <w:webHidden/>
          </w:rPr>
          <w:fldChar w:fldCharType="begin"/>
        </w:r>
        <w:r>
          <w:rPr>
            <w:noProof/>
            <w:webHidden/>
          </w:rPr>
          <w:instrText xml:space="preserve"> PAGEREF _Toc202966876 \h </w:instrText>
        </w:r>
        <w:r>
          <w:rPr>
            <w:noProof/>
            <w:webHidden/>
          </w:rPr>
        </w:r>
        <w:r>
          <w:rPr>
            <w:noProof/>
            <w:webHidden/>
          </w:rPr>
          <w:fldChar w:fldCharType="separate"/>
        </w:r>
        <w:r>
          <w:rPr>
            <w:noProof/>
            <w:webHidden/>
          </w:rPr>
          <w:t>8</w:t>
        </w:r>
        <w:r>
          <w:rPr>
            <w:noProof/>
            <w:webHidden/>
          </w:rPr>
          <w:fldChar w:fldCharType="end"/>
        </w:r>
      </w:hyperlink>
    </w:p>
    <w:p w14:paraId="0CD58354" w14:textId="448CFD01" w:rsidR="00F27D6F" w:rsidRDefault="00F27D6F">
      <w:pPr>
        <w:pStyle w:val="Spistreci3"/>
        <w:rPr>
          <w:rFonts w:asciiTheme="minorHAnsi" w:eastAsiaTheme="minorEastAsia" w:hAnsiTheme="minorHAnsi"/>
          <w:noProof/>
          <w:sz w:val="24"/>
          <w:szCs w:val="24"/>
          <w:lang w:eastAsia="pl-PL"/>
        </w:rPr>
      </w:pPr>
      <w:hyperlink w:anchor="_Toc202966877" w:history="1">
        <w:r w:rsidRPr="007619E5">
          <w:rPr>
            <w:rStyle w:val="Hipercze"/>
            <w:noProof/>
          </w:rPr>
          <w:t>1.1.2.</w:t>
        </w:r>
        <w:r>
          <w:rPr>
            <w:rFonts w:asciiTheme="minorHAnsi" w:eastAsiaTheme="minorEastAsia" w:hAnsiTheme="minorHAnsi"/>
            <w:noProof/>
            <w:sz w:val="24"/>
            <w:szCs w:val="24"/>
            <w:lang w:eastAsia="pl-PL"/>
          </w:rPr>
          <w:tab/>
        </w:r>
        <w:r w:rsidRPr="007619E5">
          <w:rPr>
            <w:rStyle w:val="Hipercze"/>
            <w:noProof/>
          </w:rPr>
          <w:t>Emisje substancji zanieczyszczających powietrze</w:t>
        </w:r>
        <w:r>
          <w:rPr>
            <w:noProof/>
            <w:webHidden/>
          </w:rPr>
          <w:tab/>
        </w:r>
        <w:r>
          <w:rPr>
            <w:noProof/>
            <w:webHidden/>
          </w:rPr>
          <w:fldChar w:fldCharType="begin"/>
        </w:r>
        <w:r>
          <w:rPr>
            <w:noProof/>
            <w:webHidden/>
          </w:rPr>
          <w:instrText xml:space="preserve"> PAGEREF _Toc202966877 \h </w:instrText>
        </w:r>
        <w:r>
          <w:rPr>
            <w:noProof/>
            <w:webHidden/>
          </w:rPr>
        </w:r>
        <w:r>
          <w:rPr>
            <w:noProof/>
            <w:webHidden/>
          </w:rPr>
          <w:fldChar w:fldCharType="separate"/>
        </w:r>
        <w:r>
          <w:rPr>
            <w:noProof/>
            <w:webHidden/>
          </w:rPr>
          <w:t>16</w:t>
        </w:r>
        <w:r>
          <w:rPr>
            <w:noProof/>
            <w:webHidden/>
          </w:rPr>
          <w:fldChar w:fldCharType="end"/>
        </w:r>
      </w:hyperlink>
    </w:p>
    <w:p w14:paraId="761BF392" w14:textId="07945539" w:rsidR="00F27D6F" w:rsidRDefault="00F27D6F">
      <w:pPr>
        <w:pStyle w:val="Spistreci3"/>
        <w:rPr>
          <w:rFonts w:asciiTheme="minorHAnsi" w:eastAsiaTheme="minorEastAsia" w:hAnsiTheme="minorHAnsi"/>
          <w:noProof/>
          <w:sz w:val="24"/>
          <w:szCs w:val="24"/>
          <w:lang w:eastAsia="pl-PL"/>
        </w:rPr>
      </w:pPr>
      <w:hyperlink w:anchor="_Toc202966878" w:history="1">
        <w:r w:rsidRPr="007619E5">
          <w:rPr>
            <w:rStyle w:val="Hipercze"/>
            <w:noProof/>
          </w:rPr>
          <w:t>1.1.3.</w:t>
        </w:r>
        <w:r>
          <w:rPr>
            <w:rFonts w:asciiTheme="minorHAnsi" w:eastAsiaTheme="minorEastAsia" w:hAnsiTheme="minorHAnsi"/>
            <w:noProof/>
            <w:sz w:val="24"/>
            <w:szCs w:val="24"/>
            <w:lang w:eastAsia="pl-PL"/>
          </w:rPr>
          <w:tab/>
        </w:r>
        <w:r w:rsidRPr="007619E5">
          <w:rPr>
            <w:rStyle w:val="Hipercze"/>
            <w:noProof/>
          </w:rPr>
          <w:t>Porównanie prognoz emisji GHG oraz ich pochłaniania – scenariusz WAM vs. scenariusz WEM</w:t>
        </w:r>
        <w:r>
          <w:rPr>
            <w:noProof/>
            <w:webHidden/>
          </w:rPr>
          <w:tab/>
        </w:r>
        <w:r>
          <w:rPr>
            <w:noProof/>
            <w:webHidden/>
          </w:rPr>
          <w:fldChar w:fldCharType="begin"/>
        </w:r>
        <w:r>
          <w:rPr>
            <w:noProof/>
            <w:webHidden/>
          </w:rPr>
          <w:instrText xml:space="preserve"> PAGEREF _Toc202966878 \h </w:instrText>
        </w:r>
        <w:r>
          <w:rPr>
            <w:noProof/>
            <w:webHidden/>
          </w:rPr>
        </w:r>
        <w:r>
          <w:rPr>
            <w:noProof/>
            <w:webHidden/>
          </w:rPr>
          <w:fldChar w:fldCharType="separate"/>
        </w:r>
        <w:r>
          <w:rPr>
            <w:noProof/>
            <w:webHidden/>
          </w:rPr>
          <w:t>22</w:t>
        </w:r>
        <w:r>
          <w:rPr>
            <w:noProof/>
            <w:webHidden/>
          </w:rPr>
          <w:fldChar w:fldCharType="end"/>
        </w:r>
      </w:hyperlink>
    </w:p>
    <w:p w14:paraId="295C21E0" w14:textId="7C0E8A89" w:rsidR="00F27D6F" w:rsidRDefault="00F27D6F">
      <w:pPr>
        <w:pStyle w:val="Spistreci3"/>
        <w:rPr>
          <w:rFonts w:asciiTheme="minorHAnsi" w:eastAsiaTheme="minorEastAsia" w:hAnsiTheme="minorHAnsi"/>
          <w:noProof/>
          <w:sz w:val="24"/>
          <w:szCs w:val="24"/>
          <w:lang w:eastAsia="pl-PL"/>
        </w:rPr>
      </w:pPr>
      <w:hyperlink w:anchor="_Toc202966879" w:history="1">
        <w:r w:rsidRPr="007619E5">
          <w:rPr>
            <w:rStyle w:val="Hipercze"/>
            <w:noProof/>
          </w:rPr>
          <w:t>1.1.4.</w:t>
        </w:r>
        <w:r>
          <w:rPr>
            <w:rFonts w:asciiTheme="minorHAnsi" w:eastAsiaTheme="minorEastAsia" w:hAnsiTheme="minorHAnsi"/>
            <w:noProof/>
            <w:sz w:val="24"/>
            <w:szCs w:val="24"/>
            <w:lang w:eastAsia="pl-PL"/>
          </w:rPr>
          <w:tab/>
        </w:r>
        <w:r w:rsidRPr="007619E5">
          <w:rPr>
            <w:rStyle w:val="Hipercze"/>
            <w:noProof/>
          </w:rPr>
          <w:t>Porównanie prognoz emisji substancji zanieczyszczających powietrze – scenariusz WAM vs. scenariusz WEM</w:t>
        </w:r>
        <w:r>
          <w:rPr>
            <w:noProof/>
            <w:webHidden/>
          </w:rPr>
          <w:tab/>
        </w:r>
        <w:r>
          <w:rPr>
            <w:noProof/>
            <w:webHidden/>
          </w:rPr>
          <w:fldChar w:fldCharType="begin"/>
        </w:r>
        <w:r>
          <w:rPr>
            <w:noProof/>
            <w:webHidden/>
          </w:rPr>
          <w:instrText xml:space="preserve"> PAGEREF _Toc202966879 \h </w:instrText>
        </w:r>
        <w:r>
          <w:rPr>
            <w:noProof/>
            <w:webHidden/>
          </w:rPr>
        </w:r>
        <w:r>
          <w:rPr>
            <w:noProof/>
            <w:webHidden/>
          </w:rPr>
          <w:fldChar w:fldCharType="separate"/>
        </w:r>
        <w:r>
          <w:rPr>
            <w:noProof/>
            <w:webHidden/>
          </w:rPr>
          <w:t>26</w:t>
        </w:r>
        <w:r>
          <w:rPr>
            <w:noProof/>
            <w:webHidden/>
          </w:rPr>
          <w:fldChar w:fldCharType="end"/>
        </w:r>
      </w:hyperlink>
    </w:p>
    <w:p w14:paraId="4E8C4F56" w14:textId="0618F0DA" w:rsidR="00F27D6F" w:rsidRDefault="00F27D6F">
      <w:pPr>
        <w:pStyle w:val="Spistreci2"/>
        <w:rPr>
          <w:rFonts w:asciiTheme="minorHAnsi" w:eastAsiaTheme="minorEastAsia" w:hAnsiTheme="minorHAnsi"/>
          <w:noProof/>
          <w:sz w:val="24"/>
          <w:szCs w:val="24"/>
          <w:lang w:eastAsia="pl-PL"/>
        </w:rPr>
      </w:pPr>
      <w:hyperlink w:anchor="_Toc202966880" w:history="1">
        <w:r w:rsidRPr="007619E5">
          <w:rPr>
            <w:rStyle w:val="Hipercze"/>
            <w:noProof/>
          </w:rPr>
          <w:t>1.2.</w:t>
        </w:r>
        <w:r>
          <w:rPr>
            <w:rFonts w:asciiTheme="minorHAnsi" w:eastAsiaTheme="minorEastAsia" w:hAnsiTheme="minorHAnsi"/>
            <w:noProof/>
            <w:sz w:val="24"/>
            <w:szCs w:val="24"/>
            <w:lang w:eastAsia="pl-PL"/>
          </w:rPr>
          <w:tab/>
        </w:r>
        <w:r w:rsidRPr="007619E5">
          <w:rPr>
            <w:rStyle w:val="Hipercze"/>
            <w:noProof/>
          </w:rPr>
          <w:t>Energia ze źródeł odnawialnych</w:t>
        </w:r>
        <w:r>
          <w:rPr>
            <w:noProof/>
            <w:webHidden/>
          </w:rPr>
          <w:tab/>
        </w:r>
        <w:r>
          <w:rPr>
            <w:noProof/>
            <w:webHidden/>
          </w:rPr>
          <w:fldChar w:fldCharType="begin"/>
        </w:r>
        <w:r>
          <w:rPr>
            <w:noProof/>
            <w:webHidden/>
          </w:rPr>
          <w:instrText xml:space="preserve"> PAGEREF _Toc202966880 \h </w:instrText>
        </w:r>
        <w:r>
          <w:rPr>
            <w:noProof/>
            <w:webHidden/>
          </w:rPr>
        </w:r>
        <w:r>
          <w:rPr>
            <w:noProof/>
            <w:webHidden/>
          </w:rPr>
          <w:fldChar w:fldCharType="separate"/>
        </w:r>
        <w:r>
          <w:rPr>
            <w:noProof/>
            <w:webHidden/>
          </w:rPr>
          <w:t>30</w:t>
        </w:r>
        <w:r>
          <w:rPr>
            <w:noProof/>
            <w:webHidden/>
          </w:rPr>
          <w:fldChar w:fldCharType="end"/>
        </w:r>
      </w:hyperlink>
    </w:p>
    <w:p w14:paraId="77CC8296" w14:textId="77F89E0F" w:rsidR="00F27D6F" w:rsidRDefault="00F27D6F">
      <w:pPr>
        <w:pStyle w:val="Spistreci3"/>
        <w:rPr>
          <w:rFonts w:asciiTheme="minorHAnsi" w:eastAsiaTheme="minorEastAsia" w:hAnsiTheme="minorHAnsi"/>
          <w:noProof/>
          <w:sz w:val="24"/>
          <w:szCs w:val="24"/>
          <w:lang w:eastAsia="pl-PL"/>
        </w:rPr>
      </w:pPr>
      <w:hyperlink w:anchor="_Toc202966881" w:history="1">
        <w:r w:rsidRPr="007619E5">
          <w:rPr>
            <w:rStyle w:val="Hipercze"/>
            <w:noProof/>
          </w:rPr>
          <w:t>1.2.1.</w:t>
        </w:r>
        <w:r>
          <w:rPr>
            <w:rFonts w:asciiTheme="minorHAnsi" w:eastAsiaTheme="minorEastAsia" w:hAnsiTheme="minorHAnsi"/>
            <w:noProof/>
            <w:sz w:val="24"/>
            <w:szCs w:val="24"/>
            <w:lang w:eastAsia="pl-PL"/>
          </w:rPr>
          <w:tab/>
        </w:r>
        <w:r w:rsidRPr="007619E5">
          <w:rPr>
            <w:rStyle w:val="Hipercze"/>
            <w:noProof/>
          </w:rPr>
          <w:t>Wykorzystanie OZE ogółem, w elektroenergetyce, ciepłownictwie i chłodnictwie oraz w transporcie</w:t>
        </w:r>
        <w:r>
          <w:rPr>
            <w:noProof/>
            <w:webHidden/>
          </w:rPr>
          <w:tab/>
        </w:r>
        <w:r>
          <w:rPr>
            <w:noProof/>
            <w:webHidden/>
          </w:rPr>
          <w:fldChar w:fldCharType="begin"/>
        </w:r>
        <w:r>
          <w:rPr>
            <w:noProof/>
            <w:webHidden/>
          </w:rPr>
          <w:instrText xml:space="preserve"> PAGEREF _Toc202966881 \h </w:instrText>
        </w:r>
        <w:r>
          <w:rPr>
            <w:noProof/>
            <w:webHidden/>
          </w:rPr>
        </w:r>
        <w:r>
          <w:rPr>
            <w:noProof/>
            <w:webHidden/>
          </w:rPr>
          <w:fldChar w:fldCharType="separate"/>
        </w:r>
        <w:r>
          <w:rPr>
            <w:noProof/>
            <w:webHidden/>
          </w:rPr>
          <w:t>32</w:t>
        </w:r>
        <w:r>
          <w:rPr>
            <w:noProof/>
            <w:webHidden/>
          </w:rPr>
          <w:fldChar w:fldCharType="end"/>
        </w:r>
      </w:hyperlink>
    </w:p>
    <w:p w14:paraId="7BBAA75B" w14:textId="550BDC2B" w:rsidR="00F27D6F" w:rsidRDefault="00F27D6F">
      <w:pPr>
        <w:pStyle w:val="Spistreci3"/>
        <w:rPr>
          <w:rFonts w:asciiTheme="minorHAnsi" w:eastAsiaTheme="minorEastAsia" w:hAnsiTheme="minorHAnsi"/>
          <w:noProof/>
          <w:sz w:val="24"/>
          <w:szCs w:val="24"/>
          <w:lang w:eastAsia="pl-PL"/>
        </w:rPr>
      </w:pPr>
      <w:hyperlink w:anchor="_Toc202966882" w:history="1">
        <w:r w:rsidRPr="007619E5">
          <w:rPr>
            <w:rStyle w:val="Hipercze"/>
            <w:noProof/>
          </w:rPr>
          <w:t>1.2.2.</w:t>
        </w:r>
        <w:r>
          <w:rPr>
            <w:rFonts w:asciiTheme="minorHAnsi" w:eastAsiaTheme="minorEastAsia" w:hAnsiTheme="minorHAnsi"/>
            <w:noProof/>
            <w:sz w:val="24"/>
            <w:szCs w:val="24"/>
            <w:lang w:eastAsia="pl-PL"/>
          </w:rPr>
          <w:tab/>
        </w:r>
        <w:r w:rsidRPr="007619E5">
          <w:rPr>
            <w:rStyle w:val="Hipercze"/>
            <w:noProof/>
          </w:rPr>
          <w:t>Wykorzystanie OZE w budynkach i w przemyśle</w:t>
        </w:r>
        <w:r>
          <w:rPr>
            <w:noProof/>
            <w:webHidden/>
          </w:rPr>
          <w:tab/>
        </w:r>
        <w:r>
          <w:rPr>
            <w:noProof/>
            <w:webHidden/>
          </w:rPr>
          <w:fldChar w:fldCharType="begin"/>
        </w:r>
        <w:r>
          <w:rPr>
            <w:noProof/>
            <w:webHidden/>
          </w:rPr>
          <w:instrText xml:space="preserve"> PAGEREF _Toc202966882 \h </w:instrText>
        </w:r>
        <w:r>
          <w:rPr>
            <w:noProof/>
            <w:webHidden/>
          </w:rPr>
        </w:r>
        <w:r>
          <w:rPr>
            <w:noProof/>
            <w:webHidden/>
          </w:rPr>
          <w:fldChar w:fldCharType="separate"/>
        </w:r>
        <w:r>
          <w:rPr>
            <w:noProof/>
            <w:webHidden/>
          </w:rPr>
          <w:t>42</w:t>
        </w:r>
        <w:r>
          <w:rPr>
            <w:noProof/>
            <w:webHidden/>
          </w:rPr>
          <w:fldChar w:fldCharType="end"/>
        </w:r>
      </w:hyperlink>
    </w:p>
    <w:p w14:paraId="42B3396E" w14:textId="7BA50886" w:rsidR="00F27D6F" w:rsidRDefault="00F27D6F">
      <w:pPr>
        <w:pStyle w:val="Spistreci1"/>
        <w:rPr>
          <w:rFonts w:asciiTheme="minorHAnsi" w:eastAsiaTheme="minorEastAsia" w:hAnsiTheme="minorHAnsi"/>
          <w:noProof/>
          <w:sz w:val="24"/>
          <w:szCs w:val="24"/>
          <w:lang w:eastAsia="pl-PL"/>
        </w:rPr>
      </w:pPr>
      <w:hyperlink w:anchor="_Toc202966883" w:history="1">
        <w:r w:rsidRPr="007619E5">
          <w:rPr>
            <w:rStyle w:val="Hipercze"/>
            <w:noProof/>
          </w:rPr>
          <w:t>2.</w:t>
        </w:r>
        <w:r>
          <w:rPr>
            <w:rFonts w:asciiTheme="minorHAnsi" w:eastAsiaTheme="minorEastAsia" w:hAnsiTheme="minorHAnsi"/>
            <w:noProof/>
            <w:sz w:val="24"/>
            <w:szCs w:val="24"/>
            <w:lang w:eastAsia="pl-PL"/>
          </w:rPr>
          <w:tab/>
        </w:r>
        <w:r w:rsidRPr="007619E5">
          <w:rPr>
            <w:rStyle w:val="Hipercze"/>
            <w:noProof/>
          </w:rPr>
          <w:t>Wymiar „efektywność energetyczna”</w:t>
        </w:r>
        <w:r>
          <w:rPr>
            <w:noProof/>
            <w:webHidden/>
          </w:rPr>
          <w:tab/>
        </w:r>
        <w:r>
          <w:rPr>
            <w:noProof/>
            <w:webHidden/>
          </w:rPr>
          <w:fldChar w:fldCharType="begin"/>
        </w:r>
        <w:r>
          <w:rPr>
            <w:noProof/>
            <w:webHidden/>
          </w:rPr>
          <w:instrText xml:space="preserve"> PAGEREF _Toc202966883 \h </w:instrText>
        </w:r>
        <w:r>
          <w:rPr>
            <w:noProof/>
            <w:webHidden/>
          </w:rPr>
        </w:r>
        <w:r>
          <w:rPr>
            <w:noProof/>
            <w:webHidden/>
          </w:rPr>
          <w:fldChar w:fldCharType="separate"/>
        </w:r>
        <w:r>
          <w:rPr>
            <w:noProof/>
            <w:webHidden/>
          </w:rPr>
          <w:t>44</w:t>
        </w:r>
        <w:r>
          <w:rPr>
            <w:noProof/>
            <w:webHidden/>
          </w:rPr>
          <w:fldChar w:fldCharType="end"/>
        </w:r>
      </w:hyperlink>
    </w:p>
    <w:p w14:paraId="70AF1609" w14:textId="43C88EB6" w:rsidR="00F27D6F" w:rsidRDefault="00F27D6F">
      <w:pPr>
        <w:pStyle w:val="Spistreci2"/>
        <w:rPr>
          <w:rFonts w:asciiTheme="minorHAnsi" w:eastAsiaTheme="minorEastAsia" w:hAnsiTheme="minorHAnsi"/>
          <w:noProof/>
          <w:sz w:val="24"/>
          <w:szCs w:val="24"/>
          <w:lang w:eastAsia="pl-PL"/>
        </w:rPr>
      </w:pPr>
      <w:hyperlink w:anchor="_Toc202966884" w:history="1">
        <w:r w:rsidRPr="007619E5">
          <w:rPr>
            <w:rStyle w:val="Hipercze"/>
            <w:noProof/>
          </w:rPr>
          <w:t>2.1.</w:t>
        </w:r>
        <w:r>
          <w:rPr>
            <w:rFonts w:asciiTheme="minorHAnsi" w:eastAsiaTheme="minorEastAsia" w:hAnsiTheme="minorHAnsi"/>
            <w:noProof/>
            <w:sz w:val="24"/>
            <w:szCs w:val="24"/>
            <w:lang w:eastAsia="pl-PL"/>
          </w:rPr>
          <w:tab/>
        </w:r>
        <w:r w:rsidRPr="007619E5">
          <w:rPr>
            <w:rStyle w:val="Hipercze"/>
            <w:noProof/>
          </w:rPr>
          <w:t>Zużycie energii pierwotnej i finalnej</w:t>
        </w:r>
        <w:r>
          <w:rPr>
            <w:noProof/>
            <w:webHidden/>
          </w:rPr>
          <w:tab/>
        </w:r>
        <w:r>
          <w:rPr>
            <w:noProof/>
            <w:webHidden/>
          </w:rPr>
          <w:fldChar w:fldCharType="begin"/>
        </w:r>
        <w:r>
          <w:rPr>
            <w:noProof/>
            <w:webHidden/>
          </w:rPr>
          <w:instrText xml:space="preserve"> PAGEREF _Toc202966884 \h </w:instrText>
        </w:r>
        <w:r>
          <w:rPr>
            <w:noProof/>
            <w:webHidden/>
          </w:rPr>
        </w:r>
        <w:r>
          <w:rPr>
            <w:noProof/>
            <w:webHidden/>
          </w:rPr>
          <w:fldChar w:fldCharType="separate"/>
        </w:r>
        <w:r>
          <w:rPr>
            <w:noProof/>
            <w:webHidden/>
          </w:rPr>
          <w:t>44</w:t>
        </w:r>
        <w:r>
          <w:rPr>
            <w:noProof/>
            <w:webHidden/>
          </w:rPr>
          <w:fldChar w:fldCharType="end"/>
        </w:r>
      </w:hyperlink>
    </w:p>
    <w:p w14:paraId="07ED58C0" w14:textId="2978607F" w:rsidR="00F27D6F" w:rsidRDefault="00F27D6F">
      <w:pPr>
        <w:pStyle w:val="Spistreci2"/>
        <w:rPr>
          <w:rFonts w:asciiTheme="minorHAnsi" w:eastAsiaTheme="minorEastAsia" w:hAnsiTheme="minorHAnsi"/>
          <w:noProof/>
          <w:sz w:val="24"/>
          <w:szCs w:val="24"/>
          <w:lang w:eastAsia="pl-PL"/>
        </w:rPr>
      </w:pPr>
      <w:hyperlink w:anchor="_Toc202966885" w:history="1">
        <w:r w:rsidRPr="007619E5">
          <w:rPr>
            <w:rStyle w:val="Hipercze"/>
            <w:noProof/>
          </w:rPr>
          <w:t>2.2.</w:t>
        </w:r>
        <w:r>
          <w:rPr>
            <w:rFonts w:asciiTheme="minorHAnsi" w:eastAsiaTheme="minorEastAsia" w:hAnsiTheme="minorHAnsi"/>
            <w:noProof/>
            <w:sz w:val="24"/>
            <w:szCs w:val="24"/>
            <w:lang w:eastAsia="pl-PL"/>
          </w:rPr>
          <w:tab/>
        </w:r>
        <w:r w:rsidRPr="007619E5">
          <w:rPr>
            <w:rStyle w:val="Hipercze"/>
            <w:noProof/>
          </w:rPr>
          <w:t>Zużycie energii finalnej w podziale na sektory</w:t>
        </w:r>
        <w:r>
          <w:rPr>
            <w:noProof/>
            <w:webHidden/>
          </w:rPr>
          <w:tab/>
        </w:r>
        <w:r>
          <w:rPr>
            <w:noProof/>
            <w:webHidden/>
          </w:rPr>
          <w:fldChar w:fldCharType="begin"/>
        </w:r>
        <w:r>
          <w:rPr>
            <w:noProof/>
            <w:webHidden/>
          </w:rPr>
          <w:instrText xml:space="preserve"> PAGEREF _Toc202966885 \h </w:instrText>
        </w:r>
        <w:r>
          <w:rPr>
            <w:noProof/>
            <w:webHidden/>
          </w:rPr>
        </w:r>
        <w:r>
          <w:rPr>
            <w:noProof/>
            <w:webHidden/>
          </w:rPr>
          <w:fldChar w:fldCharType="separate"/>
        </w:r>
        <w:r>
          <w:rPr>
            <w:noProof/>
            <w:webHidden/>
          </w:rPr>
          <w:t>47</w:t>
        </w:r>
        <w:r>
          <w:rPr>
            <w:noProof/>
            <w:webHidden/>
          </w:rPr>
          <w:fldChar w:fldCharType="end"/>
        </w:r>
      </w:hyperlink>
    </w:p>
    <w:p w14:paraId="37726C6E" w14:textId="3BE47D6B" w:rsidR="00F27D6F" w:rsidRDefault="00F27D6F">
      <w:pPr>
        <w:pStyle w:val="Spistreci2"/>
        <w:rPr>
          <w:rFonts w:asciiTheme="minorHAnsi" w:eastAsiaTheme="minorEastAsia" w:hAnsiTheme="minorHAnsi"/>
          <w:noProof/>
          <w:sz w:val="24"/>
          <w:szCs w:val="24"/>
          <w:lang w:eastAsia="pl-PL"/>
        </w:rPr>
      </w:pPr>
      <w:hyperlink w:anchor="_Toc202966886" w:history="1">
        <w:r w:rsidRPr="007619E5">
          <w:rPr>
            <w:rStyle w:val="Hipercze"/>
            <w:noProof/>
          </w:rPr>
          <w:t>2.3.</w:t>
        </w:r>
        <w:r>
          <w:rPr>
            <w:rFonts w:asciiTheme="minorHAnsi" w:eastAsiaTheme="minorEastAsia" w:hAnsiTheme="minorHAnsi"/>
            <w:noProof/>
            <w:sz w:val="24"/>
            <w:szCs w:val="24"/>
            <w:lang w:eastAsia="pl-PL"/>
          </w:rPr>
          <w:tab/>
        </w:r>
        <w:r w:rsidRPr="007619E5">
          <w:rPr>
            <w:rStyle w:val="Hipercze"/>
            <w:noProof/>
          </w:rPr>
          <w:t>Zużycie energii finalnej w podziale na paliwa</w:t>
        </w:r>
        <w:r>
          <w:rPr>
            <w:noProof/>
            <w:webHidden/>
          </w:rPr>
          <w:tab/>
        </w:r>
        <w:r>
          <w:rPr>
            <w:noProof/>
            <w:webHidden/>
          </w:rPr>
          <w:fldChar w:fldCharType="begin"/>
        </w:r>
        <w:r>
          <w:rPr>
            <w:noProof/>
            <w:webHidden/>
          </w:rPr>
          <w:instrText xml:space="preserve"> PAGEREF _Toc202966886 \h </w:instrText>
        </w:r>
        <w:r>
          <w:rPr>
            <w:noProof/>
            <w:webHidden/>
          </w:rPr>
        </w:r>
        <w:r>
          <w:rPr>
            <w:noProof/>
            <w:webHidden/>
          </w:rPr>
          <w:fldChar w:fldCharType="separate"/>
        </w:r>
        <w:r>
          <w:rPr>
            <w:noProof/>
            <w:webHidden/>
          </w:rPr>
          <w:t>48</w:t>
        </w:r>
        <w:r>
          <w:rPr>
            <w:noProof/>
            <w:webHidden/>
          </w:rPr>
          <w:fldChar w:fldCharType="end"/>
        </w:r>
      </w:hyperlink>
    </w:p>
    <w:p w14:paraId="3BB69805" w14:textId="38E12B48" w:rsidR="00F27D6F" w:rsidRDefault="00F27D6F">
      <w:pPr>
        <w:pStyle w:val="Spistreci2"/>
        <w:rPr>
          <w:rFonts w:asciiTheme="minorHAnsi" w:eastAsiaTheme="minorEastAsia" w:hAnsiTheme="minorHAnsi"/>
          <w:noProof/>
          <w:sz w:val="24"/>
          <w:szCs w:val="24"/>
          <w:lang w:eastAsia="pl-PL"/>
        </w:rPr>
      </w:pPr>
      <w:hyperlink w:anchor="_Toc202966887" w:history="1">
        <w:r w:rsidRPr="007619E5">
          <w:rPr>
            <w:rStyle w:val="Hipercze"/>
            <w:noProof/>
          </w:rPr>
          <w:t>2.4.</w:t>
        </w:r>
        <w:r>
          <w:rPr>
            <w:rFonts w:asciiTheme="minorHAnsi" w:eastAsiaTheme="minorEastAsia" w:hAnsiTheme="minorHAnsi"/>
            <w:noProof/>
            <w:sz w:val="24"/>
            <w:szCs w:val="24"/>
            <w:lang w:eastAsia="pl-PL"/>
          </w:rPr>
          <w:tab/>
        </w:r>
        <w:r w:rsidRPr="007619E5">
          <w:rPr>
            <w:rStyle w:val="Hipercze"/>
            <w:noProof/>
          </w:rPr>
          <w:t>Zużycie nieenergetyczne</w:t>
        </w:r>
        <w:r>
          <w:rPr>
            <w:noProof/>
            <w:webHidden/>
          </w:rPr>
          <w:tab/>
        </w:r>
        <w:r>
          <w:rPr>
            <w:noProof/>
            <w:webHidden/>
          </w:rPr>
          <w:fldChar w:fldCharType="begin"/>
        </w:r>
        <w:r>
          <w:rPr>
            <w:noProof/>
            <w:webHidden/>
          </w:rPr>
          <w:instrText xml:space="preserve"> PAGEREF _Toc202966887 \h </w:instrText>
        </w:r>
        <w:r>
          <w:rPr>
            <w:noProof/>
            <w:webHidden/>
          </w:rPr>
        </w:r>
        <w:r>
          <w:rPr>
            <w:noProof/>
            <w:webHidden/>
          </w:rPr>
          <w:fldChar w:fldCharType="separate"/>
        </w:r>
        <w:r>
          <w:rPr>
            <w:noProof/>
            <w:webHidden/>
          </w:rPr>
          <w:t>51</w:t>
        </w:r>
        <w:r>
          <w:rPr>
            <w:noProof/>
            <w:webHidden/>
          </w:rPr>
          <w:fldChar w:fldCharType="end"/>
        </w:r>
      </w:hyperlink>
    </w:p>
    <w:p w14:paraId="66F2CC69" w14:textId="6C3AC833" w:rsidR="00F27D6F" w:rsidRDefault="00F27D6F">
      <w:pPr>
        <w:pStyle w:val="Spistreci2"/>
        <w:rPr>
          <w:rFonts w:asciiTheme="minorHAnsi" w:eastAsiaTheme="minorEastAsia" w:hAnsiTheme="minorHAnsi"/>
          <w:noProof/>
          <w:sz w:val="24"/>
          <w:szCs w:val="24"/>
          <w:lang w:eastAsia="pl-PL"/>
        </w:rPr>
      </w:pPr>
      <w:hyperlink w:anchor="_Toc202966888" w:history="1">
        <w:r w:rsidRPr="007619E5">
          <w:rPr>
            <w:rStyle w:val="Hipercze"/>
            <w:noProof/>
          </w:rPr>
          <w:t>2.5.</w:t>
        </w:r>
        <w:r>
          <w:rPr>
            <w:rFonts w:asciiTheme="minorHAnsi" w:eastAsiaTheme="minorEastAsia" w:hAnsiTheme="minorHAnsi"/>
            <w:noProof/>
            <w:sz w:val="24"/>
            <w:szCs w:val="24"/>
            <w:lang w:eastAsia="pl-PL"/>
          </w:rPr>
          <w:tab/>
        </w:r>
        <w:r w:rsidRPr="007619E5">
          <w:rPr>
            <w:rStyle w:val="Hipercze"/>
            <w:noProof/>
          </w:rPr>
          <w:t>Intensywność zużycia energii pierwotnej</w:t>
        </w:r>
        <w:r>
          <w:rPr>
            <w:noProof/>
            <w:webHidden/>
          </w:rPr>
          <w:tab/>
        </w:r>
        <w:r>
          <w:rPr>
            <w:noProof/>
            <w:webHidden/>
          </w:rPr>
          <w:fldChar w:fldCharType="begin"/>
        </w:r>
        <w:r>
          <w:rPr>
            <w:noProof/>
            <w:webHidden/>
          </w:rPr>
          <w:instrText xml:space="preserve"> PAGEREF _Toc202966888 \h </w:instrText>
        </w:r>
        <w:r>
          <w:rPr>
            <w:noProof/>
            <w:webHidden/>
          </w:rPr>
        </w:r>
        <w:r>
          <w:rPr>
            <w:noProof/>
            <w:webHidden/>
          </w:rPr>
          <w:fldChar w:fldCharType="separate"/>
        </w:r>
        <w:r>
          <w:rPr>
            <w:noProof/>
            <w:webHidden/>
          </w:rPr>
          <w:t>51</w:t>
        </w:r>
        <w:r>
          <w:rPr>
            <w:noProof/>
            <w:webHidden/>
          </w:rPr>
          <w:fldChar w:fldCharType="end"/>
        </w:r>
      </w:hyperlink>
    </w:p>
    <w:p w14:paraId="0B98B4C2" w14:textId="16B8F72C" w:rsidR="00F27D6F" w:rsidRDefault="00F27D6F">
      <w:pPr>
        <w:pStyle w:val="Spistreci2"/>
        <w:rPr>
          <w:rFonts w:asciiTheme="minorHAnsi" w:eastAsiaTheme="minorEastAsia" w:hAnsiTheme="minorHAnsi"/>
          <w:noProof/>
          <w:sz w:val="24"/>
          <w:szCs w:val="24"/>
          <w:lang w:eastAsia="pl-PL"/>
        </w:rPr>
      </w:pPr>
      <w:hyperlink w:anchor="_Toc202966889" w:history="1">
        <w:r w:rsidRPr="007619E5">
          <w:rPr>
            <w:rStyle w:val="Hipercze"/>
            <w:noProof/>
          </w:rPr>
          <w:t>2.6.</w:t>
        </w:r>
        <w:r>
          <w:rPr>
            <w:rFonts w:asciiTheme="minorHAnsi" w:eastAsiaTheme="minorEastAsia" w:hAnsiTheme="minorHAnsi"/>
            <w:noProof/>
            <w:sz w:val="24"/>
            <w:szCs w:val="24"/>
            <w:lang w:eastAsia="pl-PL"/>
          </w:rPr>
          <w:tab/>
        </w:r>
        <w:r w:rsidRPr="007619E5">
          <w:rPr>
            <w:rStyle w:val="Hipercze"/>
            <w:noProof/>
          </w:rPr>
          <w:t>Intensywność zużycia energii finalnej</w:t>
        </w:r>
        <w:r>
          <w:rPr>
            <w:noProof/>
            <w:webHidden/>
          </w:rPr>
          <w:tab/>
        </w:r>
        <w:r>
          <w:rPr>
            <w:noProof/>
            <w:webHidden/>
          </w:rPr>
          <w:fldChar w:fldCharType="begin"/>
        </w:r>
        <w:r>
          <w:rPr>
            <w:noProof/>
            <w:webHidden/>
          </w:rPr>
          <w:instrText xml:space="preserve"> PAGEREF _Toc202966889 \h </w:instrText>
        </w:r>
        <w:r>
          <w:rPr>
            <w:noProof/>
            <w:webHidden/>
          </w:rPr>
        </w:r>
        <w:r>
          <w:rPr>
            <w:noProof/>
            <w:webHidden/>
          </w:rPr>
          <w:fldChar w:fldCharType="separate"/>
        </w:r>
        <w:r>
          <w:rPr>
            <w:noProof/>
            <w:webHidden/>
          </w:rPr>
          <w:t>52</w:t>
        </w:r>
        <w:r>
          <w:rPr>
            <w:noProof/>
            <w:webHidden/>
          </w:rPr>
          <w:fldChar w:fldCharType="end"/>
        </w:r>
      </w:hyperlink>
    </w:p>
    <w:p w14:paraId="7C5B3D6E" w14:textId="7FE2AB7D" w:rsidR="00F27D6F" w:rsidRDefault="00F27D6F">
      <w:pPr>
        <w:pStyle w:val="Spistreci2"/>
        <w:rPr>
          <w:rFonts w:asciiTheme="minorHAnsi" w:eastAsiaTheme="minorEastAsia" w:hAnsiTheme="minorHAnsi"/>
          <w:noProof/>
          <w:sz w:val="24"/>
          <w:szCs w:val="24"/>
          <w:lang w:eastAsia="pl-PL"/>
        </w:rPr>
      </w:pPr>
      <w:hyperlink w:anchor="_Toc202966890" w:history="1">
        <w:r w:rsidRPr="007619E5">
          <w:rPr>
            <w:rStyle w:val="Hipercze"/>
            <w:noProof/>
          </w:rPr>
          <w:t>2.7.</w:t>
        </w:r>
        <w:r>
          <w:rPr>
            <w:rFonts w:asciiTheme="minorHAnsi" w:eastAsiaTheme="minorEastAsia" w:hAnsiTheme="minorHAnsi"/>
            <w:noProof/>
            <w:sz w:val="24"/>
            <w:szCs w:val="24"/>
            <w:lang w:eastAsia="pl-PL"/>
          </w:rPr>
          <w:tab/>
        </w:r>
        <w:r w:rsidRPr="007619E5">
          <w:rPr>
            <w:rStyle w:val="Hipercze"/>
            <w:noProof/>
          </w:rPr>
          <w:t>Wsad paliwowy w wytwarzanie energii elektrycznej i cieplnej</w:t>
        </w:r>
        <w:r>
          <w:rPr>
            <w:noProof/>
            <w:webHidden/>
          </w:rPr>
          <w:tab/>
        </w:r>
        <w:r>
          <w:rPr>
            <w:noProof/>
            <w:webHidden/>
          </w:rPr>
          <w:fldChar w:fldCharType="begin"/>
        </w:r>
        <w:r>
          <w:rPr>
            <w:noProof/>
            <w:webHidden/>
          </w:rPr>
          <w:instrText xml:space="preserve"> PAGEREF _Toc202966890 \h </w:instrText>
        </w:r>
        <w:r>
          <w:rPr>
            <w:noProof/>
            <w:webHidden/>
          </w:rPr>
        </w:r>
        <w:r>
          <w:rPr>
            <w:noProof/>
            <w:webHidden/>
          </w:rPr>
          <w:fldChar w:fldCharType="separate"/>
        </w:r>
        <w:r>
          <w:rPr>
            <w:noProof/>
            <w:webHidden/>
          </w:rPr>
          <w:t>52</w:t>
        </w:r>
        <w:r>
          <w:rPr>
            <w:noProof/>
            <w:webHidden/>
          </w:rPr>
          <w:fldChar w:fldCharType="end"/>
        </w:r>
      </w:hyperlink>
    </w:p>
    <w:p w14:paraId="5350A5B0" w14:textId="00EF72DC" w:rsidR="00F27D6F" w:rsidRDefault="00F27D6F">
      <w:pPr>
        <w:pStyle w:val="Spistreci2"/>
        <w:rPr>
          <w:rFonts w:asciiTheme="minorHAnsi" w:eastAsiaTheme="minorEastAsia" w:hAnsiTheme="minorHAnsi"/>
          <w:noProof/>
          <w:sz w:val="24"/>
          <w:szCs w:val="24"/>
          <w:lang w:eastAsia="pl-PL"/>
        </w:rPr>
      </w:pPr>
      <w:hyperlink w:anchor="_Toc202966891" w:history="1">
        <w:r w:rsidRPr="007619E5">
          <w:rPr>
            <w:rStyle w:val="Hipercze"/>
            <w:noProof/>
          </w:rPr>
          <w:t>2.8.</w:t>
        </w:r>
        <w:r>
          <w:rPr>
            <w:rFonts w:asciiTheme="minorHAnsi" w:eastAsiaTheme="minorEastAsia" w:hAnsiTheme="minorHAnsi"/>
            <w:noProof/>
            <w:sz w:val="24"/>
            <w:szCs w:val="24"/>
            <w:lang w:eastAsia="pl-PL"/>
          </w:rPr>
          <w:tab/>
        </w:r>
        <w:r w:rsidRPr="007619E5">
          <w:rPr>
            <w:rStyle w:val="Hipercze"/>
            <w:noProof/>
          </w:rPr>
          <w:t>Wsad paliwowy w pozostałe procesy konwersji</w:t>
        </w:r>
        <w:r>
          <w:rPr>
            <w:noProof/>
            <w:webHidden/>
          </w:rPr>
          <w:tab/>
        </w:r>
        <w:r>
          <w:rPr>
            <w:noProof/>
            <w:webHidden/>
          </w:rPr>
          <w:fldChar w:fldCharType="begin"/>
        </w:r>
        <w:r>
          <w:rPr>
            <w:noProof/>
            <w:webHidden/>
          </w:rPr>
          <w:instrText xml:space="preserve"> PAGEREF _Toc202966891 \h </w:instrText>
        </w:r>
        <w:r>
          <w:rPr>
            <w:noProof/>
            <w:webHidden/>
          </w:rPr>
        </w:r>
        <w:r>
          <w:rPr>
            <w:noProof/>
            <w:webHidden/>
          </w:rPr>
          <w:fldChar w:fldCharType="separate"/>
        </w:r>
        <w:r>
          <w:rPr>
            <w:noProof/>
            <w:webHidden/>
          </w:rPr>
          <w:t>53</w:t>
        </w:r>
        <w:r>
          <w:rPr>
            <w:noProof/>
            <w:webHidden/>
          </w:rPr>
          <w:fldChar w:fldCharType="end"/>
        </w:r>
      </w:hyperlink>
    </w:p>
    <w:p w14:paraId="57F12D2C" w14:textId="51D86BE5" w:rsidR="00F27D6F" w:rsidRDefault="00F27D6F">
      <w:pPr>
        <w:pStyle w:val="Spistreci2"/>
        <w:rPr>
          <w:rFonts w:asciiTheme="minorHAnsi" w:eastAsiaTheme="minorEastAsia" w:hAnsiTheme="minorHAnsi"/>
          <w:noProof/>
          <w:sz w:val="24"/>
          <w:szCs w:val="24"/>
          <w:lang w:eastAsia="pl-PL"/>
        </w:rPr>
      </w:pPr>
      <w:hyperlink w:anchor="_Toc202966892" w:history="1">
        <w:r w:rsidRPr="007619E5">
          <w:rPr>
            <w:rStyle w:val="Hipercze"/>
            <w:noProof/>
          </w:rPr>
          <w:t>2.9.</w:t>
        </w:r>
        <w:r>
          <w:rPr>
            <w:rFonts w:asciiTheme="minorHAnsi" w:eastAsiaTheme="minorEastAsia" w:hAnsiTheme="minorHAnsi"/>
            <w:noProof/>
            <w:sz w:val="24"/>
            <w:szCs w:val="24"/>
            <w:lang w:eastAsia="pl-PL"/>
          </w:rPr>
          <w:tab/>
        </w:r>
        <w:r w:rsidRPr="007619E5">
          <w:rPr>
            <w:rStyle w:val="Hipercze"/>
            <w:noProof/>
          </w:rPr>
          <w:t>Udział wytwarzania skojarzonego w produkcji energii elektrycznej i ciepła</w:t>
        </w:r>
        <w:r>
          <w:rPr>
            <w:noProof/>
            <w:webHidden/>
          </w:rPr>
          <w:tab/>
        </w:r>
        <w:r>
          <w:rPr>
            <w:noProof/>
            <w:webHidden/>
          </w:rPr>
          <w:fldChar w:fldCharType="begin"/>
        </w:r>
        <w:r>
          <w:rPr>
            <w:noProof/>
            <w:webHidden/>
          </w:rPr>
          <w:instrText xml:space="preserve"> PAGEREF _Toc202966892 \h </w:instrText>
        </w:r>
        <w:r>
          <w:rPr>
            <w:noProof/>
            <w:webHidden/>
          </w:rPr>
        </w:r>
        <w:r>
          <w:rPr>
            <w:noProof/>
            <w:webHidden/>
          </w:rPr>
          <w:fldChar w:fldCharType="separate"/>
        </w:r>
        <w:r>
          <w:rPr>
            <w:noProof/>
            <w:webHidden/>
          </w:rPr>
          <w:t>53</w:t>
        </w:r>
        <w:r>
          <w:rPr>
            <w:noProof/>
            <w:webHidden/>
          </w:rPr>
          <w:fldChar w:fldCharType="end"/>
        </w:r>
      </w:hyperlink>
    </w:p>
    <w:p w14:paraId="5A5EE1D3" w14:textId="58DFB933" w:rsidR="00F27D6F" w:rsidRDefault="00F27D6F">
      <w:pPr>
        <w:pStyle w:val="Spistreci2"/>
        <w:rPr>
          <w:rFonts w:asciiTheme="minorHAnsi" w:eastAsiaTheme="minorEastAsia" w:hAnsiTheme="minorHAnsi"/>
          <w:noProof/>
          <w:sz w:val="24"/>
          <w:szCs w:val="24"/>
          <w:lang w:eastAsia="pl-PL"/>
        </w:rPr>
      </w:pPr>
      <w:hyperlink w:anchor="_Toc202966893" w:history="1">
        <w:r w:rsidRPr="007619E5">
          <w:rPr>
            <w:rStyle w:val="Hipercze"/>
            <w:noProof/>
          </w:rPr>
          <w:t>2.10.</w:t>
        </w:r>
        <w:r>
          <w:rPr>
            <w:rFonts w:asciiTheme="minorHAnsi" w:eastAsiaTheme="minorEastAsia" w:hAnsiTheme="minorHAnsi"/>
            <w:noProof/>
            <w:sz w:val="24"/>
            <w:szCs w:val="24"/>
            <w:lang w:eastAsia="pl-PL"/>
          </w:rPr>
          <w:tab/>
        </w:r>
        <w:r w:rsidRPr="007619E5">
          <w:rPr>
            <w:rStyle w:val="Hipercze"/>
            <w:noProof/>
          </w:rPr>
          <w:t>Produkcja energii cieplnej w elektrowniach, elektrociepłowniach i ciepłowniach</w:t>
        </w:r>
        <w:r>
          <w:rPr>
            <w:noProof/>
            <w:webHidden/>
          </w:rPr>
          <w:tab/>
        </w:r>
        <w:r>
          <w:rPr>
            <w:noProof/>
            <w:webHidden/>
          </w:rPr>
          <w:fldChar w:fldCharType="begin"/>
        </w:r>
        <w:r>
          <w:rPr>
            <w:noProof/>
            <w:webHidden/>
          </w:rPr>
          <w:instrText xml:space="preserve"> PAGEREF _Toc202966893 \h </w:instrText>
        </w:r>
        <w:r>
          <w:rPr>
            <w:noProof/>
            <w:webHidden/>
          </w:rPr>
        </w:r>
        <w:r>
          <w:rPr>
            <w:noProof/>
            <w:webHidden/>
          </w:rPr>
          <w:fldChar w:fldCharType="separate"/>
        </w:r>
        <w:r>
          <w:rPr>
            <w:noProof/>
            <w:webHidden/>
          </w:rPr>
          <w:t>54</w:t>
        </w:r>
        <w:r>
          <w:rPr>
            <w:noProof/>
            <w:webHidden/>
          </w:rPr>
          <w:fldChar w:fldCharType="end"/>
        </w:r>
      </w:hyperlink>
    </w:p>
    <w:p w14:paraId="050A4AA0" w14:textId="7924504C" w:rsidR="00F27D6F" w:rsidRDefault="00F27D6F">
      <w:pPr>
        <w:pStyle w:val="Spistreci2"/>
        <w:rPr>
          <w:rFonts w:asciiTheme="minorHAnsi" w:eastAsiaTheme="minorEastAsia" w:hAnsiTheme="minorHAnsi"/>
          <w:noProof/>
          <w:sz w:val="24"/>
          <w:szCs w:val="24"/>
          <w:lang w:eastAsia="pl-PL"/>
        </w:rPr>
      </w:pPr>
      <w:hyperlink w:anchor="_Toc202966894" w:history="1">
        <w:r w:rsidRPr="007619E5">
          <w:rPr>
            <w:rStyle w:val="Hipercze"/>
            <w:noProof/>
          </w:rPr>
          <w:t>2.11.</w:t>
        </w:r>
        <w:r>
          <w:rPr>
            <w:rFonts w:asciiTheme="minorHAnsi" w:eastAsiaTheme="minorEastAsia" w:hAnsiTheme="minorHAnsi"/>
            <w:noProof/>
            <w:sz w:val="24"/>
            <w:szCs w:val="24"/>
            <w:lang w:eastAsia="pl-PL"/>
          </w:rPr>
          <w:tab/>
        </w:r>
        <w:r w:rsidRPr="007619E5">
          <w:rPr>
            <w:rStyle w:val="Hipercze"/>
            <w:noProof/>
          </w:rPr>
          <w:t>Produkcja energii cieplnej wytworzonej w indywidualnych źródłach ciepła</w:t>
        </w:r>
        <w:r>
          <w:rPr>
            <w:noProof/>
            <w:webHidden/>
          </w:rPr>
          <w:tab/>
        </w:r>
        <w:r>
          <w:rPr>
            <w:noProof/>
            <w:webHidden/>
          </w:rPr>
          <w:fldChar w:fldCharType="begin"/>
        </w:r>
        <w:r>
          <w:rPr>
            <w:noProof/>
            <w:webHidden/>
          </w:rPr>
          <w:instrText xml:space="preserve"> PAGEREF _Toc202966894 \h </w:instrText>
        </w:r>
        <w:r>
          <w:rPr>
            <w:noProof/>
            <w:webHidden/>
          </w:rPr>
        </w:r>
        <w:r>
          <w:rPr>
            <w:noProof/>
            <w:webHidden/>
          </w:rPr>
          <w:fldChar w:fldCharType="separate"/>
        </w:r>
        <w:r>
          <w:rPr>
            <w:noProof/>
            <w:webHidden/>
          </w:rPr>
          <w:t>56</w:t>
        </w:r>
        <w:r>
          <w:rPr>
            <w:noProof/>
            <w:webHidden/>
          </w:rPr>
          <w:fldChar w:fldCharType="end"/>
        </w:r>
      </w:hyperlink>
    </w:p>
    <w:p w14:paraId="76DD8FF9" w14:textId="2C361C5E" w:rsidR="00F27D6F" w:rsidRDefault="00F27D6F">
      <w:pPr>
        <w:pStyle w:val="Spistreci1"/>
        <w:rPr>
          <w:rFonts w:asciiTheme="minorHAnsi" w:eastAsiaTheme="minorEastAsia" w:hAnsiTheme="minorHAnsi"/>
          <w:noProof/>
          <w:sz w:val="24"/>
          <w:szCs w:val="24"/>
          <w:lang w:eastAsia="pl-PL"/>
        </w:rPr>
      </w:pPr>
      <w:hyperlink w:anchor="_Toc202966895" w:history="1">
        <w:r w:rsidRPr="007619E5">
          <w:rPr>
            <w:rStyle w:val="Hipercze"/>
            <w:noProof/>
          </w:rPr>
          <w:t>3.</w:t>
        </w:r>
        <w:r>
          <w:rPr>
            <w:rFonts w:asciiTheme="minorHAnsi" w:eastAsiaTheme="minorEastAsia" w:hAnsiTheme="minorHAnsi"/>
            <w:noProof/>
            <w:sz w:val="24"/>
            <w:szCs w:val="24"/>
            <w:lang w:eastAsia="pl-PL"/>
          </w:rPr>
          <w:tab/>
        </w:r>
        <w:r w:rsidRPr="007619E5">
          <w:rPr>
            <w:rStyle w:val="Hipercze"/>
            <w:noProof/>
          </w:rPr>
          <w:t>Wymiar „bezpieczeństwo energetyczne”</w:t>
        </w:r>
        <w:r>
          <w:rPr>
            <w:noProof/>
            <w:webHidden/>
          </w:rPr>
          <w:tab/>
        </w:r>
        <w:r>
          <w:rPr>
            <w:noProof/>
            <w:webHidden/>
          </w:rPr>
          <w:fldChar w:fldCharType="begin"/>
        </w:r>
        <w:r>
          <w:rPr>
            <w:noProof/>
            <w:webHidden/>
          </w:rPr>
          <w:instrText xml:space="preserve"> PAGEREF _Toc202966895 \h </w:instrText>
        </w:r>
        <w:r>
          <w:rPr>
            <w:noProof/>
            <w:webHidden/>
          </w:rPr>
        </w:r>
        <w:r>
          <w:rPr>
            <w:noProof/>
            <w:webHidden/>
          </w:rPr>
          <w:fldChar w:fldCharType="separate"/>
        </w:r>
        <w:r>
          <w:rPr>
            <w:noProof/>
            <w:webHidden/>
          </w:rPr>
          <w:t>59</w:t>
        </w:r>
        <w:r>
          <w:rPr>
            <w:noProof/>
            <w:webHidden/>
          </w:rPr>
          <w:fldChar w:fldCharType="end"/>
        </w:r>
      </w:hyperlink>
    </w:p>
    <w:p w14:paraId="2CE937F9" w14:textId="7BBB2E56" w:rsidR="00F27D6F" w:rsidRDefault="00F27D6F">
      <w:pPr>
        <w:pStyle w:val="Spistreci2"/>
        <w:rPr>
          <w:rFonts w:asciiTheme="minorHAnsi" w:eastAsiaTheme="minorEastAsia" w:hAnsiTheme="minorHAnsi"/>
          <w:noProof/>
          <w:sz w:val="24"/>
          <w:szCs w:val="24"/>
          <w:lang w:eastAsia="pl-PL"/>
        </w:rPr>
      </w:pPr>
      <w:hyperlink w:anchor="_Toc202966896" w:history="1">
        <w:r w:rsidRPr="007619E5">
          <w:rPr>
            <w:rStyle w:val="Hipercze"/>
            <w:noProof/>
          </w:rPr>
          <w:t>3.1.</w:t>
        </w:r>
        <w:r>
          <w:rPr>
            <w:rFonts w:asciiTheme="minorHAnsi" w:eastAsiaTheme="minorEastAsia" w:hAnsiTheme="minorHAnsi"/>
            <w:noProof/>
            <w:sz w:val="24"/>
            <w:szCs w:val="24"/>
            <w:lang w:eastAsia="pl-PL"/>
          </w:rPr>
          <w:tab/>
        </w:r>
        <w:r w:rsidRPr="007619E5">
          <w:rPr>
            <w:rStyle w:val="Hipercze"/>
            <w:noProof/>
          </w:rPr>
          <w:t>Krajowe zasoby energetyczne</w:t>
        </w:r>
        <w:r>
          <w:rPr>
            <w:noProof/>
            <w:webHidden/>
          </w:rPr>
          <w:tab/>
        </w:r>
        <w:r>
          <w:rPr>
            <w:noProof/>
            <w:webHidden/>
          </w:rPr>
          <w:fldChar w:fldCharType="begin"/>
        </w:r>
        <w:r>
          <w:rPr>
            <w:noProof/>
            <w:webHidden/>
          </w:rPr>
          <w:instrText xml:space="preserve"> PAGEREF _Toc202966896 \h </w:instrText>
        </w:r>
        <w:r>
          <w:rPr>
            <w:noProof/>
            <w:webHidden/>
          </w:rPr>
        </w:r>
        <w:r>
          <w:rPr>
            <w:noProof/>
            <w:webHidden/>
          </w:rPr>
          <w:fldChar w:fldCharType="separate"/>
        </w:r>
        <w:r>
          <w:rPr>
            <w:noProof/>
            <w:webHidden/>
          </w:rPr>
          <w:t>59</w:t>
        </w:r>
        <w:r>
          <w:rPr>
            <w:noProof/>
            <w:webHidden/>
          </w:rPr>
          <w:fldChar w:fldCharType="end"/>
        </w:r>
      </w:hyperlink>
    </w:p>
    <w:p w14:paraId="0A151052" w14:textId="74B5A597" w:rsidR="00F27D6F" w:rsidRDefault="00F27D6F">
      <w:pPr>
        <w:pStyle w:val="Spistreci2"/>
        <w:rPr>
          <w:rFonts w:asciiTheme="minorHAnsi" w:eastAsiaTheme="minorEastAsia" w:hAnsiTheme="minorHAnsi"/>
          <w:noProof/>
          <w:sz w:val="24"/>
          <w:szCs w:val="24"/>
          <w:lang w:eastAsia="pl-PL"/>
        </w:rPr>
      </w:pPr>
      <w:hyperlink w:anchor="_Toc202966897" w:history="1">
        <w:r w:rsidRPr="007619E5">
          <w:rPr>
            <w:rStyle w:val="Hipercze"/>
            <w:noProof/>
          </w:rPr>
          <w:t>3.2.</w:t>
        </w:r>
        <w:r>
          <w:rPr>
            <w:rFonts w:asciiTheme="minorHAnsi" w:eastAsiaTheme="minorEastAsia" w:hAnsiTheme="minorHAnsi"/>
            <w:noProof/>
            <w:sz w:val="24"/>
            <w:szCs w:val="24"/>
            <w:lang w:eastAsia="pl-PL"/>
          </w:rPr>
          <w:tab/>
        </w:r>
        <w:r w:rsidRPr="007619E5">
          <w:rPr>
            <w:rStyle w:val="Hipercze"/>
            <w:noProof/>
          </w:rPr>
          <w:t>Produkcja krajowa z podziałem na rodzaj paliwa</w:t>
        </w:r>
        <w:r>
          <w:rPr>
            <w:noProof/>
            <w:webHidden/>
          </w:rPr>
          <w:tab/>
        </w:r>
        <w:r>
          <w:rPr>
            <w:noProof/>
            <w:webHidden/>
          </w:rPr>
          <w:fldChar w:fldCharType="begin"/>
        </w:r>
        <w:r>
          <w:rPr>
            <w:noProof/>
            <w:webHidden/>
          </w:rPr>
          <w:instrText xml:space="preserve"> PAGEREF _Toc202966897 \h </w:instrText>
        </w:r>
        <w:r>
          <w:rPr>
            <w:noProof/>
            <w:webHidden/>
          </w:rPr>
        </w:r>
        <w:r>
          <w:rPr>
            <w:noProof/>
            <w:webHidden/>
          </w:rPr>
          <w:fldChar w:fldCharType="separate"/>
        </w:r>
        <w:r>
          <w:rPr>
            <w:noProof/>
            <w:webHidden/>
          </w:rPr>
          <w:t>64</w:t>
        </w:r>
        <w:r>
          <w:rPr>
            <w:noProof/>
            <w:webHidden/>
          </w:rPr>
          <w:fldChar w:fldCharType="end"/>
        </w:r>
      </w:hyperlink>
    </w:p>
    <w:p w14:paraId="651FCA7E" w14:textId="1759522A" w:rsidR="00F27D6F" w:rsidRDefault="00F27D6F">
      <w:pPr>
        <w:pStyle w:val="Spistreci2"/>
        <w:rPr>
          <w:rFonts w:asciiTheme="minorHAnsi" w:eastAsiaTheme="minorEastAsia" w:hAnsiTheme="minorHAnsi"/>
          <w:noProof/>
          <w:sz w:val="24"/>
          <w:szCs w:val="24"/>
          <w:lang w:eastAsia="pl-PL"/>
        </w:rPr>
      </w:pPr>
      <w:hyperlink w:anchor="_Toc202966898" w:history="1">
        <w:r w:rsidRPr="007619E5">
          <w:rPr>
            <w:rStyle w:val="Hipercze"/>
            <w:noProof/>
          </w:rPr>
          <w:t>3.3.</w:t>
        </w:r>
        <w:r>
          <w:rPr>
            <w:rFonts w:asciiTheme="minorHAnsi" w:eastAsiaTheme="minorEastAsia" w:hAnsiTheme="minorHAnsi"/>
            <w:noProof/>
            <w:sz w:val="24"/>
            <w:szCs w:val="24"/>
            <w:lang w:eastAsia="pl-PL"/>
          </w:rPr>
          <w:tab/>
        </w:r>
        <w:r w:rsidRPr="007619E5">
          <w:rPr>
            <w:rStyle w:val="Hipercze"/>
            <w:noProof/>
          </w:rPr>
          <w:t>Import netto z podziałem na rodzaj paliwa</w:t>
        </w:r>
        <w:r>
          <w:rPr>
            <w:noProof/>
            <w:webHidden/>
          </w:rPr>
          <w:tab/>
        </w:r>
        <w:r>
          <w:rPr>
            <w:noProof/>
            <w:webHidden/>
          </w:rPr>
          <w:fldChar w:fldCharType="begin"/>
        </w:r>
        <w:r>
          <w:rPr>
            <w:noProof/>
            <w:webHidden/>
          </w:rPr>
          <w:instrText xml:space="preserve"> PAGEREF _Toc202966898 \h </w:instrText>
        </w:r>
        <w:r>
          <w:rPr>
            <w:noProof/>
            <w:webHidden/>
          </w:rPr>
        </w:r>
        <w:r>
          <w:rPr>
            <w:noProof/>
            <w:webHidden/>
          </w:rPr>
          <w:fldChar w:fldCharType="separate"/>
        </w:r>
        <w:r>
          <w:rPr>
            <w:noProof/>
            <w:webHidden/>
          </w:rPr>
          <w:t>66</w:t>
        </w:r>
        <w:r>
          <w:rPr>
            <w:noProof/>
            <w:webHidden/>
          </w:rPr>
          <w:fldChar w:fldCharType="end"/>
        </w:r>
      </w:hyperlink>
    </w:p>
    <w:p w14:paraId="0FA8202A" w14:textId="398B0DA8" w:rsidR="00F27D6F" w:rsidRDefault="00F27D6F">
      <w:pPr>
        <w:pStyle w:val="Spistreci2"/>
        <w:rPr>
          <w:rFonts w:asciiTheme="minorHAnsi" w:eastAsiaTheme="minorEastAsia" w:hAnsiTheme="minorHAnsi"/>
          <w:noProof/>
          <w:sz w:val="24"/>
          <w:szCs w:val="24"/>
          <w:lang w:eastAsia="pl-PL"/>
        </w:rPr>
      </w:pPr>
      <w:hyperlink w:anchor="_Toc202966899" w:history="1">
        <w:r w:rsidRPr="007619E5">
          <w:rPr>
            <w:rStyle w:val="Hipercze"/>
            <w:noProof/>
          </w:rPr>
          <w:t>3.4.</w:t>
        </w:r>
        <w:r>
          <w:rPr>
            <w:rFonts w:asciiTheme="minorHAnsi" w:eastAsiaTheme="minorEastAsia" w:hAnsiTheme="minorHAnsi"/>
            <w:noProof/>
            <w:sz w:val="24"/>
            <w:szCs w:val="24"/>
            <w:lang w:eastAsia="pl-PL"/>
          </w:rPr>
          <w:tab/>
        </w:r>
        <w:r w:rsidRPr="007619E5">
          <w:rPr>
            <w:rStyle w:val="Hipercze"/>
            <w:noProof/>
          </w:rPr>
          <w:t>Główne źródła importu</w:t>
        </w:r>
        <w:r>
          <w:rPr>
            <w:noProof/>
            <w:webHidden/>
          </w:rPr>
          <w:tab/>
        </w:r>
        <w:r>
          <w:rPr>
            <w:noProof/>
            <w:webHidden/>
          </w:rPr>
          <w:fldChar w:fldCharType="begin"/>
        </w:r>
        <w:r>
          <w:rPr>
            <w:noProof/>
            <w:webHidden/>
          </w:rPr>
          <w:instrText xml:space="preserve"> PAGEREF _Toc202966899 \h </w:instrText>
        </w:r>
        <w:r>
          <w:rPr>
            <w:noProof/>
            <w:webHidden/>
          </w:rPr>
        </w:r>
        <w:r>
          <w:rPr>
            <w:noProof/>
            <w:webHidden/>
          </w:rPr>
          <w:fldChar w:fldCharType="separate"/>
        </w:r>
        <w:r>
          <w:rPr>
            <w:noProof/>
            <w:webHidden/>
          </w:rPr>
          <w:t>68</w:t>
        </w:r>
        <w:r>
          <w:rPr>
            <w:noProof/>
            <w:webHidden/>
          </w:rPr>
          <w:fldChar w:fldCharType="end"/>
        </w:r>
      </w:hyperlink>
    </w:p>
    <w:p w14:paraId="3FE69D4F" w14:textId="2577ED65" w:rsidR="00F27D6F" w:rsidRDefault="00F27D6F">
      <w:pPr>
        <w:pStyle w:val="Spistreci2"/>
        <w:rPr>
          <w:rFonts w:asciiTheme="minorHAnsi" w:eastAsiaTheme="minorEastAsia" w:hAnsiTheme="minorHAnsi"/>
          <w:noProof/>
          <w:sz w:val="24"/>
          <w:szCs w:val="24"/>
          <w:lang w:eastAsia="pl-PL"/>
        </w:rPr>
      </w:pPr>
      <w:hyperlink w:anchor="_Toc202966900" w:history="1">
        <w:r w:rsidRPr="007619E5">
          <w:rPr>
            <w:rStyle w:val="Hipercze"/>
            <w:noProof/>
          </w:rPr>
          <w:t>3.5.</w:t>
        </w:r>
        <w:r>
          <w:rPr>
            <w:rFonts w:asciiTheme="minorHAnsi" w:eastAsiaTheme="minorEastAsia" w:hAnsiTheme="minorHAnsi"/>
            <w:noProof/>
            <w:sz w:val="24"/>
            <w:szCs w:val="24"/>
            <w:lang w:eastAsia="pl-PL"/>
          </w:rPr>
          <w:tab/>
        </w:r>
        <w:r w:rsidRPr="007619E5">
          <w:rPr>
            <w:rStyle w:val="Hipercze"/>
            <w:noProof/>
          </w:rPr>
          <w:t>Zużycie krajowe brutto paliw i energii</w:t>
        </w:r>
        <w:r>
          <w:rPr>
            <w:noProof/>
            <w:webHidden/>
          </w:rPr>
          <w:tab/>
        </w:r>
        <w:r>
          <w:rPr>
            <w:noProof/>
            <w:webHidden/>
          </w:rPr>
          <w:fldChar w:fldCharType="begin"/>
        </w:r>
        <w:r>
          <w:rPr>
            <w:noProof/>
            <w:webHidden/>
          </w:rPr>
          <w:instrText xml:space="preserve"> PAGEREF _Toc202966900 \h </w:instrText>
        </w:r>
        <w:r>
          <w:rPr>
            <w:noProof/>
            <w:webHidden/>
          </w:rPr>
        </w:r>
        <w:r>
          <w:rPr>
            <w:noProof/>
            <w:webHidden/>
          </w:rPr>
          <w:fldChar w:fldCharType="separate"/>
        </w:r>
        <w:r>
          <w:rPr>
            <w:noProof/>
            <w:webHidden/>
          </w:rPr>
          <w:t>71</w:t>
        </w:r>
        <w:r>
          <w:rPr>
            <w:noProof/>
            <w:webHidden/>
          </w:rPr>
          <w:fldChar w:fldCharType="end"/>
        </w:r>
      </w:hyperlink>
    </w:p>
    <w:p w14:paraId="0D2DC66E" w14:textId="603DFD76" w:rsidR="00F27D6F" w:rsidRDefault="00F27D6F">
      <w:pPr>
        <w:pStyle w:val="Spistreci2"/>
        <w:rPr>
          <w:rFonts w:asciiTheme="minorHAnsi" w:eastAsiaTheme="minorEastAsia" w:hAnsiTheme="minorHAnsi"/>
          <w:noProof/>
          <w:sz w:val="24"/>
          <w:szCs w:val="24"/>
          <w:lang w:eastAsia="pl-PL"/>
        </w:rPr>
      </w:pPr>
      <w:hyperlink w:anchor="_Toc202966901" w:history="1">
        <w:r w:rsidRPr="007619E5">
          <w:rPr>
            <w:rStyle w:val="Hipercze"/>
            <w:noProof/>
          </w:rPr>
          <w:t>3.6.</w:t>
        </w:r>
        <w:r>
          <w:rPr>
            <w:rFonts w:asciiTheme="minorHAnsi" w:eastAsiaTheme="minorEastAsia" w:hAnsiTheme="minorHAnsi"/>
            <w:noProof/>
            <w:sz w:val="24"/>
            <w:szCs w:val="24"/>
            <w:lang w:eastAsia="pl-PL"/>
          </w:rPr>
          <w:tab/>
        </w:r>
        <w:r w:rsidRPr="007619E5">
          <w:rPr>
            <w:rStyle w:val="Hipercze"/>
            <w:noProof/>
          </w:rPr>
          <w:t>Produkcja energii elektrycznej i ciepła</w:t>
        </w:r>
        <w:r>
          <w:rPr>
            <w:noProof/>
            <w:webHidden/>
          </w:rPr>
          <w:tab/>
        </w:r>
        <w:r>
          <w:rPr>
            <w:noProof/>
            <w:webHidden/>
          </w:rPr>
          <w:fldChar w:fldCharType="begin"/>
        </w:r>
        <w:r>
          <w:rPr>
            <w:noProof/>
            <w:webHidden/>
          </w:rPr>
          <w:instrText xml:space="preserve"> PAGEREF _Toc202966901 \h </w:instrText>
        </w:r>
        <w:r>
          <w:rPr>
            <w:noProof/>
            <w:webHidden/>
          </w:rPr>
        </w:r>
        <w:r>
          <w:rPr>
            <w:noProof/>
            <w:webHidden/>
          </w:rPr>
          <w:fldChar w:fldCharType="separate"/>
        </w:r>
        <w:r>
          <w:rPr>
            <w:noProof/>
            <w:webHidden/>
          </w:rPr>
          <w:t>73</w:t>
        </w:r>
        <w:r>
          <w:rPr>
            <w:noProof/>
            <w:webHidden/>
          </w:rPr>
          <w:fldChar w:fldCharType="end"/>
        </w:r>
      </w:hyperlink>
    </w:p>
    <w:p w14:paraId="30221E90" w14:textId="16FAA660" w:rsidR="00F27D6F" w:rsidRDefault="00F27D6F">
      <w:pPr>
        <w:pStyle w:val="Spistreci2"/>
        <w:rPr>
          <w:rFonts w:asciiTheme="minorHAnsi" w:eastAsiaTheme="minorEastAsia" w:hAnsiTheme="minorHAnsi"/>
          <w:noProof/>
          <w:sz w:val="24"/>
          <w:szCs w:val="24"/>
          <w:lang w:eastAsia="pl-PL"/>
        </w:rPr>
      </w:pPr>
      <w:hyperlink w:anchor="_Toc202966902" w:history="1">
        <w:r w:rsidRPr="007619E5">
          <w:rPr>
            <w:rStyle w:val="Hipercze"/>
            <w:noProof/>
          </w:rPr>
          <w:t>3.7.</w:t>
        </w:r>
        <w:r>
          <w:rPr>
            <w:rFonts w:asciiTheme="minorHAnsi" w:eastAsiaTheme="minorEastAsia" w:hAnsiTheme="minorHAnsi"/>
            <w:noProof/>
            <w:sz w:val="24"/>
            <w:szCs w:val="24"/>
            <w:lang w:eastAsia="pl-PL"/>
          </w:rPr>
          <w:tab/>
        </w:r>
        <w:r w:rsidRPr="007619E5">
          <w:rPr>
            <w:rStyle w:val="Hipercze"/>
            <w:noProof/>
          </w:rPr>
          <w:t>Produkcja energii elektrycznej brutto z podziałem na paliwa</w:t>
        </w:r>
        <w:r>
          <w:rPr>
            <w:noProof/>
            <w:webHidden/>
          </w:rPr>
          <w:tab/>
        </w:r>
        <w:r>
          <w:rPr>
            <w:noProof/>
            <w:webHidden/>
          </w:rPr>
          <w:fldChar w:fldCharType="begin"/>
        </w:r>
        <w:r>
          <w:rPr>
            <w:noProof/>
            <w:webHidden/>
          </w:rPr>
          <w:instrText xml:space="preserve"> PAGEREF _Toc202966902 \h </w:instrText>
        </w:r>
        <w:r>
          <w:rPr>
            <w:noProof/>
            <w:webHidden/>
          </w:rPr>
        </w:r>
        <w:r>
          <w:rPr>
            <w:noProof/>
            <w:webHidden/>
          </w:rPr>
          <w:fldChar w:fldCharType="separate"/>
        </w:r>
        <w:r>
          <w:rPr>
            <w:noProof/>
            <w:webHidden/>
          </w:rPr>
          <w:t>73</w:t>
        </w:r>
        <w:r>
          <w:rPr>
            <w:noProof/>
            <w:webHidden/>
          </w:rPr>
          <w:fldChar w:fldCharType="end"/>
        </w:r>
      </w:hyperlink>
    </w:p>
    <w:p w14:paraId="27FB416C" w14:textId="6A9B21D9" w:rsidR="00F27D6F" w:rsidRDefault="00F27D6F">
      <w:pPr>
        <w:pStyle w:val="Spistreci2"/>
        <w:rPr>
          <w:rFonts w:asciiTheme="minorHAnsi" w:eastAsiaTheme="minorEastAsia" w:hAnsiTheme="minorHAnsi"/>
          <w:noProof/>
          <w:sz w:val="24"/>
          <w:szCs w:val="24"/>
          <w:lang w:eastAsia="pl-PL"/>
        </w:rPr>
      </w:pPr>
      <w:hyperlink w:anchor="_Toc202966903" w:history="1">
        <w:r w:rsidRPr="007619E5">
          <w:rPr>
            <w:rStyle w:val="Hipercze"/>
            <w:noProof/>
          </w:rPr>
          <w:t>3.8.</w:t>
        </w:r>
        <w:r>
          <w:rPr>
            <w:rFonts w:asciiTheme="minorHAnsi" w:eastAsiaTheme="minorEastAsia" w:hAnsiTheme="minorHAnsi"/>
            <w:noProof/>
            <w:sz w:val="24"/>
            <w:szCs w:val="24"/>
            <w:lang w:eastAsia="pl-PL"/>
          </w:rPr>
          <w:tab/>
        </w:r>
        <w:r w:rsidRPr="007619E5">
          <w:rPr>
            <w:rStyle w:val="Hipercze"/>
            <w:noProof/>
          </w:rPr>
          <w:t>Zdolności wytwórcze energii elektrycznej z podziałem na źródła</w:t>
        </w:r>
        <w:r>
          <w:rPr>
            <w:noProof/>
            <w:webHidden/>
          </w:rPr>
          <w:tab/>
        </w:r>
        <w:r>
          <w:rPr>
            <w:noProof/>
            <w:webHidden/>
          </w:rPr>
          <w:fldChar w:fldCharType="begin"/>
        </w:r>
        <w:r>
          <w:rPr>
            <w:noProof/>
            <w:webHidden/>
          </w:rPr>
          <w:instrText xml:space="preserve"> PAGEREF _Toc202966903 \h </w:instrText>
        </w:r>
        <w:r>
          <w:rPr>
            <w:noProof/>
            <w:webHidden/>
          </w:rPr>
        </w:r>
        <w:r>
          <w:rPr>
            <w:noProof/>
            <w:webHidden/>
          </w:rPr>
          <w:fldChar w:fldCharType="separate"/>
        </w:r>
        <w:r>
          <w:rPr>
            <w:noProof/>
            <w:webHidden/>
          </w:rPr>
          <w:t>77</w:t>
        </w:r>
        <w:r>
          <w:rPr>
            <w:noProof/>
            <w:webHidden/>
          </w:rPr>
          <w:fldChar w:fldCharType="end"/>
        </w:r>
      </w:hyperlink>
    </w:p>
    <w:p w14:paraId="6D098E2B" w14:textId="13F5C22C" w:rsidR="00F27D6F" w:rsidRDefault="00F27D6F">
      <w:pPr>
        <w:pStyle w:val="Spistreci1"/>
        <w:rPr>
          <w:rFonts w:asciiTheme="minorHAnsi" w:eastAsiaTheme="minorEastAsia" w:hAnsiTheme="minorHAnsi"/>
          <w:noProof/>
          <w:sz w:val="24"/>
          <w:szCs w:val="24"/>
          <w:lang w:eastAsia="pl-PL"/>
        </w:rPr>
      </w:pPr>
      <w:hyperlink w:anchor="_Toc202966904" w:history="1">
        <w:r w:rsidRPr="007619E5">
          <w:rPr>
            <w:rStyle w:val="Hipercze"/>
            <w:noProof/>
          </w:rPr>
          <w:t>4.</w:t>
        </w:r>
        <w:r>
          <w:rPr>
            <w:rFonts w:asciiTheme="minorHAnsi" w:eastAsiaTheme="minorEastAsia" w:hAnsiTheme="minorHAnsi"/>
            <w:noProof/>
            <w:sz w:val="24"/>
            <w:szCs w:val="24"/>
            <w:lang w:eastAsia="pl-PL"/>
          </w:rPr>
          <w:tab/>
        </w:r>
        <w:r w:rsidRPr="007619E5">
          <w:rPr>
            <w:rStyle w:val="Hipercze"/>
            <w:noProof/>
          </w:rPr>
          <w:t>Wymiar „wewnętrzny rynek energii”</w:t>
        </w:r>
        <w:r>
          <w:rPr>
            <w:noProof/>
            <w:webHidden/>
          </w:rPr>
          <w:tab/>
        </w:r>
        <w:r>
          <w:rPr>
            <w:noProof/>
            <w:webHidden/>
          </w:rPr>
          <w:fldChar w:fldCharType="begin"/>
        </w:r>
        <w:r>
          <w:rPr>
            <w:noProof/>
            <w:webHidden/>
          </w:rPr>
          <w:instrText xml:space="preserve"> PAGEREF _Toc202966904 \h </w:instrText>
        </w:r>
        <w:r>
          <w:rPr>
            <w:noProof/>
            <w:webHidden/>
          </w:rPr>
        </w:r>
        <w:r>
          <w:rPr>
            <w:noProof/>
            <w:webHidden/>
          </w:rPr>
          <w:fldChar w:fldCharType="separate"/>
        </w:r>
        <w:r>
          <w:rPr>
            <w:noProof/>
            <w:webHidden/>
          </w:rPr>
          <w:t>81</w:t>
        </w:r>
        <w:r>
          <w:rPr>
            <w:noProof/>
            <w:webHidden/>
          </w:rPr>
          <w:fldChar w:fldCharType="end"/>
        </w:r>
      </w:hyperlink>
    </w:p>
    <w:p w14:paraId="22A001D5" w14:textId="29F8FFF4" w:rsidR="00F27D6F" w:rsidRDefault="00F27D6F">
      <w:pPr>
        <w:pStyle w:val="Spistreci2"/>
        <w:rPr>
          <w:rFonts w:asciiTheme="minorHAnsi" w:eastAsiaTheme="minorEastAsia" w:hAnsiTheme="minorHAnsi"/>
          <w:noProof/>
          <w:sz w:val="24"/>
          <w:szCs w:val="24"/>
          <w:lang w:eastAsia="pl-PL"/>
        </w:rPr>
      </w:pPr>
      <w:hyperlink w:anchor="_Toc202966905" w:history="1">
        <w:r w:rsidRPr="007619E5">
          <w:rPr>
            <w:rStyle w:val="Hipercze"/>
            <w:noProof/>
          </w:rPr>
          <w:t>4.1.</w:t>
        </w:r>
        <w:r>
          <w:rPr>
            <w:rFonts w:asciiTheme="minorHAnsi" w:eastAsiaTheme="minorEastAsia" w:hAnsiTheme="minorHAnsi"/>
            <w:noProof/>
            <w:sz w:val="24"/>
            <w:szCs w:val="24"/>
            <w:lang w:eastAsia="pl-PL"/>
          </w:rPr>
          <w:tab/>
        </w:r>
        <w:r w:rsidRPr="007619E5">
          <w:rPr>
            <w:rStyle w:val="Hipercze"/>
            <w:noProof/>
          </w:rPr>
          <w:t>Rynek energii elektrycznej i paliw, ceny energii</w:t>
        </w:r>
        <w:r>
          <w:rPr>
            <w:noProof/>
            <w:webHidden/>
          </w:rPr>
          <w:tab/>
        </w:r>
        <w:r>
          <w:rPr>
            <w:noProof/>
            <w:webHidden/>
          </w:rPr>
          <w:fldChar w:fldCharType="begin"/>
        </w:r>
        <w:r>
          <w:rPr>
            <w:noProof/>
            <w:webHidden/>
          </w:rPr>
          <w:instrText xml:space="preserve"> PAGEREF _Toc202966905 \h </w:instrText>
        </w:r>
        <w:r>
          <w:rPr>
            <w:noProof/>
            <w:webHidden/>
          </w:rPr>
        </w:r>
        <w:r>
          <w:rPr>
            <w:noProof/>
            <w:webHidden/>
          </w:rPr>
          <w:fldChar w:fldCharType="separate"/>
        </w:r>
        <w:r>
          <w:rPr>
            <w:noProof/>
            <w:webHidden/>
          </w:rPr>
          <w:t>81</w:t>
        </w:r>
        <w:r>
          <w:rPr>
            <w:noProof/>
            <w:webHidden/>
          </w:rPr>
          <w:fldChar w:fldCharType="end"/>
        </w:r>
      </w:hyperlink>
    </w:p>
    <w:p w14:paraId="6F7305BE" w14:textId="57FFE27B" w:rsidR="00F27D6F" w:rsidRDefault="00F27D6F">
      <w:pPr>
        <w:pStyle w:val="Spistreci3"/>
        <w:rPr>
          <w:rFonts w:asciiTheme="minorHAnsi" w:eastAsiaTheme="minorEastAsia" w:hAnsiTheme="minorHAnsi"/>
          <w:noProof/>
          <w:sz w:val="24"/>
          <w:szCs w:val="24"/>
          <w:lang w:eastAsia="pl-PL"/>
        </w:rPr>
      </w:pPr>
      <w:hyperlink w:anchor="_Toc202966906" w:history="1">
        <w:r w:rsidRPr="007619E5">
          <w:rPr>
            <w:rStyle w:val="Hipercze"/>
            <w:noProof/>
          </w:rPr>
          <w:t>4.1.1.</w:t>
        </w:r>
        <w:r>
          <w:rPr>
            <w:rFonts w:asciiTheme="minorHAnsi" w:eastAsiaTheme="minorEastAsia" w:hAnsiTheme="minorHAnsi"/>
            <w:noProof/>
            <w:sz w:val="24"/>
            <w:szCs w:val="24"/>
            <w:lang w:eastAsia="pl-PL"/>
          </w:rPr>
          <w:tab/>
        </w:r>
        <w:r w:rsidRPr="007619E5">
          <w:rPr>
            <w:rStyle w:val="Hipercze"/>
            <w:noProof/>
          </w:rPr>
          <w:t>Koszty wytwarzania energii elektrycznej i wodoru</w:t>
        </w:r>
        <w:r>
          <w:rPr>
            <w:noProof/>
            <w:webHidden/>
          </w:rPr>
          <w:tab/>
        </w:r>
        <w:r>
          <w:rPr>
            <w:noProof/>
            <w:webHidden/>
          </w:rPr>
          <w:fldChar w:fldCharType="begin"/>
        </w:r>
        <w:r>
          <w:rPr>
            <w:noProof/>
            <w:webHidden/>
          </w:rPr>
          <w:instrText xml:space="preserve"> PAGEREF _Toc202966906 \h </w:instrText>
        </w:r>
        <w:r>
          <w:rPr>
            <w:noProof/>
            <w:webHidden/>
          </w:rPr>
        </w:r>
        <w:r>
          <w:rPr>
            <w:noProof/>
            <w:webHidden/>
          </w:rPr>
          <w:fldChar w:fldCharType="separate"/>
        </w:r>
        <w:r>
          <w:rPr>
            <w:noProof/>
            <w:webHidden/>
          </w:rPr>
          <w:t>81</w:t>
        </w:r>
        <w:r>
          <w:rPr>
            <w:noProof/>
            <w:webHidden/>
          </w:rPr>
          <w:fldChar w:fldCharType="end"/>
        </w:r>
      </w:hyperlink>
    </w:p>
    <w:p w14:paraId="2AB04129" w14:textId="3ACAF686" w:rsidR="00F27D6F" w:rsidRDefault="00F27D6F">
      <w:pPr>
        <w:pStyle w:val="Spistreci3"/>
        <w:rPr>
          <w:rFonts w:asciiTheme="minorHAnsi" w:eastAsiaTheme="minorEastAsia" w:hAnsiTheme="minorHAnsi"/>
          <w:noProof/>
          <w:sz w:val="24"/>
          <w:szCs w:val="24"/>
          <w:lang w:eastAsia="pl-PL"/>
        </w:rPr>
      </w:pPr>
      <w:hyperlink w:anchor="_Toc202966907" w:history="1">
        <w:r w:rsidRPr="007619E5">
          <w:rPr>
            <w:rStyle w:val="Hipercze"/>
            <w:noProof/>
          </w:rPr>
          <w:t>4.1.2.</w:t>
        </w:r>
        <w:r>
          <w:rPr>
            <w:rFonts w:asciiTheme="minorHAnsi" w:eastAsiaTheme="minorEastAsia" w:hAnsiTheme="minorHAnsi"/>
            <w:noProof/>
            <w:sz w:val="24"/>
            <w:szCs w:val="24"/>
            <w:lang w:eastAsia="pl-PL"/>
          </w:rPr>
          <w:tab/>
        </w:r>
        <w:r w:rsidRPr="007619E5">
          <w:rPr>
            <w:rStyle w:val="Hipercze"/>
            <w:noProof/>
          </w:rPr>
          <w:t>Ceny energii elektrycznej w podziale na sektory</w:t>
        </w:r>
        <w:r>
          <w:rPr>
            <w:noProof/>
            <w:webHidden/>
          </w:rPr>
          <w:tab/>
        </w:r>
        <w:r>
          <w:rPr>
            <w:noProof/>
            <w:webHidden/>
          </w:rPr>
          <w:fldChar w:fldCharType="begin"/>
        </w:r>
        <w:r>
          <w:rPr>
            <w:noProof/>
            <w:webHidden/>
          </w:rPr>
          <w:instrText xml:space="preserve"> PAGEREF _Toc202966907 \h </w:instrText>
        </w:r>
        <w:r>
          <w:rPr>
            <w:noProof/>
            <w:webHidden/>
          </w:rPr>
        </w:r>
        <w:r>
          <w:rPr>
            <w:noProof/>
            <w:webHidden/>
          </w:rPr>
          <w:fldChar w:fldCharType="separate"/>
        </w:r>
        <w:r>
          <w:rPr>
            <w:noProof/>
            <w:webHidden/>
          </w:rPr>
          <w:t>81</w:t>
        </w:r>
        <w:r>
          <w:rPr>
            <w:noProof/>
            <w:webHidden/>
          </w:rPr>
          <w:fldChar w:fldCharType="end"/>
        </w:r>
      </w:hyperlink>
    </w:p>
    <w:p w14:paraId="46C0948A" w14:textId="6361A7A0" w:rsidR="00F27D6F" w:rsidRDefault="00F27D6F">
      <w:pPr>
        <w:pStyle w:val="Spistreci3"/>
        <w:rPr>
          <w:rFonts w:asciiTheme="minorHAnsi" w:eastAsiaTheme="minorEastAsia" w:hAnsiTheme="minorHAnsi"/>
          <w:noProof/>
          <w:sz w:val="24"/>
          <w:szCs w:val="24"/>
          <w:lang w:eastAsia="pl-PL"/>
        </w:rPr>
      </w:pPr>
      <w:hyperlink w:anchor="_Toc202966908" w:history="1">
        <w:r w:rsidRPr="007619E5">
          <w:rPr>
            <w:rStyle w:val="Hipercze"/>
            <w:noProof/>
          </w:rPr>
          <w:t>4.1.3.</w:t>
        </w:r>
        <w:r>
          <w:rPr>
            <w:rFonts w:asciiTheme="minorHAnsi" w:eastAsiaTheme="minorEastAsia" w:hAnsiTheme="minorHAnsi"/>
            <w:noProof/>
            <w:sz w:val="24"/>
            <w:szCs w:val="24"/>
            <w:lang w:eastAsia="pl-PL"/>
          </w:rPr>
          <w:tab/>
        </w:r>
        <w:r w:rsidRPr="007619E5">
          <w:rPr>
            <w:rStyle w:val="Hipercze"/>
            <w:noProof/>
          </w:rPr>
          <w:t>Krajowe ceny detaliczne paliw</w:t>
        </w:r>
        <w:r>
          <w:rPr>
            <w:noProof/>
            <w:webHidden/>
          </w:rPr>
          <w:tab/>
        </w:r>
        <w:r>
          <w:rPr>
            <w:noProof/>
            <w:webHidden/>
          </w:rPr>
          <w:fldChar w:fldCharType="begin"/>
        </w:r>
        <w:r>
          <w:rPr>
            <w:noProof/>
            <w:webHidden/>
          </w:rPr>
          <w:instrText xml:space="preserve"> PAGEREF _Toc202966908 \h </w:instrText>
        </w:r>
        <w:r>
          <w:rPr>
            <w:noProof/>
            <w:webHidden/>
          </w:rPr>
        </w:r>
        <w:r>
          <w:rPr>
            <w:noProof/>
            <w:webHidden/>
          </w:rPr>
          <w:fldChar w:fldCharType="separate"/>
        </w:r>
        <w:r>
          <w:rPr>
            <w:noProof/>
            <w:webHidden/>
          </w:rPr>
          <w:t>82</w:t>
        </w:r>
        <w:r>
          <w:rPr>
            <w:noProof/>
            <w:webHidden/>
          </w:rPr>
          <w:fldChar w:fldCharType="end"/>
        </w:r>
      </w:hyperlink>
    </w:p>
    <w:p w14:paraId="650F5962" w14:textId="2BA16FF3" w:rsidR="00F27D6F" w:rsidRDefault="00F27D6F">
      <w:pPr>
        <w:pStyle w:val="Spistreci2"/>
        <w:rPr>
          <w:rFonts w:asciiTheme="minorHAnsi" w:eastAsiaTheme="minorEastAsia" w:hAnsiTheme="minorHAnsi"/>
          <w:noProof/>
          <w:sz w:val="24"/>
          <w:szCs w:val="24"/>
          <w:lang w:eastAsia="pl-PL"/>
        </w:rPr>
      </w:pPr>
      <w:hyperlink w:anchor="_Toc202966909" w:history="1">
        <w:r w:rsidRPr="007619E5">
          <w:rPr>
            <w:rStyle w:val="Hipercze"/>
            <w:noProof/>
          </w:rPr>
          <w:t>4.2.</w:t>
        </w:r>
        <w:r>
          <w:rPr>
            <w:rFonts w:asciiTheme="minorHAnsi" w:eastAsiaTheme="minorEastAsia" w:hAnsiTheme="minorHAnsi"/>
            <w:noProof/>
            <w:sz w:val="24"/>
            <w:szCs w:val="24"/>
            <w:lang w:eastAsia="pl-PL"/>
          </w:rPr>
          <w:tab/>
        </w:r>
        <w:r w:rsidRPr="007619E5">
          <w:rPr>
            <w:rStyle w:val="Hipercze"/>
            <w:noProof/>
          </w:rPr>
          <w:t>Nakłady na inwestycje związane z energią</w:t>
        </w:r>
        <w:r>
          <w:rPr>
            <w:noProof/>
            <w:webHidden/>
          </w:rPr>
          <w:tab/>
        </w:r>
        <w:r>
          <w:rPr>
            <w:noProof/>
            <w:webHidden/>
          </w:rPr>
          <w:fldChar w:fldCharType="begin"/>
        </w:r>
        <w:r>
          <w:rPr>
            <w:noProof/>
            <w:webHidden/>
          </w:rPr>
          <w:instrText xml:space="preserve"> PAGEREF _Toc202966909 \h </w:instrText>
        </w:r>
        <w:r>
          <w:rPr>
            <w:noProof/>
            <w:webHidden/>
          </w:rPr>
        </w:r>
        <w:r>
          <w:rPr>
            <w:noProof/>
            <w:webHidden/>
          </w:rPr>
          <w:fldChar w:fldCharType="separate"/>
        </w:r>
        <w:r>
          <w:rPr>
            <w:noProof/>
            <w:webHidden/>
          </w:rPr>
          <w:t>84</w:t>
        </w:r>
        <w:r>
          <w:rPr>
            <w:noProof/>
            <w:webHidden/>
          </w:rPr>
          <w:fldChar w:fldCharType="end"/>
        </w:r>
      </w:hyperlink>
    </w:p>
    <w:p w14:paraId="18E4E9FB" w14:textId="0D26F28F" w:rsidR="00F27D6F" w:rsidRDefault="00F27D6F">
      <w:pPr>
        <w:pStyle w:val="Spistreci1"/>
        <w:rPr>
          <w:rFonts w:asciiTheme="minorHAnsi" w:eastAsiaTheme="minorEastAsia" w:hAnsiTheme="minorHAnsi"/>
          <w:noProof/>
          <w:sz w:val="24"/>
          <w:szCs w:val="24"/>
          <w:lang w:eastAsia="pl-PL"/>
        </w:rPr>
      </w:pPr>
      <w:hyperlink w:anchor="_Toc202966910" w:history="1">
        <w:r w:rsidRPr="007619E5">
          <w:rPr>
            <w:rStyle w:val="Hipercze"/>
            <w:noProof/>
          </w:rPr>
          <w:t>5.</w:t>
        </w:r>
        <w:r>
          <w:rPr>
            <w:rFonts w:asciiTheme="minorHAnsi" w:eastAsiaTheme="minorEastAsia" w:hAnsiTheme="minorHAnsi"/>
            <w:noProof/>
            <w:sz w:val="24"/>
            <w:szCs w:val="24"/>
            <w:lang w:eastAsia="pl-PL"/>
          </w:rPr>
          <w:tab/>
        </w:r>
        <w:r w:rsidRPr="007619E5">
          <w:rPr>
            <w:rStyle w:val="Hipercze"/>
            <w:noProof/>
          </w:rPr>
          <w:t>Badania naukowe, technologie i innowacje</w:t>
        </w:r>
        <w:r>
          <w:rPr>
            <w:noProof/>
            <w:webHidden/>
          </w:rPr>
          <w:tab/>
        </w:r>
        <w:r>
          <w:rPr>
            <w:noProof/>
            <w:webHidden/>
          </w:rPr>
          <w:fldChar w:fldCharType="begin"/>
        </w:r>
        <w:r>
          <w:rPr>
            <w:noProof/>
            <w:webHidden/>
          </w:rPr>
          <w:instrText xml:space="preserve"> PAGEREF _Toc202966910 \h </w:instrText>
        </w:r>
        <w:r>
          <w:rPr>
            <w:noProof/>
            <w:webHidden/>
          </w:rPr>
        </w:r>
        <w:r>
          <w:rPr>
            <w:noProof/>
            <w:webHidden/>
          </w:rPr>
          <w:fldChar w:fldCharType="separate"/>
        </w:r>
        <w:r>
          <w:rPr>
            <w:noProof/>
            <w:webHidden/>
          </w:rPr>
          <w:t>92</w:t>
        </w:r>
        <w:r>
          <w:rPr>
            <w:noProof/>
            <w:webHidden/>
          </w:rPr>
          <w:fldChar w:fldCharType="end"/>
        </w:r>
      </w:hyperlink>
    </w:p>
    <w:p w14:paraId="20F112CF" w14:textId="2870B43D" w:rsidR="00F27D6F" w:rsidRDefault="00F27D6F">
      <w:pPr>
        <w:pStyle w:val="Spistreci2"/>
        <w:rPr>
          <w:rFonts w:asciiTheme="minorHAnsi" w:eastAsiaTheme="minorEastAsia" w:hAnsiTheme="minorHAnsi"/>
          <w:noProof/>
          <w:sz w:val="24"/>
          <w:szCs w:val="24"/>
          <w:lang w:eastAsia="pl-PL"/>
        </w:rPr>
      </w:pPr>
      <w:hyperlink w:anchor="_Toc202966911" w:history="1">
        <w:r w:rsidRPr="007619E5">
          <w:rPr>
            <w:rStyle w:val="Hipercze"/>
            <w:noProof/>
          </w:rPr>
          <w:t>5.1.</w:t>
        </w:r>
        <w:r>
          <w:rPr>
            <w:rFonts w:asciiTheme="minorHAnsi" w:eastAsiaTheme="minorEastAsia" w:hAnsiTheme="minorHAnsi"/>
            <w:noProof/>
            <w:sz w:val="24"/>
            <w:szCs w:val="24"/>
            <w:lang w:eastAsia="pl-PL"/>
          </w:rPr>
          <w:tab/>
        </w:r>
        <w:r w:rsidRPr="007619E5">
          <w:rPr>
            <w:rStyle w:val="Hipercze"/>
            <w:noProof/>
          </w:rPr>
          <w:t>Obecna sytuacja sektora technologii ograniczających emisje i jego pozycja na rynku globalnym</w:t>
        </w:r>
        <w:r>
          <w:rPr>
            <w:noProof/>
            <w:webHidden/>
          </w:rPr>
          <w:tab/>
        </w:r>
        <w:r>
          <w:rPr>
            <w:noProof/>
            <w:webHidden/>
          </w:rPr>
          <w:fldChar w:fldCharType="begin"/>
        </w:r>
        <w:r>
          <w:rPr>
            <w:noProof/>
            <w:webHidden/>
          </w:rPr>
          <w:instrText xml:space="preserve"> PAGEREF _Toc202966911 \h </w:instrText>
        </w:r>
        <w:r>
          <w:rPr>
            <w:noProof/>
            <w:webHidden/>
          </w:rPr>
        </w:r>
        <w:r>
          <w:rPr>
            <w:noProof/>
            <w:webHidden/>
          </w:rPr>
          <w:fldChar w:fldCharType="separate"/>
        </w:r>
        <w:r>
          <w:rPr>
            <w:noProof/>
            <w:webHidden/>
          </w:rPr>
          <w:t>92</w:t>
        </w:r>
        <w:r>
          <w:rPr>
            <w:noProof/>
            <w:webHidden/>
          </w:rPr>
          <w:fldChar w:fldCharType="end"/>
        </w:r>
      </w:hyperlink>
    </w:p>
    <w:p w14:paraId="5B6B53C2" w14:textId="74C3C6D4" w:rsidR="00F27D6F" w:rsidRDefault="00F27D6F">
      <w:pPr>
        <w:pStyle w:val="Spistreci2"/>
        <w:rPr>
          <w:rFonts w:asciiTheme="minorHAnsi" w:eastAsiaTheme="minorEastAsia" w:hAnsiTheme="minorHAnsi"/>
          <w:noProof/>
          <w:sz w:val="24"/>
          <w:szCs w:val="24"/>
          <w:lang w:eastAsia="pl-PL"/>
        </w:rPr>
      </w:pPr>
      <w:hyperlink w:anchor="_Toc202966912" w:history="1">
        <w:r w:rsidRPr="007619E5">
          <w:rPr>
            <w:rStyle w:val="Hipercze"/>
            <w:noProof/>
            <w:lang w:bidi="pl-PL"/>
          </w:rPr>
          <w:t>5.2.</w:t>
        </w:r>
        <w:r>
          <w:rPr>
            <w:rFonts w:asciiTheme="minorHAnsi" w:eastAsiaTheme="minorEastAsia" w:hAnsiTheme="minorHAnsi"/>
            <w:noProof/>
            <w:sz w:val="24"/>
            <w:szCs w:val="24"/>
            <w:lang w:eastAsia="pl-PL"/>
          </w:rPr>
          <w:tab/>
        </w:r>
        <w:r w:rsidRPr="007619E5">
          <w:rPr>
            <w:rStyle w:val="Hipercze"/>
            <w:noProof/>
          </w:rPr>
          <w:t>Nakłady inwestycyjne na badania naukowe i rozwojowe nad ograniczeniem</w:t>
        </w:r>
        <w:r w:rsidRPr="007619E5">
          <w:rPr>
            <w:rStyle w:val="Hipercze"/>
            <w:noProof/>
            <w:lang w:bidi="pl-PL"/>
          </w:rPr>
          <w:t xml:space="preserve"> emisji</w:t>
        </w:r>
        <w:r>
          <w:rPr>
            <w:noProof/>
            <w:webHidden/>
          </w:rPr>
          <w:tab/>
        </w:r>
        <w:r>
          <w:rPr>
            <w:noProof/>
            <w:webHidden/>
          </w:rPr>
          <w:fldChar w:fldCharType="begin"/>
        </w:r>
        <w:r>
          <w:rPr>
            <w:noProof/>
            <w:webHidden/>
          </w:rPr>
          <w:instrText xml:space="preserve"> PAGEREF _Toc202966912 \h </w:instrText>
        </w:r>
        <w:r>
          <w:rPr>
            <w:noProof/>
            <w:webHidden/>
          </w:rPr>
        </w:r>
        <w:r>
          <w:rPr>
            <w:noProof/>
            <w:webHidden/>
          </w:rPr>
          <w:fldChar w:fldCharType="separate"/>
        </w:r>
        <w:r>
          <w:rPr>
            <w:noProof/>
            <w:webHidden/>
          </w:rPr>
          <w:t>97</w:t>
        </w:r>
        <w:r>
          <w:rPr>
            <w:noProof/>
            <w:webHidden/>
          </w:rPr>
          <w:fldChar w:fldCharType="end"/>
        </w:r>
      </w:hyperlink>
    </w:p>
    <w:p w14:paraId="3F791B09" w14:textId="0DE05B19" w:rsidR="00F27D6F" w:rsidRDefault="00F27D6F">
      <w:pPr>
        <w:pStyle w:val="Spistreci1"/>
        <w:rPr>
          <w:rFonts w:asciiTheme="minorHAnsi" w:eastAsiaTheme="minorEastAsia" w:hAnsiTheme="minorHAnsi"/>
          <w:noProof/>
          <w:sz w:val="24"/>
          <w:szCs w:val="24"/>
          <w:lang w:eastAsia="pl-PL"/>
        </w:rPr>
      </w:pPr>
      <w:hyperlink w:anchor="_Toc202966913" w:history="1">
        <w:r w:rsidRPr="007619E5">
          <w:rPr>
            <w:rStyle w:val="Hipercze"/>
            <w:noProof/>
          </w:rPr>
          <w:t>6.</w:t>
        </w:r>
        <w:r>
          <w:rPr>
            <w:rFonts w:asciiTheme="minorHAnsi" w:eastAsiaTheme="minorEastAsia" w:hAnsiTheme="minorHAnsi"/>
            <w:noProof/>
            <w:sz w:val="24"/>
            <w:szCs w:val="24"/>
            <w:lang w:eastAsia="pl-PL"/>
          </w:rPr>
          <w:tab/>
        </w:r>
        <w:r w:rsidRPr="007619E5">
          <w:rPr>
            <w:rStyle w:val="Hipercze"/>
            <w:noProof/>
          </w:rPr>
          <w:t>Skutki planowanych polityk i działań dla systemu energetycznego oraz emisji i pochłaniania GHG, a także emisji zanieczyszczeń</w:t>
        </w:r>
        <w:r>
          <w:rPr>
            <w:noProof/>
            <w:webHidden/>
          </w:rPr>
          <w:tab/>
        </w:r>
        <w:r>
          <w:rPr>
            <w:noProof/>
            <w:webHidden/>
          </w:rPr>
          <w:fldChar w:fldCharType="begin"/>
        </w:r>
        <w:r>
          <w:rPr>
            <w:noProof/>
            <w:webHidden/>
          </w:rPr>
          <w:instrText xml:space="preserve"> PAGEREF _Toc202966913 \h </w:instrText>
        </w:r>
        <w:r>
          <w:rPr>
            <w:noProof/>
            <w:webHidden/>
          </w:rPr>
        </w:r>
        <w:r>
          <w:rPr>
            <w:noProof/>
            <w:webHidden/>
          </w:rPr>
          <w:fldChar w:fldCharType="separate"/>
        </w:r>
        <w:r>
          <w:rPr>
            <w:noProof/>
            <w:webHidden/>
          </w:rPr>
          <w:t>98</w:t>
        </w:r>
        <w:r>
          <w:rPr>
            <w:noProof/>
            <w:webHidden/>
          </w:rPr>
          <w:fldChar w:fldCharType="end"/>
        </w:r>
      </w:hyperlink>
    </w:p>
    <w:p w14:paraId="240EEEC7" w14:textId="4EE5368B" w:rsidR="00F27D6F" w:rsidRDefault="00F27D6F">
      <w:pPr>
        <w:pStyle w:val="Spistreci2"/>
        <w:rPr>
          <w:rFonts w:asciiTheme="minorHAnsi" w:eastAsiaTheme="minorEastAsia" w:hAnsiTheme="minorHAnsi"/>
          <w:noProof/>
          <w:sz w:val="24"/>
          <w:szCs w:val="24"/>
          <w:lang w:eastAsia="pl-PL"/>
        </w:rPr>
      </w:pPr>
      <w:hyperlink w:anchor="_Toc202966914" w:history="1">
        <w:r w:rsidRPr="007619E5">
          <w:rPr>
            <w:rStyle w:val="Hipercze"/>
            <w:noProof/>
          </w:rPr>
          <w:t>6.1.</w:t>
        </w:r>
        <w:r>
          <w:rPr>
            <w:rFonts w:asciiTheme="minorHAnsi" w:eastAsiaTheme="minorEastAsia" w:hAnsiTheme="minorHAnsi"/>
            <w:noProof/>
            <w:sz w:val="24"/>
            <w:szCs w:val="24"/>
            <w:lang w:eastAsia="pl-PL"/>
          </w:rPr>
          <w:tab/>
        </w:r>
        <w:r w:rsidRPr="007619E5">
          <w:rPr>
            <w:rStyle w:val="Hipercze"/>
            <w:noProof/>
          </w:rPr>
          <w:t>Ocena wzajemnego wpływu istniejących i planowanych polityk i działań oraz pomiędzy tymi politykami i działaniami a środkami polityki Unii w dziedzinie klimatu i energii</w:t>
        </w:r>
        <w:r>
          <w:rPr>
            <w:noProof/>
            <w:webHidden/>
          </w:rPr>
          <w:tab/>
        </w:r>
        <w:r>
          <w:rPr>
            <w:noProof/>
            <w:webHidden/>
          </w:rPr>
          <w:fldChar w:fldCharType="begin"/>
        </w:r>
        <w:r>
          <w:rPr>
            <w:noProof/>
            <w:webHidden/>
          </w:rPr>
          <w:instrText xml:space="preserve"> PAGEREF _Toc202966914 \h </w:instrText>
        </w:r>
        <w:r>
          <w:rPr>
            <w:noProof/>
            <w:webHidden/>
          </w:rPr>
        </w:r>
        <w:r>
          <w:rPr>
            <w:noProof/>
            <w:webHidden/>
          </w:rPr>
          <w:fldChar w:fldCharType="separate"/>
        </w:r>
        <w:r>
          <w:rPr>
            <w:noProof/>
            <w:webHidden/>
          </w:rPr>
          <w:t>98</w:t>
        </w:r>
        <w:r>
          <w:rPr>
            <w:noProof/>
            <w:webHidden/>
          </w:rPr>
          <w:fldChar w:fldCharType="end"/>
        </w:r>
      </w:hyperlink>
    </w:p>
    <w:p w14:paraId="6BEB1F35" w14:textId="6AA914CB" w:rsidR="00F27D6F" w:rsidRDefault="00F27D6F">
      <w:pPr>
        <w:pStyle w:val="Spistreci2"/>
        <w:rPr>
          <w:rFonts w:asciiTheme="minorHAnsi" w:eastAsiaTheme="minorEastAsia" w:hAnsiTheme="minorHAnsi"/>
          <w:noProof/>
          <w:sz w:val="24"/>
          <w:szCs w:val="24"/>
          <w:lang w:eastAsia="pl-PL"/>
        </w:rPr>
      </w:pPr>
      <w:hyperlink w:anchor="_Toc202966915" w:history="1">
        <w:r w:rsidRPr="007619E5">
          <w:rPr>
            <w:rStyle w:val="Hipercze"/>
            <w:noProof/>
          </w:rPr>
          <w:t>6.2.</w:t>
        </w:r>
        <w:r>
          <w:rPr>
            <w:rFonts w:asciiTheme="minorHAnsi" w:eastAsiaTheme="minorEastAsia" w:hAnsiTheme="minorHAnsi"/>
            <w:noProof/>
            <w:sz w:val="24"/>
            <w:szCs w:val="24"/>
            <w:lang w:eastAsia="pl-PL"/>
          </w:rPr>
          <w:tab/>
        </w:r>
        <w:r w:rsidRPr="007619E5">
          <w:rPr>
            <w:rStyle w:val="Hipercze"/>
            <w:noProof/>
          </w:rPr>
          <w:t>Założenia do analizy makroekonomicznej</w:t>
        </w:r>
        <w:r>
          <w:rPr>
            <w:noProof/>
            <w:webHidden/>
          </w:rPr>
          <w:tab/>
        </w:r>
        <w:r>
          <w:rPr>
            <w:noProof/>
            <w:webHidden/>
          </w:rPr>
          <w:fldChar w:fldCharType="begin"/>
        </w:r>
        <w:r>
          <w:rPr>
            <w:noProof/>
            <w:webHidden/>
          </w:rPr>
          <w:instrText xml:space="preserve"> PAGEREF _Toc202966915 \h </w:instrText>
        </w:r>
        <w:r>
          <w:rPr>
            <w:noProof/>
            <w:webHidden/>
          </w:rPr>
        </w:r>
        <w:r>
          <w:rPr>
            <w:noProof/>
            <w:webHidden/>
          </w:rPr>
          <w:fldChar w:fldCharType="separate"/>
        </w:r>
        <w:r>
          <w:rPr>
            <w:noProof/>
            <w:webHidden/>
          </w:rPr>
          <w:t>100</w:t>
        </w:r>
        <w:r>
          <w:rPr>
            <w:noProof/>
            <w:webHidden/>
          </w:rPr>
          <w:fldChar w:fldCharType="end"/>
        </w:r>
      </w:hyperlink>
    </w:p>
    <w:p w14:paraId="36192911" w14:textId="65D48332" w:rsidR="00F27D6F" w:rsidRDefault="00F27D6F">
      <w:pPr>
        <w:pStyle w:val="Spistreci2"/>
        <w:rPr>
          <w:rFonts w:asciiTheme="minorHAnsi" w:eastAsiaTheme="minorEastAsia" w:hAnsiTheme="minorHAnsi"/>
          <w:noProof/>
          <w:sz w:val="24"/>
          <w:szCs w:val="24"/>
          <w:lang w:eastAsia="pl-PL"/>
        </w:rPr>
      </w:pPr>
      <w:hyperlink w:anchor="_Toc202966916" w:history="1">
        <w:r w:rsidRPr="007619E5">
          <w:rPr>
            <w:rStyle w:val="Hipercze"/>
            <w:noProof/>
          </w:rPr>
          <w:t>6.3.</w:t>
        </w:r>
        <w:r>
          <w:rPr>
            <w:rFonts w:asciiTheme="minorHAnsi" w:eastAsiaTheme="minorEastAsia" w:hAnsiTheme="minorHAnsi"/>
            <w:noProof/>
            <w:sz w:val="24"/>
            <w:szCs w:val="24"/>
            <w:lang w:eastAsia="pl-PL"/>
          </w:rPr>
          <w:tab/>
        </w:r>
        <w:r w:rsidRPr="007619E5">
          <w:rPr>
            <w:rStyle w:val="Hipercze"/>
            <w:noProof/>
          </w:rPr>
          <w:t>Skutki makroekonomiczne</w:t>
        </w:r>
        <w:r>
          <w:rPr>
            <w:noProof/>
            <w:webHidden/>
          </w:rPr>
          <w:tab/>
        </w:r>
        <w:r>
          <w:rPr>
            <w:noProof/>
            <w:webHidden/>
          </w:rPr>
          <w:fldChar w:fldCharType="begin"/>
        </w:r>
        <w:r>
          <w:rPr>
            <w:noProof/>
            <w:webHidden/>
          </w:rPr>
          <w:instrText xml:space="preserve"> PAGEREF _Toc202966916 \h </w:instrText>
        </w:r>
        <w:r>
          <w:rPr>
            <w:noProof/>
            <w:webHidden/>
          </w:rPr>
        </w:r>
        <w:r>
          <w:rPr>
            <w:noProof/>
            <w:webHidden/>
          </w:rPr>
          <w:fldChar w:fldCharType="separate"/>
        </w:r>
        <w:r>
          <w:rPr>
            <w:noProof/>
            <w:webHidden/>
          </w:rPr>
          <w:t>102</w:t>
        </w:r>
        <w:r>
          <w:rPr>
            <w:noProof/>
            <w:webHidden/>
          </w:rPr>
          <w:fldChar w:fldCharType="end"/>
        </w:r>
      </w:hyperlink>
    </w:p>
    <w:p w14:paraId="7E4951E8" w14:textId="0E51B12C" w:rsidR="00F27D6F" w:rsidRDefault="00F27D6F">
      <w:pPr>
        <w:pStyle w:val="Spistreci3"/>
        <w:rPr>
          <w:rFonts w:asciiTheme="minorHAnsi" w:eastAsiaTheme="minorEastAsia" w:hAnsiTheme="minorHAnsi"/>
          <w:noProof/>
          <w:sz w:val="24"/>
          <w:szCs w:val="24"/>
          <w:lang w:eastAsia="pl-PL"/>
        </w:rPr>
      </w:pPr>
      <w:hyperlink w:anchor="_Toc202966917" w:history="1">
        <w:r w:rsidRPr="007619E5">
          <w:rPr>
            <w:rStyle w:val="Hipercze"/>
            <w:noProof/>
          </w:rPr>
          <w:t>6.3.1.</w:t>
        </w:r>
        <w:r>
          <w:rPr>
            <w:rFonts w:asciiTheme="minorHAnsi" w:eastAsiaTheme="minorEastAsia" w:hAnsiTheme="minorHAnsi"/>
            <w:noProof/>
            <w:sz w:val="24"/>
            <w:szCs w:val="24"/>
            <w:lang w:eastAsia="pl-PL"/>
          </w:rPr>
          <w:tab/>
        </w:r>
        <w:r w:rsidRPr="007619E5">
          <w:rPr>
            <w:rStyle w:val="Hipercze"/>
            <w:noProof/>
          </w:rPr>
          <w:t>Zastosowane podejście metodyczne</w:t>
        </w:r>
        <w:r>
          <w:rPr>
            <w:noProof/>
            <w:webHidden/>
          </w:rPr>
          <w:tab/>
        </w:r>
        <w:r>
          <w:rPr>
            <w:noProof/>
            <w:webHidden/>
          </w:rPr>
          <w:fldChar w:fldCharType="begin"/>
        </w:r>
        <w:r>
          <w:rPr>
            <w:noProof/>
            <w:webHidden/>
          </w:rPr>
          <w:instrText xml:space="preserve"> PAGEREF _Toc202966917 \h </w:instrText>
        </w:r>
        <w:r>
          <w:rPr>
            <w:noProof/>
            <w:webHidden/>
          </w:rPr>
        </w:r>
        <w:r>
          <w:rPr>
            <w:noProof/>
            <w:webHidden/>
          </w:rPr>
          <w:fldChar w:fldCharType="separate"/>
        </w:r>
        <w:r>
          <w:rPr>
            <w:noProof/>
            <w:webHidden/>
          </w:rPr>
          <w:t>102</w:t>
        </w:r>
        <w:r>
          <w:rPr>
            <w:noProof/>
            <w:webHidden/>
          </w:rPr>
          <w:fldChar w:fldCharType="end"/>
        </w:r>
      </w:hyperlink>
    </w:p>
    <w:p w14:paraId="5DD81E3A" w14:textId="6DF9572C" w:rsidR="00F27D6F" w:rsidRDefault="00F27D6F">
      <w:pPr>
        <w:pStyle w:val="Spistreci3"/>
        <w:rPr>
          <w:rFonts w:asciiTheme="minorHAnsi" w:eastAsiaTheme="minorEastAsia" w:hAnsiTheme="minorHAnsi"/>
          <w:noProof/>
          <w:sz w:val="24"/>
          <w:szCs w:val="24"/>
          <w:lang w:eastAsia="pl-PL"/>
        </w:rPr>
      </w:pPr>
      <w:hyperlink w:anchor="_Toc202966918" w:history="1">
        <w:r w:rsidRPr="007619E5">
          <w:rPr>
            <w:rStyle w:val="Hipercze"/>
            <w:noProof/>
          </w:rPr>
          <w:t>6.3.2.</w:t>
        </w:r>
        <w:r>
          <w:rPr>
            <w:rFonts w:asciiTheme="minorHAnsi" w:eastAsiaTheme="minorEastAsia" w:hAnsiTheme="minorHAnsi"/>
            <w:noProof/>
            <w:sz w:val="24"/>
            <w:szCs w:val="24"/>
            <w:lang w:eastAsia="pl-PL"/>
          </w:rPr>
          <w:tab/>
        </w:r>
        <w:r w:rsidRPr="007619E5">
          <w:rPr>
            <w:rStyle w:val="Hipercze"/>
            <w:noProof/>
          </w:rPr>
          <w:t>Zmiany poziomu PKB</w:t>
        </w:r>
        <w:r>
          <w:rPr>
            <w:noProof/>
            <w:webHidden/>
          </w:rPr>
          <w:tab/>
        </w:r>
        <w:r>
          <w:rPr>
            <w:noProof/>
            <w:webHidden/>
          </w:rPr>
          <w:fldChar w:fldCharType="begin"/>
        </w:r>
        <w:r>
          <w:rPr>
            <w:noProof/>
            <w:webHidden/>
          </w:rPr>
          <w:instrText xml:space="preserve"> PAGEREF _Toc202966918 \h </w:instrText>
        </w:r>
        <w:r>
          <w:rPr>
            <w:noProof/>
            <w:webHidden/>
          </w:rPr>
        </w:r>
        <w:r>
          <w:rPr>
            <w:noProof/>
            <w:webHidden/>
          </w:rPr>
          <w:fldChar w:fldCharType="separate"/>
        </w:r>
        <w:r>
          <w:rPr>
            <w:noProof/>
            <w:webHidden/>
          </w:rPr>
          <w:t>103</w:t>
        </w:r>
        <w:r>
          <w:rPr>
            <w:noProof/>
            <w:webHidden/>
          </w:rPr>
          <w:fldChar w:fldCharType="end"/>
        </w:r>
      </w:hyperlink>
    </w:p>
    <w:p w14:paraId="470C751B" w14:textId="2C953A4C" w:rsidR="00F27D6F" w:rsidRDefault="00F27D6F">
      <w:pPr>
        <w:pStyle w:val="Spistreci3"/>
        <w:rPr>
          <w:rFonts w:asciiTheme="minorHAnsi" w:eastAsiaTheme="minorEastAsia" w:hAnsiTheme="minorHAnsi"/>
          <w:noProof/>
          <w:sz w:val="24"/>
          <w:szCs w:val="24"/>
          <w:lang w:eastAsia="pl-PL"/>
        </w:rPr>
      </w:pPr>
      <w:hyperlink w:anchor="_Toc202966919" w:history="1">
        <w:r w:rsidRPr="007619E5">
          <w:rPr>
            <w:rStyle w:val="Hipercze"/>
            <w:noProof/>
          </w:rPr>
          <w:t>6.3.3.</w:t>
        </w:r>
        <w:r>
          <w:rPr>
            <w:rFonts w:asciiTheme="minorHAnsi" w:eastAsiaTheme="minorEastAsia" w:hAnsiTheme="minorHAnsi"/>
            <w:noProof/>
            <w:sz w:val="24"/>
            <w:szCs w:val="24"/>
            <w:lang w:eastAsia="pl-PL"/>
          </w:rPr>
          <w:tab/>
        </w:r>
        <w:r w:rsidRPr="007619E5">
          <w:rPr>
            <w:rStyle w:val="Hipercze"/>
            <w:noProof/>
          </w:rPr>
          <w:t>Inwestycje w gospodarce</w:t>
        </w:r>
        <w:r>
          <w:rPr>
            <w:noProof/>
            <w:webHidden/>
          </w:rPr>
          <w:tab/>
        </w:r>
        <w:r>
          <w:rPr>
            <w:noProof/>
            <w:webHidden/>
          </w:rPr>
          <w:fldChar w:fldCharType="begin"/>
        </w:r>
        <w:r>
          <w:rPr>
            <w:noProof/>
            <w:webHidden/>
          </w:rPr>
          <w:instrText xml:space="preserve"> PAGEREF _Toc202966919 \h </w:instrText>
        </w:r>
        <w:r>
          <w:rPr>
            <w:noProof/>
            <w:webHidden/>
          </w:rPr>
        </w:r>
        <w:r>
          <w:rPr>
            <w:noProof/>
            <w:webHidden/>
          </w:rPr>
          <w:fldChar w:fldCharType="separate"/>
        </w:r>
        <w:r>
          <w:rPr>
            <w:noProof/>
            <w:webHidden/>
          </w:rPr>
          <w:t>103</w:t>
        </w:r>
        <w:r>
          <w:rPr>
            <w:noProof/>
            <w:webHidden/>
          </w:rPr>
          <w:fldChar w:fldCharType="end"/>
        </w:r>
      </w:hyperlink>
    </w:p>
    <w:p w14:paraId="43F56513" w14:textId="79F799FF" w:rsidR="00F27D6F" w:rsidRDefault="00F27D6F">
      <w:pPr>
        <w:pStyle w:val="Spistreci3"/>
        <w:rPr>
          <w:rFonts w:asciiTheme="minorHAnsi" w:eastAsiaTheme="minorEastAsia" w:hAnsiTheme="minorHAnsi"/>
          <w:noProof/>
          <w:sz w:val="24"/>
          <w:szCs w:val="24"/>
          <w:lang w:eastAsia="pl-PL"/>
        </w:rPr>
      </w:pPr>
      <w:hyperlink w:anchor="_Toc202966920" w:history="1">
        <w:r w:rsidRPr="007619E5">
          <w:rPr>
            <w:rStyle w:val="Hipercze"/>
            <w:noProof/>
          </w:rPr>
          <w:t>6.3.4.</w:t>
        </w:r>
        <w:r>
          <w:rPr>
            <w:rFonts w:asciiTheme="minorHAnsi" w:eastAsiaTheme="minorEastAsia" w:hAnsiTheme="minorHAnsi"/>
            <w:noProof/>
            <w:sz w:val="24"/>
            <w:szCs w:val="24"/>
            <w:lang w:eastAsia="pl-PL"/>
          </w:rPr>
          <w:tab/>
        </w:r>
        <w:r w:rsidRPr="007619E5">
          <w:rPr>
            <w:rStyle w:val="Hipercze"/>
            <w:noProof/>
          </w:rPr>
          <w:t>Konsumpcja gospodarstw domowych</w:t>
        </w:r>
        <w:r>
          <w:rPr>
            <w:noProof/>
            <w:webHidden/>
          </w:rPr>
          <w:tab/>
        </w:r>
        <w:r>
          <w:rPr>
            <w:noProof/>
            <w:webHidden/>
          </w:rPr>
          <w:fldChar w:fldCharType="begin"/>
        </w:r>
        <w:r>
          <w:rPr>
            <w:noProof/>
            <w:webHidden/>
          </w:rPr>
          <w:instrText xml:space="preserve"> PAGEREF _Toc202966920 \h </w:instrText>
        </w:r>
        <w:r>
          <w:rPr>
            <w:noProof/>
            <w:webHidden/>
          </w:rPr>
        </w:r>
        <w:r>
          <w:rPr>
            <w:noProof/>
            <w:webHidden/>
          </w:rPr>
          <w:fldChar w:fldCharType="separate"/>
        </w:r>
        <w:r>
          <w:rPr>
            <w:noProof/>
            <w:webHidden/>
          </w:rPr>
          <w:t>104</w:t>
        </w:r>
        <w:r>
          <w:rPr>
            <w:noProof/>
            <w:webHidden/>
          </w:rPr>
          <w:fldChar w:fldCharType="end"/>
        </w:r>
      </w:hyperlink>
    </w:p>
    <w:p w14:paraId="383362B1" w14:textId="4BF7168F" w:rsidR="00F27D6F" w:rsidRDefault="00F27D6F">
      <w:pPr>
        <w:pStyle w:val="Spistreci3"/>
        <w:rPr>
          <w:rFonts w:asciiTheme="minorHAnsi" w:eastAsiaTheme="minorEastAsia" w:hAnsiTheme="minorHAnsi"/>
          <w:noProof/>
          <w:sz w:val="24"/>
          <w:szCs w:val="24"/>
          <w:lang w:eastAsia="pl-PL"/>
        </w:rPr>
      </w:pPr>
      <w:hyperlink w:anchor="_Toc202966921" w:history="1">
        <w:r w:rsidRPr="007619E5">
          <w:rPr>
            <w:rStyle w:val="Hipercze"/>
            <w:noProof/>
          </w:rPr>
          <w:t>6.3.5.</w:t>
        </w:r>
        <w:r>
          <w:rPr>
            <w:rFonts w:asciiTheme="minorHAnsi" w:eastAsiaTheme="minorEastAsia" w:hAnsiTheme="minorHAnsi"/>
            <w:noProof/>
            <w:sz w:val="24"/>
            <w:szCs w:val="24"/>
            <w:lang w:eastAsia="pl-PL"/>
          </w:rPr>
          <w:tab/>
        </w:r>
        <w:r w:rsidRPr="007619E5">
          <w:rPr>
            <w:rStyle w:val="Hipercze"/>
            <w:noProof/>
          </w:rPr>
          <w:t>Saldo handlu zagranicznego</w:t>
        </w:r>
        <w:r>
          <w:rPr>
            <w:noProof/>
            <w:webHidden/>
          </w:rPr>
          <w:tab/>
        </w:r>
        <w:r>
          <w:rPr>
            <w:noProof/>
            <w:webHidden/>
          </w:rPr>
          <w:fldChar w:fldCharType="begin"/>
        </w:r>
        <w:r>
          <w:rPr>
            <w:noProof/>
            <w:webHidden/>
          </w:rPr>
          <w:instrText xml:space="preserve"> PAGEREF _Toc202966921 \h </w:instrText>
        </w:r>
        <w:r>
          <w:rPr>
            <w:noProof/>
            <w:webHidden/>
          </w:rPr>
        </w:r>
        <w:r>
          <w:rPr>
            <w:noProof/>
            <w:webHidden/>
          </w:rPr>
          <w:fldChar w:fldCharType="separate"/>
        </w:r>
        <w:r>
          <w:rPr>
            <w:noProof/>
            <w:webHidden/>
          </w:rPr>
          <w:t>105</w:t>
        </w:r>
        <w:r>
          <w:rPr>
            <w:noProof/>
            <w:webHidden/>
          </w:rPr>
          <w:fldChar w:fldCharType="end"/>
        </w:r>
      </w:hyperlink>
    </w:p>
    <w:p w14:paraId="265E0382" w14:textId="0A9A6333" w:rsidR="00F27D6F" w:rsidRDefault="00F27D6F">
      <w:pPr>
        <w:pStyle w:val="Spistreci2"/>
        <w:rPr>
          <w:rFonts w:asciiTheme="minorHAnsi" w:eastAsiaTheme="minorEastAsia" w:hAnsiTheme="minorHAnsi"/>
          <w:noProof/>
          <w:sz w:val="24"/>
          <w:szCs w:val="24"/>
          <w:lang w:eastAsia="pl-PL"/>
        </w:rPr>
      </w:pPr>
      <w:hyperlink w:anchor="_Toc202966922" w:history="1">
        <w:r w:rsidRPr="007619E5">
          <w:rPr>
            <w:rStyle w:val="Hipercze"/>
            <w:noProof/>
          </w:rPr>
          <w:t>6.4.</w:t>
        </w:r>
        <w:r>
          <w:rPr>
            <w:rFonts w:asciiTheme="minorHAnsi" w:eastAsiaTheme="minorEastAsia" w:hAnsiTheme="minorHAnsi"/>
            <w:noProof/>
            <w:sz w:val="24"/>
            <w:szCs w:val="24"/>
            <w:lang w:eastAsia="pl-PL"/>
          </w:rPr>
          <w:tab/>
        </w:r>
        <w:r w:rsidRPr="007619E5">
          <w:rPr>
            <w:rStyle w:val="Hipercze"/>
            <w:noProof/>
          </w:rPr>
          <w:t>Skutki społeczne</w:t>
        </w:r>
        <w:r>
          <w:rPr>
            <w:noProof/>
            <w:webHidden/>
          </w:rPr>
          <w:tab/>
        </w:r>
        <w:r>
          <w:rPr>
            <w:noProof/>
            <w:webHidden/>
          </w:rPr>
          <w:fldChar w:fldCharType="begin"/>
        </w:r>
        <w:r>
          <w:rPr>
            <w:noProof/>
            <w:webHidden/>
          </w:rPr>
          <w:instrText xml:space="preserve"> PAGEREF _Toc202966922 \h </w:instrText>
        </w:r>
        <w:r>
          <w:rPr>
            <w:noProof/>
            <w:webHidden/>
          </w:rPr>
        </w:r>
        <w:r>
          <w:rPr>
            <w:noProof/>
            <w:webHidden/>
          </w:rPr>
          <w:fldChar w:fldCharType="separate"/>
        </w:r>
        <w:r>
          <w:rPr>
            <w:noProof/>
            <w:webHidden/>
          </w:rPr>
          <w:t>105</w:t>
        </w:r>
        <w:r>
          <w:rPr>
            <w:noProof/>
            <w:webHidden/>
          </w:rPr>
          <w:fldChar w:fldCharType="end"/>
        </w:r>
      </w:hyperlink>
    </w:p>
    <w:p w14:paraId="7FB95895" w14:textId="23F4B256" w:rsidR="00F27D6F" w:rsidRDefault="00F27D6F">
      <w:pPr>
        <w:pStyle w:val="Spistreci3"/>
        <w:rPr>
          <w:rFonts w:asciiTheme="minorHAnsi" w:eastAsiaTheme="minorEastAsia" w:hAnsiTheme="minorHAnsi"/>
          <w:noProof/>
          <w:sz w:val="24"/>
          <w:szCs w:val="24"/>
          <w:lang w:eastAsia="pl-PL"/>
        </w:rPr>
      </w:pPr>
      <w:hyperlink w:anchor="_Toc202966923" w:history="1">
        <w:r w:rsidRPr="007619E5">
          <w:rPr>
            <w:rStyle w:val="Hipercze"/>
            <w:noProof/>
          </w:rPr>
          <w:t>6.4.1.</w:t>
        </w:r>
        <w:r>
          <w:rPr>
            <w:rFonts w:asciiTheme="minorHAnsi" w:eastAsiaTheme="minorEastAsia" w:hAnsiTheme="minorHAnsi"/>
            <w:noProof/>
            <w:sz w:val="24"/>
            <w:szCs w:val="24"/>
            <w:lang w:eastAsia="pl-PL"/>
          </w:rPr>
          <w:tab/>
        </w:r>
        <w:r w:rsidRPr="007619E5">
          <w:rPr>
            <w:rStyle w:val="Hipercze"/>
            <w:noProof/>
          </w:rPr>
          <w:t>Dynamika płacy realnej</w:t>
        </w:r>
        <w:r>
          <w:rPr>
            <w:noProof/>
            <w:webHidden/>
          </w:rPr>
          <w:tab/>
        </w:r>
        <w:r>
          <w:rPr>
            <w:noProof/>
            <w:webHidden/>
          </w:rPr>
          <w:fldChar w:fldCharType="begin"/>
        </w:r>
        <w:r>
          <w:rPr>
            <w:noProof/>
            <w:webHidden/>
          </w:rPr>
          <w:instrText xml:space="preserve"> PAGEREF _Toc202966923 \h </w:instrText>
        </w:r>
        <w:r>
          <w:rPr>
            <w:noProof/>
            <w:webHidden/>
          </w:rPr>
        </w:r>
        <w:r>
          <w:rPr>
            <w:noProof/>
            <w:webHidden/>
          </w:rPr>
          <w:fldChar w:fldCharType="separate"/>
        </w:r>
        <w:r>
          <w:rPr>
            <w:noProof/>
            <w:webHidden/>
          </w:rPr>
          <w:t>106</w:t>
        </w:r>
        <w:r>
          <w:rPr>
            <w:noProof/>
            <w:webHidden/>
          </w:rPr>
          <w:fldChar w:fldCharType="end"/>
        </w:r>
      </w:hyperlink>
    </w:p>
    <w:p w14:paraId="04883B7A" w14:textId="72F66558" w:rsidR="00F27D6F" w:rsidRDefault="00F27D6F">
      <w:pPr>
        <w:pStyle w:val="Spistreci3"/>
        <w:rPr>
          <w:rFonts w:asciiTheme="minorHAnsi" w:eastAsiaTheme="minorEastAsia" w:hAnsiTheme="minorHAnsi"/>
          <w:noProof/>
          <w:sz w:val="24"/>
          <w:szCs w:val="24"/>
          <w:lang w:eastAsia="pl-PL"/>
        </w:rPr>
      </w:pPr>
      <w:hyperlink w:anchor="_Toc202966924" w:history="1">
        <w:r w:rsidRPr="007619E5">
          <w:rPr>
            <w:rStyle w:val="Hipercze"/>
            <w:noProof/>
          </w:rPr>
          <w:t>6.4.2.</w:t>
        </w:r>
        <w:r>
          <w:rPr>
            <w:rFonts w:asciiTheme="minorHAnsi" w:eastAsiaTheme="minorEastAsia" w:hAnsiTheme="minorHAnsi"/>
            <w:noProof/>
            <w:sz w:val="24"/>
            <w:szCs w:val="24"/>
            <w:lang w:eastAsia="pl-PL"/>
          </w:rPr>
          <w:tab/>
        </w:r>
        <w:r w:rsidRPr="007619E5">
          <w:rPr>
            <w:rStyle w:val="Hipercze"/>
            <w:noProof/>
          </w:rPr>
          <w:t>Dynamika zatrudnienia w sektorach gospodarki</w:t>
        </w:r>
        <w:r>
          <w:rPr>
            <w:noProof/>
            <w:webHidden/>
          </w:rPr>
          <w:tab/>
        </w:r>
        <w:r>
          <w:rPr>
            <w:noProof/>
            <w:webHidden/>
          </w:rPr>
          <w:fldChar w:fldCharType="begin"/>
        </w:r>
        <w:r>
          <w:rPr>
            <w:noProof/>
            <w:webHidden/>
          </w:rPr>
          <w:instrText xml:space="preserve"> PAGEREF _Toc202966924 \h </w:instrText>
        </w:r>
        <w:r>
          <w:rPr>
            <w:noProof/>
            <w:webHidden/>
          </w:rPr>
        </w:r>
        <w:r>
          <w:rPr>
            <w:noProof/>
            <w:webHidden/>
          </w:rPr>
          <w:fldChar w:fldCharType="separate"/>
        </w:r>
        <w:r>
          <w:rPr>
            <w:noProof/>
            <w:webHidden/>
          </w:rPr>
          <w:t>106</w:t>
        </w:r>
        <w:r>
          <w:rPr>
            <w:noProof/>
            <w:webHidden/>
          </w:rPr>
          <w:fldChar w:fldCharType="end"/>
        </w:r>
      </w:hyperlink>
    </w:p>
    <w:p w14:paraId="795E67CC" w14:textId="5E52A001" w:rsidR="00F27D6F" w:rsidRDefault="00F27D6F">
      <w:pPr>
        <w:pStyle w:val="Spistreci3"/>
        <w:rPr>
          <w:rFonts w:asciiTheme="minorHAnsi" w:eastAsiaTheme="minorEastAsia" w:hAnsiTheme="minorHAnsi"/>
          <w:noProof/>
          <w:sz w:val="24"/>
          <w:szCs w:val="24"/>
          <w:lang w:eastAsia="pl-PL"/>
        </w:rPr>
      </w:pPr>
      <w:hyperlink w:anchor="_Toc202966925" w:history="1">
        <w:r w:rsidRPr="007619E5">
          <w:rPr>
            <w:rStyle w:val="Hipercze"/>
            <w:noProof/>
          </w:rPr>
          <w:t>6.4.3.</w:t>
        </w:r>
        <w:r>
          <w:rPr>
            <w:rFonts w:asciiTheme="minorHAnsi" w:eastAsiaTheme="minorEastAsia" w:hAnsiTheme="minorHAnsi"/>
            <w:noProof/>
            <w:sz w:val="24"/>
            <w:szCs w:val="24"/>
            <w:lang w:eastAsia="pl-PL"/>
          </w:rPr>
          <w:tab/>
        </w:r>
        <w:r w:rsidRPr="007619E5">
          <w:rPr>
            <w:rStyle w:val="Hipercze"/>
            <w:noProof/>
          </w:rPr>
          <w:t>Kwalifikacje pracowników</w:t>
        </w:r>
        <w:r>
          <w:rPr>
            <w:noProof/>
            <w:webHidden/>
          </w:rPr>
          <w:tab/>
        </w:r>
        <w:r>
          <w:rPr>
            <w:noProof/>
            <w:webHidden/>
          </w:rPr>
          <w:fldChar w:fldCharType="begin"/>
        </w:r>
        <w:r>
          <w:rPr>
            <w:noProof/>
            <w:webHidden/>
          </w:rPr>
          <w:instrText xml:space="preserve"> PAGEREF _Toc202966925 \h </w:instrText>
        </w:r>
        <w:r>
          <w:rPr>
            <w:noProof/>
            <w:webHidden/>
          </w:rPr>
        </w:r>
        <w:r>
          <w:rPr>
            <w:noProof/>
            <w:webHidden/>
          </w:rPr>
          <w:fldChar w:fldCharType="separate"/>
        </w:r>
        <w:r>
          <w:rPr>
            <w:noProof/>
            <w:webHidden/>
          </w:rPr>
          <w:t>107</w:t>
        </w:r>
        <w:r>
          <w:rPr>
            <w:noProof/>
            <w:webHidden/>
          </w:rPr>
          <w:fldChar w:fldCharType="end"/>
        </w:r>
      </w:hyperlink>
    </w:p>
    <w:p w14:paraId="35C0EAF5" w14:textId="4F2B95C4" w:rsidR="00F27D6F" w:rsidRDefault="00F27D6F">
      <w:pPr>
        <w:pStyle w:val="Spistreci3"/>
        <w:rPr>
          <w:rFonts w:asciiTheme="minorHAnsi" w:eastAsiaTheme="minorEastAsia" w:hAnsiTheme="minorHAnsi"/>
          <w:noProof/>
          <w:sz w:val="24"/>
          <w:szCs w:val="24"/>
          <w:lang w:eastAsia="pl-PL"/>
        </w:rPr>
      </w:pPr>
      <w:hyperlink w:anchor="_Toc202966926" w:history="1">
        <w:r w:rsidRPr="007619E5">
          <w:rPr>
            <w:rStyle w:val="Hipercze"/>
            <w:noProof/>
          </w:rPr>
          <w:t>6.4.4.</w:t>
        </w:r>
        <w:r>
          <w:rPr>
            <w:rFonts w:asciiTheme="minorHAnsi" w:eastAsiaTheme="minorEastAsia" w:hAnsiTheme="minorHAnsi"/>
            <w:noProof/>
            <w:sz w:val="24"/>
            <w:szCs w:val="24"/>
            <w:lang w:eastAsia="pl-PL"/>
          </w:rPr>
          <w:tab/>
        </w:r>
        <w:r w:rsidRPr="007619E5">
          <w:rPr>
            <w:rStyle w:val="Hipercze"/>
            <w:noProof/>
          </w:rPr>
          <w:t>Udział wydatków gospodarstw domowych na paliwa i energię</w:t>
        </w:r>
        <w:r>
          <w:rPr>
            <w:noProof/>
            <w:webHidden/>
          </w:rPr>
          <w:tab/>
        </w:r>
        <w:r>
          <w:rPr>
            <w:noProof/>
            <w:webHidden/>
          </w:rPr>
          <w:fldChar w:fldCharType="begin"/>
        </w:r>
        <w:r>
          <w:rPr>
            <w:noProof/>
            <w:webHidden/>
          </w:rPr>
          <w:instrText xml:space="preserve"> PAGEREF _Toc202966926 \h </w:instrText>
        </w:r>
        <w:r>
          <w:rPr>
            <w:noProof/>
            <w:webHidden/>
          </w:rPr>
        </w:r>
        <w:r>
          <w:rPr>
            <w:noProof/>
            <w:webHidden/>
          </w:rPr>
          <w:fldChar w:fldCharType="separate"/>
        </w:r>
        <w:r>
          <w:rPr>
            <w:noProof/>
            <w:webHidden/>
          </w:rPr>
          <w:t>108</w:t>
        </w:r>
        <w:r>
          <w:rPr>
            <w:noProof/>
            <w:webHidden/>
          </w:rPr>
          <w:fldChar w:fldCharType="end"/>
        </w:r>
      </w:hyperlink>
    </w:p>
    <w:p w14:paraId="45027792" w14:textId="3DB57972" w:rsidR="00F27D6F" w:rsidRDefault="00F27D6F">
      <w:pPr>
        <w:pStyle w:val="Spistreci3"/>
        <w:rPr>
          <w:rFonts w:asciiTheme="minorHAnsi" w:eastAsiaTheme="minorEastAsia" w:hAnsiTheme="minorHAnsi"/>
          <w:noProof/>
          <w:sz w:val="24"/>
          <w:szCs w:val="24"/>
          <w:lang w:eastAsia="pl-PL"/>
        </w:rPr>
      </w:pPr>
      <w:hyperlink w:anchor="_Toc202966927" w:history="1">
        <w:r w:rsidRPr="007619E5">
          <w:rPr>
            <w:rStyle w:val="Hipercze"/>
            <w:noProof/>
          </w:rPr>
          <w:t>6.4.5.</w:t>
        </w:r>
        <w:r>
          <w:rPr>
            <w:rFonts w:asciiTheme="minorHAnsi" w:eastAsiaTheme="minorEastAsia" w:hAnsiTheme="minorHAnsi"/>
            <w:noProof/>
            <w:sz w:val="24"/>
            <w:szCs w:val="24"/>
            <w:lang w:eastAsia="pl-PL"/>
          </w:rPr>
          <w:tab/>
        </w:r>
        <w:r w:rsidRPr="007619E5">
          <w:rPr>
            <w:rStyle w:val="Hipercze"/>
            <w:noProof/>
          </w:rPr>
          <w:t>Skutki zdrowotne i środowiskowe</w:t>
        </w:r>
        <w:r>
          <w:rPr>
            <w:noProof/>
            <w:webHidden/>
          </w:rPr>
          <w:tab/>
        </w:r>
        <w:r>
          <w:rPr>
            <w:noProof/>
            <w:webHidden/>
          </w:rPr>
          <w:fldChar w:fldCharType="begin"/>
        </w:r>
        <w:r>
          <w:rPr>
            <w:noProof/>
            <w:webHidden/>
          </w:rPr>
          <w:instrText xml:space="preserve"> PAGEREF _Toc202966927 \h </w:instrText>
        </w:r>
        <w:r>
          <w:rPr>
            <w:noProof/>
            <w:webHidden/>
          </w:rPr>
        </w:r>
        <w:r>
          <w:rPr>
            <w:noProof/>
            <w:webHidden/>
          </w:rPr>
          <w:fldChar w:fldCharType="separate"/>
        </w:r>
        <w:r>
          <w:rPr>
            <w:noProof/>
            <w:webHidden/>
          </w:rPr>
          <w:t>111</w:t>
        </w:r>
        <w:r>
          <w:rPr>
            <w:noProof/>
            <w:webHidden/>
          </w:rPr>
          <w:fldChar w:fldCharType="end"/>
        </w:r>
      </w:hyperlink>
    </w:p>
    <w:p w14:paraId="0AB1E938" w14:textId="1BCB5D14" w:rsidR="00F27D6F" w:rsidRDefault="00F27D6F">
      <w:pPr>
        <w:pStyle w:val="Spistreci2"/>
        <w:rPr>
          <w:rFonts w:asciiTheme="minorHAnsi" w:eastAsiaTheme="minorEastAsia" w:hAnsiTheme="minorHAnsi"/>
          <w:noProof/>
          <w:sz w:val="24"/>
          <w:szCs w:val="24"/>
          <w:lang w:eastAsia="pl-PL"/>
        </w:rPr>
      </w:pPr>
      <w:hyperlink w:anchor="_Toc202966928" w:history="1">
        <w:r w:rsidRPr="007619E5">
          <w:rPr>
            <w:rStyle w:val="Hipercze"/>
            <w:noProof/>
          </w:rPr>
          <w:t>6.5.</w:t>
        </w:r>
        <w:r>
          <w:rPr>
            <w:rFonts w:asciiTheme="minorHAnsi" w:eastAsiaTheme="minorEastAsia" w:hAnsiTheme="minorHAnsi"/>
            <w:noProof/>
            <w:sz w:val="24"/>
            <w:szCs w:val="24"/>
            <w:lang w:eastAsia="pl-PL"/>
          </w:rPr>
          <w:tab/>
        </w:r>
        <w:r w:rsidRPr="007619E5">
          <w:rPr>
            <w:rStyle w:val="Hipercze"/>
            <w:noProof/>
          </w:rPr>
          <w:t>Czynniki ryzyka w procesach inwestycyjnych</w:t>
        </w:r>
        <w:r>
          <w:rPr>
            <w:noProof/>
            <w:webHidden/>
          </w:rPr>
          <w:tab/>
        </w:r>
        <w:r>
          <w:rPr>
            <w:noProof/>
            <w:webHidden/>
          </w:rPr>
          <w:fldChar w:fldCharType="begin"/>
        </w:r>
        <w:r>
          <w:rPr>
            <w:noProof/>
            <w:webHidden/>
          </w:rPr>
          <w:instrText xml:space="preserve"> PAGEREF _Toc202966928 \h </w:instrText>
        </w:r>
        <w:r>
          <w:rPr>
            <w:noProof/>
            <w:webHidden/>
          </w:rPr>
        </w:r>
        <w:r>
          <w:rPr>
            <w:noProof/>
            <w:webHidden/>
          </w:rPr>
          <w:fldChar w:fldCharType="separate"/>
        </w:r>
        <w:r>
          <w:rPr>
            <w:noProof/>
            <w:webHidden/>
          </w:rPr>
          <w:t>113</w:t>
        </w:r>
        <w:r>
          <w:rPr>
            <w:noProof/>
            <w:webHidden/>
          </w:rPr>
          <w:fldChar w:fldCharType="end"/>
        </w:r>
      </w:hyperlink>
    </w:p>
    <w:p w14:paraId="664CC044" w14:textId="226C4259" w:rsidR="00F27D6F" w:rsidRDefault="00F27D6F">
      <w:pPr>
        <w:pStyle w:val="Spistreci3"/>
        <w:rPr>
          <w:rFonts w:asciiTheme="minorHAnsi" w:eastAsiaTheme="minorEastAsia" w:hAnsiTheme="minorHAnsi"/>
          <w:noProof/>
          <w:sz w:val="24"/>
          <w:szCs w:val="24"/>
          <w:lang w:eastAsia="pl-PL"/>
        </w:rPr>
      </w:pPr>
      <w:hyperlink w:anchor="_Toc202966929" w:history="1">
        <w:r w:rsidRPr="007619E5">
          <w:rPr>
            <w:rStyle w:val="Hipercze"/>
            <w:noProof/>
          </w:rPr>
          <w:t>6.5.1.</w:t>
        </w:r>
        <w:r>
          <w:rPr>
            <w:rFonts w:asciiTheme="minorHAnsi" w:eastAsiaTheme="minorEastAsia" w:hAnsiTheme="minorHAnsi"/>
            <w:noProof/>
            <w:sz w:val="24"/>
            <w:szCs w:val="24"/>
            <w:lang w:eastAsia="pl-PL"/>
          </w:rPr>
          <w:tab/>
        </w:r>
        <w:r w:rsidRPr="007619E5">
          <w:rPr>
            <w:rStyle w:val="Hipercze"/>
            <w:noProof/>
          </w:rPr>
          <w:t>Czynniki ryzyka finansowego</w:t>
        </w:r>
        <w:r>
          <w:rPr>
            <w:noProof/>
            <w:webHidden/>
          </w:rPr>
          <w:tab/>
        </w:r>
        <w:r>
          <w:rPr>
            <w:noProof/>
            <w:webHidden/>
          </w:rPr>
          <w:fldChar w:fldCharType="begin"/>
        </w:r>
        <w:r>
          <w:rPr>
            <w:noProof/>
            <w:webHidden/>
          </w:rPr>
          <w:instrText xml:space="preserve"> PAGEREF _Toc202966929 \h </w:instrText>
        </w:r>
        <w:r>
          <w:rPr>
            <w:noProof/>
            <w:webHidden/>
          </w:rPr>
        </w:r>
        <w:r>
          <w:rPr>
            <w:noProof/>
            <w:webHidden/>
          </w:rPr>
          <w:fldChar w:fldCharType="separate"/>
        </w:r>
        <w:r>
          <w:rPr>
            <w:noProof/>
            <w:webHidden/>
          </w:rPr>
          <w:t>113</w:t>
        </w:r>
        <w:r>
          <w:rPr>
            <w:noProof/>
            <w:webHidden/>
          </w:rPr>
          <w:fldChar w:fldCharType="end"/>
        </w:r>
      </w:hyperlink>
    </w:p>
    <w:p w14:paraId="2978D003" w14:textId="02C22D19" w:rsidR="00F27D6F" w:rsidRDefault="00F27D6F">
      <w:pPr>
        <w:pStyle w:val="Spistreci3"/>
        <w:rPr>
          <w:rFonts w:asciiTheme="minorHAnsi" w:eastAsiaTheme="minorEastAsia" w:hAnsiTheme="minorHAnsi"/>
          <w:noProof/>
          <w:sz w:val="24"/>
          <w:szCs w:val="24"/>
          <w:lang w:eastAsia="pl-PL"/>
        </w:rPr>
      </w:pPr>
      <w:hyperlink w:anchor="_Toc202966930" w:history="1">
        <w:r w:rsidRPr="007619E5">
          <w:rPr>
            <w:rStyle w:val="Hipercze"/>
            <w:noProof/>
          </w:rPr>
          <w:t>6.5.2.</w:t>
        </w:r>
        <w:r>
          <w:rPr>
            <w:rFonts w:asciiTheme="minorHAnsi" w:eastAsiaTheme="minorEastAsia" w:hAnsiTheme="minorHAnsi"/>
            <w:noProof/>
            <w:sz w:val="24"/>
            <w:szCs w:val="24"/>
            <w:lang w:eastAsia="pl-PL"/>
          </w:rPr>
          <w:tab/>
        </w:r>
        <w:r w:rsidRPr="007619E5">
          <w:rPr>
            <w:rStyle w:val="Hipercze"/>
            <w:noProof/>
          </w:rPr>
          <w:t>Czynniki ryzyka sektorowego, rynkowego lub regulacyjnego dot. rynków finansowych, bądź bariery w kontekście krajowym lub regionalnym</w:t>
        </w:r>
        <w:r>
          <w:rPr>
            <w:noProof/>
            <w:webHidden/>
          </w:rPr>
          <w:tab/>
        </w:r>
        <w:r>
          <w:rPr>
            <w:noProof/>
            <w:webHidden/>
          </w:rPr>
          <w:fldChar w:fldCharType="begin"/>
        </w:r>
        <w:r>
          <w:rPr>
            <w:noProof/>
            <w:webHidden/>
          </w:rPr>
          <w:instrText xml:space="preserve"> PAGEREF _Toc202966930 \h </w:instrText>
        </w:r>
        <w:r>
          <w:rPr>
            <w:noProof/>
            <w:webHidden/>
          </w:rPr>
        </w:r>
        <w:r>
          <w:rPr>
            <w:noProof/>
            <w:webHidden/>
          </w:rPr>
          <w:fldChar w:fldCharType="separate"/>
        </w:r>
        <w:r>
          <w:rPr>
            <w:noProof/>
            <w:webHidden/>
          </w:rPr>
          <w:t>115</w:t>
        </w:r>
        <w:r>
          <w:rPr>
            <w:noProof/>
            <w:webHidden/>
          </w:rPr>
          <w:fldChar w:fldCharType="end"/>
        </w:r>
      </w:hyperlink>
    </w:p>
    <w:p w14:paraId="1AD0DEBB" w14:textId="7BAFE7DC" w:rsidR="00F27D6F" w:rsidRDefault="00F27D6F">
      <w:pPr>
        <w:pStyle w:val="Spistreci1"/>
        <w:rPr>
          <w:rFonts w:asciiTheme="minorHAnsi" w:eastAsiaTheme="minorEastAsia" w:hAnsiTheme="minorHAnsi"/>
          <w:noProof/>
          <w:sz w:val="24"/>
          <w:szCs w:val="24"/>
          <w:lang w:eastAsia="pl-PL"/>
        </w:rPr>
      </w:pPr>
      <w:hyperlink w:anchor="_Toc202966931" w:history="1">
        <w:r w:rsidRPr="007619E5">
          <w:rPr>
            <w:rStyle w:val="Hipercze"/>
            <w:noProof/>
          </w:rPr>
          <w:t>7.</w:t>
        </w:r>
        <w:r>
          <w:rPr>
            <w:rFonts w:asciiTheme="minorHAnsi" w:eastAsiaTheme="minorEastAsia" w:hAnsiTheme="minorHAnsi"/>
            <w:noProof/>
            <w:sz w:val="24"/>
            <w:szCs w:val="24"/>
            <w:lang w:eastAsia="pl-PL"/>
          </w:rPr>
          <w:tab/>
        </w:r>
        <w:r w:rsidRPr="007619E5">
          <w:rPr>
            <w:rStyle w:val="Hipercze"/>
            <w:noProof/>
          </w:rPr>
          <w:t>Wpływ planowanych polityk i działań na inne państwa członkowskie i współpracę regionalną</w:t>
        </w:r>
        <w:r>
          <w:rPr>
            <w:noProof/>
            <w:webHidden/>
          </w:rPr>
          <w:tab/>
        </w:r>
        <w:r>
          <w:rPr>
            <w:noProof/>
            <w:webHidden/>
          </w:rPr>
          <w:fldChar w:fldCharType="begin"/>
        </w:r>
        <w:r>
          <w:rPr>
            <w:noProof/>
            <w:webHidden/>
          </w:rPr>
          <w:instrText xml:space="preserve"> PAGEREF _Toc202966931 \h </w:instrText>
        </w:r>
        <w:r>
          <w:rPr>
            <w:noProof/>
            <w:webHidden/>
          </w:rPr>
        </w:r>
        <w:r>
          <w:rPr>
            <w:noProof/>
            <w:webHidden/>
          </w:rPr>
          <w:fldChar w:fldCharType="separate"/>
        </w:r>
        <w:r>
          <w:rPr>
            <w:noProof/>
            <w:webHidden/>
          </w:rPr>
          <w:t>122</w:t>
        </w:r>
        <w:r>
          <w:rPr>
            <w:noProof/>
            <w:webHidden/>
          </w:rPr>
          <w:fldChar w:fldCharType="end"/>
        </w:r>
      </w:hyperlink>
    </w:p>
    <w:p w14:paraId="59FD6507" w14:textId="1F6A6953" w:rsidR="00F27D6F" w:rsidRDefault="00F27D6F">
      <w:pPr>
        <w:pStyle w:val="Spistreci2"/>
        <w:rPr>
          <w:rFonts w:asciiTheme="minorHAnsi" w:eastAsiaTheme="minorEastAsia" w:hAnsiTheme="minorHAnsi"/>
          <w:noProof/>
          <w:sz w:val="24"/>
          <w:szCs w:val="24"/>
          <w:lang w:eastAsia="pl-PL"/>
        </w:rPr>
      </w:pPr>
      <w:hyperlink w:anchor="_Toc202966932" w:history="1">
        <w:r w:rsidRPr="007619E5">
          <w:rPr>
            <w:rStyle w:val="Hipercze"/>
            <w:noProof/>
          </w:rPr>
          <w:t>7.1.</w:t>
        </w:r>
        <w:r>
          <w:rPr>
            <w:rFonts w:asciiTheme="minorHAnsi" w:eastAsiaTheme="minorEastAsia" w:hAnsiTheme="minorHAnsi"/>
            <w:noProof/>
            <w:sz w:val="24"/>
            <w:szCs w:val="24"/>
            <w:lang w:eastAsia="pl-PL"/>
          </w:rPr>
          <w:tab/>
        </w:r>
        <w:r w:rsidRPr="007619E5">
          <w:rPr>
            <w:rStyle w:val="Hipercze"/>
            <w:noProof/>
          </w:rPr>
          <w:t>Wpływ na system energetyczny w państwach sąsiednich i w innych państwach członkowskich w regionie</w:t>
        </w:r>
        <w:r>
          <w:rPr>
            <w:noProof/>
            <w:webHidden/>
          </w:rPr>
          <w:tab/>
        </w:r>
        <w:r>
          <w:rPr>
            <w:noProof/>
            <w:webHidden/>
          </w:rPr>
          <w:fldChar w:fldCharType="begin"/>
        </w:r>
        <w:r>
          <w:rPr>
            <w:noProof/>
            <w:webHidden/>
          </w:rPr>
          <w:instrText xml:space="preserve"> PAGEREF _Toc202966932 \h </w:instrText>
        </w:r>
        <w:r>
          <w:rPr>
            <w:noProof/>
            <w:webHidden/>
          </w:rPr>
        </w:r>
        <w:r>
          <w:rPr>
            <w:noProof/>
            <w:webHidden/>
          </w:rPr>
          <w:fldChar w:fldCharType="separate"/>
        </w:r>
        <w:r>
          <w:rPr>
            <w:noProof/>
            <w:webHidden/>
          </w:rPr>
          <w:t>122</w:t>
        </w:r>
        <w:r>
          <w:rPr>
            <w:noProof/>
            <w:webHidden/>
          </w:rPr>
          <w:fldChar w:fldCharType="end"/>
        </w:r>
      </w:hyperlink>
    </w:p>
    <w:p w14:paraId="6919A71D" w14:textId="42D45445" w:rsidR="00F27D6F" w:rsidRDefault="00F27D6F">
      <w:pPr>
        <w:pStyle w:val="Spistreci3"/>
        <w:rPr>
          <w:rFonts w:asciiTheme="minorHAnsi" w:eastAsiaTheme="minorEastAsia" w:hAnsiTheme="minorHAnsi"/>
          <w:noProof/>
          <w:sz w:val="24"/>
          <w:szCs w:val="24"/>
          <w:lang w:eastAsia="pl-PL"/>
        </w:rPr>
      </w:pPr>
      <w:hyperlink w:anchor="_Toc202966933" w:history="1">
        <w:r w:rsidRPr="007619E5">
          <w:rPr>
            <w:rStyle w:val="Hipercze"/>
            <w:noProof/>
          </w:rPr>
          <w:t>7.1.1.</w:t>
        </w:r>
        <w:r>
          <w:rPr>
            <w:rFonts w:asciiTheme="minorHAnsi" w:eastAsiaTheme="minorEastAsia" w:hAnsiTheme="minorHAnsi"/>
            <w:noProof/>
            <w:sz w:val="24"/>
            <w:szCs w:val="24"/>
            <w:lang w:eastAsia="pl-PL"/>
          </w:rPr>
          <w:tab/>
        </w:r>
        <w:r w:rsidRPr="007619E5">
          <w:rPr>
            <w:rStyle w:val="Hipercze"/>
            <w:noProof/>
          </w:rPr>
          <w:t>Systemy elektroenergetyczne</w:t>
        </w:r>
        <w:r>
          <w:rPr>
            <w:noProof/>
            <w:webHidden/>
          </w:rPr>
          <w:tab/>
        </w:r>
        <w:r>
          <w:rPr>
            <w:noProof/>
            <w:webHidden/>
          </w:rPr>
          <w:fldChar w:fldCharType="begin"/>
        </w:r>
        <w:r>
          <w:rPr>
            <w:noProof/>
            <w:webHidden/>
          </w:rPr>
          <w:instrText xml:space="preserve"> PAGEREF _Toc202966933 \h </w:instrText>
        </w:r>
        <w:r>
          <w:rPr>
            <w:noProof/>
            <w:webHidden/>
          </w:rPr>
        </w:r>
        <w:r>
          <w:rPr>
            <w:noProof/>
            <w:webHidden/>
          </w:rPr>
          <w:fldChar w:fldCharType="separate"/>
        </w:r>
        <w:r>
          <w:rPr>
            <w:noProof/>
            <w:webHidden/>
          </w:rPr>
          <w:t>122</w:t>
        </w:r>
        <w:r>
          <w:rPr>
            <w:noProof/>
            <w:webHidden/>
          </w:rPr>
          <w:fldChar w:fldCharType="end"/>
        </w:r>
      </w:hyperlink>
    </w:p>
    <w:p w14:paraId="182D011E" w14:textId="47AA3A28" w:rsidR="00F27D6F" w:rsidRDefault="00F27D6F">
      <w:pPr>
        <w:pStyle w:val="Spistreci3"/>
        <w:rPr>
          <w:rFonts w:asciiTheme="minorHAnsi" w:eastAsiaTheme="minorEastAsia" w:hAnsiTheme="minorHAnsi"/>
          <w:noProof/>
          <w:sz w:val="24"/>
          <w:szCs w:val="24"/>
          <w:lang w:eastAsia="pl-PL"/>
        </w:rPr>
      </w:pPr>
      <w:hyperlink w:anchor="_Toc202966934" w:history="1">
        <w:r w:rsidRPr="007619E5">
          <w:rPr>
            <w:rStyle w:val="Hipercze"/>
            <w:noProof/>
          </w:rPr>
          <w:t>7.1.2.</w:t>
        </w:r>
        <w:r>
          <w:rPr>
            <w:rFonts w:asciiTheme="minorHAnsi" w:eastAsiaTheme="minorEastAsia" w:hAnsiTheme="minorHAnsi"/>
            <w:noProof/>
            <w:sz w:val="24"/>
            <w:szCs w:val="24"/>
            <w:lang w:eastAsia="pl-PL"/>
          </w:rPr>
          <w:tab/>
        </w:r>
        <w:r w:rsidRPr="007619E5">
          <w:rPr>
            <w:rStyle w:val="Hipercze"/>
            <w:noProof/>
          </w:rPr>
          <w:t>Systemy gazowe</w:t>
        </w:r>
        <w:r>
          <w:rPr>
            <w:noProof/>
            <w:webHidden/>
          </w:rPr>
          <w:tab/>
        </w:r>
        <w:r>
          <w:rPr>
            <w:noProof/>
            <w:webHidden/>
          </w:rPr>
          <w:fldChar w:fldCharType="begin"/>
        </w:r>
        <w:r>
          <w:rPr>
            <w:noProof/>
            <w:webHidden/>
          </w:rPr>
          <w:instrText xml:space="preserve"> PAGEREF _Toc202966934 \h </w:instrText>
        </w:r>
        <w:r>
          <w:rPr>
            <w:noProof/>
            <w:webHidden/>
          </w:rPr>
        </w:r>
        <w:r>
          <w:rPr>
            <w:noProof/>
            <w:webHidden/>
          </w:rPr>
          <w:fldChar w:fldCharType="separate"/>
        </w:r>
        <w:r>
          <w:rPr>
            <w:noProof/>
            <w:webHidden/>
          </w:rPr>
          <w:t>123</w:t>
        </w:r>
        <w:r>
          <w:rPr>
            <w:noProof/>
            <w:webHidden/>
          </w:rPr>
          <w:fldChar w:fldCharType="end"/>
        </w:r>
      </w:hyperlink>
    </w:p>
    <w:p w14:paraId="11909FDD" w14:textId="72F901A4" w:rsidR="00F27D6F" w:rsidRDefault="00F27D6F">
      <w:pPr>
        <w:pStyle w:val="Spistreci3"/>
        <w:rPr>
          <w:rFonts w:asciiTheme="minorHAnsi" w:eastAsiaTheme="minorEastAsia" w:hAnsiTheme="minorHAnsi"/>
          <w:noProof/>
          <w:sz w:val="24"/>
          <w:szCs w:val="24"/>
          <w:lang w:eastAsia="pl-PL"/>
        </w:rPr>
      </w:pPr>
      <w:hyperlink w:anchor="_Toc202966935" w:history="1">
        <w:r w:rsidRPr="007619E5">
          <w:rPr>
            <w:rStyle w:val="Hipercze"/>
            <w:noProof/>
          </w:rPr>
          <w:t>7.1.3.</w:t>
        </w:r>
        <w:r>
          <w:rPr>
            <w:rFonts w:asciiTheme="minorHAnsi" w:eastAsiaTheme="minorEastAsia" w:hAnsiTheme="minorHAnsi"/>
            <w:noProof/>
            <w:sz w:val="24"/>
            <w:szCs w:val="24"/>
            <w:lang w:eastAsia="pl-PL"/>
          </w:rPr>
          <w:tab/>
        </w:r>
        <w:r w:rsidRPr="007619E5">
          <w:rPr>
            <w:rStyle w:val="Hipercze"/>
            <w:noProof/>
          </w:rPr>
          <w:t>Energetyka jądrowa</w:t>
        </w:r>
        <w:r>
          <w:rPr>
            <w:noProof/>
            <w:webHidden/>
          </w:rPr>
          <w:tab/>
        </w:r>
        <w:r>
          <w:rPr>
            <w:noProof/>
            <w:webHidden/>
          </w:rPr>
          <w:fldChar w:fldCharType="begin"/>
        </w:r>
        <w:r>
          <w:rPr>
            <w:noProof/>
            <w:webHidden/>
          </w:rPr>
          <w:instrText xml:space="preserve"> PAGEREF _Toc202966935 \h </w:instrText>
        </w:r>
        <w:r>
          <w:rPr>
            <w:noProof/>
            <w:webHidden/>
          </w:rPr>
        </w:r>
        <w:r>
          <w:rPr>
            <w:noProof/>
            <w:webHidden/>
          </w:rPr>
          <w:fldChar w:fldCharType="separate"/>
        </w:r>
        <w:r>
          <w:rPr>
            <w:noProof/>
            <w:webHidden/>
          </w:rPr>
          <w:t>123</w:t>
        </w:r>
        <w:r>
          <w:rPr>
            <w:noProof/>
            <w:webHidden/>
          </w:rPr>
          <w:fldChar w:fldCharType="end"/>
        </w:r>
      </w:hyperlink>
    </w:p>
    <w:p w14:paraId="74518B18" w14:textId="62F3BC3B" w:rsidR="00F27D6F" w:rsidRDefault="00F27D6F">
      <w:pPr>
        <w:pStyle w:val="Spistreci3"/>
        <w:rPr>
          <w:rFonts w:asciiTheme="minorHAnsi" w:eastAsiaTheme="minorEastAsia" w:hAnsiTheme="minorHAnsi"/>
          <w:noProof/>
          <w:sz w:val="24"/>
          <w:szCs w:val="24"/>
          <w:lang w:eastAsia="pl-PL"/>
        </w:rPr>
      </w:pPr>
      <w:hyperlink w:anchor="_Toc202966936" w:history="1">
        <w:r w:rsidRPr="007619E5">
          <w:rPr>
            <w:rStyle w:val="Hipercze"/>
            <w:noProof/>
          </w:rPr>
          <w:t>7.1.4.</w:t>
        </w:r>
        <w:r>
          <w:rPr>
            <w:rFonts w:asciiTheme="minorHAnsi" w:eastAsiaTheme="minorEastAsia" w:hAnsiTheme="minorHAnsi"/>
            <w:noProof/>
            <w:sz w:val="24"/>
            <w:szCs w:val="24"/>
            <w:lang w:eastAsia="pl-PL"/>
          </w:rPr>
          <w:tab/>
        </w:r>
        <w:r w:rsidRPr="007619E5">
          <w:rPr>
            <w:rStyle w:val="Hipercze"/>
            <w:noProof/>
          </w:rPr>
          <w:t>Rynek mocy</w:t>
        </w:r>
        <w:r>
          <w:rPr>
            <w:noProof/>
            <w:webHidden/>
          </w:rPr>
          <w:tab/>
        </w:r>
        <w:r>
          <w:rPr>
            <w:noProof/>
            <w:webHidden/>
          </w:rPr>
          <w:fldChar w:fldCharType="begin"/>
        </w:r>
        <w:r>
          <w:rPr>
            <w:noProof/>
            <w:webHidden/>
          </w:rPr>
          <w:instrText xml:space="preserve"> PAGEREF _Toc202966936 \h </w:instrText>
        </w:r>
        <w:r>
          <w:rPr>
            <w:noProof/>
            <w:webHidden/>
          </w:rPr>
        </w:r>
        <w:r>
          <w:rPr>
            <w:noProof/>
            <w:webHidden/>
          </w:rPr>
          <w:fldChar w:fldCharType="separate"/>
        </w:r>
        <w:r>
          <w:rPr>
            <w:noProof/>
            <w:webHidden/>
          </w:rPr>
          <w:t>124</w:t>
        </w:r>
        <w:r>
          <w:rPr>
            <w:noProof/>
            <w:webHidden/>
          </w:rPr>
          <w:fldChar w:fldCharType="end"/>
        </w:r>
      </w:hyperlink>
    </w:p>
    <w:p w14:paraId="7751FF31" w14:textId="13A53E5E" w:rsidR="00F27D6F" w:rsidRDefault="00F27D6F">
      <w:pPr>
        <w:pStyle w:val="Spistreci2"/>
        <w:rPr>
          <w:rFonts w:asciiTheme="minorHAnsi" w:eastAsiaTheme="minorEastAsia" w:hAnsiTheme="minorHAnsi"/>
          <w:noProof/>
          <w:sz w:val="24"/>
          <w:szCs w:val="24"/>
          <w:lang w:eastAsia="pl-PL"/>
        </w:rPr>
      </w:pPr>
      <w:hyperlink w:anchor="_Toc202966937" w:history="1">
        <w:r w:rsidRPr="007619E5">
          <w:rPr>
            <w:rStyle w:val="Hipercze"/>
            <w:noProof/>
          </w:rPr>
          <w:t>7.2.</w:t>
        </w:r>
        <w:r>
          <w:rPr>
            <w:rFonts w:asciiTheme="minorHAnsi" w:eastAsiaTheme="minorEastAsia" w:hAnsiTheme="minorHAnsi"/>
            <w:noProof/>
            <w:sz w:val="24"/>
            <w:szCs w:val="24"/>
            <w:lang w:eastAsia="pl-PL"/>
          </w:rPr>
          <w:tab/>
        </w:r>
        <w:r w:rsidRPr="007619E5">
          <w:rPr>
            <w:rStyle w:val="Hipercze"/>
            <w:noProof/>
          </w:rPr>
          <w:t>Wpływ na ceny energii, usługi energetyczne i integrację rynku energii</w:t>
        </w:r>
        <w:r>
          <w:rPr>
            <w:noProof/>
            <w:webHidden/>
          </w:rPr>
          <w:tab/>
        </w:r>
        <w:r>
          <w:rPr>
            <w:noProof/>
            <w:webHidden/>
          </w:rPr>
          <w:fldChar w:fldCharType="begin"/>
        </w:r>
        <w:r>
          <w:rPr>
            <w:noProof/>
            <w:webHidden/>
          </w:rPr>
          <w:instrText xml:space="preserve"> PAGEREF _Toc202966937 \h </w:instrText>
        </w:r>
        <w:r>
          <w:rPr>
            <w:noProof/>
            <w:webHidden/>
          </w:rPr>
        </w:r>
        <w:r>
          <w:rPr>
            <w:noProof/>
            <w:webHidden/>
          </w:rPr>
          <w:fldChar w:fldCharType="separate"/>
        </w:r>
        <w:r>
          <w:rPr>
            <w:noProof/>
            <w:webHidden/>
          </w:rPr>
          <w:t>124</w:t>
        </w:r>
        <w:r>
          <w:rPr>
            <w:noProof/>
            <w:webHidden/>
          </w:rPr>
          <w:fldChar w:fldCharType="end"/>
        </w:r>
      </w:hyperlink>
    </w:p>
    <w:p w14:paraId="1FB7F529" w14:textId="1EBD3652" w:rsidR="00F27D6F" w:rsidRDefault="00F27D6F">
      <w:pPr>
        <w:pStyle w:val="Spistreci3"/>
        <w:rPr>
          <w:rFonts w:asciiTheme="minorHAnsi" w:eastAsiaTheme="minorEastAsia" w:hAnsiTheme="minorHAnsi"/>
          <w:noProof/>
          <w:sz w:val="24"/>
          <w:szCs w:val="24"/>
          <w:lang w:eastAsia="pl-PL"/>
        </w:rPr>
      </w:pPr>
      <w:hyperlink w:anchor="_Toc202966938" w:history="1">
        <w:r w:rsidRPr="007619E5">
          <w:rPr>
            <w:rStyle w:val="Hipercze"/>
            <w:noProof/>
          </w:rPr>
          <w:t>7.2.1.</w:t>
        </w:r>
        <w:r>
          <w:rPr>
            <w:rFonts w:asciiTheme="minorHAnsi" w:eastAsiaTheme="minorEastAsia" w:hAnsiTheme="minorHAnsi"/>
            <w:noProof/>
            <w:sz w:val="24"/>
            <w:szCs w:val="24"/>
            <w:lang w:eastAsia="pl-PL"/>
          </w:rPr>
          <w:tab/>
        </w:r>
        <w:r w:rsidRPr="007619E5">
          <w:rPr>
            <w:rStyle w:val="Hipercze"/>
            <w:noProof/>
          </w:rPr>
          <w:t>Ceny energii</w:t>
        </w:r>
        <w:r>
          <w:rPr>
            <w:noProof/>
            <w:webHidden/>
          </w:rPr>
          <w:tab/>
        </w:r>
        <w:r>
          <w:rPr>
            <w:noProof/>
            <w:webHidden/>
          </w:rPr>
          <w:fldChar w:fldCharType="begin"/>
        </w:r>
        <w:r>
          <w:rPr>
            <w:noProof/>
            <w:webHidden/>
          </w:rPr>
          <w:instrText xml:space="preserve"> PAGEREF _Toc202966938 \h </w:instrText>
        </w:r>
        <w:r>
          <w:rPr>
            <w:noProof/>
            <w:webHidden/>
          </w:rPr>
        </w:r>
        <w:r>
          <w:rPr>
            <w:noProof/>
            <w:webHidden/>
          </w:rPr>
          <w:fldChar w:fldCharType="separate"/>
        </w:r>
        <w:r>
          <w:rPr>
            <w:noProof/>
            <w:webHidden/>
          </w:rPr>
          <w:t>124</w:t>
        </w:r>
        <w:r>
          <w:rPr>
            <w:noProof/>
            <w:webHidden/>
          </w:rPr>
          <w:fldChar w:fldCharType="end"/>
        </w:r>
      </w:hyperlink>
    </w:p>
    <w:p w14:paraId="6F44F132" w14:textId="483FD931" w:rsidR="00F27D6F" w:rsidRDefault="00F27D6F">
      <w:pPr>
        <w:pStyle w:val="Spistreci3"/>
        <w:rPr>
          <w:rFonts w:asciiTheme="minorHAnsi" w:eastAsiaTheme="minorEastAsia" w:hAnsiTheme="minorHAnsi"/>
          <w:noProof/>
          <w:sz w:val="24"/>
          <w:szCs w:val="24"/>
          <w:lang w:eastAsia="pl-PL"/>
        </w:rPr>
      </w:pPr>
      <w:hyperlink w:anchor="_Toc202966939" w:history="1">
        <w:r w:rsidRPr="007619E5">
          <w:rPr>
            <w:rStyle w:val="Hipercze"/>
            <w:noProof/>
          </w:rPr>
          <w:t>7.2.2.</w:t>
        </w:r>
        <w:r>
          <w:rPr>
            <w:rFonts w:asciiTheme="minorHAnsi" w:eastAsiaTheme="minorEastAsia" w:hAnsiTheme="minorHAnsi"/>
            <w:noProof/>
            <w:sz w:val="24"/>
            <w:szCs w:val="24"/>
            <w:lang w:eastAsia="pl-PL"/>
          </w:rPr>
          <w:tab/>
        </w:r>
        <w:r w:rsidRPr="007619E5">
          <w:rPr>
            <w:rStyle w:val="Hipercze"/>
            <w:noProof/>
          </w:rPr>
          <w:t>Integracja rynku energii</w:t>
        </w:r>
        <w:r>
          <w:rPr>
            <w:noProof/>
            <w:webHidden/>
          </w:rPr>
          <w:tab/>
        </w:r>
        <w:r>
          <w:rPr>
            <w:noProof/>
            <w:webHidden/>
          </w:rPr>
          <w:fldChar w:fldCharType="begin"/>
        </w:r>
        <w:r>
          <w:rPr>
            <w:noProof/>
            <w:webHidden/>
          </w:rPr>
          <w:instrText xml:space="preserve"> PAGEREF _Toc202966939 \h </w:instrText>
        </w:r>
        <w:r>
          <w:rPr>
            <w:noProof/>
            <w:webHidden/>
          </w:rPr>
        </w:r>
        <w:r>
          <w:rPr>
            <w:noProof/>
            <w:webHidden/>
          </w:rPr>
          <w:fldChar w:fldCharType="separate"/>
        </w:r>
        <w:r>
          <w:rPr>
            <w:noProof/>
            <w:webHidden/>
          </w:rPr>
          <w:t>125</w:t>
        </w:r>
        <w:r>
          <w:rPr>
            <w:noProof/>
            <w:webHidden/>
          </w:rPr>
          <w:fldChar w:fldCharType="end"/>
        </w:r>
      </w:hyperlink>
    </w:p>
    <w:p w14:paraId="42E5FA0F" w14:textId="3484F9D9" w:rsidR="00F27D6F" w:rsidRDefault="00F27D6F">
      <w:pPr>
        <w:pStyle w:val="Spistreci2"/>
        <w:rPr>
          <w:rFonts w:asciiTheme="minorHAnsi" w:eastAsiaTheme="minorEastAsia" w:hAnsiTheme="minorHAnsi"/>
          <w:noProof/>
          <w:sz w:val="24"/>
          <w:szCs w:val="24"/>
          <w:lang w:eastAsia="pl-PL"/>
        </w:rPr>
      </w:pPr>
      <w:hyperlink w:anchor="_Toc202966940" w:history="1">
        <w:r w:rsidRPr="007619E5">
          <w:rPr>
            <w:rStyle w:val="Hipercze"/>
            <w:noProof/>
          </w:rPr>
          <w:t>7.3.</w:t>
        </w:r>
        <w:r>
          <w:rPr>
            <w:rFonts w:asciiTheme="minorHAnsi" w:eastAsiaTheme="minorEastAsia" w:hAnsiTheme="minorHAnsi"/>
            <w:noProof/>
            <w:sz w:val="24"/>
            <w:szCs w:val="24"/>
            <w:lang w:eastAsia="pl-PL"/>
          </w:rPr>
          <w:tab/>
        </w:r>
        <w:r w:rsidRPr="007619E5">
          <w:rPr>
            <w:rStyle w:val="Hipercze"/>
            <w:noProof/>
          </w:rPr>
          <w:t>Wpływ na współpracę regionalną</w:t>
        </w:r>
        <w:r>
          <w:rPr>
            <w:noProof/>
            <w:webHidden/>
          </w:rPr>
          <w:tab/>
        </w:r>
        <w:r>
          <w:rPr>
            <w:noProof/>
            <w:webHidden/>
          </w:rPr>
          <w:fldChar w:fldCharType="begin"/>
        </w:r>
        <w:r>
          <w:rPr>
            <w:noProof/>
            <w:webHidden/>
          </w:rPr>
          <w:instrText xml:space="preserve"> PAGEREF _Toc202966940 \h </w:instrText>
        </w:r>
        <w:r>
          <w:rPr>
            <w:noProof/>
            <w:webHidden/>
          </w:rPr>
        </w:r>
        <w:r>
          <w:rPr>
            <w:noProof/>
            <w:webHidden/>
          </w:rPr>
          <w:fldChar w:fldCharType="separate"/>
        </w:r>
        <w:r>
          <w:rPr>
            <w:noProof/>
            <w:webHidden/>
          </w:rPr>
          <w:t>126</w:t>
        </w:r>
        <w:r>
          <w:rPr>
            <w:noProof/>
            <w:webHidden/>
          </w:rPr>
          <w:fldChar w:fldCharType="end"/>
        </w:r>
      </w:hyperlink>
    </w:p>
    <w:p w14:paraId="0BB6E4B3" w14:textId="62C18276" w:rsidR="00F27D6F" w:rsidRDefault="00F27D6F">
      <w:pPr>
        <w:pStyle w:val="Spistreci1"/>
        <w:rPr>
          <w:rFonts w:asciiTheme="minorHAnsi" w:eastAsiaTheme="minorEastAsia" w:hAnsiTheme="minorHAnsi"/>
          <w:noProof/>
          <w:sz w:val="24"/>
          <w:szCs w:val="24"/>
          <w:lang w:eastAsia="pl-PL"/>
        </w:rPr>
      </w:pPr>
      <w:hyperlink w:anchor="_Toc202966941" w:history="1">
        <w:r w:rsidRPr="007619E5">
          <w:rPr>
            <w:rStyle w:val="Hipercze"/>
            <w:noProof/>
          </w:rPr>
          <w:t>8.</w:t>
        </w:r>
        <w:r>
          <w:rPr>
            <w:rFonts w:asciiTheme="minorHAnsi" w:eastAsiaTheme="minorEastAsia" w:hAnsiTheme="minorHAnsi"/>
            <w:noProof/>
            <w:sz w:val="24"/>
            <w:szCs w:val="24"/>
            <w:lang w:eastAsia="pl-PL"/>
          </w:rPr>
          <w:tab/>
        </w:r>
        <w:r w:rsidRPr="007619E5">
          <w:rPr>
            <w:rStyle w:val="Hipercze"/>
            <w:noProof/>
          </w:rPr>
          <w:t>Wkład planowanych polityk i działań na rzecz osiągnięcia unijnego celu neutralności klimatycznej</w:t>
        </w:r>
        <w:r>
          <w:rPr>
            <w:noProof/>
            <w:webHidden/>
          </w:rPr>
          <w:tab/>
        </w:r>
        <w:r>
          <w:rPr>
            <w:noProof/>
            <w:webHidden/>
          </w:rPr>
          <w:fldChar w:fldCharType="begin"/>
        </w:r>
        <w:r>
          <w:rPr>
            <w:noProof/>
            <w:webHidden/>
          </w:rPr>
          <w:instrText xml:space="preserve"> PAGEREF _Toc202966941 \h </w:instrText>
        </w:r>
        <w:r>
          <w:rPr>
            <w:noProof/>
            <w:webHidden/>
          </w:rPr>
        </w:r>
        <w:r>
          <w:rPr>
            <w:noProof/>
            <w:webHidden/>
          </w:rPr>
          <w:fldChar w:fldCharType="separate"/>
        </w:r>
        <w:r>
          <w:rPr>
            <w:noProof/>
            <w:webHidden/>
          </w:rPr>
          <w:t>128</w:t>
        </w:r>
        <w:r>
          <w:rPr>
            <w:noProof/>
            <w:webHidden/>
          </w:rPr>
          <w:fldChar w:fldCharType="end"/>
        </w:r>
      </w:hyperlink>
    </w:p>
    <w:p w14:paraId="027052F0" w14:textId="642A1679" w:rsidR="00F27D6F" w:rsidRDefault="00F27D6F">
      <w:pPr>
        <w:pStyle w:val="Spistreci1"/>
        <w:rPr>
          <w:rFonts w:asciiTheme="minorHAnsi" w:eastAsiaTheme="minorEastAsia" w:hAnsiTheme="minorHAnsi"/>
          <w:noProof/>
          <w:sz w:val="24"/>
          <w:szCs w:val="24"/>
          <w:lang w:eastAsia="pl-PL"/>
        </w:rPr>
      </w:pPr>
      <w:hyperlink w:anchor="_Toc202966942" w:history="1">
        <w:r w:rsidRPr="007619E5">
          <w:rPr>
            <w:rStyle w:val="Hipercze"/>
            <w:noProof/>
          </w:rPr>
          <w:t>Wykaz regulacji UE (i nazwy zwyczajowe)</w:t>
        </w:r>
        <w:r>
          <w:rPr>
            <w:noProof/>
            <w:webHidden/>
          </w:rPr>
          <w:tab/>
        </w:r>
        <w:r>
          <w:rPr>
            <w:noProof/>
            <w:webHidden/>
          </w:rPr>
          <w:fldChar w:fldCharType="begin"/>
        </w:r>
        <w:r>
          <w:rPr>
            <w:noProof/>
            <w:webHidden/>
          </w:rPr>
          <w:instrText xml:space="preserve"> PAGEREF _Toc202966942 \h </w:instrText>
        </w:r>
        <w:r>
          <w:rPr>
            <w:noProof/>
            <w:webHidden/>
          </w:rPr>
        </w:r>
        <w:r>
          <w:rPr>
            <w:noProof/>
            <w:webHidden/>
          </w:rPr>
          <w:fldChar w:fldCharType="separate"/>
        </w:r>
        <w:r>
          <w:rPr>
            <w:noProof/>
            <w:webHidden/>
          </w:rPr>
          <w:t>129</w:t>
        </w:r>
        <w:r>
          <w:rPr>
            <w:noProof/>
            <w:webHidden/>
          </w:rPr>
          <w:fldChar w:fldCharType="end"/>
        </w:r>
      </w:hyperlink>
    </w:p>
    <w:p w14:paraId="2A2A8599" w14:textId="335631FC" w:rsidR="00F27D6F" w:rsidRDefault="00F27D6F">
      <w:pPr>
        <w:pStyle w:val="Spistreci1"/>
        <w:rPr>
          <w:rFonts w:asciiTheme="minorHAnsi" w:eastAsiaTheme="minorEastAsia" w:hAnsiTheme="minorHAnsi"/>
          <w:noProof/>
          <w:sz w:val="24"/>
          <w:szCs w:val="24"/>
          <w:lang w:eastAsia="pl-PL"/>
        </w:rPr>
      </w:pPr>
      <w:hyperlink w:anchor="_Toc202966943" w:history="1">
        <w:r w:rsidRPr="007619E5">
          <w:rPr>
            <w:rStyle w:val="Hipercze"/>
            <w:noProof/>
          </w:rPr>
          <w:t>Wykaz skrótów</w:t>
        </w:r>
        <w:r>
          <w:rPr>
            <w:noProof/>
            <w:webHidden/>
          </w:rPr>
          <w:tab/>
        </w:r>
        <w:r>
          <w:rPr>
            <w:noProof/>
            <w:webHidden/>
          </w:rPr>
          <w:fldChar w:fldCharType="begin"/>
        </w:r>
        <w:r>
          <w:rPr>
            <w:noProof/>
            <w:webHidden/>
          </w:rPr>
          <w:instrText xml:space="preserve"> PAGEREF _Toc202966943 \h </w:instrText>
        </w:r>
        <w:r>
          <w:rPr>
            <w:noProof/>
            <w:webHidden/>
          </w:rPr>
        </w:r>
        <w:r>
          <w:rPr>
            <w:noProof/>
            <w:webHidden/>
          </w:rPr>
          <w:fldChar w:fldCharType="separate"/>
        </w:r>
        <w:r>
          <w:rPr>
            <w:noProof/>
            <w:webHidden/>
          </w:rPr>
          <w:t>133</w:t>
        </w:r>
        <w:r>
          <w:rPr>
            <w:noProof/>
            <w:webHidden/>
          </w:rPr>
          <w:fldChar w:fldCharType="end"/>
        </w:r>
      </w:hyperlink>
    </w:p>
    <w:p w14:paraId="3C541234" w14:textId="7E477969" w:rsidR="00F27D6F" w:rsidRDefault="00F27D6F">
      <w:pPr>
        <w:pStyle w:val="Spistreci1"/>
        <w:rPr>
          <w:rFonts w:asciiTheme="minorHAnsi" w:eastAsiaTheme="minorEastAsia" w:hAnsiTheme="minorHAnsi"/>
          <w:noProof/>
          <w:sz w:val="24"/>
          <w:szCs w:val="24"/>
          <w:lang w:eastAsia="pl-PL"/>
        </w:rPr>
      </w:pPr>
      <w:hyperlink w:anchor="_Toc202966944" w:history="1">
        <w:r w:rsidRPr="007619E5">
          <w:rPr>
            <w:rStyle w:val="Hipercze"/>
            <w:rFonts w:eastAsia="Calibri"/>
            <w:noProof/>
          </w:rPr>
          <w:t>Spis tabel</w:t>
        </w:r>
        <w:r>
          <w:rPr>
            <w:noProof/>
            <w:webHidden/>
          </w:rPr>
          <w:tab/>
        </w:r>
        <w:r>
          <w:rPr>
            <w:noProof/>
            <w:webHidden/>
          </w:rPr>
          <w:fldChar w:fldCharType="begin"/>
        </w:r>
        <w:r>
          <w:rPr>
            <w:noProof/>
            <w:webHidden/>
          </w:rPr>
          <w:instrText xml:space="preserve"> PAGEREF _Toc202966944 \h </w:instrText>
        </w:r>
        <w:r>
          <w:rPr>
            <w:noProof/>
            <w:webHidden/>
          </w:rPr>
        </w:r>
        <w:r>
          <w:rPr>
            <w:noProof/>
            <w:webHidden/>
          </w:rPr>
          <w:fldChar w:fldCharType="separate"/>
        </w:r>
        <w:r>
          <w:rPr>
            <w:noProof/>
            <w:webHidden/>
          </w:rPr>
          <w:t>136</w:t>
        </w:r>
        <w:r>
          <w:rPr>
            <w:noProof/>
            <w:webHidden/>
          </w:rPr>
          <w:fldChar w:fldCharType="end"/>
        </w:r>
      </w:hyperlink>
    </w:p>
    <w:p w14:paraId="004B3AA6" w14:textId="6A6F6EDE" w:rsidR="00F27D6F" w:rsidRDefault="00F27D6F">
      <w:pPr>
        <w:pStyle w:val="Spistreci1"/>
        <w:rPr>
          <w:rFonts w:asciiTheme="minorHAnsi" w:eastAsiaTheme="minorEastAsia" w:hAnsiTheme="minorHAnsi"/>
          <w:noProof/>
          <w:sz w:val="24"/>
          <w:szCs w:val="24"/>
          <w:lang w:eastAsia="pl-PL"/>
        </w:rPr>
      </w:pPr>
      <w:hyperlink w:anchor="_Toc202966945" w:history="1">
        <w:r w:rsidRPr="007619E5">
          <w:rPr>
            <w:rStyle w:val="Hipercze"/>
            <w:noProof/>
          </w:rPr>
          <w:t>Spis wykresów i rysunków</w:t>
        </w:r>
        <w:r>
          <w:rPr>
            <w:noProof/>
            <w:webHidden/>
          </w:rPr>
          <w:tab/>
        </w:r>
        <w:r>
          <w:rPr>
            <w:noProof/>
            <w:webHidden/>
          </w:rPr>
          <w:fldChar w:fldCharType="begin"/>
        </w:r>
        <w:r>
          <w:rPr>
            <w:noProof/>
            <w:webHidden/>
          </w:rPr>
          <w:instrText xml:space="preserve"> PAGEREF _Toc202966945 \h </w:instrText>
        </w:r>
        <w:r>
          <w:rPr>
            <w:noProof/>
            <w:webHidden/>
          </w:rPr>
        </w:r>
        <w:r>
          <w:rPr>
            <w:noProof/>
            <w:webHidden/>
          </w:rPr>
          <w:fldChar w:fldCharType="separate"/>
        </w:r>
        <w:r>
          <w:rPr>
            <w:noProof/>
            <w:webHidden/>
          </w:rPr>
          <w:t>138</w:t>
        </w:r>
        <w:r>
          <w:rPr>
            <w:noProof/>
            <w:webHidden/>
          </w:rPr>
          <w:fldChar w:fldCharType="end"/>
        </w:r>
      </w:hyperlink>
    </w:p>
    <w:p w14:paraId="201A3DEC" w14:textId="5FE59C84" w:rsidR="00EB11C4" w:rsidRDefault="00311025" w:rsidP="00DA5E7D">
      <w:pPr>
        <w:pStyle w:val="Nagwek1"/>
        <w:numPr>
          <w:ilvl w:val="0"/>
          <w:numId w:val="0"/>
        </w:numPr>
        <w:ind w:left="431" w:hanging="431"/>
      </w:pPr>
      <w:r>
        <w:fldChar w:fldCharType="end"/>
      </w:r>
      <w:bookmarkStart w:id="0" w:name="_Toc174710882"/>
    </w:p>
    <w:p w14:paraId="37D5F735" w14:textId="77777777" w:rsidR="00EB11C4" w:rsidRDefault="00EB11C4">
      <w:pPr>
        <w:jc w:val="left"/>
        <w:rPr>
          <w:rFonts w:ascii="Bahnschrift" w:eastAsiaTheme="majorEastAsia" w:hAnsi="Bahnschrift" w:cstheme="majorBidi"/>
          <w:b/>
          <w:sz w:val="40"/>
          <w:szCs w:val="32"/>
        </w:rPr>
      </w:pPr>
      <w:r>
        <w:br w:type="page"/>
      </w:r>
    </w:p>
    <w:p w14:paraId="6BD5C1E4" w14:textId="29C64F1E" w:rsidR="00F34BD4" w:rsidRPr="00B116F7" w:rsidRDefault="006B4867" w:rsidP="00DA5E7D">
      <w:pPr>
        <w:pStyle w:val="Nagwek1"/>
        <w:numPr>
          <w:ilvl w:val="0"/>
          <w:numId w:val="0"/>
        </w:numPr>
        <w:ind w:left="431" w:hanging="431"/>
      </w:pPr>
      <w:bookmarkStart w:id="1" w:name="_Toc202966873"/>
      <w:r w:rsidRPr="006639F1">
        <w:lastRenderedPageBreak/>
        <w:t>Wprowadzenie</w:t>
      </w:r>
      <w:bookmarkEnd w:id="0"/>
      <w:bookmarkEnd w:id="1"/>
    </w:p>
    <w:p w14:paraId="52C1A233" w14:textId="50A1AF9F" w:rsidR="00DB71EE" w:rsidRDefault="006B4867" w:rsidP="006B4867">
      <w:r w:rsidRPr="00B116F7">
        <w:t xml:space="preserve">Niniejszy dokument zawiera wyniki analiz i prognoz w </w:t>
      </w:r>
      <w:r w:rsidRPr="0080228A">
        <w:rPr>
          <w:b/>
          <w:bCs/>
        </w:rPr>
        <w:t xml:space="preserve">scenariuszu </w:t>
      </w:r>
      <w:r w:rsidR="00354053" w:rsidRPr="0080228A">
        <w:rPr>
          <w:b/>
          <w:bCs/>
        </w:rPr>
        <w:t>W</w:t>
      </w:r>
      <w:r w:rsidR="00AF7152">
        <w:rPr>
          <w:b/>
          <w:bCs/>
        </w:rPr>
        <w:t>A</w:t>
      </w:r>
      <w:r w:rsidR="00354053" w:rsidRPr="0080228A">
        <w:rPr>
          <w:b/>
          <w:bCs/>
        </w:rPr>
        <w:t xml:space="preserve">M (ang. </w:t>
      </w:r>
      <w:r w:rsidR="00354053" w:rsidRPr="0080228A">
        <w:rPr>
          <w:b/>
          <w:bCs/>
          <w:i/>
          <w:iCs/>
        </w:rPr>
        <w:t xml:space="preserve">with </w:t>
      </w:r>
      <w:r w:rsidR="00AF7152">
        <w:rPr>
          <w:b/>
          <w:bCs/>
          <w:i/>
          <w:iCs/>
        </w:rPr>
        <w:t>additional</w:t>
      </w:r>
      <w:r w:rsidR="00354053" w:rsidRPr="0080228A">
        <w:rPr>
          <w:b/>
          <w:bCs/>
          <w:i/>
          <w:iCs/>
        </w:rPr>
        <w:t xml:space="preserve"> measures</w:t>
      </w:r>
      <w:r w:rsidR="00354053" w:rsidRPr="0080228A">
        <w:rPr>
          <w:b/>
          <w:bCs/>
        </w:rPr>
        <w:t xml:space="preserve">), który </w:t>
      </w:r>
      <w:r w:rsidRPr="0080228A">
        <w:rPr>
          <w:b/>
          <w:bCs/>
        </w:rPr>
        <w:t xml:space="preserve">rozumiany jest jako </w:t>
      </w:r>
      <w:r w:rsidR="0080228A" w:rsidRPr="0080228A">
        <w:rPr>
          <w:b/>
          <w:bCs/>
        </w:rPr>
        <w:t>scenarius</w:t>
      </w:r>
      <w:r w:rsidR="00DB71EE">
        <w:rPr>
          <w:b/>
          <w:bCs/>
        </w:rPr>
        <w:t xml:space="preserve">z </w:t>
      </w:r>
      <w:r w:rsidR="00263C2D">
        <w:rPr>
          <w:b/>
          <w:bCs/>
        </w:rPr>
        <w:t xml:space="preserve">aktywnej </w:t>
      </w:r>
      <w:r w:rsidRPr="0080228A">
        <w:rPr>
          <w:b/>
          <w:bCs/>
        </w:rPr>
        <w:t xml:space="preserve">transformacji </w:t>
      </w:r>
      <w:r w:rsidR="00DB71EE">
        <w:rPr>
          <w:b/>
          <w:bCs/>
        </w:rPr>
        <w:t>klimatyczno-energetycznej</w:t>
      </w:r>
      <w:r w:rsidR="00FB3FC4">
        <w:rPr>
          <w:b/>
          <w:bCs/>
        </w:rPr>
        <w:t xml:space="preserve"> </w:t>
      </w:r>
      <w:r w:rsidR="00FB3FC4" w:rsidRPr="00FB3FC4">
        <w:t xml:space="preserve">z planowanymi politykami i </w:t>
      </w:r>
      <w:r w:rsidR="00A52816">
        <w:t>działaniami</w:t>
      </w:r>
      <w:r w:rsidR="00FB3FC4">
        <w:rPr>
          <w:rStyle w:val="Odwoanieprzypisudolnego"/>
        </w:rPr>
        <w:footnoteReference w:id="2"/>
      </w:r>
      <w:r w:rsidR="00F23F41" w:rsidRPr="00FB3FC4">
        <w:t xml:space="preserve">. </w:t>
      </w:r>
    </w:p>
    <w:p w14:paraId="5269F66F" w14:textId="14C98DDB" w:rsidR="00DB71EE" w:rsidRDefault="00DB71EE" w:rsidP="006B4867">
      <w:r w:rsidRPr="005E059A">
        <w:rPr>
          <w:szCs w:val="20"/>
        </w:rPr>
        <w:t xml:space="preserve">Scenariusz </w:t>
      </w:r>
      <w:r>
        <w:rPr>
          <w:szCs w:val="20"/>
        </w:rPr>
        <w:t>WAM</w:t>
      </w:r>
      <w:r w:rsidRPr="005E059A">
        <w:rPr>
          <w:szCs w:val="20"/>
        </w:rPr>
        <w:t xml:space="preserve"> zakłada </w:t>
      </w:r>
      <w:r w:rsidRPr="001C0370">
        <w:rPr>
          <w:b/>
          <w:bCs/>
        </w:rPr>
        <w:t>przyspieszeni</w:t>
      </w:r>
      <w:r>
        <w:rPr>
          <w:b/>
          <w:bCs/>
        </w:rPr>
        <w:t>e</w:t>
      </w:r>
      <w:r w:rsidRPr="001C0370">
        <w:rPr>
          <w:b/>
          <w:bCs/>
        </w:rPr>
        <w:t xml:space="preserve"> dekarbonizacji</w:t>
      </w:r>
      <w:r w:rsidRPr="001C0370">
        <w:t xml:space="preserve"> </w:t>
      </w:r>
      <w:r w:rsidRPr="001C0370">
        <w:rPr>
          <w:b/>
          <w:bCs/>
        </w:rPr>
        <w:t>i wejścia na ścieżkę neutralności klimatycznej</w:t>
      </w:r>
      <w:r>
        <w:rPr>
          <w:b/>
          <w:bCs/>
        </w:rPr>
        <w:t xml:space="preserve"> z</w:t>
      </w:r>
      <w:r w:rsidR="00850CF7">
        <w:rPr>
          <w:b/>
          <w:bCs/>
        </w:rPr>
        <w:t> </w:t>
      </w:r>
      <w:r>
        <w:rPr>
          <w:b/>
          <w:bCs/>
        </w:rPr>
        <w:t>uwzględnieniem specyficznego punktu startowego</w:t>
      </w:r>
      <w:r w:rsidR="00850CF7">
        <w:rPr>
          <w:b/>
          <w:bCs/>
        </w:rPr>
        <w:t xml:space="preserve">, krajowych </w:t>
      </w:r>
      <w:r>
        <w:rPr>
          <w:b/>
          <w:bCs/>
        </w:rPr>
        <w:t>uwarunkowań i potencjałów surowcowych</w:t>
      </w:r>
      <w:r>
        <w:t>.</w:t>
      </w:r>
    </w:p>
    <w:p w14:paraId="7AF389EA" w14:textId="3DECEAB1" w:rsidR="00DB71EE" w:rsidRDefault="00DB71EE" w:rsidP="00DB71EE">
      <w:r>
        <w:t>W dokumencie zawarto porównania w stosunku do tzw. scenariusza WEM (</w:t>
      </w:r>
      <w:r w:rsidRPr="00DB71EE">
        <w:t xml:space="preserve">ang. </w:t>
      </w:r>
      <w:r w:rsidRPr="00EF7100">
        <w:rPr>
          <w:i/>
          <w:iCs/>
        </w:rPr>
        <w:t>with existing measures</w:t>
      </w:r>
      <w:r w:rsidRPr="00DB71EE">
        <w:t>)</w:t>
      </w:r>
      <w:r w:rsidRPr="00DB71EE" w:rsidDel="00982F15">
        <w:t>,</w:t>
      </w:r>
      <w:r>
        <w:t xml:space="preserve"> który stanowi analizę oddziaływania istniejących polityk i </w:t>
      </w:r>
      <w:r w:rsidR="002D48CA">
        <w:t>działań</w:t>
      </w:r>
      <w:r>
        <w:t xml:space="preserve"> – </w:t>
      </w:r>
      <w:r w:rsidR="00EB11C4">
        <w:t>z</w:t>
      </w:r>
      <w:r>
        <w:t xml:space="preserve">ałącznik </w:t>
      </w:r>
      <w:r w:rsidR="00153ABE">
        <w:t>2</w:t>
      </w:r>
      <w:r>
        <w:t xml:space="preserve"> do</w:t>
      </w:r>
      <w:r w:rsidR="00A6167A">
        <w:t xml:space="preserve"> aktualizacji</w:t>
      </w:r>
      <w:r>
        <w:t xml:space="preserve"> KPEiK.</w:t>
      </w:r>
      <w:r w:rsidR="002A06C3">
        <w:t xml:space="preserve"> Założenia prognostyczne oraz metodyka prognozowania zostały przedstawione w </w:t>
      </w:r>
      <w:r w:rsidR="00EB11C4">
        <w:t>z</w:t>
      </w:r>
      <w:r w:rsidR="002A06C3">
        <w:t>ałączniku 3 do aktualizacji KPEiK.</w:t>
      </w:r>
    </w:p>
    <w:p w14:paraId="090F7A7B" w14:textId="6D351E75" w:rsidR="00DB71EE" w:rsidRDefault="00A6167A" w:rsidP="00DB71EE">
      <w:r>
        <w:t>Dokument</w:t>
      </w:r>
      <w:r w:rsidR="00DB71EE">
        <w:t xml:space="preserve"> prezentuj</w:t>
      </w:r>
      <w:r>
        <w:t>e</w:t>
      </w:r>
      <w:r w:rsidR="00DB71EE">
        <w:t xml:space="preserve"> wieloaspektową analizę oddziaływania skutków transformacji klimatyczno-energetycznej do 2030 r</w:t>
      </w:r>
      <w:r w:rsidR="00CA2F34">
        <w:t>.</w:t>
      </w:r>
      <w:r w:rsidR="00DB71EE">
        <w:t>, z horyzontem do 2040 r.</w:t>
      </w:r>
    </w:p>
    <w:p w14:paraId="66CE4008" w14:textId="29DE56BB" w:rsidR="00DB71EE" w:rsidRPr="00DB71EE" w:rsidRDefault="00DB71EE" w:rsidP="00850CF7">
      <w:pPr>
        <w:rPr>
          <w:b/>
          <w:bCs/>
        </w:rPr>
      </w:pPr>
      <w:r>
        <w:t xml:space="preserve">W dokumencie zostały zaimplementowane </w:t>
      </w:r>
      <w:r w:rsidR="00A6167A">
        <w:t xml:space="preserve">m.in. </w:t>
      </w:r>
      <w:r>
        <w:t>wnioski ze spotkań eksperckich przeprowadzonych po</w:t>
      </w:r>
      <w:r w:rsidR="0022089B">
        <w:t> </w:t>
      </w:r>
      <w:r>
        <w:t xml:space="preserve">publikacji wstępnej wersji </w:t>
      </w:r>
      <w:r w:rsidR="00850CF7">
        <w:t>aktualizacji KPEiK z dn</w:t>
      </w:r>
      <w:r w:rsidR="00CA2F34">
        <w:t>ia</w:t>
      </w:r>
      <w:r w:rsidR="00850CF7">
        <w:t xml:space="preserve"> 29 lutego 2024 r.</w:t>
      </w:r>
      <w:r>
        <w:t>, a także wnioski z zaleceń</w:t>
      </w:r>
      <w:r w:rsidR="00850CF7">
        <w:t xml:space="preserve"> </w:t>
      </w:r>
      <w:r>
        <w:t xml:space="preserve">Komisji Europejskiej z dnia </w:t>
      </w:r>
      <w:r w:rsidR="00850CF7">
        <w:t xml:space="preserve">26 kwietnia 2024 </w:t>
      </w:r>
      <w:r>
        <w:t xml:space="preserve">r. do </w:t>
      </w:r>
      <w:r w:rsidR="00850CF7">
        <w:t xml:space="preserve">polskiego projektu </w:t>
      </w:r>
      <w:r w:rsidR="00E23478" w:rsidRPr="00EB11C4">
        <w:rPr>
          <w:i/>
          <w:iCs/>
        </w:rPr>
        <w:t>K</w:t>
      </w:r>
      <w:r w:rsidR="00A6167A" w:rsidRPr="00EB11C4">
        <w:rPr>
          <w:i/>
          <w:iCs/>
        </w:rPr>
        <w:t xml:space="preserve">rajowego </w:t>
      </w:r>
      <w:r w:rsidR="0011375D" w:rsidRPr="00EB11C4">
        <w:rPr>
          <w:i/>
          <w:iCs/>
        </w:rPr>
        <w:t>P</w:t>
      </w:r>
      <w:r w:rsidR="00A6167A" w:rsidRPr="00EB11C4">
        <w:rPr>
          <w:i/>
          <w:iCs/>
        </w:rPr>
        <w:t>lanu</w:t>
      </w:r>
      <w:r w:rsidR="006E361A" w:rsidRPr="00EB11C4">
        <w:rPr>
          <w:i/>
          <w:iCs/>
        </w:rPr>
        <w:t xml:space="preserve"> </w:t>
      </w:r>
      <w:r w:rsidR="005D5F5C" w:rsidRPr="00EB11C4">
        <w:rPr>
          <w:i/>
          <w:iCs/>
        </w:rPr>
        <w:t>na rzecz</w:t>
      </w:r>
      <w:r w:rsidR="006E361A" w:rsidRPr="00EB11C4">
        <w:rPr>
          <w:i/>
          <w:iCs/>
        </w:rPr>
        <w:t xml:space="preserve"> </w:t>
      </w:r>
      <w:r w:rsidR="0011375D" w:rsidRPr="00EB11C4">
        <w:rPr>
          <w:i/>
          <w:iCs/>
        </w:rPr>
        <w:t>E</w:t>
      </w:r>
      <w:r w:rsidR="00EC7EC1" w:rsidRPr="00EB11C4">
        <w:rPr>
          <w:i/>
          <w:iCs/>
        </w:rPr>
        <w:t>n</w:t>
      </w:r>
      <w:r w:rsidR="006E361A" w:rsidRPr="00EB11C4">
        <w:rPr>
          <w:i/>
          <w:iCs/>
        </w:rPr>
        <w:t xml:space="preserve">ergii i </w:t>
      </w:r>
      <w:r w:rsidR="0011375D" w:rsidRPr="00EB11C4">
        <w:rPr>
          <w:i/>
          <w:iCs/>
        </w:rPr>
        <w:t>K</w:t>
      </w:r>
      <w:r w:rsidR="006E361A" w:rsidRPr="00EB11C4">
        <w:rPr>
          <w:i/>
          <w:iCs/>
        </w:rPr>
        <w:t>limatu</w:t>
      </w:r>
      <w:r w:rsidR="00EB11C4">
        <w:t xml:space="preserve"> </w:t>
      </w:r>
      <w:r w:rsidR="00EB11C4" w:rsidRPr="00EB11C4">
        <w:rPr>
          <w:i/>
          <w:iCs/>
        </w:rPr>
        <w:t>do</w:t>
      </w:r>
      <w:r w:rsidR="00184862">
        <w:rPr>
          <w:i/>
          <w:iCs/>
        </w:rPr>
        <w:t> </w:t>
      </w:r>
      <w:r w:rsidR="00EB11C4" w:rsidRPr="00EB11C4">
        <w:rPr>
          <w:i/>
          <w:iCs/>
        </w:rPr>
        <w:t>2030 r</w:t>
      </w:r>
      <w:r w:rsidR="00850CF7">
        <w:t xml:space="preserve">. </w:t>
      </w:r>
    </w:p>
    <w:p w14:paraId="02FFEBDA" w14:textId="1161A523" w:rsidR="00354053" w:rsidRPr="00B116F7" w:rsidRDefault="006B4867" w:rsidP="006B4867">
      <w:r w:rsidRPr="00B116F7">
        <w:t>Raport zawiera zestaw danych statystycznych i prognostycznych odpowiadający wykazowi zamieszczonemu w Sekcji B (Podstawa analityczna) załącznika nr 1 do rozporządzenia</w:t>
      </w:r>
      <w:r w:rsidR="00354053" w:rsidRPr="00B116F7">
        <w:t xml:space="preserve"> UE 2018/1999</w:t>
      </w:r>
      <w:r w:rsidRPr="00B116F7">
        <w:t xml:space="preserve"> w</w:t>
      </w:r>
      <w:r w:rsidR="00354053" w:rsidRPr="00B116F7">
        <w:t> </w:t>
      </w:r>
      <w:r w:rsidRPr="00B116F7">
        <w:t>sprawie zarządzania unią energetyczną</w:t>
      </w:r>
      <w:r w:rsidR="00354053" w:rsidRPr="00B116F7">
        <w:t xml:space="preserve"> i działaniami w dziedzinie klimatu</w:t>
      </w:r>
      <w:r w:rsidRPr="00B116F7">
        <w:rPr>
          <w:b/>
          <w:bCs/>
        </w:rPr>
        <w:t xml:space="preserve"> </w:t>
      </w:r>
      <w:r w:rsidR="008B4CC0">
        <w:t>–</w:t>
      </w:r>
      <w:r w:rsidRPr="00B116F7">
        <w:t xml:space="preserve"> </w:t>
      </w:r>
      <w:r w:rsidR="008B4CC0">
        <w:t>„</w:t>
      </w:r>
      <w:r w:rsidRPr="00B116F7">
        <w:t>Ramy ogólne dotyczące zintegrowanych planów krajowych w zakresie energii i klimatu". Opracowane w ramach prac nad</w:t>
      </w:r>
      <w:r w:rsidR="009E141E">
        <w:t> </w:t>
      </w:r>
      <w:r w:rsidRPr="00B116F7">
        <w:t>dokumentem informacje i wielkości liczbowe odnoszą się do obecnej sytuacji w krajowym systemie paliwowo-energetycznym i prognoz jego rozwoju</w:t>
      </w:r>
      <w:r w:rsidR="00A6167A">
        <w:t xml:space="preserve"> </w:t>
      </w:r>
      <w:r w:rsidR="00A6167A" w:rsidRPr="00EC1F6F">
        <w:t xml:space="preserve">przy </w:t>
      </w:r>
      <w:r w:rsidR="00A6167A">
        <w:t>dodatkowych</w:t>
      </w:r>
      <w:r w:rsidR="00A6167A" w:rsidRPr="00EC1F6F">
        <w:t xml:space="preserve"> politykach</w:t>
      </w:r>
      <w:r w:rsidR="00A6167A">
        <w:t xml:space="preserve"> i</w:t>
      </w:r>
      <w:r w:rsidR="00773464">
        <w:t xml:space="preserve"> działaniach</w:t>
      </w:r>
      <w:r w:rsidR="00A6167A">
        <w:t xml:space="preserve"> w </w:t>
      </w:r>
      <w:r w:rsidR="00A6167A" w:rsidRPr="00EC1F6F">
        <w:t>obrębie pięciu głównych wymiarów unii energetycznej</w:t>
      </w:r>
      <w:r w:rsidR="00A6167A">
        <w:t>:</w:t>
      </w:r>
      <w:r w:rsidRPr="00B116F7">
        <w:t xml:space="preserve"> </w:t>
      </w:r>
      <w:r w:rsidR="00A6167A" w:rsidRPr="00B116F7">
        <w:rPr>
          <w:i/>
          <w:iCs/>
        </w:rPr>
        <w:t>bezpieczeństwo energetyczne, wewnętrzny rynek energii, efektywność energetyczna, obniżenie emisyjności, oraz badań naukowych, innowacyjności i konkurencyjności</w:t>
      </w:r>
      <w:r w:rsidR="00A6167A" w:rsidRPr="00B116F7">
        <w:t>.</w:t>
      </w:r>
    </w:p>
    <w:p w14:paraId="5BA0AD87" w14:textId="6C89E441" w:rsidR="006B4867" w:rsidRPr="00B116F7" w:rsidRDefault="00C92829" w:rsidP="006B4867">
      <w:r w:rsidRPr="00B116F7">
        <w:t>Analizy i prognozy zostały wykonane na zlecenie Ministerstwa Klimatu i Środowiska przez Konsorcjum, w</w:t>
      </w:r>
      <w:r w:rsidR="008B4CC0">
        <w:t> </w:t>
      </w:r>
      <w:r w:rsidRPr="00B116F7">
        <w:t>skład którego wchodziły: Instytut Ochrony Środowiska – Państwowy Instytut Badawczy (IOŚ-PIB) oraz</w:t>
      </w:r>
      <w:r w:rsidR="006E51D9">
        <w:t> </w:t>
      </w:r>
      <w:r w:rsidRPr="00B116F7">
        <w:t>Agencja Rynku Energii S.A. (ARE S</w:t>
      </w:r>
      <w:r w:rsidR="001F4DAB">
        <w:t>.</w:t>
      </w:r>
      <w:r w:rsidRPr="00B116F7">
        <w:t>A</w:t>
      </w:r>
      <w:r w:rsidR="001F4DAB">
        <w:t>.</w:t>
      </w:r>
      <w:r w:rsidRPr="00B116F7">
        <w:t xml:space="preserve">). </w:t>
      </w:r>
      <w:r w:rsidR="006B4867" w:rsidRPr="00B116F7">
        <w:t>W opracowaniu zawarto szczegółowy opis wykorzystanych do</w:t>
      </w:r>
      <w:r w:rsidR="006E51D9">
        <w:t> </w:t>
      </w:r>
      <w:r w:rsidR="006B4867" w:rsidRPr="00B116F7">
        <w:t>celów pracy metod obliczeniowych oraz przyjętych założeń, mających kluczowy wpływ na uzyskane wyniki. Dane statystyczne i zastosowane agregacje opisujące stan obecny i perspektywy rozwoju sektora paliwowo-energetycznego, bazują na metodyce EUROSTAT (zgodnie z rekomendacjami K</w:t>
      </w:r>
      <w:r w:rsidR="001E2412">
        <w:t xml:space="preserve">omisji </w:t>
      </w:r>
      <w:r w:rsidR="006B4867" w:rsidRPr="00B116F7">
        <w:t>E</w:t>
      </w:r>
      <w:r w:rsidR="001E2412">
        <w:t>uropejskiej</w:t>
      </w:r>
      <w:r w:rsidR="006B4867" w:rsidRPr="00B116F7">
        <w:t xml:space="preserve"> w zakresie przygotowywania krajowych planów). </w:t>
      </w:r>
      <w:r w:rsidR="00C953F1">
        <w:t>D</w:t>
      </w:r>
      <w:r w:rsidR="006B4867" w:rsidRPr="00B116F7">
        <w:t>ane prezentowane są w okresach pięcioletnich.</w:t>
      </w:r>
    </w:p>
    <w:p w14:paraId="5606556B" w14:textId="77777777" w:rsidR="00AD75DF" w:rsidRPr="00B116F7" w:rsidRDefault="00AD75DF" w:rsidP="00AD75DF">
      <w:r w:rsidRPr="00B116F7">
        <w:br w:type="page"/>
      </w:r>
    </w:p>
    <w:p w14:paraId="29A46FE6" w14:textId="7C34E9A6" w:rsidR="005C4144" w:rsidRDefault="005C4144" w:rsidP="006E7ED9">
      <w:pPr>
        <w:pStyle w:val="Nagwek1"/>
      </w:pPr>
      <w:bookmarkStart w:id="2" w:name="_Toc171587309"/>
      <w:bookmarkStart w:id="3" w:name="_Toc174710883"/>
      <w:bookmarkStart w:id="4" w:name="_Toc202966874"/>
      <w:bookmarkStart w:id="5" w:name="_Toc158373773"/>
      <w:r>
        <w:lastRenderedPageBreak/>
        <w:t xml:space="preserve">Wymiar </w:t>
      </w:r>
      <w:r w:rsidR="005B1D21">
        <w:t>„</w:t>
      </w:r>
      <w:r>
        <w:t>obniżenie emisyjności</w:t>
      </w:r>
      <w:bookmarkEnd w:id="2"/>
      <w:bookmarkEnd w:id="3"/>
      <w:r w:rsidR="005B1D21">
        <w:t>”</w:t>
      </w:r>
      <w:bookmarkEnd w:id="4"/>
    </w:p>
    <w:p w14:paraId="24658946" w14:textId="77777777" w:rsidR="005C4144" w:rsidRPr="00DC1A13" w:rsidRDefault="005C4144" w:rsidP="00193021">
      <w:pPr>
        <w:pStyle w:val="Nagwek2"/>
      </w:pPr>
      <w:bookmarkStart w:id="6" w:name="_Toc171587310"/>
      <w:bookmarkStart w:id="7" w:name="_Toc174710884"/>
      <w:bookmarkStart w:id="8" w:name="_Toc202966875"/>
      <w:r>
        <w:t>Emisje i pochłanianie gazów cieplarnianych oraz emisje innych substancji</w:t>
      </w:r>
      <w:bookmarkEnd w:id="6"/>
      <w:bookmarkEnd w:id="7"/>
      <w:bookmarkEnd w:id="8"/>
    </w:p>
    <w:p w14:paraId="132EE897" w14:textId="4CACF949" w:rsidR="00EB4CB9" w:rsidRPr="007463C9" w:rsidRDefault="00E8241B" w:rsidP="00CF7909">
      <w:pPr>
        <w:pStyle w:val="Nagwek3"/>
        <w:spacing w:before="360"/>
      </w:pPr>
      <w:bookmarkStart w:id="9" w:name="_Toc167443491"/>
      <w:bookmarkStart w:id="10" w:name="_Toc195195360"/>
      <w:bookmarkStart w:id="11" w:name="_Toc202966876"/>
      <w:r>
        <w:t>E</w:t>
      </w:r>
      <w:r w:rsidR="00EB4CB9">
        <w:t>misj</w:t>
      </w:r>
      <w:r>
        <w:t>e</w:t>
      </w:r>
      <w:r w:rsidR="00EB4CB9">
        <w:t xml:space="preserve"> gazów cieplarnianych oraz ich pochłaniania</w:t>
      </w:r>
      <w:bookmarkEnd w:id="9"/>
      <w:bookmarkEnd w:id="10"/>
      <w:bookmarkEnd w:id="11"/>
    </w:p>
    <w:p w14:paraId="24CA74C2" w14:textId="1851DB9E" w:rsidR="005C4144" w:rsidRDefault="00F17955" w:rsidP="005C4144">
      <w:r w:rsidRPr="00745AC4">
        <w:t>Projekcje em</w:t>
      </w:r>
      <w:r>
        <w:t>isji gazów cieplarnianych, a także substancji zanieczyszczających powietrze (zgodnie z dyrektywą NEC) do 20</w:t>
      </w:r>
      <w:r w:rsidR="00420AE3">
        <w:t>4</w:t>
      </w:r>
      <w:r w:rsidRPr="00745AC4">
        <w:t>0</w:t>
      </w:r>
      <w:r>
        <w:t> r.</w:t>
      </w:r>
      <w:r w:rsidRPr="00745AC4">
        <w:t>, sporządzono na podstaw</w:t>
      </w:r>
      <w:r>
        <w:t>ie p</w:t>
      </w:r>
      <w:r w:rsidRPr="00745AC4">
        <w:t xml:space="preserve">rognoz </w:t>
      </w:r>
      <w:r>
        <w:t xml:space="preserve">zmian </w:t>
      </w:r>
      <w:r w:rsidRPr="00745AC4">
        <w:t>aktywności</w:t>
      </w:r>
      <w:r>
        <w:t xml:space="preserve"> w poszczególnych </w:t>
      </w:r>
      <w:r w:rsidRPr="00093FA8">
        <w:t>sektorach</w:t>
      </w:r>
      <w:r>
        <w:t xml:space="preserve"> z </w:t>
      </w:r>
      <w:r w:rsidRPr="00093FA8">
        <w:t>uwzględnieniem klasyfikacji</w:t>
      </w:r>
      <w:r>
        <w:t xml:space="preserve"> źródeł odpowiednio IPCC i NFR, zawartych w następujących źródłach danych </w:t>
      </w:r>
      <w:r w:rsidR="005C4144">
        <w:t>(</w:t>
      </w:r>
      <w:r w:rsidR="00E81976">
        <w:fldChar w:fldCharType="begin"/>
      </w:r>
      <w:r w:rsidR="00E81976">
        <w:instrText xml:space="preserve"> REF _Ref195869098 \h </w:instrText>
      </w:r>
      <w:r w:rsidR="00E81976">
        <w:fldChar w:fldCharType="separate"/>
      </w:r>
      <w:r w:rsidR="00F27D6F">
        <w:t xml:space="preserve">Tabela </w:t>
      </w:r>
      <w:r w:rsidR="00F27D6F">
        <w:rPr>
          <w:noProof/>
        </w:rPr>
        <w:t>1</w:t>
      </w:r>
      <w:r w:rsidR="00F27D6F">
        <w:t>.</w:t>
      </w:r>
      <w:r w:rsidR="00F27D6F">
        <w:rPr>
          <w:noProof/>
        </w:rPr>
        <w:t>1</w:t>
      </w:r>
      <w:r w:rsidR="00E81976">
        <w:fldChar w:fldCharType="end"/>
      </w:r>
      <w:r w:rsidR="005C4144">
        <w:t>):</w:t>
      </w:r>
    </w:p>
    <w:p w14:paraId="6C3169F0" w14:textId="36FB5D2C" w:rsidR="005C4144" w:rsidRDefault="005C4144" w:rsidP="005C4144">
      <w:pPr>
        <w:pStyle w:val="Legenda"/>
      </w:pPr>
      <w:bookmarkStart w:id="12" w:name="_Ref156458115"/>
      <w:bookmarkStart w:id="13" w:name="_Ref195869098"/>
      <w:bookmarkStart w:id="14" w:name="_Toc167442079"/>
      <w:bookmarkStart w:id="15" w:name="_Toc171587160"/>
      <w:bookmarkStart w:id="16" w:name="_Toc174710944"/>
      <w:bookmarkStart w:id="17" w:name="_Toc202966946"/>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w:t>
      </w:r>
      <w:r w:rsidR="00653D9A">
        <w:rPr>
          <w:noProof/>
        </w:rPr>
        <w:fldChar w:fldCharType="end"/>
      </w:r>
      <w:bookmarkEnd w:id="12"/>
      <w:bookmarkEnd w:id="13"/>
      <w:r>
        <w:t>. Źródła danych prognoz zmian aktywności, wykorzystane do projekcji emisji gazów cieplarnianych oraz zanieczyszczeń powietrza (zgodnie z dyrektywą NEC)</w:t>
      </w:r>
      <w:bookmarkEnd w:id="14"/>
      <w:bookmarkEnd w:id="15"/>
      <w:bookmarkEnd w:id="16"/>
      <w:bookmarkEnd w:id="17"/>
    </w:p>
    <w:tbl>
      <w:tblPr>
        <w:tblStyle w:val="KPEiK"/>
        <w:tblW w:w="5000" w:type="pct"/>
        <w:tblLook w:val="04A0" w:firstRow="1" w:lastRow="0" w:firstColumn="1" w:lastColumn="0" w:noHBand="0" w:noVBand="1"/>
      </w:tblPr>
      <w:tblGrid>
        <w:gridCol w:w="2689"/>
        <w:gridCol w:w="2976"/>
        <w:gridCol w:w="3397"/>
      </w:tblGrid>
      <w:tr w:rsidR="00DC3964" w:rsidRPr="00B80183" w14:paraId="7E9870D5" w14:textId="77777777" w:rsidTr="009D6533">
        <w:trPr>
          <w:cnfStyle w:val="100000000000" w:firstRow="1" w:lastRow="0" w:firstColumn="0" w:lastColumn="0" w:oddVBand="0" w:evenVBand="0" w:oddHBand="0" w:evenHBand="0" w:firstRowFirstColumn="0" w:firstRowLastColumn="0" w:lastRowFirstColumn="0" w:lastRowLastColumn="0"/>
          <w:trHeight w:val="227"/>
          <w:tblHeader/>
        </w:trPr>
        <w:tc>
          <w:tcPr>
            <w:tcW w:w="2689" w:type="dxa"/>
          </w:tcPr>
          <w:p w14:paraId="3EBA192B" w14:textId="77777777" w:rsidR="00DC3964" w:rsidRPr="00B61E7F" w:rsidRDefault="00DC3964" w:rsidP="000313E7">
            <w:pPr>
              <w:pStyle w:val="Tabele"/>
              <w:jc w:val="center"/>
              <w:rPr>
                <w:bCs/>
              </w:rPr>
            </w:pPr>
            <w:r w:rsidRPr="00B61E7F">
              <w:t>Sektor</w:t>
            </w:r>
          </w:p>
        </w:tc>
        <w:tc>
          <w:tcPr>
            <w:tcW w:w="2976" w:type="dxa"/>
          </w:tcPr>
          <w:p w14:paraId="04645F91" w14:textId="77777777" w:rsidR="00DC3964" w:rsidRPr="00B61E7F" w:rsidRDefault="00DC3964" w:rsidP="000313E7">
            <w:pPr>
              <w:pStyle w:val="Tabele"/>
              <w:jc w:val="center"/>
              <w:rPr>
                <w:bCs/>
              </w:rPr>
            </w:pPr>
            <w:r w:rsidRPr="00B61E7F">
              <w:t>Główne źródło danych</w:t>
            </w:r>
          </w:p>
        </w:tc>
        <w:tc>
          <w:tcPr>
            <w:tcW w:w="3397" w:type="dxa"/>
          </w:tcPr>
          <w:p w14:paraId="19B2E218" w14:textId="77777777" w:rsidR="00DC3964" w:rsidRPr="00B61E7F" w:rsidRDefault="00DC3964" w:rsidP="000313E7">
            <w:pPr>
              <w:pStyle w:val="Tabele"/>
              <w:jc w:val="center"/>
              <w:rPr>
                <w:bCs/>
              </w:rPr>
            </w:pPr>
            <w:r w:rsidRPr="00B61E7F">
              <w:t>Dodatkowe źródła danych/uwagi</w:t>
            </w:r>
          </w:p>
        </w:tc>
      </w:tr>
      <w:tr w:rsidR="00DC3964" w:rsidRPr="00B80183" w14:paraId="085551EB" w14:textId="77777777" w:rsidTr="009D6533">
        <w:trPr>
          <w:trHeight w:val="227"/>
        </w:trPr>
        <w:tc>
          <w:tcPr>
            <w:tcW w:w="2689" w:type="dxa"/>
          </w:tcPr>
          <w:p w14:paraId="392D8B79" w14:textId="77777777" w:rsidR="00DC3964" w:rsidRPr="00DC3964" w:rsidRDefault="00DC3964" w:rsidP="000313E7">
            <w:pPr>
              <w:pStyle w:val="Tabele"/>
              <w:rPr>
                <w:bCs/>
                <w:color w:val="auto"/>
              </w:rPr>
            </w:pPr>
            <w:r w:rsidRPr="00DC3964">
              <w:rPr>
                <w:color w:val="auto"/>
              </w:rPr>
              <w:t xml:space="preserve">1. Energia </w:t>
            </w:r>
          </w:p>
        </w:tc>
        <w:tc>
          <w:tcPr>
            <w:tcW w:w="2976" w:type="dxa"/>
            <w:vMerge w:val="restart"/>
          </w:tcPr>
          <w:p w14:paraId="234C709C" w14:textId="7F964855" w:rsidR="00DC3964" w:rsidRPr="00DC3964" w:rsidRDefault="00DC3964" w:rsidP="000313E7">
            <w:pPr>
              <w:pStyle w:val="Tabele"/>
              <w:rPr>
                <w:bCs/>
                <w:color w:val="auto"/>
              </w:rPr>
            </w:pPr>
            <w:r w:rsidRPr="00DC3964">
              <w:rPr>
                <w:color w:val="auto"/>
              </w:rPr>
              <w:t>Prognozy zmian aktywności w wybranych sektorach, opracowane przez ARE S</w:t>
            </w:r>
            <w:r w:rsidR="003F28E4">
              <w:rPr>
                <w:color w:val="auto"/>
              </w:rPr>
              <w:t>.</w:t>
            </w:r>
            <w:r w:rsidRPr="00DC3964">
              <w:rPr>
                <w:color w:val="auto"/>
              </w:rPr>
              <w:t>A</w:t>
            </w:r>
            <w:r w:rsidR="003F28E4">
              <w:rPr>
                <w:color w:val="auto"/>
              </w:rPr>
              <w:t>.</w:t>
            </w:r>
            <w:r w:rsidRPr="00DC3964">
              <w:rPr>
                <w:color w:val="auto"/>
              </w:rPr>
              <w:t xml:space="preserve"> na potrzeby przygotowania aKPEiK, zamieszczone w rozdziałach </w:t>
            </w:r>
            <w:r w:rsidR="004B0DFB">
              <w:rPr>
                <w:color w:val="auto"/>
              </w:rPr>
              <w:t>2</w:t>
            </w:r>
            <w:r w:rsidRPr="00DC3964">
              <w:rPr>
                <w:color w:val="auto"/>
              </w:rPr>
              <w:t xml:space="preserve"> i </w:t>
            </w:r>
            <w:r w:rsidR="004B0DFB">
              <w:rPr>
                <w:color w:val="auto"/>
              </w:rPr>
              <w:t>3</w:t>
            </w:r>
            <w:r w:rsidRPr="00DC3964">
              <w:rPr>
                <w:color w:val="auto"/>
              </w:rPr>
              <w:t xml:space="preserve"> niniejszego raportu</w:t>
            </w:r>
          </w:p>
        </w:tc>
        <w:tc>
          <w:tcPr>
            <w:tcW w:w="3397" w:type="dxa"/>
            <w:vMerge w:val="restart"/>
          </w:tcPr>
          <w:p w14:paraId="3DEBDCF5" w14:textId="77777777" w:rsidR="00C25EC5" w:rsidRPr="0025789C" w:rsidRDefault="00C25EC5" w:rsidP="000313E7">
            <w:pPr>
              <w:pStyle w:val="Tabele"/>
              <w:rPr>
                <w:bCs/>
                <w:color w:val="auto"/>
                <w:szCs w:val="16"/>
              </w:rPr>
            </w:pPr>
            <w:r w:rsidRPr="0025789C">
              <w:rPr>
                <w:bCs/>
                <w:color w:val="auto"/>
                <w:szCs w:val="16"/>
              </w:rPr>
              <w:t>Informacje pozyskane z organizacji branżowych, opracowań i artykułów branżowych i in.</w:t>
            </w:r>
          </w:p>
          <w:p w14:paraId="1C887F78" w14:textId="77777777" w:rsidR="00C25EC5" w:rsidRPr="0025789C" w:rsidRDefault="00C25EC5" w:rsidP="000313E7">
            <w:pPr>
              <w:pStyle w:val="Tabele"/>
              <w:rPr>
                <w:bCs/>
                <w:color w:val="auto"/>
                <w:szCs w:val="16"/>
              </w:rPr>
            </w:pPr>
            <w:r w:rsidRPr="0025789C">
              <w:rPr>
                <w:bCs/>
                <w:color w:val="auto"/>
                <w:szCs w:val="16"/>
              </w:rPr>
              <w:t>Prognozy GUS</w:t>
            </w:r>
          </w:p>
          <w:p w14:paraId="3B8ED79D" w14:textId="7D89508D" w:rsidR="00C25EC5" w:rsidRPr="0025789C" w:rsidRDefault="00C25EC5" w:rsidP="000313E7">
            <w:pPr>
              <w:pStyle w:val="Tabele"/>
              <w:rPr>
                <w:color w:val="auto"/>
                <w:szCs w:val="16"/>
              </w:rPr>
            </w:pPr>
            <w:r w:rsidRPr="0025789C">
              <w:rPr>
                <w:color w:val="auto"/>
                <w:szCs w:val="16"/>
              </w:rPr>
              <w:t>Prognozy zmian aktywności dla określonych sektorów gospodarki, opracowane przez KOBIZE IOŚ-PIB, na potrzeby przygotowania projekcji emisji gazów cieplarnianych i zanieczyszczeń powietrza, zamieszczone w raporcie: „Prognozy zmian aktywności w wybranych sektorach gospodarki</w:t>
            </w:r>
            <w:r w:rsidR="002A532C">
              <w:rPr>
                <w:color w:val="auto"/>
                <w:szCs w:val="16"/>
              </w:rPr>
              <w:t xml:space="preserve"> </w:t>
            </w:r>
            <w:r w:rsidRPr="0025789C">
              <w:rPr>
                <w:color w:val="auto"/>
                <w:szCs w:val="16"/>
              </w:rPr>
              <w:t>– aktualizacja 2024”</w:t>
            </w:r>
          </w:p>
          <w:p w14:paraId="4688C75F" w14:textId="71F284A3" w:rsidR="00DC3964" w:rsidRPr="00DC3964" w:rsidRDefault="00C25EC5" w:rsidP="000313E7">
            <w:pPr>
              <w:pStyle w:val="Default"/>
              <w:rPr>
                <w:color w:val="auto"/>
              </w:rPr>
            </w:pPr>
            <w:r w:rsidRPr="00A966F0">
              <w:rPr>
                <w:rFonts w:ascii="Lato" w:eastAsiaTheme="majorEastAsia" w:hAnsi="Lato" w:cstheme="minorHAnsi"/>
                <w:color w:val="auto"/>
                <w:spacing w:val="-10"/>
                <w:sz w:val="16"/>
                <w:szCs w:val="16"/>
                <w:lang w:eastAsia="en-US"/>
              </w:rPr>
              <w:t>„Analiza redukcji emisji gazów cieplarnianych w przemyśle energochłonnym. Ekspertyza Fundacji Instrat pod kątem aKPEiK.”, 2025</w:t>
            </w:r>
          </w:p>
        </w:tc>
      </w:tr>
      <w:tr w:rsidR="00DC3964" w:rsidRPr="00B80183" w14:paraId="15D141EE" w14:textId="77777777" w:rsidTr="009D6533">
        <w:trPr>
          <w:trHeight w:val="227"/>
        </w:trPr>
        <w:tc>
          <w:tcPr>
            <w:tcW w:w="2689" w:type="dxa"/>
          </w:tcPr>
          <w:p w14:paraId="4C346602" w14:textId="77777777" w:rsidR="00DC3964" w:rsidRPr="00DC3964" w:rsidRDefault="00DC3964" w:rsidP="000313E7">
            <w:pPr>
              <w:pStyle w:val="Tabele"/>
              <w:rPr>
                <w:bCs/>
                <w:color w:val="auto"/>
              </w:rPr>
            </w:pPr>
            <w:r w:rsidRPr="00DC3964">
              <w:rPr>
                <w:color w:val="auto"/>
              </w:rPr>
              <w:t xml:space="preserve">2. Procesy przemysłowe i użytkowanie produktów </w:t>
            </w:r>
          </w:p>
        </w:tc>
        <w:tc>
          <w:tcPr>
            <w:tcW w:w="2976" w:type="dxa"/>
            <w:vMerge/>
          </w:tcPr>
          <w:p w14:paraId="113A3911" w14:textId="77777777" w:rsidR="00DC3964" w:rsidRPr="00DC3964" w:rsidRDefault="00DC3964" w:rsidP="000313E7">
            <w:pPr>
              <w:pStyle w:val="Tabele"/>
              <w:rPr>
                <w:bCs/>
                <w:color w:val="auto"/>
              </w:rPr>
            </w:pPr>
          </w:p>
        </w:tc>
        <w:tc>
          <w:tcPr>
            <w:tcW w:w="3397" w:type="dxa"/>
            <w:vMerge/>
          </w:tcPr>
          <w:p w14:paraId="1C522139" w14:textId="65BA8716" w:rsidR="00DC3964" w:rsidRPr="00A966F0" w:rsidRDefault="00DC3964" w:rsidP="000313E7">
            <w:pPr>
              <w:pStyle w:val="Default"/>
              <w:rPr>
                <w:rFonts w:ascii="Lato" w:eastAsiaTheme="majorEastAsia" w:hAnsi="Lato" w:cstheme="minorHAnsi"/>
                <w:color w:val="auto"/>
                <w:spacing w:val="-10"/>
                <w:sz w:val="16"/>
                <w:szCs w:val="16"/>
                <w:lang w:eastAsia="en-US"/>
              </w:rPr>
            </w:pPr>
          </w:p>
        </w:tc>
      </w:tr>
      <w:tr w:rsidR="00DC3964" w:rsidRPr="00B80183" w14:paraId="58E14047" w14:textId="77777777" w:rsidTr="009D6533">
        <w:trPr>
          <w:trHeight w:val="227"/>
        </w:trPr>
        <w:tc>
          <w:tcPr>
            <w:tcW w:w="2689" w:type="dxa"/>
          </w:tcPr>
          <w:p w14:paraId="17DB001C" w14:textId="77777777" w:rsidR="00DC3964" w:rsidRPr="00DC3964" w:rsidRDefault="00DC3964" w:rsidP="000313E7">
            <w:pPr>
              <w:pStyle w:val="Tabele"/>
              <w:rPr>
                <w:bCs/>
                <w:color w:val="auto"/>
              </w:rPr>
            </w:pPr>
            <w:r w:rsidRPr="00DC3964">
              <w:rPr>
                <w:color w:val="auto"/>
              </w:rPr>
              <w:t xml:space="preserve">3. Rolnictwo </w:t>
            </w:r>
          </w:p>
        </w:tc>
        <w:tc>
          <w:tcPr>
            <w:tcW w:w="2976" w:type="dxa"/>
            <w:vMerge w:val="restart"/>
          </w:tcPr>
          <w:p w14:paraId="479FF1F0" w14:textId="346893E1" w:rsidR="00DC3964" w:rsidRPr="00DC3964" w:rsidRDefault="00DC3964" w:rsidP="000313E7">
            <w:pPr>
              <w:pStyle w:val="Tabele"/>
              <w:rPr>
                <w:bCs/>
                <w:color w:val="auto"/>
              </w:rPr>
            </w:pPr>
            <w:r w:rsidRPr="00DC3964">
              <w:rPr>
                <w:color w:val="auto"/>
              </w:rPr>
              <w:t>Prognozy zmian aktywności dla określonych sektorów gospodarki, opracowane przez KOBIZE IOŚ-PIB, na potrzeby przygotowania projekcji emisji gazów cieplarnianych i zanieczyszczeń powietrza, zamieszczone w raporcie „Prognozy zmian aktywności w wybranych sektorach gospodarki do 2040 r., grudzień – aktualizacja 2024</w:t>
            </w:r>
            <w:r w:rsidR="00C8329F">
              <w:rPr>
                <w:color w:val="auto"/>
              </w:rPr>
              <w:t xml:space="preserve"> </w:t>
            </w:r>
            <w:r w:rsidRPr="00DC3964">
              <w:rPr>
                <w:color w:val="auto"/>
              </w:rPr>
              <w:t>r.</w:t>
            </w:r>
          </w:p>
        </w:tc>
        <w:tc>
          <w:tcPr>
            <w:tcW w:w="3397" w:type="dxa"/>
          </w:tcPr>
          <w:p w14:paraId="5E114DC4" w14:textId="0D9A464D" w:rsidR="00DC3964" w:rsidRPr="00DC3964" w:rsidRDefault="00DC3964" w:rsidP="000313E7">
            <w:pPr>
              <w:pStyle w:val="Tabele"/>
              <w:rPr>
                <w:bCs/>
                <w:color w:val="auto"/>
              </w:rPr>
            </w:pPr>
            <w:r w:rsidRPr="000C2A39">
              <w:rPr>
                <w:bCs/>
                <w:color w:val="auto"/>
              </w:rPr>
              <w:t>Prognoza aktywności sektora rolnego w Polsce do 205</w:t>
            </w:r>
            <w:r w:rsidR="00BE2ED8">
              <w:rPr>
                <w:bCs/>
                <w:color w:val="auto"/>
              </w:rPr>
              <w:t>0 r.</w:t>
            </w:r>
            <w:r w:rsidRPr="000C2A39">
              <w:rPr>
                <w:bCs/>
                <w:color w:val="auto"/>
              </w:rPr>
              <w:t xml:space="preserve"> na potrzeby KOBiZE;</w:t>
            </w:r>
            <w:r w:rsidR="00EF5A24">
              <w:rPr>
                <w:bCs/>
                <w:color w:val="auto"/>
              </w:rPr>
              <w:t xml:space="preserve"> </w:t>
            </w:r>
            <w:r w:rsidRPr="00DC3964">
              <w:rPr>
                <w:bCs/>
                <w:color w:val="auto"/>
              </w:rPr>
              <w:t>Instytut Ekonomiki Rolnictwa i Gospodarki Żywnościowej - Państwowy Instytut Badawczy. Redakcja: dr Konrad Prandecki. Warszawa, 6.05.2024 r.</w:t>
            </w:r>
          </w:p>
        </w:tc>
      </w:tr>
      <w:tr w:rsidR="00DC3964" w:rsidRPr="00B80183" w14:paraId="05906ECB" w14:textId="77777777" w:rsidTr="009D6533">
        <w:trPr>
          <w:trHeight w:val="227"/>
        </w:trPr>
        <w:tc>
          <w:tcPr>
            <w:tcW w:w="2689" w:type="dxa"/>
          </w:tcPr>
          <w:p w14:paraId="546BC918" w14:textId="77777777" w:rsidR="00DC3964" w:rsidRPr="00DC3964" w:rsidRDefault="00DC3964" w:rsidP="000313E7">
            <w:pPr>
              <w:pStyle w:val="Tabele"/>
              <w:rPr>
                <w:bCs/>
                <w:color w:val="auto"/>
              </w:rPr>
            </w:pPr>
            <w:r w:rsidRPr="00DC3964">
              <w:rPr>
                <w:color w:val="auto"/>
              </w:rPr>
              <w:t>4. Użytkowanie gruntów, zmiany użytkowania gruntów i leśnictwo</w:t>
            </w:r>
          </w:p>
        </w:tc>
        <w:tc>
          <w:tcPr>
            <w:tcW w:w="2976" w:type="dxa"/>
            <w:vMerge/>
          </w:tcPr>
          <w:p w14:paraId="460E8DBD" w14:textId="77777777" w:rsidR="00DC3964" w:rsidRPr="00DC3964" w:rsidRDefault="00DC3964" w:rsidP="000313E7">
            <w:pPr>
              <w:pStyle w:val="Tabele"/>
              <w:rPr>
                <w:bCs/>
                <w:color w:val="auto"/>
              </w:rPr>
            </w:pPr>
          </w:p>
        </w:tc>
        <w:tc>
          <w:tcPr>
            <w:tcW w:w="3397" w:type="dxa"/>
          </w:tcPr>
          <w:p w14:paraId="37605457" w14:textId="77777777" w:rsidR="00DC3964" w:rsidRPr="00DC3964" w:rsidRDefault="00DC3964" w:rsidP="000313E7">
            <w:pPr>
              <w:pStyle w:val="Tabele"/>
              <w:rPr>
                <w:bCs/>
                <w:color w:val="auto"/>
              </w:rPr>
            </w:pPr>
            <w:r w:rsidRPr="00DC3964">
              <w:rPr>
                <w:bCs/>
                <w:color w:val="auto"/>
              </w:rPr>
              <w:t>Opracowania i analizy udostępniane w ramach projektu „Znaczenie lasów i gruntów z roślinnością leśną w pochłanianiu i magazynowaniu CO</w:t>
            </w:r>
            <w:r w:rsidRPr="00DC3964">
              <w:rPr>
                <w:bCs/>
                <w:color w:val="auto"/>
                <w:vertAlign w:val="subscript"/>
              </w:rPr>
              <w:t>2</w:t>
            </w:r>
            <w:r w:rsidRPr="00DC3964">
              <w:rPr>
                <w:bCs/>
                <w:color w:val="auto"/>
              </w:rPr>
              <w:t xml:space="preserve"> w ramach nowej strategii leśnej UE 2030 oraz pakietu ustaw „Gotowi na 55%”</w:t>
            </w:r>
          </w:p>
        </w:tc>
      </w:tr>
      <w:tr w:rsidR="00DC3964" w:rsidRPr="00B80183" w14:paraId="08AACE1F" w14:textId="77777777" w:rsidTr="009D6533">
        <w:trPr>
          <w:trHeight w:val="227"/>
        </w:trPr>
        <w:tc>
          <w:tcPr>
            <w:tcW w:w="2689" w:type="dxa"/>
          </w:tcPr>
          <w:p w14:paraId="10F7056A" w14:textId="77777777" w:rsidR="00DC3964" w:rsidRPr="00DC3964" w:rsidRDefault="00DC3964" w:rsidP="000313E7">
            <w:pPr>
              <w:pStyle w:val="Tabele"/>
              <w:rPr>
                <w:bCs/>
                <w:color w:val="auto"/>
              </w:rPr>
            </w:pPr>
            <w:r w:rsidRPr="00DC3964">
              <w:rPr>
                <w:color w:val="auto"/>
              </w:rPr>
              <w:t xml:space="preserve">5. Odpady </w:t>
            </w:r>
          </w:p>
        </w:tc>
        <w:tc>
          <w:tcPr>
            <w:tcW w:w="2976" w:type="dxa"/>
            <w:vMerge/>
          </w:tcPr>
          <w:p w14:paraId="6F9778AA" w14:textId="77777777" w:rsidR="00DC3964" w:rsidRPr="00DC3964" w:rsidRDefault="00DC3964" w:rsidP="000313E7">
            <w:pPr>
              <w:pStyle w:val="Tabele"/>
              <w:rPr>
                <w:bCs/>
                <w:color w:val="auto"/>
              </w:rPr>
            </w:pPr>
          </w:p>
        </w:tc>
        <w:tc>
          <w:tcPr>
            <w:tcW w:w="3397" w:type="dxa"/>
          </w:tcPr>
          <w:p w14:paraId="20FD04B3" w14:textId="77777777" w:rsidR="00DC3964" w:rsidRPr="00DC3964" w:rsidRDefault="00DC3964" w:rsidP="000313E7">
            <w:pPr>
              <w:pStyle w:val="Tabele"/>
              <w:rPr>
                <w:bCs/>
                <w:color w:val="auto"/>
              </w:rPr>
            </w:pPr>
            <w:r w:rsidRPr="00DC3964">
              <w:rPr>
                <w:bCs/>
                <w:color w:val="auto"/>
              </w:rPr>
              <w:t>Krajowy plan gospodarki odpadami 2028 (KPGO 2028) MKiŚ 2023;</w:t>
            </w:r>
          </w:p>
          <w:p w14:paraId="25AA1315" w14:textId="77777777" w:rsidR="00DC3964" w:rsidRPr="00DC3964" w:rsidRDefault="00DC3964" w:rsidP="000313E7">
            <w:pPr>
              <w:pStyle w:val="Tabele"/>
              <w:rPr>
                <w:bCs/>
                <w:color w:val="auto"/>
              </w:rPr>
            </w:pPr>
            <w:r w:rsidRPr="00DC3964">
              <w:rPr>
                <w:bCs/>
                <w:color w:val="auto"/>
              </w:rPr>
              <w:t>Prognoza ludności na lata 2023-2060, GUS 2023</w:t>
            </w:r>
          </w:p>
        </w:tc>
      </w:tr>
    </w:tbl>
    <w:p w14:paraId="0DFBE9DD" w14:textId="77777777" w:rsidR="003B68A6" w:rsidRDefault="003B68A6" w:rsidP="005C4144">
      <w:pPr>
        <w:rPr>
          <w:szCs w:val="20"/>
        </w:rPr>
      </w:pPr>
    </w:p>
    <w:p w14:paraId="4CDCF7FE" w14:textId="3E29978B" w:rsidR="00016C05" w:rsidRPr="003B68A6" w:rsidRDefault="00016C05" w:rsidP="005C4144">
      <w:pPr>
        <w:rPr>
          <w:szCs w:val="20"/>
        </w:rPr>
      </w:pPr>
      <w:r w:rsidRPr="003B68A6">
        <w:rPr>
          <w:szCs w:val="20"/>
        </w:rPr>
        <w:t xml:space="preserve">W prognozach uwzględniono realizację planowanych polityk i przepisów w zakresie: poprawy efektywności energetycznej, zwiększenia bezpieczeństwa dostaw paliw i energii, dywersyfikacji struktury paliw w energetyce, rozwoju wykorzystania odnawialnych źródeł energii, rozwoju konkurencyjnych rynków paliw i energii, ograniczenia oddziaływania energetyki na środowisko. </w:t>
      </w:r>
    </w:p>
    <w:p w14:paraId="1A978826" w14:textId="5204A5FE" w:rsidR="00FE19BB" w:rsidRDefault="005C4144" w:rsidP="005C4144">
      <w:r>
        <w:t>Poniżej (</w:t>
      </w:r>
      <w:r w:rsidR="001E52E7">
        <w:fldChar w:fldCharType="begin"/>
      </w:r>
      <w:r w:rsidR="001E52E7">
        <w:instrText xml:space="preserve"> REF _Ref195869199 \h </w:instrText>
      </w:r>
      <w:r w:rsidR="001E52E7">
        <w:fldChar w:fldCharType="separate"/>
      </w:r>
      <w:r w:rsidR="00F27D6F">
        <w:t xml:space="preserve">Tabela </w:t>
      </w:r>
      <w:r w:rsidR="00F27D6F">
        <w:rPr>
          <w:noProof/>
        </w:rPr>
        <w:t>1</w:t>
      </w:r>
      <w:r w:rsidR="00F27D6F">
        <w:t>.</w:t>
      </w:r>
      <w:r w:rsidR="00F27D6F">
        <w:rPr>
          <w:noProof/>
        </w:rPr>
        <w:t>2</w:t>
      </w:r>
      <w:r w:rsidR="001E52E7">
        <w:fldChar w:fldCharType="end"/>
      </w:r>
      <w:r>
        <w:t xml:space="preserve">; </w:t>
      </w:r>
      <w:r>
        <w:fldChar w:fldCharType="begin"/>
      </w:r>
      <w:r>
        <w:instrText xml:space="preserve"> REF _Ref156461877 \h </w:instrText>
      </w:r>
      <w:r>
        <w:fldChar w:fldCharType="separate"/>
      </w:r>
      <w:r w:rsidR="00F27D6F" w:rsidRPr="009E5E11">
        <w:t xml:space="preserve">Rysunek </w:t>
      </w:r>
      <w:r w:rsidR="00F27D6F">
        <w:rPr>
          <w:noProof/>
        </w:rPr>
        <w:t>1</w:t>
      </w:r>
      <w:r w:rsidR="00F27D6F" w:rsidRPr="009E5E11">
        <w:t>.</w:t>
      </w:r>
      <w:r w:rsidR="00F27D6F">
        <w:rPr>
          <w:noProof/>
        </w:rPr>
        <w:t>1</w:t>
      </w:r>
      <w:r>
        <w:fldChar w:fldCharType="end"/>
      </w:r>
      <w:r>
        <w:t xml:space="preserve">) </w:t>
      </w:r>
      <w:r w:rsidR="00FE19BB">
        <w:t>zaprezentowano syntetyczne wyniki prognozowanych dla lat 2025-20</w:t>
      </w:r>
      <w:r w:rsidR="004E28E6">
        <w:t>40</w:t>
      </w:r>
      <w:r w:rsidR="00FE19BB">
        <w:t xml:space="preserve"> emisji gazów cieplarnianych w Polsce dla scenariusza WAM, w zestawieniu z emisją historyczną dla wybranych lat w okresie 1990-2020, wg sektorów IPCC.</w:t>
      </w:r>
    </w:p>
    <w:p w14:paraId="5233FD1B" w14:textId="0B800FD0" w:rsidR="005C4144" w:rsidRDefault="005C4144" w:rsidP="005C4144">
      <w:pPr>
        <w:pStyle w:val="Legenda"/>
        <w:keepNext/>
      </w:pPr>
      <w:bookmarkStart w:id="18" w:name="_Ref160798180"/>
      <w:bookmarkStart w:id="19" w:name="_Ref195869199"/>
      <w:bookmarkStart w:id="20" w:name="_Toc167442080"/>
      <w:bookmarkStart w:id="21" w:name="_Toc171587161"/>
      <w:bookmarkStart w:id="22" w:name="_Toc174710945"/>
      <w:bookmarkStart w:id="23" w:name="_Toc202966947"/>
      <w:r>
        <w:lastRenderedPageBreak/>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w:t>
      </w:r>
      <w:r w:rsidR="00653D9A">
        <w:rPr>
          <w:noProof/>
        </w:rPr>
        <w:fldChar w:fldCharType="end"/>
      </w:r>
      <w:bookmarkEnd w:id="18"/>
      <w:bookmarkEnd w:id="19"/>
      <w:r>
        <w:t>. Projekcje emisji gazów cieplarnianych według sektorów, dla scenariusza WAM</w:t>
      </w:r>
      <w:bookmarkEnd w:id="20"/>
      <w:bookmarkEnd w:id="21"/>
      <w:bookmarkEnd w:id="22"/>
      <w:bookmarkEnd w:id="23"/>
    </w:p>
    <w:tbl>
      <w:tblPr>
        <w:tblStyle w:val="KPEiK"/>
        <w:tblW w:w="4948" w:type="pct"/>
        <w:tblCellMar>
          <w:left w:w="28" w:type="dxa"/>
          <w:right w:w="28" w:type="dxa"/>
        </w:tblCellMar>
        <w:tblLook w:val="04A0" w:firstRow="1" w:lastRow="0" w:firstColumn="1" w:lastColumn="0" w:noHBand="0" w:noVBand="1"/>
      </w:tblPr>
      <w:tblGrid>
        <w:gridCol w:w="1381"/>
        <w:gridCol w:w="907"/>
        <w:gridCol w:w="834"/>
        <w:gridCol w:w="834"/>
        <w:gridCol w:w="836"/>
        <w:gridCol w:w="834"/>
        <w:gridCol w:w="834"/>
        <w:gridCol w:w="834"/>
        <w:gridCol w:w="834"/>
        <w:gridCol w:w="834"/>
        <w:gridCol w:w="6"/>
      </w:tblGrid>
      <w:tr w:rsidR="009047D9" w:rsidRPr="00363B7E" w14:paraId="5C343C86" w14:textId="77777777" w:rsidTr="009047D9">
        <w:trPr>
          <w:cnfStyle w:val="100000000000" w:firstRow="1" w:lastRow="0" w:firstColumn="0" w:lastColumn="0" w:oddVBand="0" w:evenVBand="0" w:oddHBand="0" w:evenHBand="0" w:firstRowFirstColumn="0" w:firstRowLastColumn="0" w:lastRowFirstColumn="0" w:lastRowLastColumn="0"/>
          <w:trHeight w:val="232"/>
          <w:tblHeader/>
        </w:trPr>
        <w:tc>
          <w:tcPr>
            <w:tcW w:w="1381" w:type="dxa"/>
            <w:vMerge w:val="restart"/>
          </w:tcPr>
          <w:p w14:paraId="2F81D984" w14:textId="77777777" w:rsidR="009047D9" w:rsidRPr="00363B7E" w:rsidRDefault="009047D9" w:rsidP="000313E7">
            <w:pPr>
              <w:pStyle w:val="Tabele"/>
              <w:jc w:val="center"/>
              <w:rPr>
                <w:sz w:val="12"/>
                <w:szCs w:val="12"/>
              </w:rPr>
            </w:pPr>
            <w:r w:rsidRPr="00363B7E">
              <w:rPr>
                <w:sz w:val="12"/>
                <w:szCs w:val="12"/>
              </w:rPr>
              <w:t>Sektor</w:t>
            </w:r>
          </w:p>
        </w:tc>
        <w:tc>
          <w:tcPr>
            <w:tcW w:w="7587" w:type="dxa"/>
            <w:gridSpan w:val="10"/>
          </w:tcPr>
          <w:p w14:paraId="2382639D" w14:textId="77777777" w:rsidR="009047D9" w:rsidRPr="00363B7E" w:rsidRDefault="009047D9" w:rsidP="000313E7">
            <w:pPr>
              <w:pStyle w:val="Tabele"/>
              <w:jc w:val="center"/>
              <w:rPr>
                <w:bCs/>
                <w:sz w:val="12"/>
                <w:szCs w:val="12"/>
              </w:rPr>
            </w:pPr>
            <w:r w:rsidRPr="00363B7E">
              <w:rPr>
                <w:sz w:val="12"/>
                <w:szCs w:val="12"/>
              </w:rPr>
              <w:t>Emisje GHG [kt CO</w:t>
            </w:r>
            <w:r w:rsidRPr="00363B7E">
              <w:rPr>
                <w:sz w:val="12"/>
                <w:szCs w:val="12"/>
                <w:vertAlign w:val="subscript"/>
              </w:rPr>
              <w:t>2</w:t>
            </w:r>
            <w:r w:rsidRPr="00363B7E">
              <w:rPr>
                <w:sz w:val="12"/>
                <w:szCs w:val="12"/>
              </w:rPr>
              <w:t>eq]</w:t>
            </w:r>
          </w:p>
        </w:tc>
      </w:tr>
      <w:tr w:rsidR="001734F0" w:rsidRPr="00363B7E" w14:paraId="1A13900D" w14:textId="77777777" w:rsidTr="009047D9">
        <w:trPr>
          <w:gridAfter w:val="1"/>
          <w:cnfStyle w:val="100000000000" w:firstRow="1" w:lastRow="0" w:firstColumn="0" w:lastColumn="0" w:oddVBand="0" w:evenVBand="0" w:oddHBand="0" w:evenHBand="0" w:firstRowFirstColumn="0" w:firstRowLastColumn="0" w:lastRowFirstColumn="0" w:lastRowLastColumn="0"/>
          <w:wAfter w:w="6" w:type="dxa"/>
          <w:trHeight w:val="232"/>
          <w:tblHeader/>
        </w:trPr>
        <w:tc>
          <w:tcPr>
            <w:tcW w:w="1381" w:type="dxa"/>
            <w:vMerge/>
          </w:tcPr>
          <w:p w14:paraId="5B02CD40" w14:textId="77777777" w:rsidR="009047D9" w:rsidRPr="00363B7E" w:rsidRDefault="009047D9" w:rsidP="000313E7">
            <w:pPr>
              <w:pStyle w:val="Tabele"/>
              <w:jc w:val="center"/>
              <w:rPr>
                <w:bCs/>
                <w:sz w:val="12"/>
                <w:szCs w:val="12"/>
              </w:rPr>
            </w:pPr>
          </w:p>
        </w:tc>
        <w:tc>
          <w:tcPr>
            <w:tcW w:w="907" w:type="dxa"/>
          </w:tcPr>
          <w:p w14:paraId="1588F1A9" w14:textId="77777777" w:rsidR="009047D9" w:rsidRPr="00363B7E" w:rsidRDefault="009047D9" w:rsidP="000313E7">
            <w:pPr>
              <w:pStyle w:val="Tabele"/>
              <w:jc w:val="center"/>
              <w:rPr>
                <w:sz w:val="12"/>
                <w:szCs w:val="12"/>
              </w:rPr>
            </w:pPr>
            <w:r w:rsidRPr="00363B7E">
              <w:rPr>
                <w:sz w:val="12"/>
                <w:szCs w:val="12"/>
              </w:rPr>
              <w:t>1990</w:t>
            </w:r>
          </w:p>
        </w:tc>
        <w:tc>
          <w:tcPr>
            <w:tcW w:w="834" w:type="dxa"/>
          </w:tcPr>
          <w:p w14:paraId="41AB98F7" w14:textId="77777777" w:rsidR="009047D9" w:rsidRPr="00363B7E" w:rsidRDefault="009047D9" w:rsidP="000313E7">
            <w:pPr>
              <w:pStyle w:val="Tabele"/>
              <w:jc w:val="center"/>
              <w:rPr>
                <w:bCs/>
                <w:sz w:val="12"/>
                <w:szCs w:val="12"/>
              </w:rPr>
            </w:pPr>
            <w:r w:rsidRPr="00363B7E">
              <w:rPr>
                <w:sz w:val="12"/>
                <w:szCs w:val="12"/>
              </w:rPr>
              <w:t>2005</w:t>
            </w:r>
          </w:p>
        </w:tc>
        <w:tc>
          <w:tcPr>
            <w:tcW w:w="834" w:type="dxa"/>
          </w:tcPr>
          <w:p w14:paraId="6F181AE3" w14:textId="77777777" w:rsidR="009047D9" w:rsidRPr="00363B7E" w:rsidRDefault="009047D9" w:rsidP="000313E7">
            <w:pPr>
              <w:pStyle w:val="Tabele"/>
              <w:jc w:val="center"/>
              <w:rPr>
                <w:bCs/>
                <w:sz w:val="12"/>
                <w:szCs w:val="12"/>
              </w:rPr>
            </w:pPr>
            <w:r w:rsidRPr="00363B7E">
              <w:rPr>
                <w:sz w:val="12"/>
                <w:szCs w:val="12"/>
              </w:rPr>
              <w:t>2010</w:t>
            </w:r>
          </w:p>
        </w:tc>
        <w:tc>
          <w:tcPr>
            <w:tcW w:w="836" w:type="dxa"/>
          </w:tcPr>
          <w:p w14:paraId="0ACC6A88" w14:textId="77777777" w:rsidR="009047D9" w:rsidRPr="00363B7E" w:rsidRDefault="009047D9" w:rsidP="000313E7">
            <w:pPr>
              <w:pStyle w:val="Tabele"/>
              <w:jc w:val="center"/>
              <w:rPr>
                <w:bCs/>
                <w:sz w:val="12"/>
                <w:szCs w:val="12"/>
              </w:rPr>
            </w:pPr>
            <w:r w:rsidRPr="00363B7E">
              <w:rPr>
                <w:sz w:val="12"/>
                <w:szCs w:val="12"/>
              </w:rPr>
              <w:t>2015</w:t>
            </w:r>
          </w:p>
        </w:tc>
        <w:tc>
          <w:tcPr>
            <w:tcW w:w="834" w:type="dxa"/>
          </w:tcPr>
          <w:p w14:paraId="5F1FA4D1" w14:textId="77777777" w:rsidR="009047D9" w:rsidRPr="00363B7E" w:rsidRDefault="009047D9" w:rsidP="000313E7">
            <w:pPr>
              <w:pStyle w:val="Tabele"/>
              <w:jc w:val="center"/>
              <w:rPr>
                <w:bCs/>
                <w:sz w:val="12"/>
                <w:szCs w:val="12"/>
              </w:rPr>
            </w:pPr>
            <w:r w:rsidRPr="00363B7E">
              <w:rPr>
                <w:sz w:val="12"/>
                <w:szCs w:val="12"/>
              </w:rPr>
              <w:t>2020</w:t>
            </w:r>
          </w:p>
        </w:tc>
        <w:tc>
          <w:tcPr>
            <w:tcW w:w="834" w:type="dxa"/>
          </w:tcPr>
          <w:p w14:paraId="5C02D5B8" w14:textId="77777777" w:rsidR="009047D9" w:rsidRPr="00363B7E" w:rsidRDefault="009047D9" w:rsidP="000313E7">
            <w:pPr>
              <w:pStyle w:val="Tabele"/>
              <w:jc w:val="center"/>
              <w:rPr>
                <w:bCs/>
                <w:sz w:val="12"/>
                <w:szCs w:val="12"/>
              </w:rPr>
            </w:pPr>
            <w:r w:rsidRPr="00363B7E">
              <w:rPr>
                <w:sz w:val="12"/>
                <w:szCs w:val="12"/>
              </w:rPr>
              <w:t>2025</w:t>
            </w:r>
          </w:p>
        </w:tc>
        <w:tc>
          <w:tcPr>
            <w:tcW w:w="834" w:type="dxa"/>
          </w:tcPr>
          <w:p w14:paraId="73CDCDFB" w14:textId="77777777" w:rsidR="009047D9" w:rsidRPr="00363B7E" w:rsidRDefault="009047D9" w:rsidP="000313E7">
            <w:pPr>
              <w:pStyle w:val="Tabele"/>
              <w:jc w:val="center"/>
              <w:rPr>
                <w:bCs/>
                <w:sz w:val="12"/>
                <w:szCs w:val="12"/>
              </w:rPr>
            </w:pPr>
            <w:r w:rsidRPr="00363B7E">
              <w:rPr>
                <w:sz w:val="12"/>
                <w:szCs w:val="12"/>
              </w:rPr>
              <w:t>2030</w:t>
            </w:r>
          </w:p>
        </w:tc>
        <w:tc>
          <w:tcPr>
            <w:tcW w:w="834" w:type="dxa"/>
          </w:tcPr>
          <w:p w14:paraId="396403BB" w14:textId="77777777" w:rsidR="009047D9" w:rsidRPr="00363B7E" w:rsidRDefault="009047D9" w:rsidP="000313E7">
            <w:pPr>
              <w:pStyle w:val="Tabele"/>
              <w:jc w:val="center"/>
              <w:rPr>
                <w:bCs/>
                <w:sz w:val="12"/>
                <w:szCs w:val="12"/>
              </w:rPr>
            </w:pPr>
            <w:r w:rsidRPr="00363B7E">
              <w:rPr>
                <w:sz w:val="12"/>
                <w:szCs w:val="12"/>
              </w:rPr>
              <w:t>2035</w:t>
            </w:r>
          </w:p>
        </w:tc>
        <w:tc>
          <w:tcPr>
            <w:tcW w:w="834" w:type="dxa"/>
          </w:tcPr>
          <w:p w14:paraId="4CEFE5FD" w14:textId="77777777" w:rsidR="009047D9" w:rsidRPr="00363B7E" w:rsidRDefault="009047D9" w:rsidP="000313E7">
            <w:pPr>
              <w:pStyle w:val="Tabele"/>
              <w:jc w:val="center"/>
              <w:rPr>
                <w:bCs/>
                <w:sz w:val="12"/>
                <w:szCs w:val="12"/>
              </w:rPr>
            </w:pPr>
            <w:r w:rsidRPr="00363B7E">
              <w:rPr>
                <w:sz w:val="12"/>
                <w:szCs w:val="12"/>
              </w:rPr>
              <w:t>2040</w:t>
            </w:r>
          </w:p>
        </w:tc>
      </w:tr>
      <w:tr w:rsidR="009047D9" w:rsidRPr="00363B7E" w14:paraId="005304E9" w14:textId="77777777" w:rsidTr="009047D9">
        <w:trPr>
          <w:gridAfter w:val="1"/>
          <w:wAfter w:w="6" w:type="dxa"/>
          <w:trHeight w:val="232"/>
        </w:trPr>
        <w:tc>
          <w:tcPr>
            <w:tcW w:w="1381" w:type="dxa"/>
          </w:tcPr>
          <w:p w14:paraId="7B89FDB0" w14:textId="77777777" w:rsidR="009047D9" w:rsidRPr="009047D9" w:rsidRDefault="009047D9" w:rsidP="000313E7">
            <w:pPr>
              <w:pStyle w:val="Tabele"/>
              <w:rPr>
                <w:b/>
                <w:bCs/>
                <w:color w:val="auto"/>
                <w:sz w:val="12"/>
                <w:szCs w:val="12"/>
              </w:rPr>
            </w:pPr>
            <w:r w:rsidRPr="009047D9">
              <w:rPr>
                <w:color w:val="auto"/>
                <w:sz w:val="12"/>
                <w:szCs w:val="12"/>
              </w:rPr>
              <w:t xml:space="preserve">1. Energia </w:t>
            </w:r>
          </w:p>
        </w:tc>
        <w:tc>
          <w:tcPr>
            <w:tcW w:w="907" w:type="dxa"/>
            <w:shd w:val="clear" w:color="auto" w:fill="C5E0B3"/>
          </w:tcPr>
          <w:p w14:paraId="77D64743" w14:textId="77777777" w:rsidR="009047D9" w:rsidRPr="009047D9" w:rsidRDefault="009047D9" w:rsidP="000313E7">
            <w:pPr>
              <w:pStyle w:val="Tabele"/>
              <w:jc w:val="right"/>
              <w:rPr>
                <w:rFonts w:cs="Calibri"/>
                <w:color w:val="auto"/>
                <w:sz w:val="12"/>
                <w:szCs w:val="12"/>
              </w:rPr>
            </w:pPr>
            <w:r w:rsidRPr="009047D9">
              <w:rPr>
                <w:color w:val="auto"/>
                <w:sz w:val="12"/>
                <w:szCs w:val="12"/>
              </w:rPr>
              <w:t xml:space="preserve">385 148,74 </w:t>
            </w:r>
          </w:p>
        </w:tc>
        <w:tc>
          <w:tcPr>
            <w:tcW w:w="834" w:type="dxa"/>
            <w:shd w:val="clear" w:color="auto" w:fill="C5E0B3"/>
          </w:tcPr>
          <w:p w14:paraId="7278DF21" w14:textId="77777777" w:rsidR="009047D9" w:rsidRPr="009047D9" w:rsidRDefault="009047D9" w:rsidP="000313E7">
            <w:pPr>
              <w:pStyle w:val="Tabele"/>
              <w:jc w:val="right"/>
              <w:rPr>
                <w:bCs/>
                <w:color w:val="auto"/>
                <w:sz w:val="12"/>
                <w:szCs w:val="12"/>
              </w:rPr>
            </w:pPr>
            <w:r w:rsidRPr="009047D9">
              <w:rPr>
                <w:color w:val="auto"/>
                <w:sz w:val="12"/>
                <w:szCs w:val="12"/>
              </w:rPr>
              <w:t xml:space="preserve">334 328,14 </w:t>
            </w:r>
          </w:p>
        </w:tc>
        <w:tc>
          <w:tcPr>
            <w:tcW w:w="834" w:type="dxa"/>
            <w:shd w:val="clear" w:color="auto" w:fill="C5E0B3"/>
          </w:tcPr>
          <w:p w14:paraId="2214F6B1" w14:textId="77777777" w:rsidR="009047D9" w:rsidRPr="009047D9" w:rsidRDefault="009047D9" w:rsidP="000313E7">
            <w:pPr>
              <w:pStyle w:val="Tabele"/>
              <w:jc w:val="right"/>
              <w:rPr>
                <w:bCs/>
                <w:color w:val="auto"/>
                <w:sz w:val="12"/>
                <w:szCs w:val="12"/>
              </w:rPr>
            </w:pPr>
            <w:r w:rsidRPr="009047D9">
              <w:rPr>
                <w:color w:val="auto"/>
                <w:sz w:val="12"/>
                <w:szCs w:val="12"/>
              </w:rPr>
              <w:t xml:space="preserve">344 424,45 </w:t>
            </w:r>
          </w:p>
        </w:tc>
        <w:tc>
          <w:tcPr>
            <w:tcW w:w="836" w:type="dxa"/>
            <w:shd w:val="clear" w:color="auto" w:fill="C5E0B3"/>
          </w:tcPr>
          <w:p w14:paraId="1948A7F7" w14:textId="77777777" w:rsidR="009047D9" w:rsidRPr="009047D9" w:rsidRDefault="009047D9" w:rsidP="000313E7">
            <w:pPr>
              <w:pStyle w:val="Tabele"/>
              <w:jc w:val="right"/>
              <w:rPr>
                <w:bCs/>
                <w:color w:val="auto"/>
                <w:sz w:val="12"/>
                <w:szCs w:val="12"/>
              </w:rPr>
            </w:pPr>
            <w:r w:rsidRPr="009047D9">
              <w:rPr>
                <w:color w:val="auto"/>
                <w:sz w:val="12"/>
                <w:szCs w:val="12"/>
              </w:rPr>
              <w:t xml:space="preserve">321 697,02 </w:t>
            </w:r>
          </w:p>
        </w:tc>
        <w:tc>
          <w:tcPr>
            <w:tcW w:w="834" w:type="dxa"/>
            <w:shd w:val="clear" w:color="auto" w:fill="C5E0B3"/>
          </w:tcPr>
          <w:p w14:paraId="13606309" w14:textId="77777777" w:rsidR="009047D9" w:rsidRPr="009047D9" w:rsidRDefault="009047D9" w:rsidP="000313E7">
            <w:pPr>
              <w:pStyle w:val="Tabele"/>
              <w:jc w:val="right"/>
              <w:rPr>
                <w:bCs/>
                <w:color w:val="auto"/>
                <w:sz w:val="12"/>
                <w:szCs w:val="12"/>
              </w:rPr>
            </w:pPr>
            <w:r w:rsidRPr="009047D9">
              <w:rPr>
                <w:color w:val="auto"/>
                <w:sz w:val="12"/>
                <w:szCs w:val="12"/>
              </w:rPr>
              <w:t xml:space="preserve">307 997,84 </w:t>
            </w:r>
          </w:p>
        </w:tc>
        <w:tc>
          <w:tcPr>
            <w:tcW w:w="834" w:type="dxa"/>
          </w:tcPr>
          <w:p w14:paraId="73C3FB80" w14:textId="77777777" w:rsidR="009047D9" w:rsidRPr="009047D9" w:rsidRDefault="009047D9" w:rsidP="000313E7">
            <w:pPr>
              <w:pStyle w:val="Tabele"/>
              <w:jc w:val="right"/>
              <w:rPr>
                <w:bCs/>
                <w:color w:val="auto"/>
                <w:sz w:val="12"/>
                <w:szCs w:val="12"/>
                <w:highlight w:val="yellow"/>
              </w:rPr>
            </w:pPr>
            <w:r w:rsidRPr="009047D9">
              <w:rPr>
                <w:color w:val="auto"/>
                <w:sz w:val="12"/>
                <w:szCs w:val="12"/>
              </w:rPr>
              <w:t xml:space="preserve">275 665,91 </w:t>
            </w:r>
          </w:p>
        </w:tc>
        <w:tc>
          <w:tcPr>
            <w:tcW w:w="834" w:type="dxa"/>
          </w:tcPr>
          <w:p w14:paraId="40945649" w14:textId="77777777" w:rsidR="009047D9" w:rsidRPr="009047D9" w:rsidRDefault="009047D9" w:rsidP="000313E7">
            <w:pPr>
              <w:pStyle w:val="Tabele"/>
              <w:jc w:val="right"/>
              <w:rPr>
                <w:bCs/>
                <w:color w:val="auto"/>
                <w:sz w:val="12"/>
                <w:szCs w:val="12"/>
                <w:highlight w:val="yellow"/>
              </w:rPr>
            </w:pPr>
            <w:r w:rsidRPr="009047D9">
              <w:rPr>
                <w:color w:val="auto"/>
                <w:sz w:val="12"/>
                <w:szCs w:val="12"/>
              </w:rPr>
              <w:t xml:space="preserve">199 664,96 </w:t>
            </w:r>
          </w:p>
        </w:tc>
        <w:tc>
          <w:tcPr>
            <w:tcW w:w="834" w:type="dxa"/>
          </w:tcPr>
          <w:p w14:paraId="15BF00DE" w14:textId="77777777" w:rsidR="009047D9" w:rsidRPr="009047D9" w:rsidRDefault="009047D9" w:rsidP="000313E7">
            <w:pPr>
              <w:pStyle w:val="Tabele"/>
              <w:jc w:val="right"/>
              <w:rPr>
                <w:bCs/>
                <w:color w:val="auto"/>
                <w:sz w:val="12"/>
                <w:szCs w:val="12"/>
                <w:highlight w:val="yellow"/>
              </w:rPr>
            </w:pPr>
            <w:r w:rsidRPr="009047D9">
              <w:rPr>
                <w:color w:val="auto"/>
                <w:sz w:val="12"/>
                <w:szCs w:val="12"/>
              </w:rPr>
              <w:t xml:space="preserve">139 107,65 </w:t>
            </w:r>
          </w:p>
        </w:tc>
        <w:tc>
          <w:tcPr>
            <w:tcW w:w="834" w:type="dxa"/>
          </w:tcPr>
          <w:p w14:paraId="5B911006" w14:textId="77777777" w:rsidR="009047D9" w:rsidRPr="009047D9" w:rsidRDefault="009047D9" w:rsidP="000313E7">
            <w:pPr>
              <w:pStyle w:val="Tabele"/>
              <w:jc w:val="right"/>
              <w:rPr>
                <w:bCs/>
                <w:color w:val="auto"/>
                <w:sz w:val="12"/>
                <w:szCs w:val="12"/>
                <w:highlight w:val="yellow"/>
              </w:rPr>
            </w:pPr>
            <w:r w:rsidRPr="009047D9">
              <w:rPr>
                <w:color w:val="auto"/>
                <w:sz w:val="12"/>
                <w:szCs w:val="12"/>
              </w:rPr>
              <w:t xml:space="preserve">97 887,98 </w:t>
            </w:r>
          </w:p>
        </w:tc>
      </w:tr>
      <w:tr w:rsidR="009047D9" w:rsidRPr="00363B7E" w14:paraId="4D0706E1" w14:textId="77777777" w:rsidTr="009047D9">
        <w:trPr>
          <w:gridAfter w:val="1"/>
          <w:wAfter w:w="6" w:type="dxa"/>
          <w:trHeight w:val="232"/>
        </w:trPr>
        <w:tc>
          <w:tcPr>
            <w:tcW w:w="1381" w:type="dxa"/>
          </w:tcPr>
          <w:p w14:paraId="0BF01F9C" w14:textId="77777777" w:rsidR="009047D9" w:rsidRPr="009047D9" w:rsidRDefault="009047D9" w:rsidP="000313E7">
            <w:pPr>
              <w:pStyle w:val="Tabele"/>
              <w:rPr>
                <w:b/>
                <w:bCs/>
                <w:color w:val="auto"/>
                <w:sz w:val="12"/>
                <w:szCs w:val="12"/>
              </w:rPr>
            </w:pPr>
            <w:r w:rsidRPr="009047D9">
              <w:rPr>
                <w:color w:val="auto"/>
                <w:sz w:val="12"/>
                <w:szCs w:val="12"/>
              </w:rPr>
              <w:t xml:space="preserve">2. Procesy przemysłowe i użytkowanie produktów </w:t>
            </w:r>
          </w:p>
        </w:tc>
        <w:tc>
          <w:tcPr>
            <w:tcW w:w="907" w:type="dxa"/>
            <w:shd w:val="clear" w:color="auto" w:fill="C5E0B3"/>
          </w:tcPr>
          <w:p w14:paraId="15F969A9" w14:textId="77777777" w:rsidR="009047D9" w:rsidRPr="009047D9" w:rsidRDefault="009047D9" w:rsidP="000313E7">
            <w:pPr>
              <w:pStyle w:val="Tabele"/>
              <w:jc w:val="right"/>
              <w:rPr>
                <w:rFonts w:cs="Calibri"/>
                <w:color w:val="auto"/>
                <w:sz w:val="12"/>
                <w:szCs w:val="12"/>
              </w:rPr>
            </w:pPr>
            <w:r w:rsidRPr="009047D9">
              <w:rPr>
                <w:color w:val="auto"/>
                <w:sz w:val="12"/>
                <w:szCs w:val="12"/>
              </w:rPr>
              <w:t xml:space="preserve">21 971,96 </w:t>
            </w:r>
          </w:p>
        </w:tc>
        <w:tc>
          <w:tcPr>
            <w:tcW w:w="834" w:type="dxa"/>
            <w:shd w:val="clear" w:color="auto" w:fill="C5E0B3"/>
          </w:tcPr>
          <w:p w14:paraId="1C572CEA" w14:textId="77777777" w:rsidR="009047D9" w:rsidRPr="009047D9" w:rsidRDefault="009047D9" w:rsidP="000313E7">
            <w:pPr>
              <w:pStyle w:val="Tabele"/>
              <w:jc w:val="right"/>
              <w:rPr>
                <w:bCs/>
                <w:color w:val="auto"/>
                <w:sz w:val="12"/>
                <w:szCs w:val="12"/>
              </w:rPr>
            </w:pPr>
            <w:r w:rsidRPr="009047D9">
              <w:rPr>
                <w:color w:val="auto"/>
                <w:sz w:val="12"/>
                <w:szCs w:val="12"/>
              </w:rPr>
              <w:t xml:space="preserve">23 732,01 </w:t>
            </w:r>
          </w:p>
        </w:tc>
        <w:tc>
          <w:tcPr>
            <w:tcW w:w="834" w:type="dxa"/>
            <w:shd w:val="clear" w:color="auto" w:fill="C5E0B3"/>
          </w:tcPr>
          <w:p w14:paraId="5762BDE6" w14:textId="77777777" w:rsidR="009047D9" w:rsidRPr="009047D9" w:rsidRDefault="009047D9" w:rsidP="000313E7">
            <w:pPr>
              <w:pStyle w:val="Tabele"/>
              <w:jc w:val="right"/>
              <w:rPr>
                <w:bCs/>
                <w:color w:val="auto"/>
                <w:sz w:val="12"/>
                <w:szCs w:val="12"/>
              </w:rPr>
            </w:pPr>
            <w:r w:rsidRPr="009047D9">
              <w:rPr>
                <w:color w:val="auto"/>
                <w:sz w:val="12"/>
                <w:szCs w:val="12"/>
              </w:rPr>
              <w:t xml:space="preserve">22 882,28 </w:t>
            </w:r>
          </w:p>
        </w:tc>
        <w:tc>
          <w:tcPr>
            <w:tcW w:w="836" w:type="dxa"/>
            <w:shd w:val="clear" w:color="auto" w:fill="C5E0B3"/>
          </w:tcPr>
          <w:p w14:paraId="021BFB2F" w14:textId="77777777" w:rsidR="009047D9" w:rsidRPr="009047D9" w:rsidRDefault="009047D9" w:rsidP="000313E7">
            <w:pPr>
              <w:pStyle w:val="Tabele"/>
              <w:jc w:val="right"/>
              <w:rPr>
                <w:bCs/>
                <w:color w:val="auto"/>
                <w:sz w:val="12"/>
                <w:szCs w:val="12"/>
              </w:rPr>
            </w:pPr>
            <w:r w:rsidRPr="009047D9">
              <w:rPr>
                <w:color w:val="auto"/>
                <w:sz w:val="12"/>
                <w:szCs w:val="12"/>
              </w:rPr>
              <w:t xml:space="preserve">24 356,91 </w:t>
            </w:r>
          </w:p>
        </w:tc>
        <w:tc>
          <w:tcPr>
            <w:tcW w:w="834" w:type="dxa"/>
            <w:shd w:val="clear" w:color="auto" w:fill="C5E0B3"/>
          </w:tcPr>
          <w:p w14:paraId="067FF4F9" w14:textId="77777777" w:rsidR="009047D9" w:rsidRPr="009047D9" w:rsidRDefault="009047D9" w:rsidP="000313E7">
            <w:pPr>
              <w:pStyle w:val="Tabele"/>
              <w:jc w:val="right"/>
              <w:rPr>
                <w:bCs/>
                <w:color w:val="auto"/>
                <w:sz w:val="12"/>
                <w:szCs w:val="12"/>
              </w:rPr>
            </w:pPr>
            <w:r w:rsidRPr="009047D9">
              <w:rPr>
                <w:color w:val="auto"/>
                <w:sz w:val="12"/>
                <w:szCs w:val="12"/>
              </w:rPr>
              <w:t xml:space="preserve">24 526,59 </w:t>
            </w:r>
          </w:p>
        </w:tc>
        <w:tc>
          <w:tcPr>
            <w:tcW w:w="834" w:type="dxa"/>
          </w:tcPr>
          <w:p w14:paraId="75E59F17" w14:textId="77777777" w:rsidR="009047D9" w:rsidRPr="009047D9" w:rsidRDefault="009047D9" w:rsidP="000313E7">
            <w:pPr>
              <w:pStyle w:val="Tabele"/>
              <w:jc w:val="right"/>
              <w:rPr>
                <w:bCs/>
                <w:color w:val="auto"/>
                <w:sz w:val="12"/>
                <w:szCs w:val="12"/>
                <w:highlight w:val="yellow"/>
              </w:rPr>
            </w:pPr>
            <w:r w:rsidRPr="009047D9">
              <w:rPr>
                <w:color w:val="auto"/>
                <w:sz w:val="12"/>
                <w:szCs w:val="12"/>
              </w:rPr>
              <w:t xml:space="preserve">20 580,39 </w:t>
            </w:r>
          </w:p>
        </w:tc>
        <w:tc>
          <w:tcPr>
            <w:tcW w:w="834" w:type="dxa"/>
          </w:tcPr>
          <w:p w14:paraId="051533C1" w14:textId="77777777" w:rsidR="009047D9" w:rsidRPr="009047D9" w:rsidRDefault="009047D9" w:rsidP="000313E7">
            <w:pPr>
              <w:pStyle w:val="Tabele"/>
              <w:jc w:val="right"/>
              <w:rPr>
                <w:bCs/>
                <w:color w:val="auto"/>
                <w:sz w:val="12"/>
                <w:szCs w:val="12"/>
                <w:highlight w:val="yellow"/>
              </w:rPr>
            </w:pPr>
            <w:r w:rsidRPr="009047D9">
              <w:rPr>
                <w:color w:val="auto"/>
                <w:sz w:val="12"/>
                <w:szCs w:val="12"/>
              </w:rPr>
              <w:t xml:space="preserve">17 274,72 </w:t>
            </w:r>
          </w:p>
        </w:tc>
        <w:tc>
          <w:tcPr>
            <w:tcW w:w="834" w:type="dxa"/>
          </w:tcPr>
          <w:p w14:paraId="196F27CA" w14:textId="77777777" w:rsidR="009047D9" w:rsidRPr="009047D9" w:rsidRDefault="009047D9" w:rsidP="000313E7">
            <w:pPr>
              <w:pStyle w:val="Tabele"/>
              <w:jc w:val="right"/>
              <w:rPr>
                <w:bCs/>
                <w:color w:val="auto"/>
                <w:sz w:val="12"/>
                <w:szCs w:val="12"/>
                <w:highlight w:val="yellow"/>
              </w:rPr>
            </w:pPr>
            <w:r w:rsidRPr="009047D9">
              <w:rPr>
                <w:color w:val="auto"/>
                <w:sz w:val="12"/>
                <w:szCs w:val="12"/>
              </w:rPr>
              <w:t xml:space="preserve">14 203,97 </w:t>
            </w:r>
          </w:p>
        </w:tc>
        <w:tc>
          <w:tcPr>
            <w:tcW w:w="834" w:type="dxa"/>
          </w:tcPr>
          <w:p w14:paraId="58563E75" w14:textId="77777777" w:rsidR="009047D9" w:rsidRPr="009047D9" w:rsidRDefault="009047D9" w:rsidP="000313E7">
            <w:pPr>
              <w:pStyle w:val="Tabele"/>
              <w:jc w:val="right"/>
              <w:rPr>
                <w:bCs/>
                <w:color w:val="auto"/>
                <w:sz w:val="12"/>
                <w:szCs w:val="12"/>
                <w:highlight w:val="yellow"/>
              </w:rPr>
            </w:pPr>
            <w:r w:rsidRPr="009047D9">
              <w:rPr>
                <w:color w:val="auto"/>
                <w:sz w:val="12"/>
                <w:szCs w:val="12"/>
              </w:rPr>
              <w:t xml:space="preserve">11 343,12 </w:t>
            </w:r>
          </w:p>
        </w:tc>
      </w:tr>
      <w:tr w:rsidR="009047D9" w:rsidRPr="00363B7E" w14:paraId="393681E1" w14:textId="77777777" w:rsidTr="009047D9">
        <w:trPr>
          <w:gridAfter w:val="1"/>
          <w:wAfter w:w="6" w:type="dxa"/>
          <w:trHeight w:val="232"/>
        </w:trPr>
        <w:tc>
          <w:tcPr>
            <w:tcW w:w="1381" w:type="dxa"/>
          </w:tcPr>
          <w:p w14:paraId="219FC14E" w14:textId="77777777" w:rsidR="009047D9" w:rsidRPr="009047D9" w:rsidRDefault="009047D9" w:rsidP="000313E7">
            <w:pPr>
              <w:pStyle w:val="Tabele"/>
              <w:rPr>
                <w:bCs/>
                <w:color w:val="auto"/>
                <w:sz w:val="12"/>
                <w:szCs w:val="12"/>
              </w:rPr>
            </w:pPr>
            <w:r w:rsidRPr="009047D9">
              <w:rPr>
                <w:color w:val="auto"/>
                <w:sz w:val="12"/>
                <w:szCs w:val="12"/>
              </w:rPr>
              <w:t xml:space="preserve">3. Rolnictwo </w:t>
            </w:r>
          </w:p>
        </w:tc>
        <w:tc>
          <w:tcPr>
            <w:tcW w:w="907" w:type="dxa"/>
            <w:shd w:val="clear" w:color="auto" w:fill="C5E0B3"/>
          </w:tcPr>
          <w:p w14:paraId="08C77F77" w14:textId="77777777" w:rsidR="009047D9" w:rsidRPr="009047D9" w:rsidRDefault="009047D9" w:rsidP="000313E7">
            <w:pPr>
              <w:pStyle w:val="Tabele"/>
              <w:jc w:val="right"/>
              <w:rPr>
                <w:rFonts w:cs="Calibri"/>
                <w:color w:val="auto"/>
                <w:sz w:val="12"/>
                <w:szCs w:val="12"/>
              </w:rPr>
            </w:pPr>
            <w:r w:rsidRPr="009047D9">
              <w:rPr>
                <w:color w:val="auto"/>
                <w:sz w:val="12"/>
                <w:szCs w:val="12"/>
              </w:rPr>
              <w:t xml:space="preserve">49 291,32 </w:t>
            </w:r>
          </w:p>
        </w:tc>
        <w:tc>
          <w:tcPr>
            <w:tcW w:w="834" w:type="dxa"/>
            <w:shd w:val="clear" w:color="auto" w:fill="C5E0B3"/>
          </w:tcPr>
          <w:p w14:paraId="6871BF8F" w14:textId="77777777" w:rsidR="009047D9" w:rsidRPr="009047D9" w:rsidRDefault="009047D9" w:rsidP="000313E7">
            <w:pPr>
              <w:pStyle w:val="Tabele"/>
              <w:jc w:val="right"/>
              <w:rPr>
                <w:b/>
                <w:bCs/>
                <w:color w:val="auto"/>
                <w:sz w:val="12"/>
                <w:szCs w:val="12"/>
              </w:rPr>
            </w:pPr>
            <w:r w:rsidRPr="009047D9">
              <w:rPr>
                <w:color w:val="auto"/>
                <w:sz w:val="12"/>
                <w:szCs w:val="12"/>
              </w:rPr>
              <w:t xml:space="preserve">31 659,35 </w:t>
            </w:r>
          </w:p>
        </w:tc>
        <w:tc>
          <w:tcPr>
            <w:tcW w:w="834" w:type="dxa"/>
            <w:shd w:val="clear" w:color="auto" w:fill="C5E0B3"/>
          </w:tcPr>
          <w:p w14:paraId="6ECECE27" w14:textId="77777777" w:rsidR="009047D9" w:rsidRPr="009047D9" w:rsidRDefault="009047D9" w:rsidP="000313E7">
            <w:pPr>
              <w:pStyle w:val="Tabele"/>
              <w:jc w:val="right"/>
              <w:rPr>
                <w:b/>
                <w:bCs/>
                <w:color w:val="auto"/>
                <w:sz w:val="12"/>
                <w:szCs w:val="12"/>
              </w:rPr>
            </w:pPr>
            <w:r w:rsidRPr="009047D9">
              <w:rPr>
                <w:color w:val="auto"/>
                <w:sz w:val="12"/>
                <w:szCs w:val="12"/>
              </w:rPr>
              <w:t xml:space="preserve">31 659,59 </w:t>
            </w:r>
          </w:p>
        </w:tc>
        <w:tc>
          <w:tcPr>
            <w:tcW w:w="836" w:type="dxa"/>
            <w:shd w:val="clear" w:color="auto" w:fill="C5E0B3"/>
          </w:tcPr>
          <w:p w14:paraId="0EC79C04" w14:textId="77777777" w:rsidR="009047D9" w:rsidRPr="009047D9" w:rsidRDefault="009047D9" w:rsidP="000313E7">
            <w:pPr>
              <w:pStyle w:val="Tabele"/>
              <w:jc w:val="right"/>
              <w:rPr>
                <w:b/>
                <w:bCs/>
                <w:color w:val="auto"/>
                <w:sz w:val="12"/>
                <w:szCs w:val="12"/>
              </w:rPr>
            </w:pPr>
            <w:r w:rsidRPr="009047D9">
              <w:rPr>
                <w:color w:val="auto"/>
                <w:sz w:val="12"/>
                <w:szCs w:val="12"/>
              </w:rPr>
              <w:t xml:space="preserve">31 775,06 </w:t>
            </w:r>
          </w:p>
        </w:tc>
        <w:tc>
          <w:tcPr>
            <w:tcW w:w="834" w:type="dxa"/>
            <w:shd w:val="clear" w:color="auto" w:fill="C5E0B3"/>
          </w:tcPr>
          <w:p w14:paraId="1AB90405" w14:textId="77777777" w:rsidR="009047D9" w:rsidRPr="009047D9" w:rsidRDefault="009047D9" w:rsidP="000313E7">
            <w:pPr>
              <w:pStyle w:val="Tabele"/>
              <w:jc w:val="right"/>
              <w:rPr>
                <w:b/>
                <w:bCs/>
                <w:color w:val="auto"/>
                <w:sz w:val="12"/>
                <w:szCs w:val="12"/>
              </w:rPr>
            </w:pPr>
            <w:r w:rsidRPr="009047D9">
              <w:rPr>
                <w:color w:val="auto"/>
                <w:sz w:val="12"/>
                <w:szCs w:val="12"/>
              </w:rPr>
              <w:t xml:space="preserve">34 225,49 </w:t>
            </w:r>
          </w:p>
        </w:tc>
        <w:tc>
          <w:tcPr>
            <w:tcW w:w="834" w:type="dxa"/>
          </w:tcPr>
          <w:p w14:paraId="46DC00FE"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33 311,18 </w:t>
            </w:r>
          </w:p>
        </w:tc>
        <w:tc>
          <w:tcPr>
            <w:tcW w:w="834" w:type="dxa"/>
          </w:tcPr>
          <w:p w14:paraId="011EED90"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31 993,93 </w:t>
            </w:r>
          </w:p>
        </w:tc>
        <w:tc>
          <w:tcPr>
            <w:tcW w:w="834" w:type="dxa"/>
          </w:tcPr>
          <w:p w14:paraId="1A8C6643"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31 616,51 </w:t>
            </w:r>
          </w:p>
        </w:tc>
        <w:tc>
          <w:tcPr>
            <w:tcW w:w="834" w:type="dxa"/>
          </w:tcPr>
          <w:p w14:paraId="173BCD9E"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30 506,49 </w:t>
            </w:r>
          </w:p>
        </w:tc>
      </w:tr>
      <w:tr w:rsidR="009047D9" w:rsidRPr="00363B7E" w14:paraId="3C38D186" w14:textId="77777777" w:rsidTr="009047D9">
        <w:trPr>
          <w:gridAfter w:val="1"/>
          <w:wAfter w:w="6" w:type="dxa"/>
          <w:trHeight w:val="232"/>
        </w:trPr>
        <w:tc>
          <w:tcPr>
            <w:tcW w:w="1381" w:type="dxa"/>
          </w:tcPr>
          <w:p w14:paraId="7B21631C" w14:textId="77777777" w:rsidR="009047D9" w:rsidRPr="009047D9" w:rsidRDefault="009047D9" w:rsidP="000313E7">
            <w:pPr>
              <w:pStyle w:val="Tabele"/>
              <w:rPr>
                <w:bCs/>
                <w:color w:val="auto"/>
                <w:sz w:val="12"/>
                <w:szCs w:val="12"/>
              </w:rPr>
            </w:pPr>
            <w:r w:rsidRPr="009047D9">
              <w:rPr>
                <w:color w:val="auto"/>
                <w:sz w:val="12"/>
                <w:szCs w:val="12"/>
              </w:rPr>
              <w:t>4. Użytkowanie gruntów, zmiany użytkowania gruntów i leśnictwo</w:t>
            </w:r>
          </w:p>
        </w:tc>
        <w:tc>
          <w:tcPr>
            <w:tcW w:w="907" w:type="dxa"/>
            <w:shd w:val="clear" w:color="auto" w:fill="C5E0B3"/>
          </w:tcPr>
          <w:p w14:paraId="4AE42939" w14:textId="77777777" w:rsidR="009047D9" w:rsidRPr="009047D9" w:rsidRDefault="009047D9" w:rsidP="000313E7">
            <w:pPr>
              <w:pStyle w:val="Tabele"/>
              <w:jc w:val="right"/>
              <w:rPr>
                <w:rFonts w:cs="Calibri"/>
                <w:color w:val="auto"/>
                <w:sz w:val="12"/>
                <w:szCs w:val="12"/>
              </w:rPr>
            </w:pPr>
            <w:r w:rsidRPr="009047D9">
              <w:rPr>
                <w:color w:val="auto"/>
                <w:sz w:val="12"/>
                <w:szCs w:val="12"/>
              </w:rPr>
              <w:t xml:space="preserve">-28 336,99 </w:t>
            </w:r>
          </w:p>
        </w:tc>
        <w:tc>
          <w:tcPr>
            <w:tcW w:w="834" w:type="dxa"/>
            <w:shd w:val="clear" w:color="auto" w:fill="C5E0B3"/>
          </w:tcPr>
          <w:p w14:paraId="2E0E59E2" w14:textId="77777777" w:rsidR="009047D9" w:rsidRPr="009047D9" w:rsidRDefault="009047D9" w:rsidP="000313E7">
            <w:pPr>
              <w:pStyle w:val="Tabele"/>
              <w:jc w:val="right"/>
              <w:rPr>
                <w:b/>
                <w:bCs/>
                <w:color w:val="auto"/>
                <w:sz w:val="12"/>
                <w:szCs w:val="12"/>
              </w:rPr>
            </w:pPr>
            <w:r w:rsidRPr="009047D9">
              <w:rPr>
                <w:color w:val="auto"/>
                <w:sz w:val="12"/>
                <w:szCs w:val="12"/>
              </w:rPr>
              <w:t xml:space="preserve">-50 574,69 </w:t>
            </w:r>
          </w:p>
        </w:tc>
        <w:tc>
          <w:tcPr>
            <w:tcW w:w="834" w:type="dxa"/>
            <w:shd w:val="clear" w:color="auto" w:fill="C5E0B3"/>
          </w:tcPr>
          <w:p w14:paraId="779AF556" w14:textId="77777777" w:rsidR="009047D9" w:rsidRPr="009047D9" w:rsidRDefault="009047D9" w:rsidP="000313E7">
            <w:pPr>
              <w:pStyle w:val="Tabele"/>
              <w:jc w:val="right"/>
              <w:rPr>
                <w:b/>
                <w:bCs/>
                <w:color w:val="auto"/>
                <w:sz w:val="12"/>
                <w:szCs w:val="12"/>
              </w:rPr>
            </w:pPr>
            <w:r w:rsidRPr="009047D9">
              <w:rPr>
                <w:color w:val="auto"/>
                <w:sz w:val="12"/>
                <w:szCs w:val="12"/>
              </w:rPr>
              <w:t xml:space="preserve">-36 334,72 </w:t>
            </w:r>
          </w:p>
        </w:tc>
        <w:tc>
          <w:tcPr>
            <w:tcW w:w="836" w:type="dxa"/>
            <w:shd w:val="clear" w:color="auto" w:fill="C5E0B3"/>
          </w:tcPr>
          <w:p w14:paraId="0EC2D3F7" w14:textId="77777777" w:rsidR="009047D9" w:rsidRPr="009047D9" w:rsidRDefault="009047D9" w:rsidP="000313E7">
            <w:pPr>
              <w:pStyle w:val="Tabele"/>
              <w:jc w:val="right"/>
              <w:rPr>
                <w:b/>
                <w:bCs/>
                <w:color w:val="auto"/>
                <w:sz w:val="12"/>
                <w:szCs w:val="12"/>
              </w:rPr>
            </w:pPr>
            <w:r w:rsidRPr="009047D9">
              <w:rPr>
                <w:color w:val="auto"/>
                <w:sz w:val="12"/>
                <w:szCs w:val="12"/>
              </w:rPr>
              <w:t xml:space="preserve">-34 099,96 </w:t>
            </w:r>
          </w:p>
        </w:tc>
        <w:tc>
          <w:tcPr>
            <w:tcW w:w="834" w:type="dxa"/>
            <w:shd w:val="clear" w:color="auto" w:fill="C5E0B3"/>
          </w:tcPr>
          <w:p w14:paraId="634A579C" w14:textId="77777777" w:rsidR="009047D9" w:rsidRPr="009047D9" w:rsidRDefault="009047D9" w:rsidP="000313E7">
            <w:pPr>
              <w:pStyle w:val="Tabele"/>
              <w:jc w:val="right"/>
              <w:rPr>
                <w:b/>
                <w:bCs/>
                <w:color w:val="auto"/>
                <w:sz w:val="12"/>
                <w:szCs w:val="12"/>
              </w:rPr>
            </w:pPr>
            <w:r w:rsidRPr="009047D9">
              <w:rPr>
                <w:color w:val="auto"/>
                <w:sz w:val="12"/>
                <w:szCs w:val="12"/>
              </w:rPr>
              <w:t xml:space="preserve">-23 330,17 </w:t>
            </w:r>
          </w:p>
        </w:tc>
        <w:tc>
          <w:tcPr>
            <w:tcW w:w="834" w:type="dxa"/>
          </w:tcPr>
          <w:p w14:paraId="360FF44F"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-49 741,89 </w:t>
            </w:r>
          </w:p>
        </w:tc>
        <w:tc>
          <w:tcPr>
            <w:tcW w:w="834" w:type="dxa"/>
          </w:tcPr>
          <w:p w14:paraId="1D1C3F1C"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-46 492,88 </w:t>
            </w:r>
          </w:p>
        </w:tc>
        <w:tc>
          <w:tcPr>
            <w:tcW w:w="834" w:type="dxa"/>
          </w:tcPr>
          <w:p w14:paraId="5FADE8CA"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-40 292,92 </w:t>
            </w:r>
          </w:p>
        </w:tc>
        <w:tc>
          <w:tcPr>
            <w:tcW w:w="834" w:type="dxa"/>
          </w:tcPr>
          <w:p w14:paraId="2DC8827F"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-35 333,22 </w:t>
            </w:r>
          </w:p>
        </w:tc>
      </w:tr>
      <w:tr w:rsidR="009047D9" w:rsidRPr="00363B7E" w14:paraId="4835D3F4" w14:textId="77777777" w:rsidTr="009047D9">
        <w:trPr>
          <w:gridAfter w:val="1"/>
          <w:wAfter w:w="6" w:type="dxa"/>
          <w:trHeight w:val="232"/>
        </w:trPr>
        <w:tc>
          <w:tcPr>
            <w:tcW w:w="1381" w:type="dxa"/>
          </w:tcPr>
          <w:p w14:paraId="6ACACBEE" w14:textId="77777777" w:rsidR="009047D9" w:rsidRPr="009047D9" w:rsidRDefault="009047D9" w:rsidP="000313E7">
            <w:pPr>
              <w:pStyle w:val="Tabele"/>
              <w:rPr>
                <w:bCs/>
                <w:color w:val="auto"/>
                <w:sz w:val="12"/>
                <w:szCs w:val="12"/>
              </w:rPr>
            </w:pPr>
            <w:r w:rsidRPr="009047D9">
              <w:rPr>
                <w:color w:val="auto"/>
                <w:sz w:val="12"/>
                <w:szCs w:val="12"/>
              </w:rPr>
              <w:t xml:space="preserve">5. Odpady </w:t>
            </w:r>
          </w:p>
        </w:tc>
        <w:tc>
          <w:tcPr>
            <w:tcW w:w="907" w:type="dxa"/>
            <w:shd w:val="clear" w:color="auto" w:fill="C5E0B3"/>
          </w:tcPr>
          <w:p w14:paraId="00FE69E4" w14:textId="77777777" w:rsidR="009047D9" w:rsidRPr="009047D9" w:rsidRDefault="009047D9" w:rsidP="000313E7">
            <w:pPr>
              <w:pStyle w:val="Tabele"/>
              <w:jc w:val="right"/>
              <w:rPr>
                <w:rFonts w:cs="Calibri"/>
                <w:color w:val="auto"/>
                <w:sz w:val="12"/>
                <w:szCs w:val="12"/>
              </w:rPr>
            </w:pPr>
            <w:r w:rsidRPr="009047D9">
              <w:rPr>
                <w:color w:val="auto"/>
                <w:sz w:val="12"/>
                <w:szCs w:val="12"/>
              </w:rPr>
              <w:t xml:space="preserve">19 054,57 </w:t>
            </w:r>
          </w:p>
        </w:tc>
        <w:tc>
          <w:tcPr>
            <w:tcW w:w="834" w:type="dxa"/>
            <w:shd w:val="clear" w:color="auto" w:fill="C5E0B3"/>
          </w:tcPr>
          <w:p w14:paraId="3B311031" w14:textId="77777777" w:rsidR="009047D9" w:rsidRPr="009047D9" w:rsidRDefault="009047D9" w:rsidP="000313E7">
            <w:pPr>
              <w:pStyle w:val="Tabele"/>
              <w:jc w:val="right"/>
              <w:rPr>
                <w:b/>
                <w:bCs/>
                <w:color w:val="auto"/>
                <w:sz w:val="12"/>
                <w:szCs w:val="12"/>
              </w:rPr>
            </w:pPr>
            <w:r w:rsidRPr="009047D9">
              <w:rPr>
                <w:color w:val="auto"/>
                <w:sz w:val="12"/>
                <w:szCs w:val="12"/>
              </w:rPr>
              <w:t xml:space="preserve">11 673,39 </w:t>
            </w:r>
          </w:p>
        </w:tc>
        <w:tc>
          <w:tcPr>
            <w:tcW w:w="834" w:type="dxa"/>
            <w:shd w:val="clear" w:color="auto" w:fill="C5E0B3"/>
          </w:tcPr>
          <w:p w14:paraId="644702C3" w14:textId="77777777" w:rsidR="009047D9" w:rsidRPr="009047D9" w:rsidRDefault="009047D9" w:rsidP="000313E7">
            <w:pPr>
              <w:pStyle w:val="Tabele"/>
              <w:jc w:val="right"/>
              <w:rPr>
                <w:b/>
                <w:bCs/>
                <w:color w:val="auto"/>
                <w:sz w:val="12"/>
                <w:szCs w:val="12"/>
              </w:rPr>
            </w:pPr>
            <w:r w:rsidRPr="009047D9">
              <w:rPr>
                <w:color w:val="auto"/>
                <w:sz w:val="12"/>
                <w:szCs w:val="12"/>
              </w:rPr>
              <w:t xml:space="preserve">7 710,42 </w:t>
            </w:r>
          </w:p>
        </w:tc>
        <w:tc>
          <w:tcPr>
            <w:tcW w:w="836" w:type="dxa"/>
            <w:shd w:val="clear" w:color="auto" w:fill="C5E0B3"/>
          </w:tcPr>
          <w:p w14:paraId="1341EBC7" w14:textId="77777777" w:rsidR="009047D9" w:rsidRPr="009047D9" w:rsidRDefault="009047D9" w:rsidP="000313E7">
            <w:pPr>
              <w:pStyle w:val="Tabele"/>
              <w:jc w:val="right"/>
              <w:rPr>
                <w:b/>
                <w:bCs/>
                <w:color w:val="auto"/>
                <w:sz w:val="12"/>
                <w:szCs w:val="12"/>
              </w:rPr>
            </w:pPr>
            <w:r w:rsidRPr="009047D9">
              <w:rPr>
                <w:color w:val="auto"/>
                <w:sz w:val="12"/>
                <w:szCs w:val="12"/>
              </w:rPr>
              <w:t xml:space="preserve">5 104,07 </w:t>
            </w:r>
          </w:p>
        </w:tc>
        <w:tc>
          <w:tcPr>
            <w:tcW w:w="834" w:type="dxa"/>
            <w:shd w:val="clear" w:color="auto" w:fill="C5E0B3"/>
          </w:tcPr>
          <w:p w14:paraId="62FEEB36" w14:textId="77777777" w:rsidR="009047D9" w:rsidRPr="009047D9" w:rsidRDefault="009047D9" w:rsidP="000313E7">
            <w:pPr>
              <w:pStyle w:val="Tabele"/>
              <w:jc w:val="right"/>
              <w:rPr>
                <w:b/>
                <w:bCs/>
                <w:color w:val="auto"/>
                <w:sz w:val="12"/>
                <w:szCs w:val="12"/>
              </w:rPr>
            </w:pPr>
            <w:r w:rsidRPr="009047D9">
              <w:rPr>
                <w:color w:val="auto"/>
                <w:sz w:val="12"/>
                <w:szCs w:val="12"/>
              </w:rPr>
              <w:t xml:space="preserve">4 160,83 </w:t>
            </w:r>
          </w:p>
        </w:tc>
        <w:tc>
          <w:tcPr>
            <w:tcW w:w="834" w:type="dxa"/>
          </w:tcPr>
          <w:p w14:paraId="6892601D"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3 745,00 </w:t>
            </w:r>
          </w:p>
        </w:tc>
        <w:tc>
          <w:tcPr>
            <w:tcW w:w="834" w:type="dxa"/>
          </w:tcPr>
          <w:p w14:paraId="527E2F25"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3 578,35 </w:t>
            </w:r>
          </w:p>
        </w:tc>
        <w:tc>
          <w:tcPr>
            <w:tcW w:w="834" w:type="dxa"/>
          </w:tcPr>
          <w:p w14:paraId="4DE38CE3"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3 545,16 </w:t>
            </w:r>
          </w:p>
        </w:tc>
        <w:tc>
          <w:tcPr>
            <w:tcW w:w="834" w:type="dxa"/>
          </w:tcPr>
          <w:p w14:paraId="2DA0B044"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3 277,79 </w:t>
            </w:r>
          </w:p>
        </w:tc>
      </w:tr>
      <w:tr w:rsidR="009047D9" w:rsidRPr="00363B7E" w14:paraId="76B31C9D" w14:textId="77777777" w:rsidTr="009047D9">
        <w:trPr>
          <w:gridAfter w:val="1"/>
          <w:wAfter w:w="6" w:type="dxa"/>
          <w:trHeight w:val="232"/>
        </w:trPr>
        <w:tc>
          <w:tcPr>
            <w:tcW w:w="1381" w:type="dxa"/>
          </w:tcPr>
          <w:p w14:paraId="54110EEE" w14:textId="77777777" w:rsidR="009047D9" w:rsidRPr="009047D9" w:rsidRDefault="009047D9" w:rsidP="000313E7">
            <w:pPr>
              <w:pStyle w:val="Tabele"/>
              <w:rPr>
                <w:bCs/>
                <w:color w:val="auto"/>
                <w:sz w:val="12"/>
                <w:szCs w:val="12"/>
              </w:rPr>
            </w:pPr>
            <w:r w:rsidRPr="009047D9">
              <w:rPr>
                <w:color w:val="auto"/>
                <w:sz w:val="12"/>
                <w:szCs w:val="12"/>
              </w:rPr>
              <w:t>Emisje pośrednie CO</w:t>
            </w:r>
            <w:r w:rsidRPr="009047D9">
              <w:rPr>
                <w:color w:val="auto"/>
                <w:sz w:val="12"/>
                <w:szCs w:val="12"/>
                <w:vertAlign w:val="subscript"/>
              </w:rPr>
              <w:t xml:space="preserve">2 </w:t>
            </w:r>
          </w:p>
        </w:tc>
        <w:tc>
          <w:tcPr>
            <w:tcW w:w="907" w:type="dxa"/>
            <w:shd w:val="clear" w:color="auto" w:fill="C5E0B3"/>
          </w:tcPr>
          <w:p w14:paraId="2D76B1C1" w14:textId="77777777" w:rsidR="009047D9" w:rsidRPr="009047D9" w:rsidRDefault="009047D9" w:rsidP="000313E7">
            <w:pPr>
              <w:pStyle w:val="Tabele"/>
              <w:jc w:val="right"/>
              <w:rPr>
                <w:rFonts w:cs="Calibri"/>
                <w:color w:val="auto"/>
                <w:sz w:val="12"/>
                <w:szCs w:val="12"/>
              </w:rPr>
            </w:pPr>
            <w:r w:rsidRPr="009047D9">
              <w:rPr>
                <w:color w:val="auto"/>
                <w:sz w:val="12"/>
                <w:szCs w:val="12"/>
              </w:rPr>
              <w:t xml:space="preserve">257,16 </w:t>
            </w:r>
          </w:p>
        </w:tc>
        <w:tc>
          <w:tcPr>
            <w:tcW w:w="834" w:type="dxa"/>
            <w:shd w:val="clear" w:color="auto" w:fill="C5E0B3"/>
          </w:tcPr>
          <w:p w14:paraId="3D8E052A" w14:textId="77777777" w:rsidR="009047D9" w:rsidRPr="009047D9" w:rsidRDefault="009047D9" w:rsidP="000313E7">
            <w:pPr>
              <w:pStyle w:val="Tabele"/>
              <w:jc w:val="right"/>
              <w:rPr>
                <w:b/>
                <w:bCs/>
                <w:color w:val="auto"/>
                <w:sz w:val="12"/>
                <w:szCs w:val="12"/>
              </w:rPr>
            </w:pPr>
            <w:r w:rsidRPr="009047D9">
              <w:rPr>
                <w:color w:val="auto"/>
                <w:sz w:val="12"/>
                <w:szCs w:val="12"/>
              </w:rPr>
              <w:t xml:space="preserve">551,23 </w:t>
            </w:r>
          </w:p>
        </w:tc>
        <w:tc>
          <w:tcPr>
            <w:tcW w:w="834" w:type="dxa"/>
            <w:shd w:val="clear" w:color="auto" w:fill="C5E0B3"/>
          </w:tcPr>
          <w:p w14:paraId="0C69041D" w14:textId="77777777" w:rsidR="009047D9" w:rsidRPr="009047D9" w:rsidRDefault="009047D9" w:rsidP="000313E7">
            <w:pPr>
              <w:pStyle w:val="Tabele"/>
              <w:jc w:val="right"/>
              <w:rPr>
                <w:b/>
                <w:bCs/>
                <w:color w:val="auto"/>
                <w:sz w:val="12"/>
                <w:szCs w:val="12"/>
              </w:rPr>
            </w:pPr>
            <w:r w:rsidRPr="009047D9">
              <w:rPr>
                <w:color w:val="auto"/>
                <w:sz w:val="12"/>
                <w:szCs w:val="12"/>
              </w:rPr>
              <w:t xml:space="preserve">545,29 </w:t>
            </w:r>
          </w:p>
        </w:tc>
        <w:tc>
          <w:tcPr>
            <w:tcW w:w="836" w:type="dxa"/>
            <w:shd w:val="clear" w:color="auto" w:fill="C5E0B3"/>
          </w:tcPr>
          <w:p w14:paraId="33CF7692" w14:textId="77777777" w:rsidR="009047D9" w:rsidRPr="009047D9" w:rsidRDefault="009047D9" w:rsidP="000313E7">
            <w:pPr>
              <w:pStyle w:val="Tabele"/>
              <w:jc w:val="right"/>
              <w:rPr>
                <w:b/>
                <w:bCs/>
                <w:color w:val="auto"/>
                <w:sz w:val="12"/>
                <w:szCs w:val="12"/>
              </w:rPr>
            </w:pPr>
            <w:r w:rsidRPr="009047D9">
              <w:rPr>
                <w:color w:val="auto"/>
                <w:sz w:val="12"/>
                <w:szCs w:val="12"/>
              </w:rPr>
              <w:t xml:space="preserve">522,68 </w:t>
            </w:r>
          </w:p>
        </w:tc>
        <w:tc>
          <w:tcPr>
            <w:tcW w:w="834" w:type="dxa"/>
            <w:shd w:val="clear" w:color="auto" w:fill="C5E0B3"/>
          </w:tcPr>
          <w:p w14:paraId="3904950F" w14:textId="77777777" w:rsidR="009047D9" w:rsidRPr="009047D9" w:rsidRDefault="009047D9" w:rsidP="000313E7">
            <w:pPr>
              <w:pStyle w:val="Tabele"/>
              <w:jc w:val="right"/>
              <w:rPr>
                <w:b/>
                <w:bCs/>
                <w:color w:val="auto"/>
                <w:sz w:val="12"/>
                <w:szCs w:val="12"/>
              </w:rPr>
            </w:pPr>
            <w:r w:rsidRPr="009047D9">
              <w:rPr>
                <w:color w:val="auto"/>
                <w:sz w:val="12"/>
                <w:szCs w:val="12"/>
              </w:rPr>
              <w:t xml:space="preserve">527,67 </w:t>
            </w:r>
          </w:p>
        </w:tc>
        <w:tc>
          <w:tcPr>
            <w:tcW w:w="834" w:type="dxa"/>
          </w:tcPr>
          <w:p w14:paraId="7FD72801"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405,62 </w:t>
            </w:r>
          </w:p>
        </w:tc>
        <w:tc>
          <w:tcPr>
            <w:tcW w:w="834" w:type="dxa"/>
          </w:tcPr>
          <w:p w14:paraId="7C269A1B"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400,57 </w:t>
            </w:r>
          </w:p>
        </w:tc>
        <w:tc>
          <w:tcPr>
            <w:tcW w:w="834" w:type="dxa"/>
          </w:tcPr>
          <w:p w14:paraId="6FF305CD"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393,29 </w:t>
            </w:r>
          </w:p>
        </w:tc>
        <w:tc>
          <w:tcPr>
            <w:tcW w:w="834" w:type="dxa"/>
          </w:tcPr>
          <w:p w14:paraId="59327D63"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387,61 </w:t>
            </w:r>
          </w:p>
        </w:tc>
      </w:tr>
      <w:tr w:rsidR="009047D9" w:rsidRPr="00363B7E" w14:paraId="05579FCC" w14:textId="77777777" w:rsidTr="009047D9">
        <w:trPr>
          <w:gridAfter w:val="1"/>
          <w:wAfter w:w="6" w:type="dxa"/>
          <w:trHeight w:val="232"/>
        </w:trPr>
        <w:tc>
          <w:tcPr>
            <w:tcW w:w="1381" w:type="dxa"/>
          </w:tcPr>
          <w:p w14:paraId="505DB320" w14:textId="77777777" w:rsidR="009047D9" w:rsidRPr="009047D9" w:rsidRDefault="009047D9" w:rsidP="000313E7">
            <w:pPr>
              <w:pStyle w:val="Tabele"/>
              <w:rPr>
                <w:bCs/>
                <w:color w:val="auto"/>
                <w:sz w:val="12"/>
                <w:szCs w:val="12"/>
              </w:rPr>
            </w:pPr>
            <w:r w:rsidRPr="009047D9">
              <w:rPr>
                <w:color w:val="auto"/>
                <w:sz w:val="12"/>
                <w:szCs w:val="12"/>
              </w:rPr>
              <w:t xml:space="preserve">Suma (z uwzg. LULUCF)* </w:t>
            </w:r>
          </w:p>
        </w:tc>
        <w:tc>
          <w:tcPr>
            <w:tcW w:w="907" w:type="dxa"/>
            <w:shd w:val="clear" w:color="auto" w:fill="C5E0B3"/>
          </w:tcPr>
          <w:p w14:paraId="35ADAD10" w14:textId="77777777" w:rsidR="009047D9" w:rsidRPr="009047D9" w:rsidRDefault="009047D9" w:rsidP="000313E7">
            <w:pPr>
              <w:pStyle w:val="Tabele"/>
              <w:jc w:val="right"/>
              <w:rPr>
                <w:rFonts w:cs="Calibri"/>
                <w:b/>
                <w:bCs/>
                <w:color w:val="auto"/>
                <w:sz w:val="12"/>
                <w:szCs w:val="12"/>
              </w:rPr>
            </w:pPr>
            <w:r w:rsidRPr="009047D9">
              <w:rPr>
                <w:color w:val="auto"/>
                <w:sz w:val="12"/>
                <w:szCs w:val="12"/>
              </w:rPr>
              <w:t xml:space="preserve">447 386,76 </w:t>
            </w:r>
          </w:p>
        </w:tc>
        <w:tc>
          <w:tcPr>
            <w:tcW w:w="834" w:type="dxa"/>
            <w:shd w:val="clear" w:color="auto" w:fill="C5E0B3"/>
          </w:tcPr>
          <w:p w14:paraId="62D521DE" w14:textId="77777777" w:rsidR="009047D9" w:rsidRPr="009047D9" w:rsidRDefault="009047D9" w:rsidP="000313E7">
            <w:pPr>
              <w:pStyle w:val="Tabele"/>
              <w:jc w:val="right"/>
              <w:rPr>
                <w:b/>
                <w:bCs/>
                <w:color w:val="auto"/>
                <w:sz w:val="12"/>
                <w:szCs w:val="12"/>
              </w:rPr>
            </w:pPr>
            <w:r w:rsidRPr="009047D9">
              <w:rPr>
                <w:color w:val="auto"/>
                <w:sz w:val="12"/>
                <w:szCs w:val="12"/>
              </w:rPr>
              <w:t xml:space="preserve">351 369,44 </w:t>
            </w:r>
          </w:p>
        </w:tc>
        <w:tc>
          <w:tcPr>
            <w:tcW w:w="834" w:type="dxa"/>
            <w:shd w:val="clear" w:color="auto" w:fill="C5E0B3"/>
          </w:tcPr>
          <w:p w14:paraId="2581206F" w14:textId="77777777" w:rsidR="009047D9" w:rsidRPr="009047D9" w:rsidRDefault="009047D9" w:rsidP="000313E7">
            <w:pPr>
              <w:pStyle w:val="Tabele"/>
              <w:jc w:val="right"/>
              <w:rPr>
                <w:b/>
                <w:bCs/>
                <w:color w:val="auto"/>
                <w:sz w:val="12"/>
                <w:szCs w:val="12"/>
              </w:rPr>
            </w:pPr>
            <w:r w:rsidRPr="009047D9">
              <w:rPr>
                <w:color w:val="auto"/>
                <w:sz w:val="12"/>
                <w:szCs w:val="12"/>
              </w:rPr>
              <w:t xml:space="preserve">370 887,30 </w:t>
            </w:r>
          </w:p>
        </w:tc>
        <w:tc>
          <w:tcPr>
            <w:tcW w:w="836" w:type="dxa"/>
            <w:shd w:val="clear" w:color="auto" w:fill="C5E0B3"/>
          </w:tcPr>
          <w:p w14:paraId="65C6138B" w14:textId="77777777" w:rsidR="009047D9" w:rsidRPr="009047D9" w:rsidRDefault="009047D9" w:rsidP="000313E7">
            <w:pPr>
              <w:pStyle w:val="Tabele"/>
              <w:jc w:val="right"/>
              <w:rPr>
                <w:b/>
                <w:bCs/>
                <w:color w:val="auto"/>
                <w:sz w:val="12"/>
                <w:szCs w:val="12"/>
              </w:rPr>
            </w:pPr>
            <w:r w:rsidRPr="009047D9">
              <w:rPr>
                <w:color w:val="auto"/>
                <w:sz w:val="12"/>
                <w:szCs w:val="12"/>
              </w:rPr>
              <w:t xml:space="preserve">349 355,77 </w:t>
            </w:r>
          </w:p>
        </w:tc>
        <w:tc>
          <w:tcPr>
            <w:tcW w:w="834" w:type="dxa"/>
            <w:shd w:val="clear" w:color="auto" w:fill="C5E0B3"/>
          </w:tcPr>
          <w:p w14:paraId="7AE8B7CD" w14:textId="77777777" w:rsidR="009047D9" w:rsidRPr="009047D9" w:rsidRDefault="009047D9" w:rsidP="000313E7">
            <w:pPr>
              <w:pStyle w:val="Tabele"/>
              <w:jc w:val="right"/>
              <w:rPr>
                <w:b/>
                <w:bCs/>
                <w:color w:val="auto"/>
                <w:sz w:val="12"/>
                <w:szCs w:val="12"/>
              </w:rPr>
            </w:pPr>
            <w:r w:rsidRPr="009047D9">
              <w:rPr>
                <w:color w:val="auto"/>
                <w:sz w:val="12"/>
                <w:szCs w:val="12"/>
              </w:rPr>
              <w:t xml:space="preserve">348 108,25 </w:t>
            </w:r>
          </w:p>
        </w:tc>
        <w:tc>
          <w:tcPr>
            <w:tcW w:w="834" w:type="dxa"/>
          </w:tcPr>
          <w:p w14:paraId="4CE01A6C"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283 966,21 </w:t>
            </w:r>
          </w:p>
        </w:tc>
        <w:tc>
          <w:tcPr>
            <w:tcW w:w="834" w:type="dxa"/>
          </w:tcPr>
          <w:p w14:paraId="4C629140"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206 419,66 </w:t>
            </w:r>
          </w:p>
        </w:tc>
        <w:tc>
          <w:tcPr>
            <w:tcW w:w="834" w:type="dxa"/>
          </w:tcPr>
          <w:p w14:paraId="7C6B334A"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148 573,65 </w:t>
            </w:r>
          </w:p>
        </w:tc>
        <w:tc>
          <w:tcPr>
            <w:tcW w:w="834" w:type="dxa"/>
          </w:tcPr>
          <w:p w14:paraId="379BA56E" w14:textId="77777777" w:rsidR="009047D9" w:rsidRPr="009047D9" w:rsidRDefault="009047D9" w:rsidP="000313E7">
            <w:pPr>
              <w:pStyle w:val="Tabele"/>
              <w:jc w:val="right"/>
              <w:rPr>
                <w:b/>
                <w:bCs/>
                <w:color w:val="auto"/>
                <w:sz w:val="12"/>
                <w:szCs w:val="12"/>
                <w:highlight w:val="yellow"/>
              </w:rPr>
            </w:pPr>
            <w:r w:rsidRPr="009047D9">
              <w:rPr>
                <w:color w:val="auto"/>
                <w:sz w:val="12"/>
                <w:szCs w:val="12"/>
              </w:rPr>
              <w:t xml:space="preserve">108 069,76 </w:t>
            </w:r>
          </w:p>
        </w:tc>
      </w:tr>
      <w:tr w:rsidR="009047D9" w:rsidRPr="00363B7E" w14:paraId="4168AAD5" w14:textId="77777777" w:rsidTr="009047D9">
        <w:trPr>
          <w:gridAfter w:val="1"/>
          <w:wAfter w:w="6" w:type="dxa"/>
          <w:trHeight w:val="232"/>
        </w:trPr>
        <w:tc>
          <w:tcPr>
            <w:tcW w:w="1381" w:type="dxa"/>
          </w:tcPr>
          <w:p w14:paraId="0D99FB1A" w14:textId="77777777" w:rsidR="009047D9" w:rsidRPr="009047D9" w:rsidRDefault="009047D9" w:rsidP="000313E7">
            <w:pPr>
              <w:pStyle w:val="Tabele"/>
              <w:rPr>
                <w:b/>
                <w:bCs/>
                <w:color w:val="auto"/>
                <w:sz w:val="12"/>
                <w:szCs w:val="12"/>
              </w:rPr>
            </w:pPr>
            <w:r w:rsidRPr="009047D9">
              <w:rPr>
                <w:b/>
                <w:color w:val="auto"/>
                <w:sz w:val="12"/>
                <w:szCs w:val="12"/>
              </w:rPr>
              <w:t>Suma (bez LULUCF)*</w:t>
            </w:r>
          </w:p>
        </w:tc>
        <w:tc>
          <w:tcPr>
            <w:tcW w:w="907" w:type="dxa"/>
            <w:shd w:val="clear" w:color="auto" w:fill="C5E0B3"/>
          </w:tcPr>
          <w:p w14:paraId="6742CB71" w14:textId="77777777" w:rsidR="009047D9" w:rsidRPr="009047D9" w:rsidRDefault="009047D9" w:rsidP="000313E7">
            <w:pPr>
              <w:pStyle w:val="Tabele"/>
              <w:jc w:val="right"/>
              <w:rPr>
                <w:rFonts w:cs="Calibri"/>
                <w:b/>
                <w:bCs/>
                <w:color w:val="auto"/>
                <w:sz w:val="12"/>
                <w:szCs w:val="12"/>
              </w:rPr>
            </w:pPr>
            <w:r w:rsidRPr="009047D9">
              <w:rPr>
                <w:b/>
                <w:color w:val="auto"/>
                <w:sz w:val="12"/>
                <w:szCs w:val="12"/>
              </w:rPr>
              <w:t xml:space="preserve">475 723,75 </w:t>
            </w:r>
          </w:p>
        </w:tc>
        <w:tc>
          <w:tcPr>
            <w:tcW w:w="834" w:type="dxa"/>
            <w:shd w:val="clear" w:color="auto" w:fill="C5E0B3"/>
          </w:tcPr>
          <w:p w14:paraId="08839455" w14:textId="77777777" w:rsidR="009047D9" w:rsidRPr="009047D9" w:rsidRDefault="009047D9" w:rsidP="000313E7">
            <w:pPr>
              <w:pStyle w:val="Tabele"/>
              <w:jc w:val="right"/>
              <w:rPr>
                <w:b/>
                <w:bCs/>
                <w:color w:val="auto"/>
                <w:sz w:val="12"/>
                <w:szCs w:val="12"/>
              </w:rPr>
            </w:pPr>
            <w:r w:rsidRPr="009047D9">
              <w:rPr>
                <w:b/>
                <w:color w:val="auto"/>
                <w:sz w:val="12"/>
                <w:szCs w:val="12"/>
              </w:rPr>
              <w:t xml:space="preserve">401 944,13 </w:t>
            </w:r>
          </w:p>
        </w:tc>
        <w:tc>
          <w:tcPr>
            <w:tcW w:w="834" w:type="dxa"/>
            <w:shd w:val="clear" w:color="auto" w:fill="C5E0B3"/>
          </w:tcPr>
          <w:p w14:paraId="3ADE3208" w14:textId="77777777" w:rsidR="009047D9" w:rsidRPr="009047D9" w:rsidRDefault="009047D9" w:rsidP="000313E7">
            <w:pPr>
              <w:pStyle w:val="Tabele"/>
              <w:jc w:val="right"/>
              <w:rPr>
                <w:b/>
                <w:bCs/>
                <w:color w:val="auto"/>
                <w:sz w:val="12"/>
                <w:szCs w:val="12"/>
              </w:rPr>
            </w:pPr>
            <w:r w:rsidRPr="009047D9">
              <w:rPr>
                <w:b/>
                <w:color w:val="auto"/>
                <w:sz w:val="12"/>
                <w:szCs w:val="12"/>
              </w:rPr>
              <w:t xml:space="preserve">407 222,02 </w:t>
            </w:r>
          </w:p>
        </w:tc>
        <w:tc>
          <w:tcPr>
            <w:tcW w:w="836" w:type="dxa"/>
            <w:shd w:val="clear" w:color="auto" w:fill="C5E0B3"/>
          </w:tcPr>
          <w:p w14:paraId="79323CBD" w14:textId="77777777" w:rsidR="009047D9" w:rsidRPr="009047D9" w:rsidRDefault="009047D9" w:rsidP="000313E7">
            <w:pPr>
              <w:pStyle w:val="Tabele"/>
              <w:jc w:val="right"/>
              <w:rPr>
                <w:b/>
                <w:bCs/>
                <w:color w:val="auto"/>
                <w:sz w:val="12"/>
                <w:szCs w:val="12"/>
              </w:rPr>
            </w:pPr>
            <w:r w:rsidRPr="009047D9">
              <w:rPr>
                <w:b/>
                <w:color w:val="auto"/>
                <w:sz w:val="12"/>
                <w:szCs w:val="12"/>
              </w:rPr>
              <w:t xml:space="preserve">383 455,73 </w:t>
            </w:r>
          </w:p>
        </w:tc>
        <w:tc>
          <w:tcPr>
            <w:tcW w:w="834" w:type="dxa"/>
            <w:shd w:val="clear" w:color="auto" w:fill="C5E0B3"/>
          </w:tcPr>
          <w:p w14:paraId="175104B7" w14:textId="77777777" w:rsidR="009047D9" w:rsidRPr="009047D9" w:rsidRDefault="009047D9" w:rsidP="000313E7">
            <w:pPr>
              <w:pStyle w:val="Tabele"/>
              <w:jc w:val="right"/>
              <w:rPr>
                <w:b/>
                <w:bCs/>
                <w:color w:val="auto"/>
                <w:sz w:val="12"/>
                <w:szCs w:val="12"/>
              </w:rPr>
            </w:pPr>
            <w:r w:rsidRPr="009047D9">
              <w:rPr>
                <w:b/>
                <w:color w:val="auto"/>
                <w:sz w:val="12"/>
                <w:szCs w:val="12"/>
              </w:rPr>
              <w:t xml:space="preserve">371 438,43 </w:t>
            </w:r>
          </w:p>
        </w:tc>
        <w:tc>
          <w:tcPr>
            <w:tcW w:w="834" w:type="dxa"/>
          </w:tcPr>
          <w:p w14:paraId="1A2EA33F" w14:textId="77777777" w:rsidR="009047D9" w:rsidRPr="009047D9" w:rsidRDefault="009047D9" w:rsidP="000313E7">
            <w:pPr>
              <w:pStyle w:val="Tabele"/>
              <w:jc w:val="right"/>
              <w:rPr>
                <w:b/>
                <w:bCs/>
                <w:color w:val="auto"/>
                <w:sz w:val="12"/>
                <w:szCs w:val="12"/>
                <w:highlight w:val="yellow"/>
              </w:rPr>
            </w:pPr>
            <w:r w:rsidRPr="009047D9">
              <w:rPr>
                <w:b/>
                <w:color w:val="auto"/>
                <w:sz w:val="12"/>
                <w:szCs w:val="12"/>
              </w:rPr>
              <w:t xml:space="preserve">333 708,10 </w:t>
            </w:r>
          </w:p>
        </w:tc>
        <w:tc>
          <w:tcPr>
            <w:tcW w:w="834" w:type="dxa"/>
          </w:tcPr>
          <w:p w14:paraId="0A39554C" w14:textId="77777777" w:rsidR="009047D9" w:rsidRPr="009047D9" w:rsidRDefault="009047D9" w:rsidP="000313E7">
            <w:pPr>
              <w:pStyle w:val="Tabele"/>
              <w:jc w:val="right"/>
              <w:rPr>
                <w:b/>
                <w:bCs/>
                <w:color w:val="auto"/>
                <w:sz w:val="12"/>
                <w:szCs w:val="12"/>
                <w:highlight w:val="yellow"/>
              </w:rPr>
            </w:pPr>
            <w:r w:rsidRPr="009047D9">
              <w:rPr>
                <w:b/>
                <w:color w:val="auto"/>
                <w:sz w:val="12"/>
                <w:szCs w:val="12"/>
              </w:rPr>
              <w:t xml:space="preserve">252 912,54 </w:t>
            </w:r>
          </w:p>
        </w:tc>
        <w:tc>
          <w:tcPr>
            <w:tcW w:w="834" w:type="dxa"/>
          </w:tcPr>
          <w:p w14:paraId="5489FAEE" w14:textId="77777777" w:rsidR="009047D9" w:rsidRPr="009047D9" w:rsidRDefault="009047D9" w:rsidP="000313E7">
            <w:pPr>
              <w:pStyle w:val="Tabele"/>
              <w:jc w:val="right"/>
              <w:rPr>
                <w:b/>
                <w:bCs/>
                <w:color w:val="auto"/>
                <w:sz w:val="12"/>
                <w:szCs w:val="12"/>
                <w:highlight w:val="yellow"/>
              </w:rPr>
            </w:pPr>
            <w:r w:rsidRPr="009047D9">
              <w:rPr>
                <w:b/>
                <w:color w:val="auto"/>
                <w:sz w:val="12"/>
                <w:szCs w:val="12"/>
              </w:rPr>
              <w:t xml:space="preserve">188 866,57 </w:t>
            </w:r>
          </w:p>
        </w:tc>
        <w:tc>
          <w:tcPr>
            <w:tcW w:w="834" w:type="dxa"/>
          </w:tcPr>
          <w:p w14:paraId="4C6C70C0" w14:textId="77777777" w:rsidR="009047D9" w:rsidRPr="009047D9" w:rsidRDefault="009047D9" w:rsidP="000313E7">
            <w:pPr>
              <w:pStyle w:val="Tabele"/>
              <w:jc w:val="right"/>
              <w:rPr>
                <w:b/>
                <w:bCs/>
                <w:color w:val="auto"/>
                <w:sz w:val="12"/>
                <w:szCs w:val="12"/>
                <w:highlight w:val="yellow"/>
              </w:rPr>
            </w:pPr>
            <w:r w:rsidRPr="009047D9">
              <w:rPr>
                <w:b/>
                <w:color w:val="auto"/>
                <w:sz w:val="12"/>
                <w:szCs w:val="12"/>
              </w:rPr>
              <w:t xml:space="preserve">143 402,98 </w:t>
            </w:r>
          </w:p>
        </w:tc>
      </w:tr>
    </w:tbl>
    <w:p w14:paraId="676E778E" w14:textId="77777777" w:rsidR="005C4144" w:rsidRPr="00A65AD6" w:rsidRDefault="005C4144" w:rsidP="005C4144">
      <w:pPr>
        <w:pStyle w:val="adnotacje"/>
      </w:pPr>
      <w:r w:rsidRPr="00A65AD6">
        <w:t>* z uwzględnieniem emisji pośredniej CO</w:t>
      </w:r>
      <w:r w:rsidRPr="00A65AD6">
        <w:rPr>
          <w:vertAlign w:val="subscript"/>
        </w:rPr>
        <w:t>2</w:t>
      </w:r>
    </w:p>
    <w:p w14:paraId="5A35F47E" w14:textId="13ED7C0C" w:rsidR="005C4144" w:rsidRDefault="005C4144" w:rsidP="007E143F">
      <w:pPr>
        <w:pStyle w:val="Legenda"/>
        <w:keepNext/>
        <w:spacing w:before="120"/>
      </w:pPr>
      <w:r w:rsidRPr="00BB1158">
        <w:t>Źródło: Opracowanie własne KOBIZE, IOŚ-PIB</w:t>
      </w:r>
    </w:p>
    <w:p w14:paraId="69F6C8AF" w14:textId="0035F40E" w:rsidR="005B6172" w:rsidRPr="00BB1158" w:rsidRDefault="001B2C2B" w:rsidP="005C4144">
      <w:pPr>
        <w:pStyle w:val="ardo"/>
      </w:pPr>
      <w:r>
        <w:rPr>
          <w:noProof/>
          <w:lang w:eastAsia="pl-PL"/>
        </w:rPr>
        <w:drawing>
          <wp:inline distT="0" distB="0" distL="0" distR="0" wp14:anchorId="48D278AC" wp14:editId="69F8CB07">
            <wp:extent cx="5760720" cy="3073400"/>
            <wp:effectExtent l="0" t="0" r="0" b="0"/>
            <wp:docPr id="1216786675" name="Wykres 1">
              <a:extLst xmlns:a="http://schemas.openxmlformats.org/drawingml/2006/main">
                <a:ext uri="{FF2B5EF4-FFF2-40B4-BE49-F238E27FC236}">
                  <a16:creationId xmlns:a16="http://schemas.microsoft.com/office/drawing/2014/main" id="{00000000-0008-0000-3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638AE5" w14:textId="1339432C" w:rsidR="005C4144" w:rsidRPr="00013354" w:rsidRDefault="005C4144" w:rsidP="005C4144">
      <w:pPr>
        <w:pStyle w:val="Legenda"/>
      </w:pPr>
      <w:bookmarkStart w:id="24" w:name="_Ref156461877"/>
      <w:bookmarkStart w:id="25" w:name="_Toc167442171"/>
      <w:bookmarkStart w:id="26" w:name="_Toc171587258"/>
      <w:bookmarkStart w:id="27" w:name="_Toc174711025"/>
      <w:bookmarkStart w:id="28" w:name="_Toc202967031"/>
      <w:r w:rsidRPr="009E5E11">
        <w:t xml:space="preserve">Rysunek </w:t>
      </w:r>
      <w:r>
        <w:rPr>
          <w:noProof/>
        </w:rPr>
        <w:fldChar w:fldCharType="begin"/>
      </w:r>
      <w:r>
        <w:rPr>
          <w:noProof/>
        </w:rPr>
        <w:instrText xml:space="preserve"> STYLEREF 1 \s </w:instrText>
      </w:r>
      <w:r>
        <w:rPr>
          <w:noProof/>
        </w:rPr>
        <w:fldChar w:fldCharType="separate"/>
      </w:r>
      <w:r w:rsidR="00F27D6F">
        <w:rPr>
          <w:noProof/>
        </w:rPr>
        <w:t>1</w:t>
      </w:r>
      <w:r>
        <w:rPr>
          <w:noProof/>
        </w:rPr>
        <w:fldChar w:fldCharType="end"/>
      </w:r>
      <w:r w:rsidRPr="009E5E11">
        <w:t>.</w:t>
      </w:r>
      <w:r>
        <w:rPr>
          <w:noProof/>
        </w:rPr>
        <w:fldChar w:fldCharType="begin"/>
      </w:r>
      <w:r>
        <w:rPr>
          <w:noProof/>
        </w:rPr>
        <w:instrText xml:space="preserve"> SEQ Rysunek \* ARABIC \s 1 </w:instrText>
      </w:r>
      <w:r>
        <w:rPr>
          <w:noProof/>
        </w:rPr>
        <w:fldChar w:fldCharType="separate"/>
      </w:r>
      <w:r w:rsidR="00F27D6F">
        <w:rPr>
          <w:noProof/>
        </w:rPr>
        <w:t>1</w:t>
      </w:r>
      <w:r>
        <w:rPr>
          <w:noProof/>
        </w:rPr>
        <w:fldChar w:fldCharType="end"/>
      </w:r>
      <w:bookmarkEnd w:id="24"/>
      <w:r w:rsidRPr="009E5E11">
        <w:t>. Emisje historyczne (1990-2020) oraz projekcje emisji gazów cieplarnianych (z uwzględnieniem emisji pośredniej CO</w:t>
      </w:r>
      <w:r w:rsidRPr="009E5E11">
        <w:rPr>
          <w:vertAlign w:val="subscript"/>
        </w:rPr>
        <w:t>2</w:t>
      </w:r>
      <w:r w:rsidRPr="009E5E11">
        <w:t xml:space="preserve"> i wyłączeniem emisji i pochłaniania z LULUCF) wg sektorów, dla scenariusza WAM</w:t>
      </w:r>
      <w:bookmarkEnd w:id="25"/>
      <w:bookmarkEnd w:id="26"/>
      <w:bookmarkEnd w:id="27"/>
      <w:bookmarkEnd w:id="28"/>
    </w:p>
    <w:p w14:paraId="1FD44DEF" w14:textId="77777777" w:rsidR="005C4144" w:rsidRPr="00BB1158" w:rsidRDefault="005C4144" w:rsidP="005C4144">
      <w:pPr>
        <w:pStyle w:val="ardo"/>
      </w:pPr>
      <w:r w:rsidRPr="00BB1158">
        <w:t>Źródło: Opracowanie własne KOBIZE, IOŚ-PIB</w:t>
      </w:r>
    </w:p>
    <w:p w14:paraId="60AA2102" w14:textId="7B6AB34F" w:rsidR="002155A0" w:rsidRPr="00CC28A5" w:rsidRDefault="008A3C99" w:rsidP="002155A0">
      <w:r w:rsidRPr="00CC28A5">
        <w:t>Prognozuje się, że krajowa emisja gazów cieplarnianych (bez sektora LULUCF) dla scenariusza WAM w</w:t>
      </w:r>
      <w:r>
        <w:t>yniesie 252</w:t>
      </w:r>
      <w:r w:rsidRPr="00CC28A5">
        <w:t>,9 mln ton CO</w:t>
      </w:r>
      <w:r w:rsidRPr="00CC28A5">
        <w:rPr>
          <w:vertAlign w:val="subscript"/>
        </w:rPr>
        <w:t>2</w:t>
      </w:r>
      <w:r w:rsidRPr="00CC28A5">
        <w:t>eq w 2030</w:t>
      </w:r>
      <w:r w:rsidR="00754A36">
        <w:t xml:space="preserve"> i </w:t>
      </w:r>
      <w:r w:rsidRPr="00CC28A5">
        <w:t>14</w:t>
      </w:r>
      <w:r>
        <w:t>3</w:t>
      </w:r>
      <w:r w:rsidRPr="00CC28A5">
        <w:t>,4 w 2040 r. mln ton CO</w:t>
      </w:r>
      <w:r w:rsidRPr="00CC28A5">
        <w:rPr>
          <w:vertAlign w:val="subscript"/>
        </w:rPr>
        <w:t>2</w:t>
      </w:r>
      <w:r w:rsidRPr="00CC28A5">
        <w:t>eq i zmniejszy się w stosunku do 1990 r. o ponad 47% w 2030 r.</w:t>
      </w:r>
      <w:r w:rsidR="006E0A76">
        <w:t xml:space="preserve"> i </w:t>
      </w:r>
      <w:r w:rsidRPr="00CC28A5">
        <w:t xml:space="preserve">o ok. </w:t>
      </w:r>
      <w:r>
        <w:t>70</w:t>
      </w:r>
      <w:r w:rsidRPr="00CC28A5">
        <w:t>% w 2040 r</w:t>
      </w:r>
      <w:r w:rsidR="006E0A76">
        <w:t>.</w:t>
      </w:r>
      <w:r w:rsidRPr="00CC28A5">
        <w:t xml:space="preserve"> W sektorze energii redukcja emisji będzie na poziomie 4</w:t>
      </w:r>
      <w:r>
        <w:t>8</w:t>
      </w:r>
      <w:r w:rsidRPr="00CC28A5">
        <w:t>% w 2030 r.</w:t>
      </w:r>
      <w:r w:rsidR="006E0A76">
        <w:t xml:space="preserve"> i</w:t>
      </w:r>
      <w:r>
        <w:t xml:space="preserve"> 64% w 2040 r.</w:t>
      </w:r>
      <w:r w:rsidRPr="00CC28A5">
        <w:t xml:space="preserve"> Głównym czynnikiem zmniejszającym emisję GHG w sektorze energii jest spadek zużycia paliw zarówno w źródłach stacjonarnych, jak i mobilnych. Redukcję emisji GHG obserwuje się </w:t>
      </w:r>
      <w:r>
        <w:t>również w sektorze odpadów (o 81</w:t>
      </w:r>
      <w:r w:rsidRPr="00CC28A5">
        <w:t>% w 2030 r.</w:t>
      </w:r>
      <w:r>
        <w:t xml:space="preserve"> i w 2040 r.</w:t>
      </w:r>
      <w:r w:rsidR="0008065E">
        <w:t xml:space="preserve">). </w:t>
      </w:r>
      <w:r w:rsidRPr="00CC28A5">
        <w:t>W sektorze rolnictwa spadek emisji GHG wynosi 35% w 2030 r.</w:t>
      </w:r>
      <w:r w:rsidR="006E0A76">
        <w:t xml:space="preserve"> i</w:t>
      </w:r>
      <w:r>
        <w:t xml:space="preserve"> 36% w 2040 r.</w:t>
      </w:r>
      <w:r w:rsidRPr="00CC28A5">
        <w:t xml:space="preserve"> w stosunku do 1990 r., na co największy</w:t>
      </w:r>
      <w:r w:rsidR="002155A0" w:rsidRPr="002155A0">
        <w:t xml:space="preserve"> </w:t>
      </w:r>
      <w:r w:rsidR="002155A0" w:rsidRPr="00CC28A5">
        <w:t xml:space="preserve">wpływ ma </w:t>
      </w:r>
      <w:r w:rsidR="002155A0">
        <w:t>prognozowana wielkość</w:t>
      </w:r>
      <w:r w:rsidR="002155A0" w:rsidRPr="00CC28A5">
        <w:t xml:space="preserve"> pogłowia bydła oraz zużycia nawozów mineralnych. W przypadku sektora proces</w:t>
      </w:r>
      <w:r w:rsidR="002155A0" w:rsidRPr="00CC28A5">
        <w:rPr>
          <w:rFonts w:cs="Lato"/>
        </w:rPr>
        <w:t>ó</w:t>
      </w:r>
      <w:r w:rsidR="002155A0" w:rsidRPr="00CC28A5">
        <w:t>w przemys</w:t>
      </w:r>
      <w:r w:rsidR="002155A0" w:rsidRPr="00CC28A5">
        <w:rPr>
          <w:rFonts w:cs="Lato"/>
        </w:rPr>
        <w:t>ł</w:t>
      </w:r>
      <w:r w:rsidR="002155A0" w:rsidRPr="00CC28A5">
        <w:t>owych i u</w:t>
      </w:r>
      <w:r w:rsidR="002155A0" w:rsidRPr="00CC28A5">
        <w:rPr>
          <w:rFonts w:cs="Lato"/>
        </w:rPr>
        <w:t>ż</w:t>
      </w:r>
      <w:r w:rsidR="002155A0" w:rsidRPr="00CC28A5">
        <w:t>ytkowania produkt</w:t>
      </w:r>
      <w:r w:rsidR="002155A0" w:rsidRPr="00CC28A5">
        <w:rPr>
          <w:rFonts w:cs="Lato"/>
        </w:rPr>
        <w:t>ó</w:t>
      </w:r>
      <w:r w:rsidR="002155A0" w:rsidRPr="00CC28A5">
        <w:t xml:space="preserve">w </w:t>
      </w:r>
      <w:r w:rsidR="002155A0">
        <w:t>prognozowana redukcja emisji GHG wyniesie 21</w:t>
      </w:r>
      <w:r w:rsidR="002155A0" w:rsidRPr="00CC28A5">
        <w:t>% w 2030 r.</w:t>
      </w:r>
      <w:r w:rsidR="0008065E">
        <w:t xml:space="preserve"> i </w:t>
      </w:r>
      <w:r w:rsidR="002155A0">
        <w:t>35% w 2040 r.</w:t>
      </w:r>
      <w:r w:rsidR="002155A0" w:rsidRPr="00CC28A5">
        <w:t xml:space="preserve"> w odniesieniu do 1990 r.</w:t>
      </w:r>
    </w:p>
    <w:p w14:paraId="2C49485F" w14:textId="59B7ED39" w:rsidR="00294B86" w:rsidRPr="00A00145" w:rsidRDefault="00294B86" w:rsidP="00294B86">
      <w:pPr>
        <w:rPr>
          <w:rFonts w:ascii="Calibri" w:hAnsi="Calibri"/>
        </w:rPr>
      </w:pPr>
      <w:r w:rsidRPr="00A00145">
        <w:t xml:space="preserve">W </w:t>
      </w:r>
      <w:r w:rsidRPr="0082549A">
        <w:rPr>
          <w:b/>
        </w:rPr>
        <w:t>sektorze LULUCF</w:t>
      </w:r>
      <w:r w:rsidRPr="00A00145">
        <w:t xml:space="preserve"> prognozuje się krótkookresowy wzrost pochłaniania netto CO</w:t>
      </w:r>
      <w:r w:rsidRPr="00A00145">
        <w:rPr>
          <w:vertAlign w:val="subscript"/>
        </w:rPr>
        <w:t>2</w:t>
      </w:r>
      <w:r w:rsidRPr="00A00145">
        <w:t>, z obecnych, szacowanych za rok 2022 ponad -35,6 mln ton CO</w:t>
      </w:r>
      <w:r w:rsidRPr="00A00145">
        <w:rPr>
          <w:vertAlign w:val="subscript"/>
        </w:rPr>
        <w:t>2</w:t>
      </w:r>
      <w:r w:rsidRPr="00A00145">
        <w:t>eq do wartości około -53,1 mln ton CO</w:t>
      </w:r>
      <w:r w:rsidRPr="00A00145">
        <w:rPr>
          <w:vertAlign w:val="subscript"/>
        </w:rPr>
        <w:t>2</w:t>
      </w:r>
      <w:r w:rsidRPr="00A00145">
        <w:t xml:space="preserve">eq w 2027 </w:t>
      </w:r>
      <w:r w:rsidR="00BE2ED8">
        <w:t>r.</w:t>
      </w:r>
      <w:r w:rsidRPr="00A00145">
        <w:t xml:space="preserve"> Natomiast, w dłuższej perspektywie przewiduje się spadek pochłaniania do około -46,5 mln ton CO</w:t>
      </w:r>
      <w:r w:rsidRPr="00A00145">
        <w:rPr>
          <w:vertAlign w:val="subscript"/>
        </w:rPr>
        <w:t>2</w:t>
      </w:r>
      <w:r w:rsidRPr="00A00145">
        <w:t>eq w 203</w:t>
      </w:r>
      <w:r w:rsidR="00BE2ED8">
        <w:t>0 r.</w:t>
      </w:r>
      <w:r w:rsidRPr="00A00145">
        <w:t xml:space="preserve"> i ok </w:t>
      </w:r>
      <w:r w:rsidR="00A524A7" w:rsidRPr="001600E3">
        <w:t>35</w:t>
      </w:r>
      <w:r w:rsidR="001600E3" w:rsidRPr="001600E3">
        <w:t xml:space="preserve">,3 </w:t>
      </w:r>
      <w:r w:rsidRPr="001600E3">
        <w:t>mln ton CO</w:t>
      </w:r>
      <w:r w:rsidRPr="001600E3">
        <w:rPr>
          <w:vertAlign w:val="subscript"/>
        </w:rPr>
        <w:t>2</w:t>
      </w:r>
      <w:r w:rsidRPr="001600E3">
        <w:t>eq w 20</w:t>
      </w:r>
      <w:r w:rsidR="00627256" w:rsidRPr="001600E3">
        <w:t>4</w:t>
      </w:r>
      <w:r w:rsidRPr="001600E3">
        <w:t xml:space="preserve">0 </w:t>
      </w:r>
      <w:r w:rsidR="00BE2ED8">
        <w:t>r.</w:t>
      </w:r>
      <w:r w:rsidRPr="00A00145">
        <w:t xml:space="preserve"> Warto podkreślić, że bilans netto sektora LULUCF jest </w:t>
      </w:r>
      <w:r w:rsidRPr="00A00145">
        <w:lastRenderedPageBreak/>
        <w:t>bezpośrednio skorelowany z bilansem</w:t>
      </w:r>
      <w:r w:rsidR="00786808">
        <w:t xml:space="preserve"> </w:t>
      </w:r>
      <w:r w:rsidRPr="00A00145">
        <w:t xml:space="preserve">emisji netto z zarządzanych gruntów leśnych. Prognozy </w:t>
      </w:r>
      <w:r w:rsidR="001E32FA">
        <w:t xml:space="preserve">obarczone są dużą niepewnością z uwagi na wpływ zmian klimatu na lasy, który trudno </w:t>
      </w:r>
      <w:r w:rsidR="00935665">
        <w:t xml:space="preserve">precyzyjnie </w:t>
      </w:r>
      <w:r w:rsidR="001E32FA">
        <w:t xml:space="preserve">oszacować. </w:t>
      </w:r>
      <w:r w:rsidR="00557CD2">
        <w:t>P</w:t>
      </w:r>
      <w:r w:rsidR="00595B5D">
        <w:t xml:space="preserve">rognozy </w:t>
      </w:r>
      <w:r w:rsidR="001E32FA">
        <w:t>d</w:t>
      </w:r>
      <w:r w:rsidRPr="00A00145">
        <w:t>ługoterminow</w:t>
      </w:r>
      <w:r w:rsidR="001E32FA">
        <w:t>o</w:t>
      </w:r>
      <w:r w:rsidRPr="00A00145">
        <w:t xml:space="preserve"> wskazują na znaczący spadek pochłaniania CO</w:t>
      </w:r>
      <w:r w:rsidRPr="00A00145">
        <w:rPr>
          <w:vertAlign w:val="subscript"/>
        </w:rPr>
        <w:t>2</w:t>
      </w:r>
      <w:r w:rsidRPr="00A00145">
        <w:t xml:space="preserve"> (bez względu na zakładany scenariusz), wynikający z</w:t>
      </w:r>
      <w:r w:rsidR="00426B38">
        <w:t>e spowolnienia</w:t>
      </w:r>
      <w:r w:rsidRPr="00A00145">
        <w:t xml:space="preserve"> dynamiki wzrostu zasobów drzewnych</w:t>
      </w:r>
      <w:r w:rsidR="00223B61">
        <w:t xml:space="preserve"> </w:t>
      </w:r>
      <w:r w:rsidRPr="00A00145">
        <w:t>związany ze zmianami warunków klimatycznych i siedliskowych oraz postępującym procesem starzenia się drzewostanów.</w:t>
      </w:r>
      <w:r w:rsidR="002A532C">
        <w:t xml:space="preserve"> </w:t>
      </w:r>
    </w:p>
    <w:p w14:paraId="126A1E49" w14:textId="1A1BD9DB" w:rsidR="00294B86" w:rsidRPr="00A00145" w:rsidRDefault="00294B86" w:rsidP="00294B86">
      <w:r w:rsidRPr="00A00145">
        <w:t>Kolejnym istotnym czynnikiem jest wzmożony proces wydzielania się martwego drewna</w:t>
      </w:r>
      <w:r w:rsidR="006A0D69">
        <w:t>.</w:t>
      </w:r>
      <w:r w:rsidRPr="00A00145">
        <w:t xml:space="preserve"> </w:t>
      </w:r>
      <w:r w:rsidR="006A0D69">
        <w:t>Proces ten bezpośrednio wpływa na emisje netto z sektora LULUCF jako źródło emisji CO</w:t>
      </w:r>
      <w:r w:rsidR="006A0D69" w:rsidRPr="00782720">
        <w:rPr>
          <w:vertAlign w:val="subscript"/>
        </w:rPr>
        <w:t>2</w:t>
      </w:r>
      <w:r w:rsidR="006A0D69">
        <w:t xml:space="preserve"> związane z rozkładem martwej materii organicznej, podczas którego uwalniany jest węgiel zmagazynowany wcześniej przez żywe drzewa. Proces ten jest długotrwały i uwalnianie CO</w:t>
      </w:r>
      <w:r w:rsidR="006A0D69" w:rsidRPr="00782720">
        <w:rPr>
          <w:vertAlign w:val="subscript"/>
        </w:rPr>
        <w:t>2</w:t>
      </w:r>
      <w:r w:rsidR="006A0D69">
        <w:t xml:space="preserve"> następuje stopniowo, co oznacza, że martwe drewno stanowi zarówno źródło emisji, jak i rezerwuar węgla, a jego wpływ na bilans netto ma wymiar istotny, zwłaszcza w kontekście zmian klimatycznych i zarządzania lasami. Warto podkreślić, iż kwestię wydzielania się martwego drewna </w:t>
      </w:r>
      <w:r w:rsidRPr="00A00145">
        <w:t>należy wiązać ze stopniowym osłabianiem się drzewostanów, które są w efekcie bardziej podatne na występowanie szkodników zarówno pierwotnych, jak i wtórnych</w:t>
      </w:r>
      <w:r w:rsidR="006A0D69">
        <w:t xml:space="preserve"> </w:t>
      </w:r>
      <w:r w:rsidRPr="00A00145">
        <w:t>który należy wiązać ze stopniowym osłabianiem się drzewostanów. Szczególnej uwadze podlega realizacja założeń Polityki Leśnej Państwa</w:t>
      </w:r>
      <w:r w:rsidRPr="00A00145">
        <w:rPr>
          <w:rStyle w:val="Odwoanieprzypisudolnego"/>
        </w:rPr>
        <w:footnoteReference w:id="3"/>
      </w:r>
      <w:r w:rsidRPr="00A00145">
        <w:t xml:space="preserve"> dot</w:t>
      </w:r>
      <w:r w:rsidR="00E77749">
        <w:t>yczącym</w:t>
      </w:r>
      <w:r w:rsidRPr="00A00145">
        <w:t xml:space="preserve"> pozostawiani</w:t>
      </w:r>
      <w:r w:rsidR="006B40BF">
        <w:t>a</w:t>
      </w:r>
      <w:r w:rsidRPr="00A00145">
        <w:t xml:space="preserve"> w każdym drzewostanie, przewidzianym do odnowienia przez użytkowanie rębne, części starych drzew (od 5 do 10%) do ich fizjologicznej starości lub biologicznej śmierci, w tym drzew dziuplastych i martwych - jako siedlisk licznych gatunków biocenoz leśnych.</w:t>
      </w:r>
    </w:p>
    <w:p w14:paraId="68FF5722" w14:textId="7F0A3BBE" w:rsidR="00F27601" w:rsidRPr="00A00145" w:rsidRDefault="00294B86" w:rsidP="008B77CA">
      <w:r w:rsidRPr="00A00145">
        <w:t xml:space="preserve">Należy zwrócić uwagę, iż w scenariuszu WAM </w:t>
      </w:r>
      <w:r w:rsidRPr="00A00145" w:rsidDel="006F5450">
        <w:t>symulacj</w:t>
      </w:r>
      <w:r w:rsidRPr="00A00145" w:rsidDel="00593013">
        <w:t>e</w:t>
      </w:r>
      <w:r w:rsidRPr="00A00145" w:rsidDel="006F5450">
        <w:t xml:space="preserve"> modelow</w:t>
      </w:r>
      <w:r w:rsidRPr="00A00145" w:rsidDel="00593013">
        <w:t>e</w:t>
      </w:r>
      <w:r w:rsidRPr="00A00145">
        <w:t xml:space="preserve"> przebiegają dwutorowo</w:t>
      </w:r>
      <w:r w:rsidR="001D12EE" w:rsidRPr="00876C48">
        <w:t>: uwzględniając hodowlany model produkcyjności lasów oraz graniczną produkcyjność drzewostanów</w:t>
      </w:r>
      <w:r w:rsidRPr="00876C48">
        <w:t>. I</w:t>
      </w:r>
      <w:r w:rsidR="002C4983" w:rsidRPr="00876C48">
        <w:t xml:space="preserve"> tak</w:t>
      </w:r>
      <w:r w:rsidRPr="00A00145">
        <w:t xml:space="preserve"> podstawowy zakres opiera się na kontynuacji zasad hodowlanego modelu produkcyjności lasów dla drzewostanów, w których nie wprowadzono i nie planuje się ograniczeń pozyskania drewna. Podejście to obejmuje </w:t>
      </w:r>
      <w:r w:rsidR="00312028">
        <w:t>częściowo</w:t>
      </w:r>
      <w:r w:rsidRPr="00A00145">
        <w:t xml:space="preserve"> drzewostany w zarządzie PGL LP, </w:t>
      </w:r>
      <w:r w:rsidR="00312028">
        <w:t>i w pełnym zakresie</w:t>
      </w:r>
      <w:r w:rsidRPr="00A00145">
        <w:t xml:space="preserve"> lasy pozostałych form własności. </w:t>
      </w:r>
      <w:r w:rsidR="00F27601">
        <w:t xml:space="preserve">W przypadku </w:t>
      </w:r>
      <w:r w:rsidR="00F27601" w:rsidRPr="00A00145">
        <w:t>drzewostan</w:t>
      </w:r>
      <w:r w:rsidR="00F27601">
        <w:t xml:space="preserve">ów w lasach </w:t>
      </w:r>
      <w:r w:rsidR="00F27601" w:rsidRPr="00A00145">
        <w:t>w zarządzie PGL LP</w:t>
      </w:r>
      <w:r w:rsidR="00F27601">
        <w:t>, w których planuje się ograniczenia w pozyskaniu drewna, p</w:t>
      </w:r>
      <w:r w:rsidR="00F27601" w:rsidRPr="00A00145">
        <w:t xml:space="preserve">roces modelowania bilansów zmian zasobów węgla </w:t>
      </w:r>
      <w:r w:rsidR="00F27601" w:rsidRPr="00421DBC">
        <w:t xml:space="preserve">odzwierciedla zmiany </w:t>
      </w:r>
      <w:r w:rsidR="00F27601" w:rsidRPr="00BE7CE3">
        <w:t>w</w:t>
      </w:r>
      <w:r w:rsidR="00F27601" w:rsidRPr="00A00145">
        <w:t xml:space="preserve"> poziom</w:t>
      </w:r>
      <w:r w:rsidR="00F27601">
        <w:t>ie</w:t>
      </w:r>
      <w:r w:rsidR="00F27601" w:rsidRPr="00A00145">
        <w:t xml:space="preserve"> użytkowania rębnego i przedrębnego</w:t>
      </w:r>
      <w:r w:rsidR="00F27601">
        <w:t xml:space="preserve">. </w:t>
      </w:r>
      <w:r w:rsidR="005843A2" w:rsidRPr="00B42367">
        <w:t xml:space="preserve">Ograniczenie pozyskania drewna na poziomie kraju w 2030 </w:t>
      </w:r>
      <w:r w:rsidR="00C8750B" w:rsidRPr="00B42367">
        <w:t xml:space="preserve">r. </w:t>
      </w:r>
      <w:r w:rsidR="005843A2" w:rsidRPr="00B42367">
        <w:t>w stosunku do 2023</w:t>
      </w:r>
      <w:r w:rsidR="00BF0EBA">
        <w:t xml:space="preserve"> r.</w:t>
      </w:r>
      <w:r w:rsidR="005843A2" w:rsidRPr="00B42367">
        <w:t xml:space="preserve"> oszacowano na poziomie 5,8%, przy czym nie oznacza to jedn</w:t>
      </w:r>
      <w:r w:rsidR="00760AD5" w:rsidRPr="00B42367">
        <w:t>akowego</w:t>
      </w:r>
      <w:r w:rsidR="005843A2" w:rsidRPr="00B42367">
        <w:t xml:space="preserve"> ograniczenia podaży drewna dla krajowego przemysłu przerobu drewna (ze względu na zmniejszenie poziomu wykorzystania pełnowartościowego drewna okrągłego w energetyce zawodowej</w:t>
      </w:r>
      <w:r w:rsidR="00C8750B" w:rsidRPr="00B42367">
        <w:t xml:space="preserve"> oraz</w:t>
      </w:r>
      <w:r w:rsidR="005843A2" w:rsidRPr="00B42367">
        <w:t xml:space="preserve"> wdrożenie zasady kaskadowego wykorzystania biomasy)</w:t>
      </w:r>
      <w:r w:rsidR="005843A2" w:rsidRPr="00B42367">
        <w:rPr>
          <w:u w:val="single"/>
        </w:rPr>
        <w:t>.</w:t>
      </w:r>
      <w:r w:rsidR="005843A2" w:rsidRPr="00B42367">
        <w:t xml:space="preserve"> </w:t>
      </w:r>
      <w:r w:rsidR="00F27601">
        <w:t>Co istotne, w</w:t>
      </w:r>
      <w:r w:rsidR="00F27601" w:rsidRPr="00A00145">
        <w:t>skazany poziom redukcji pozyskania (czynnika sterującego finalną wielkością zmian zasobów węglowych) pozwala na osiągniecie takiej wartości pochłaniania netto, które przewidziane jest w celu zwiększenia pochłaniania dla Polski na 2030</w:t>
      </w:r>
      <w:r w:rsidR="0072689F">
        <w:t xml:space="preserve"> </w:t>
      </w:r>
      <w:r w:rsidR="00F27601" w:rsidRPr="00A00145">
        <w:t>r</w:t>
      </w:r>
      <w:r w:rsidR="0072689F">
        <w:t>.</w:t>
      </w:r>
      <w:r w:rsidR="00F27601" w:rsidRPr="00A00145">
        <w:t xml:space="preserve">, opisanego w kolumnie C Załącznika IIa </w:t>
      </w:r>
      <w:r w:rsidR="00BF0EBA">
        <w:t>r</w:t>
      </w:r>
      <w:r w:rsidR="00F27601" w:rsidRPr="00A00145">
        <w:t>ozporządzenia 2018/841. Wskazany cel wymusza wzrost wykazywanego w sektorze pochłaniania netto o 3,278 kt CO</w:t>
      </w:r>
      <w:r w:rsidR="00F27601" w:rsidRPr="00A00145">
        <w:rPr>
          <w:vertAlign w:val="subscript"/>
        </w:rPr>
        <w:t>2</w:t>
      </w:r>
      <w:r w:rsidR="00F27601" w:rsidRPr="00A00145">
        <w:t xml:space="preserve">eq w stosunku średnich danych z wykazów gazów cieplarnianych za lata 2016, 2017 i 2018. </w:t>
      </w:r>
    </w:p>
    <w:p w14:paraId="26BE900A" w14:textId="5D0703F2" w:rsidR="00F27601" w:rsidRPr="00A00145" w:rsidRDefault="00EB0C7A" w:rsidP="00F27601">
      <w:r>
        <w:t xml:space="preserve">Należy przy tym podkreślić, </w:t>
      </w:r>
      <w:r w:rsidR="00A86995">
        <w:t>ż</w:t>
      </w:r>
      <w:r w:rsidR="00BF0EBA">
        <w:t>e</w:t>
      </w:r>
      <w:r w:rsidR="00A86995">
        <w:t xml:space="preserve"> w</w:t>
      </w:r>
      <w:r w:rsidR="00A86995" w:rsidRPr="00A00145">
        <w:t xml:space="preserve"> drzewostanach</w:t>
      </w:r>
      <w:r w:rsidR="00A86995">
        <w:t xml:space="preserve"> w obszarze lasów w zarządzie PGL LP, które mogą być objęte ograniczeniami w zakresie pozyskania drewna, </w:t>
      </w:r>
      <w:r w:rsidR="00A86995" w:rsidRPr="00A00145">
        <w:t xml:space="preserve">symulacje bazują na wykorzystaniu </w:t>
      </w:r>
      <w:r w:rsidR="00A86995">
        <w:t xml:space="preserve">tzw. </w:t>
      </w:r>
      <w:r w:rsidR="00A86995" w:rsidRPr="00A00145">
        <w:t>modelu granicznej produkcyjności drzewostanów, tj. całkowitego pominięcia zarówno użytkowania rębnego jak i przedrębnego.</w:t>
      </w:r>
      <w:r w:rsidR="00DD0BB7">
        <w:t xml:space="preserve"> </w:t>
      </w:r>
      <w:r w:rsidR="00A86995" w:rsidRPr="00A00145">
        <w:t xml:space="preserve">W efekcie uwzględnienia </w:t>
      </w:r>
      <w:r w:rsidR="00A86995">
        <w:t xml:space="preserve">tego typu podejścia prognostycznego względem </w:t>
      </w:r>
      <w:r w:rsidR="00A86995" w:rsidRPr="00A00145">
        <w:t>produkcyjności drzewostanów, zauważa się krótkoterminowy, pozytywny efekt eliminacji dotychczas realizowanych praktyk gospodarczych,</w:t>
      </w:r>
      <w:r w:rsidR="00A86995">
        <w:t xml:space="preserve"> szczególnie </w:t>
      </w:r>
      <w:r w:rsidR="00A86995" w:rsidRPr="00A00145">
        <w:t>takich jak cięcia przedrębne w obserwowanych zmianach zasobów węglowych</w:t>
      </w:r>
      <w:r w:rsidR="00F27601">
        <w:t>. Niemniej jednak, w</w:t>
      </w:r>
      <w:r w:rsidR="00F27601" w:rsidRPr="00906B1B">
        <w:t xml:space="preserve"> dłuższej perspektywie, pomimo oczywistego wzrostu zasobów drzewnych, może to prowadzić do starzenia się drzewostanów, ale także ryzyka zwiększonej dynamiki wydzielania się martwego drewna i powiązanej z tym procesem emisji CO</w:t>
      </w:r>
      <w:r w:rsidR="00F27601" w:rsidRPr="00925CC7">
        <w:rPr>
          <w:vertAlign w:val="subscript"/>
        </w:rPr>
        <w:t>2</w:t>
      </w:r>
      <w:r w:rsidR="00F27601" w:rsidRPr="00906B1B">
        <w:t>.</w:t>
      </w:r>
    </w:p>
    <w:p w14:paraId="741DD20D" w14:textId="280369DB" w:rsidR="00E179DA" w:rsidRDefault="00BF110C" w:rsidP="005C4144">
      <w:r w:rsidRPr="00A00145">
        <w:t xml:space="preserve">W obu </w:t>
      </w:r>
      <w:r>
        <w:t xml:space="preserve">rozpatrywanych przypadkach (tj. zarówno tym bazującym na wykorzystaniu modelu hodowlanego, jak i tym zakładającym odzwierciedlenie modelu granicznego) nie </w:t>
      </w:r>
      <w:r w:rsidRPr="00A00145">
        <w:t>zakłada się różni</w:t>
      </w:r>
      <w:r>
        <w:t>c</w:t>
      </w:r>
      <w:r w:rsidRPr="00A00145">
        <w:t xml:space="preserve"> w intensywności użytkowania</w:t>
      </w:r>
      <w:r>
        <w:t xml:space="preserve"> (modyfikacji wartości wskaźników użytkowania rębnego </w:t>
      </w:r>
      <w:r w:rsidRPr="00A00145">
        <w:t>w klasach i podklasach wieku</w:t>
      </w:r>
      <w:r>
        <w:t>) w</w:t>
      </w:r>
      <w:r w:rsidR="00BF0EBA">
        <w:t> </w:t>
      </w:r>
      <w:r>
        <w:t>skali lokalnej. Różnice pomiędzy scenariuszami wynikają z ograniczonej (w scenariuszu WAM) dostępności drzewostanów (wyłączeń drzewostanów z użytkowania)</w:t>
      </w:r>
      <w:r w:rsidR="000C44AD">
        <w:t>,</w:t>
      </w:r>
      <w:r>
        <w:t xml:space="preserve"> do których te wskaźniki mogą </w:t>
      </w:r>
      <w:r>
        <w:lastRenderedPageBreak/>
        <w:t>zostać zastosowane.</w:t>
      </w:r>
      <w:r w:rsidR="002A532C">
        <w:t xml:space="preserve"> </w:t>
      </w:r>
      <w:r w:rsidRPr="00A00145">
        <w:t>W efekcie dla wskazanego obszaru lasów wykorzystano wartości prognozowanego pozyskania netto opierającego się na wykorzystaniu historycznych wskaźników intensywności użytkowania rębnego i przedrębnego (kwantyfikujących poziom realizacji tych konkretnych praktyk z zakresu gospodarki leśnej), określonych dla okresu 2010-2019, które przypisano do zmieniającej się w miarę starzenia drzewostanów struktury gatunkowo - wiekowej drzewostanów</w:t>
      </w:r>
      <w:r w:rsidR="00E179DA">
        <w:t>.</w:t>
      </w:r>
    </w:p>
    <w:p w14:paraId="15BDB2A2" w14:textId="665D40BF" w:rsidR="00DE6AE1" w:rsidRPr="00AE7875" w:rsidRDefault="005C4144" w:rsidP="005C4144">
      <w:r w:rsidRPr="00AE7875">
        <w:t>W tabeli poniżej (</w:t>
      </w:r>
      <w:r w:rsidR="00031398">
        <w:fldChar w:fldCharType="begin"/>
      </w:r>
      <w:r w:rsidR="00031398">
        <w:instrText xml:space="preserve"> REF _Ref195869254 \h </w:instrText>
      </w:r>
      <w:r w:rsidR="00031398">
        <w:fldChar w:fldCharType="separate"/>
      </w:r>
      <w:r w:rsidR="00F27D6F" w:rsidRPr="001F033C">
        <w:t xml:space="preserve">Tabela </w:t>
      </w:r>
      <w:r w:rsidR="00F27D6F">
        <w:rPr>
          <w:noProof/>
        </w:rPr>
        <w:t>1</w:t>
      </w:r>
      <w:r w:rsidR="00F27D6F">
        <w:t>.</w:t>
      </w:r>
      <w:r w:rsidR="00F27D6F">
        <w:rPr>
          <w:noProof/>
        </w:rPr>
        <w:t>3</w:t>
      </w:r>
      <w:r w:rsidR="00031398">
        <w:fldChar w:fldCharType="end"/>
      </w:r>
      <w:r w:rsidRPr="00AE7875">
        <w:t xml:space="preserve">) </w:t>
      </w:r>
      <w:r w:rsidR="00DE6AE1" w:rsidRPr="00AE7875">
        <w:t>przedstawiono szczegółowe projekcje emisji gazów cieplarnianych ze</w:t>
      </w:r>
      <w:r w:rsidR="00DE6AE1">
        <w:t> </w:t>
      </w:r>
      <w:r w:rsidR="00DE6AE1" w:rsidRPr="00AE7875">
        <w:t>spalania paliw w źródłach stacjonarnych (</w:t>
      </w:r>
      <w:r w:rsidR="00DE6AE1" w:rsidRPr="00AE7875">
        <w:rPr>
          <w:rFonts w:cs="Calibri"/>
        </w:rPr>
        <w:t xml:space="preserve">sektory 1A1. </w:t>
      </w:r>
      <w:r w:rsidR="00DE6AE1" w:rsidRPr="00AE7875">
        <w:rPr>
          <w:rFonts w:cs="Calibri"/>
          <w:i/>
        </w:rPr>
        <w:t xml:space="preserve">Przemysły energetyczne, </w:t>
      </w:r>
      <w:r w:rsidR="00DE6AE1" w:rsidRPr="00AE7875">
        <w:rPr>
          <w:rFonts w:cs="Calibri"/>
        </w:rPr>
        <w:t>1A2.</w:t>
      </w:r>
      <w:r w:rsidR="00DE6AE1" w:rsidRPr="00AE7875">
        <w:rPr>
          <w:color w:val="44546A" w:themeColor="text2"/>
          <w:sz w:val="18"/>
          <w:szCs w:val="18"/>
        </w:rPr>
        <w:t xml:space="preserve"> </w:t>
      </w:r>
      <w:r w:rsidR="00DE6AE1" w:rsidRPr="00AE7875">
        <w:rPr>
          <w:rFonts w:cs="Calibri"/>
          <w:i/>
        </w:rPr>
        <w:t>Przemysł wytwórczy i budownictwo</w:t>
      </w:r>
      <w:r w:rsidR="00DE6AE1" w:rsidRPr="00AE7875">
        <w:rPr>
          <w:color w:val="44546A" w:themeColor="text2"/>
          <w:sz w:val="18"/>
          <w:szCs w:val="18"/>
        </w:rPr>
        <w:t xml:space="preserve"> </w:t>
      </w:r>
      <w:r w:rsidR="00DE6AE1" w:rsidRPr="00AE7875">
        <w:rPr>
          <w:rFonts w:cs="Calibri"/>
        </w:rPr>
        <w:t>oraz 1A4.</w:t>
      </w:r>
      <w:r w:rsidR="00DE6AE1" w:rsidRPr="00AE7875">
        <w:rPr>
          <w:color w:val="44546A" w:themeColor="text2"/>
          <w:sz w:val="18"/>
          <w:szCs w:val="18"/>
        </w:rPr>
        <w:t xml:space="preserve"> </w:t>
      </w:r>
      <w:r w:rsidR="00DE6AE1" w:rsidRPr="00AE7875">
        <w:rPr>
          <w:rFonts w:cs="Calibri"/>
          <w:i/>
        </w:rPr>
        <w:t>Inne sektory</w:t>
      </w:r>
      <w:r w:rsidR="00DE6AE1" w:rsidRPr="00AE7875">
        <w:rPr>
          <w:rFonts w:cs="Calibri"/>
        </w:rPr>
        <w:t>)</w:t>
      </w:r>
      <w:r w:rsidR="00DE6AE1" w:rsidRPr="00AE7875">
        <w:t xml:space="preserve"> oraz mobilnych (sektor 1A3. </w:t>
      </w:r>
      <w:r w:rsidR="00DE6AE1" w:rsidRPr="00AE7875">
        <w:rPr>
          <w:i/>
        </w:rPr>
        <w:t>Transport</w:t>
      </w:r>
      <w:r w:rsidR="00DE6AE1" w:rsidRPr="00AE7875">
        <w:t>).</w:t>
      </w:r>
    </w:p>
    <w:p w14:paraId="406828B3" w14:textId="3B0D2CDF" w:rsidR="005C4144" w:rsidRPr="001F033C" w:rsidRDefault="005C4144" w:rsidP="007D5D7A">
      <w:pPr>
        <w:pStyle w:val="Legenda"/>
        <w:keepNext/>
      </w:pPr>
      <w:bookmarkStart w:id="29" w:name="_Ref156483826"/>
      <w:bookmarkStart w:id="30" w:name="_Ref195869254"/>
      <w:bookmarkStart w:id="31" w:name="_Toc167442081"/>
      <w:bookmarkStart w:id="32" w:name="_Toc171587162"/>
      <w:bookmarkStart w:id="33" w:name="_Toc174710946"/>
      <w:bookmarkStart w:id="34" w:name="_Toc202966948"/>
      <w:r w:rsidRPr="001F033C">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3</w:t>
      </w:r>
      <w:r w:rsidR="00653D9A">
        <w:rPr>
          <w:noProof/>
        </w:rPr>
        <w:fldChar w:fldCharType="end"/>
      </w:r>
      <w:bookmarkEnd w:id="29"/>
      <w:bookmarkEnd w:id="30"/>
      <w:r w:rsidRPr="001F033C">
        <w:t>. Projekcje emisji gazów cieplarnianych w sektorze 1A. Spalanie paliw</w:t>
      </w:r>
      <w:r>
        <w:t>, dla scenariusza WAM</w:t>
      </w:r>
      <w:bookmarkEnd w:id="31"/>
      <w:bookmarkEnd w:id="32"/>
      <w:bookmarkEnd w:id="33"/>
      <w:bookmarkEnd w:id="34"/>
    </w:p>
    <w:tbl>
      <w:tblPr>
        <w:tblStyle w:val="KPEiK"/>
        <w:tblW w:w="4757" w:type="pct"/>
        <w:tblLayout w:type="fixed"/>
        <w:tblCellMar>
          <w:left w:w="28" w:type="dxa"/>
          <w:right w:w="28" w:type="dxa"/>
        </w:tblCellMar>
        <w:tblLook w:val="04A0" w:firstRow="1" w:lastRow="0" w:firstColumn="1" w:lastColumn="0" w:noHBand="0" w:noVBand="1"/>
      </w:tblPr>
      <w:tblGrid>
        <w:gridCol w:w="1339"/>
        <w:gridCol w:w="822"/>
        <w:gridCol w:w="822"/>
        <w:gridCol w:w="822"/>
        <w:gridCol w:w="824"/>
        <w:gridCol w:w="824"/>
        <w:gridCol w:w="824"/>
        <w:gridCol w:w="824"/>
        <w:gridCol w:w="824"/>
        <w:gridCol w:w="697"/>
      </w:tblGrid>
      <w:tr w:rsidR="00722DA8" w:rsidRPr="00363B7E" w14:paraId="24CFA642" w14:textId="77777777" w:rsidTr="00722DA8">
        <w:trPr>
          <w:cnfStyle w:val="100000000000" w:firstRow="1" w:lastRow="0" w:firstColumn="0" w:lastColumn="0" w:oddVBand="0" w:evenVBand="0" w:oddHBand="0" w:evenHBand="0" w:firstRowFirstColumn="0" w:firstRowLastColumn="0" w:lastRowFirstColumn="0" w:lastRowLastColumn="0"/>
          <w:trHeight w:val="229"/>
          <w:tblHeader/>
        </w:trPr>
        <w:tc>
          <w:tcPr>
            <w:tcW w:w="1338" w:type="dxa"/>
            <w:vMerge w:val="restart"/>
          </w:tcPr>
          <w:p w14:paraId="76EE23C8" w14:textId="77777777" w:rsidR="00722DA8" w:rsidRPr="00363B7E" w:rsidRDefault="00722DA8">
            <w:pPr>
              <w:pStyle w:val="Tabele"/>
              <w:jc w:val="center"/>
              <w:rPr>
                <w:sz w:val="12"/>
                <w:szCs w:val="12"/>
              </w:rPr>
            </w:pPr>
            <w:r w:rsidRPr="00363B7E">
              <w:rPr>
                <w:sz w:val="12"/>
                <w:szCs w:val="12"/>
              </w:rPr>
              <w:t>Sektor</w:t>
            </w:r>
          </w:p>
        </w:tc>
        <w:tc>
          <w:tcPr>
            <w:tcW w:w="7283" w:type="dxa"/>
            <w:gridSpan w:val="9"/>
          </w:tcPr>
          <w:p w14:paraId="7B6A095A" w14:textId="77777777" w:rsidR="00722DA8" w:rsidRPr="00363B7E" w:rsidRDefault="00722DA8">
            <w:pPr>
              <w:pStyle w:val="Tabele"/>
              <w:jc w:val="center"/>
              <w:rPr>
                <w:b w:val="0"/>
                <w:sz w:val="12"/>
                <w:szCs w:val="12"/>
              </w:rPr>
            </w:pPr>
            <w:r w:rsidRPr="00363B7E">
              <w:rPr>
                <w:sz w:val="12"/>
                <w:szCs w:val="12"/>
              </w:rPr>
              <w:t>Emisje GHG [kt CO</w:t>
            </w:r>
            <w:r w:rsidRPr="00363B7E">
              <w:rPr>
                <w:sz w:val="12"/>
                <w:szCs w:val="12"/>
                <w:vertAlign w:val="subscript"/>
              </w:rPr>
              <w:t>2</w:t>
            </w:r>
            <w:r w:rsidRPr="00363B7E">
              <w:rPr>
                <w:sz w:val="12"/>
                <w:szCs w:val="12"/>
              </w:rPr>
              <w:t>eq]</w:t>
            </w:r>
          </w:p>
        </w:tc>
      </w:tr>
      <w:tr w:rsidR="001734F0" w:rsidRPr="00363B7E" w14:paraId="68936A38" w14:textId="77777777" w:rsidTr="00722DA8">
        <w:trPr>
          <w:cnfStyle w:val="100000000000" w:firstRow="1" w:lastRow="0" w:firstColumn="0" w:lastColumn="0" w:oddVBand="0" w:evenVBand="0" w:oddHBand="0" w:evenHBand="0" w:firstRowFirstColumn="0" w:firstRowLastColumn="0" w:lastRowFirstColumn="0" w:lastRowLastColumn="0"/>
          <w:trHeight w:val="229"/>
          <w:tblHeader/>
        </w:trPr>
        <w:tc>
          <w:tcPr>
            <w:tcW w:w="1338" w:type="dxa"/>
            <w:vMerge/>
          </w:tcPr>
          <w:p w14:paraId="4D2A0572" w14:textId="77777777" w:rsidR="00722DA8" w:rsidRPr="00363B7E" w:rsidRDefault="00722DA8">
            <w:pPr>
              <w:pStyle w:val="Tabele"/>
              <w:jc w:val="center"/>
              <w:rPr>
                <w:sz w:val="12"/>
                <w:szCs w:val="12"/>
              </w:rPr>
            </w:pPr>
          </w:p>
        </w:tc>
        <w:tc>
          <w:tcPr>
            <w:tcW w:w="822" w:type="dxa"/>
          </w:tcPr>
          <w:p w14:paraId="601FCD97" w14:textId="77777777" w:rsidR="00722DA8" w:rsidRPr="00363B7E" w:rsidRDefault="00722DA8">
            <w:pPr>
              <w:pStyle w:val="Tabele"/>
              <w:jc w:val="center"/>
              <w:rPr>
                <w:sz w:val="12"/>
                <w:szCs w:val="12"/>
              </w:rPr>
            </w:pPr>
            <w:r w:rsidRPr="00363B7E">
              <w:rPr>
                <w:sz w:val="12"/>
                <w:szCs w:val="12"/>
              </w:rPr>
              <w:t>1990</w:t>
            </w:r>
          </w:p>
        </w:tc>
        <w:tc>
          <w:tcPr>
            <w:tcW w:w="822" w:type="dxa"/>
          </w:tcPr>
          <w:p w14:paraId="3F1EF844" w14:textId="77777777" w:rsidR="00722DA8" w:rsidRPr="00363B7E" w:rsidRDefault="00722DA8">
            <w:pPr>
              <w:pStyle w:val="Tabele"/>
              <w:jc w:val="center"/>
              <w:rPr>
                <w:sz w:val="12"/>
                <w:szCs w:val="12"/>
              </w:rPr>
            </w:pPr>
            <w:r w:rsidRPr="00363B7E">
              <w:rPr>
                <w:sz w:val="12"/>
                <w:szCs w:val="12"/>
              </w:rPr>
              <w:t>2005</w:t>
            </w:r>
          </w:p>
        </w:tc>
        <w:tc>
          <w:tcPr>
            <w:tcW w:w="822" w:type="dxa"/>
          </w:tcPr>
          <w:p w14:paraId="22271D73" w14:textId="77777777" w:rsidR="00722DA8" w:rsidRPr="00363B7E" w:rsidRDefault="00722DA8">
            <w:pPr>
              <w:pStyle w:val="Tabele"/>
              <w:jc w:val="center"/>
              <w:rPr>
                <w:sz w:val="12"/>
                <w:szCs w:val="12"/>
              </w:rPr>
            </w:pPr>
            <w:r w:rsidRPr="00363B7E">
              <w:rPr>
                <w:sz w:val="12"/>
                <w:szCs w:val="12"/>
              </w:rPr>
              <w:t>2010</w:t>
            </w:r>
          </w:p>
        </w:tc>
        <w:tc>
          <w:tcPr>
            <w:tcW w:w="824" w:type="dxa"/>
          </w:tcPr>
          <w:p w14:paraId="51A188F6" w14:textId="77777777" w:rsidR="00722DA8" w:rsidRPr="00363B7E" w:rsidRDefault="00722DA8">
            <w:pPr>
              <w:pStyle w:val="Tabele"/>
              <w:jc w:val="center"/>
              <w:rPr>
                <w:sz w:val="12"/>
                <w:szCs w:val="12"/>
              </w:rPr>
            </w:pPr>
            <w:r w:rsidRPr="00363B7E">
              <w:rPr>
                <w:sz w:val="12"/>
                <w:szCs w:val="12"/>
              </w:rPr>
              <w:t>2015</w:t>
            </w:r>
          </w:p>
        </w:tc>
        <w:tc>
          <w:tcPr>
            <w:tcW w:w="824" w:type="dxa"/>
          </w:tcPr>
          <w:p w14:paraId="3D102A72" w14:textId="77777777" w:rsidR="00722DA8" w:rsidRPr="00363B7E" w:rsidRDefault="00722DA8">
            <w:pPr>
              <w:pStyle w:val="Tabele"/>
              <w:jc w:val="center"/>
              <w:rPr>
                <w:sz w:val="12"/>
                <w:szCs w:val="12"/>
              </w:rPr>
            </w:pPr>
            <w:r w:rsidRPr="00363B7E">
              <w:rPr>
                <w:sz w:val="12"/>
                <w:szCs w:val="12"/>
              </w:rPr>
              <w:t>2020</w:t>
            </w:r>
          </w:p>
        </w:tc>
        <w:tc>
          <w:tcPr>
            <w:tcW w:w="824" w:type="dxa"/>
          </w:tcPr>
          <w:p w14:paraId="30393287" w14:textId="77777777" w:rsidR="00722DA8" w:rsidRPr="00363B7E" w:rsidRDefault="00722DA8">
            <w:pPr>
              <w:pStyle w:val="Tabele"/>
              <w:jc w:val="center"/>
              <w:rPr>
                <w:sz w:val="12"/>
                <w:szCs w:val="12"/>
              </w:rPr>
            </w:pPr>
            <w:r w:rsidRPr="00363B7E">
              <w:rPr>
                <w:sz w:val="12"/>
                <w:szCs w:val="12"/>
              </w:rPr>
              <w:t>2025</w:t>
            </w:r>
          </w:p>
        </w:tc>
        <w:tc>
          <w:tcPr>
            <w:tcW w:w="824" w:type="dxa"/>
          </w:tcPr>
          <w:p w14:paraId="1D543A17" w14:textId="77777777" w:rsidR="00722DA8" w:rsidRPr="00363B7E" w:rsidRDefault="00722DA8">
            <w:pPr>
              <w:pStyle w:val="Tabele"/>
              <w:jc w:val="center"/>
              <w:rPr>
                <w:sz w:val="12"/>
                <w:szCs w:val="12"/>
              </w:rPr>
            </w:pPr>
            <w:r w:rsidRPr="00363B7E">
              <w:rPr>
                <w:sz w:val="12"/>
                <w:szCs w:val="12"/>
              </w:rPr>
              <w:t>2030</w:t>
            </w:r>
          </w:p>
        </w:tc>
        <w:tc>
          <w:tcPr>
            <w:tcW w:w="824" w:type="dxa"/>
          </w:tcPr>
          <w:p w14:paraId="43453E0D" w14:textId="77777777" w:rsidR="00722DA8" w:rsidRPr="00363B7E" w:rsidRDefault="00722DA8">
            <w:pPr>
              <w:pStyle w:val="Tabele"/>
              <w:jc w:val="center"/>
              <w:rPr>
                <w:sz w:val="12"/>
                <w:szCs w:val="12"/>
              </w:rPr>
            </w:pPr>
            <w:r w:rsidRPr="00363B7E">
              <w:rPr>
                <w:sz w:val="12"/>
                <w:szCs w:val="12"/>
              </w:rPr>
              <w:t>2035</w:t>
            </w:r>
          </w:p>
        </w:tc>
        <w:tc>
          <w:tcPr>
            <w:tcW w:w="694" w:type="dxa"/>
          </w:tcPr>
          <w:p w14:paraId="526A4D51" w14:textId="77777777" w:rsidR="00722DA8" w:rsidRPr="00363B7E" w:rsidRDefault="00722DA8">
            <w:pPr>
              <w:pStyle w:val="Tabele"/>
              <w:jc w:val="center"/>
              <w:rPr>
                <w:sz w:val="12"/>
                <w:szCs w:val="12"/>
              </w:rPr>
            </w:pPr>
            <w:r w:rsidRPr="00363B7E">
              <w:rPr>
                <w:sz w:val="12"/>
                <w:szCs w:val="12"/>
              </w:rPr>
              <w:t>2040</w:t>
            </w:r>
          </w:p>
        </w:tc>
      </w:tr>
      <w:tr w:rsidR="00722DA8" w:rsidRPr="00AF05AF" w14:paraId="3C94F25F" w14:textId="77777777" w:rsidTr="00722DA8">
        <w:trPr>
          <w:trHeight w:val="229"/>
        </w:trPr>
        <w:tc>
          <w:tcPr>
            <w:tcW w:w="1338" w:type="dxa"/>
          </w:tcPr>
          <w:p w14:paraId="7A5EC26D" w14:textId="77777777" w:rsidR="00722DA8" w:rsidRPr="00B2574C" w:rsidRDefault="00722DA8">
            <w:pPr>
              <w:pStyle w:val="Tabele"/>
              <w:rPr>
                <w:b/>
                <w:color w:val="auto"/>
                <w:sz w:val="12"/>
                <w:szCs w:val="12"/>
              </w:rPr>
            </w:pPr>
            <w:r w:rsidRPr="00B2574C">
              <w:rPr>
                <w:b/>
                <w:color w:val="auto"/>
                <w:sz w:val="12"/>
                <w:szCs w:val="12"/>
              </w:rPr>
              <w:t>1A Spalanie paliw</w:t>
            </w:r>
          </w:p>
        </w:tc>
        <w:tc>
          <w:tcPr>
            <w:tcW w:w="822" w:type="dxa"/>
            <w:shd w:val="clear" w:color="auto" w:fill="C5E0B3"/>
          </w:tcPr>
          <w:p w14:paraId="2055D8DE" w14:textId="77777777" w:rsidR="00722DA8" w:rsidRPr="00B2574C" w:rsidRDefault="00722DA8">
            <w:pPr>
              <w:pStyle w:val="Tabele"/>
              <w:jc w:val="right"/>
              <w:rPr>
                <w:rFonts w:cs="Calibri"/>
                <w:b/>
                <w:bCs/>
                <w:color w:val="auto"/>
                <w:sz w:val="12"/>
                <w:szCs w:val="12"/>
              </w:rPr>
            </w:pPr>
            <w:r w:rsidRPr="00B2574C">
              <w:rPr>
                <w:b/>
                <w:color w:val="auto"/>
                <w:sz w:val="12"/>
                <w:szCs w:val="12"/>
              </w:rPr>
              <w:t>355 986,40</w:t>
            </w:r>
          </w:p>
        </w:tc>
        <w:tc>
          <w:tcPr>
            <w:tcW w:w="822" w:type="dxa"/>
            <w:shd w:val="clear" w:color="auto" w:fill="C5E0B3"/>
          </w:tcPr>
          <w:p w14:paraId="186D8D80" w14:textId="77777777" w:rsidR="00722DA8" w:rsidRPr="00B2574C" w:rsidRDefault="00722DA8">
            <w:pPr>
              <w:pStyle w:val="Tabele"/>
              <w:jc w:val="right"/>
              <w:rPr>
                <w:b/>
                <w:color w:val="auto"/>
                <w:sz w:val="12"/>
                <w:szCs w:val="12"/>
              </w:rPr>
            </w:pPr>
            <w:r w:rsidRPr="00B2574C">
              <w:rPr>
                <w:b/>
                <w:color w:val="auto"/>
                <w:sz w:val="12"/>
                <w:szCs w:val="12"/>
              </w:rPr>
              <w:t>308 136,82</w:t>
            </w:r>
          </w:p>
        </w:tc>
        <w:tc>
          <w:tcPr>
            <w:tcW w:w="822" w:type="dxa"/>
            <w:shd w:val="clear" w:color="auto" w:fill="C5E0B3"/>
          </w:tcPr>
          <w:p w14:paraId="3DDA1A9A" w14:textId="77777777" w:rsidR="00722DA8" w:rsidRPr="00B2574C" w:rsidRDefault="00722DA8">
            <w:pPr>
              <w:pStyle w:val="Tabele"/>
              <w:jc w:val="right"/>
              <w:rPr>
                <w:b/>
                <w:color w:val="auto"/>
                <w:sz w:val="12"/>
                <w:szCs w:val="12"/>
              </w:rPr>
            </w:pPr>
            <w:r w:rsidRPr="00B2574C">
              <w:rPr>
                <w:b/>
                <w:color w:val="auto"/>
                <w:sz w:val="12"/>
                <w:szCs w:val="12"/>
              </w:rPr>
              <w:t>320 244,89</w:t>
            </w:r>
          </w:p>
        </w:tc>
        <w:tc>
          <w:tcPr>
            <w:tcW w:w="824" w:type="dxa"/>
            <w:shd w:val="clear" w:color="auto" w:fill="C5E0B3"/>
          </w:tcPr>
          <w:p w14:paraId="733B5B23" w14:textId="77777777" w:rsidR="00722DA8" w:rsidRPr="00B2574C" w:rsidRDefault="00722DA8">
            <w:pPr>
              <w:pStyle w:val="Tabele"/>
              <w:jc w:val="right"/>
              <w:rPr>
                <w:b/>
                <w:color w:val="auto"/>
                <w:sz w:val="12"/>
                <w:szCs w:val="12"/>
              </w:rPr>
            </w:pPr>
            <w:r w:rsidRPr="00B2574C">
              <w:rPr>
                <w:b/>
                <w:color w:val="auto"/>
                <w:sz w:val="12"/>
                <w:szCs w:val="12"/>
              </w:rPr>
              <w:t>294 771,72</w:t>
            </w:r>
          </w:p>
        </w:tc>
        <w:tc>
          <w:tcPr>
            <w:tcW w:w="824" w:type="dxa"/>
            <w:shd w:val="clear" w:color="auto" w:fill="C5E0B3"/>
          </w:tcPr>
          <w:p w14:paraId="47243BB6" w14:textId="77777777" w:rsidR="00722DA8" w:rsidRPr="00B2574C" w:rsidRDefault="00722DA8">
            <w:pPr>
              <w:pStyle w:val="Tabele"/>
              <w:jc w:val="right"/>
              <w:rPr>
                <w:b/>
                <w:color w:val="auto"/>
                <w:sz w:val="12"/>
                <w:szCs w:val="12"/>
              </w:rPr>
            </w:pPr>
            <w:r w:rsidRPr="00B2574C">
              <w:rPr>
                <w:b/>
                <w:color w:val="auto"/>
                <w:sz w:val="12"/>
                <w:szCs w:val="12"/>
              </w:rPr>
              <w:t>284 569,43</w:t>
            </w:r>
          </w:p>
        </w:tc>
        <w:tc>
          <w:tcPr>
            <w:tcW w:w="824" w:type="dxa"/>
          </w:tcPr>
          <w:p w14:paraId="54138178" w14:textId="77777777" w:rsidR="00722DA8" w:rsidRPr="00B2574C" w:rsidRDefault="00722DA8">
            <w:pPr>
              <w:pStyle w:val="Tabele"/>
              <w:jc w:val="right"/>
              <w:rPr>
                <w:b/>
                <w:color w:val="auto"/>
                <w:sz w:val="12"/>
                <w:szCs w:val="12"/>
                <w:highlight w:val="yellow"/>
              </w:rPr>
            </w:pPr>
            <w:r w:rsidRPr="00B2574C">
              <w:rPr>
                <w:b/>
                <w:color w:val="auto"/>
                <w:sz w:val="12"/>
                <w:szCs w:val="12"/>
              </w:rPr>
              <w:t>254 163,69</w:t>
            </w:r>
          </w:p>
        </w:tc>
        <w:tc>
          <w:tcPr>
            <w:tcW w:w="824" w:type="dxa"/>
          </w:tcPr>
          <w:p w14:paraId="0B5AB5F5" w14:textId="77777777" w:rsidR="00722DA8" w:rsidRPr="00B2574C" w:rsidRDefault="00722DA8">
            <w:pPr>
              <w:pStyle w:val="Tabele"/>
              <w:jc w:val="right"/>
              <w:rPr>
                <w:b/>
                <w:color w:val="auto"/>
                <w:sz w:val="12"/>
                <w:szCs w:val="12"/>
                <w:highlight w:val="yellow"/>
              </w:rPr>
            </w:pPr>
            <w:r w:rsidRPr="00B2574C">
              <w:rPr>
                <w:b/>
                <w:color w:val="auto"/>
                <w:sz w:val="12"/>
                <w:szCs w:val="12"/>
              </w:rPr>
              <w:t>182 348,89</w:t>
            </w:r>
          </w:p>
        </w:tc>
        <w:tc>
          <w:tcPr>
            <w:tcW w:w="824" w:type="dxa"/>
          </w:tcPr>
          <w:p w14:paraId="320337EB" w14:textId="77777777" w:rsidR="00722DA8" w:rsidRPr="00B2574C" w:rsidRDefault="00722DA8">
            <w:pPr>
              <w:pStyle w:val="Tabele"/>
              <w:jc w:val="right"/>
              <w:rPr>
                <w:b/>
                <w:color w:val="auto"/>
                <w:sz w:val="12"/>
                <w:szCs w:val="12"/>
                <w:highlight w:val="yellow"/>
              </w:rPr>
            </w:pPr>
            <w:r w:rsidRPr="00B2574C">
              <w:rPr>
                <w:b/>
                <w:color w:val="auto"/>
                <w:sz w:val="12"/>
                <w:szCs w:val="12"/>
              </w:rPr>
              <w:t>124 770,42</w:t>
            </w:r>
          </w:p>
        </w:tc>
        <w:tc>
          <w:tcPr>
            <w:tcW w:w="694" w:type="dxa"/>
          </w:tcPr>
          <w:p w14:paraId="408509E3" w14:textId="77777777" w:rsidR="00722DA8" w:rsidRPr="00B2574C" w:rsidRDefault="00722DA8">
            <w:pPr>
              <w:pStyle w:val="Tabele"/>
              <w:jc w:val="right"/>
              <w:rPr>
                <w:b/>
                <w:color w:val="auto"/>
                <w:sz w:val="12"/>
                <w:szCs w:val="12"/>
                <w:highlight w:val="yellow"/>
              </w:rPr>
            </w:pPr>
            <w:r w:rsidRPr="00B2574C">
              <w:rPr>
                <w:b/>
                <w:color w:val="auto"/>
                <w:sz w:val="12"/>
                <w:szCs w:val="12"/>
              </w:rPr>
              <w:t>86 155,44</w:t>
            </w:r>
          </w:p>
        </w:tc>
      </w:tr>
      <w:tr w:rsidR="00722DA8" w:rsidRPr="00363B7E" w14:paraId="61965285" w14:textId="77777777" w:rsidTr="00722DA8">
        <w:trPr>
          <w:trHeight w:val="229"/>
        </w:trPr>
        <w:tc>
          <w:tcPr>
            <w:tcW w:w="1338" w:type="dxa"/>
          </w:tcPr>
          <w:p w14:paraId="3922EC58" w14:textId="77777777" w:rsidR="00722DA8" w:rsidRPr="00B2574C" w:rsidRDefault="00722DA8">
            <w:pPr>
              <w:pStyle w:val="Tabele"/>
              <w:rPr>
                <w:color w:val="auto"/>
                <w:sz w:val="12"/>
                <w:szCs w:val="12"/>
              </w:rPr>
            </w:pPr>
            <w:r w:rsidRPr="00B2574C">
              <w:rPr>
                <w:color w:val="auto"/>
                <w:sz w:val="12"/>
                <w:szCs w:val="12"/>
              </w:rPr>
              <w:t>1A1 Przemysły energetyczne</w:t>
            </w:r>
          </w:p>
        </w:tc>
        <w:tc>
          <w:tcPr>
            <w:tcW w:w="822" w:type="dxa"/>
            <w:shd w:val="clear" w:color="auto" w:fill="C5E0B3"/>
          </w:tcPr>
          <w:p w14:paraId="0BD1D0E7" w14:textId="77777777" w:rsidR="00722DA8" w:rsidRPr="00B2574C" w:rsidRDefault="00722DA8">
            <w:pPr>
              <w:pStyle w:val="Tabele"/>
              <w:jc w:val="right"/>
              <w:rPr>
                <w:rFonts w:cs="Calibri"/>
                <w:b/>
                <w:bCs/>
                <w:color w:val="auto"/>
                <w:sz w:val="12"/>
                <w:szCs w:val="12"/>
              </w:rPr>
            </w:pPr>
            <w:r w:rsidRPr="00B2574C">
              <w:rPr>
                <w:color w:val="auto"/>
                <w:sz w:val="12"/>
                <w:szCs w:val="12"/>
              </w:rPr>
              <w:t>235 229,43</w:t>
            </w:r>
          </w:p>
        </w:tc>
        <w:tc>
          <w:tcPr>
            <w:tcW w:w="822" w:type="dxa"/>
            <w:shd w:val="clear" w:color="auto" w:fill="C5E0B3"/>
          </w:tcPr>
          <w:p w14:paraId="0B47D4BC" w14:textId="77777777" w:rsidR="00722DA8" w:rsidRPr="00B2574C" w:rsidRDefault="00722DA8">
            <w:pPr>
              <w:pStyle w:val="Tabele"/>
              <w:jc w:val="right"/>
              <w:rPr>
                <w:color w:val="auto"/>
                <w:sz w:val="12"/>
                <w:szCs w:val="12"/>
              </w:rPr>
            </w:pPr>
            <w:r w:rsidRPr="00B2574C">
              <w:rPr>
                <w:color w:val="auto"/>
                <w:sz w:val="12"/>
                <w:szCs w:val="12"/>
              </w:rPr>
              <w:t>178 362,41</w:t>
            </w:r>
          </w:p>
        </w:tc>
        <w:tc>
          <w:tcPr>
            <w:tcW w:w="822" w:type="dxa"/>
            <w:shd w:val="clear" w:color="auto" w:fill="C5E0B3"/>
          </w:tcPr>
          <w:p w14:paraId="5DB8E738" w14:textId="77777777" w:rsidR="00722DA8" w:rsidRPr="00B2574C" w:rsidRDefault="00722DA8">
            <w:pPr>
              <w:pStyle w:val="Tabele"/>
              <w:jc w:val="right"/>
              <w:rPr>
                <w:color w:val="auto"/>
                <w:sz w:val="12"/>
                <w:szCs w:val="12"/>
              </w:rPr>
            </w:pPr>
            <w:r w:rsidRPr="00B2574C">
              <w:rPr>
                <w:color w:val="auto"/>
                <w:sz w:val="12"/>
                <w:szCs w:val="12"/>
              </w:rPr>
              <w:t>173 529,26</w:t>
            </w:r>
          </w:p>
        </w:tc>
        <w:tc>
          <w:tcPr>
            <w:tcW w:w="824" w:type="dxa"/>
            <w:shd w:val="clear" w:color="auto" w:fill="C5E0B3"/>
          </w:tcPr>
          <w:p w14:paraId="198B2EA8" w14:textId="77777777" w:rsidR="00722DA8" w:rsidRPr="00B2574C" w:rsidRDefault="00722DA8">
            <w:pPr>
              <w:pStyle w:val="Tabele"/>
              <w:jc w:val="right"/>
              <w:rPr>
                <w:color w:val="auto"/>
                <w:sz w:val="12"/>
                <w:szCs w:val="12"/>
              </w:rPr>
            </w:pPr>
            <w:r w:rsidRPr="00B2574C">
              <w:rPr>
                <w:color w:val="auto"/>
                <w:sz w:val="12"/>
                <w:szCs w:val="12"/>
              </w:rPr>
              <w:t>163 700,19</w:t>
            </w:r>
          </w:p>
        </w:tc>
        <w:tc>
          <w:tcPr>
            <w:tcW w:w="824" w:type="dxa"/>
            <w:shd w:val="clear" w:color="auto" w:fill="C5E0B3"/>
          </w:tcPr>
          <w:p w14:paraId="0B89984F" w14:textId="77777777" w:rsidR="00722DA8" w:rsidRPr="00B2574C" w:rsidRDefault="00722DA8">
            <w:pPr>
              <w:pStyle w:val="Tabele"/>
              <w:jc w:val="right"/>
              <w:rPr>
                <w:color w:val="auto"/>
                <w:sz w:val="12"/>
                <w:szCs w:val="12"/>
              </w:rPr>
            </w:pPr>
            <w:r w:rsidRPr="00B2574C">
              <w:rPr>
                <w:color w:val="auto"/>
                <w:sz w:val="12"/>
                <w:szCs w:val="12"/>
              </w:rPr>
              <w:t>139 603,24</w:t>
            </w:r>
          </w:p>
        </w:tc>
        <w:tc>
          <w:tcPr>
            <w:tcW w:w="824" w:type="dxa"/>
          </w:tcPr>
          <w:p w14:paraId="38A4C7CC" w14:textId="77777777" w:rsidR="00722DA8" w:rsidRPr="00B2574C" w:rsidRDefault="00722DA8">
            <w:pPr>
              <w:pStyle w:val="Tabele"/>
              <w:jc w:val="right"/>
              <w:rPr>
                <w:color w:val="auto"/>
                <w:sz w:val="12"/>
                <w:szCs w:val="12"/>
                <w:highlight w:val="yellow"/>
              </w:rPr>
            </w:pPr>
            <w:r w:rsidRPr="00B2574C">
              <w:rPr>
                <w:color w:val="auto"/>
                <w:sz w:val="12"/>
                <w:szCs w:val="12"/>
              </w:rPr>
              <w:t>119 619,68</w:t>
            </w:r>
          </w:p>
        </w:tc>
        <w:tc>
          <w:tcPr>
            <w:tcW w:w="824" w:type="dxa"/>
          </w:tcPr>
          <w:p w14:paraId="2491A052" w14:textId="77777777" w:rsidR="00722DA8" w:rsidRPr="00B2574C" w:rsidRDefault="00722DA8">
            <w:pPr>
              <w:pStyle w:val="Tabele"/>
              <w:jc w:val="right"/>
              <w:rPr>
                <w:color w:val="auto"/>
                <w:sz w:val="12"/>
                <w:szCs w:val="12"/>
                <w:highlight w:val="yellow"/>
              </w:rPr>
            </w:pPr>
            <w:r w:rsidRPr="00B2574C">
              <w:rPr>
                <w:color w:val="auto"/>
                <w:sz w:val="12"/>
                <w:szCs w:val="12"/>
              </w:rPr>
              <w:t>72 187,63</w:t>
            </w:r>
          </w:p>
        </w:tc>
        <w:tc>
          <w:tcPr>
            <w:tcW w:w="824" w:type="dxa"/>
          </w:tcPr>
          <w:p w14:paraId="01C04102" w14:textId="77777777" w:rsidR="00722DA8" w:rsidRPr="00B2574C" w:rsidRDefault="00722DA8">
            <w:pPr>
              <w:pStyle w:val="Tabele"/>
              <w:jc w:val="right"/>
              <w:rPr>
                <w:color w:val="auto"/>
                <w:sz w:val="12"/>
                <w:szCs w:val="12"/>
                <w:highlight w:val="yellow"/>
              </w:rPr>
            </w:pPr>
            <w:r w:rsidRPr="00B2574C">
              <w:rPr>
                <w:color w:val="auto"/>
                <w:sz w:val="12"/>
                <w:szCs w:val="12"/>
              </w:rPr>
              <w:t>35 253,66</w:t>
            </w:r>
          </w:p>
        </w:tc>
        <w:tc>
          <w:tcPr>
            <w:tcW w:w="694" w:type="dxa"/>
          </w:tcPr>
          <w:p w14:paraId="478AADB0" w14:textId="77777777" w:rsidR="00722DA8" w:rsidRPr="00B2574C" w:rsidRDefault="00722DA8">
            <w:pPr>
              <w:pStyle w:val="Tabele"/>
              <w:jc w:val="right"/>
              <w:rPr>
                <w:color w:val="auto"/>
                <w:sz w:val="12"/>
                <w:szCs w:val="12"/>
                <w:highlight w:val="yellow"/>
              </w:rPr>
            </w:pPr>
            <w:r w:rsidRPr="00B2574C">
              <w:rPr>
                <w:color w:val="auto"/>
                <w:sz w:val="12"/>
                <w:szCs w:val="12"/>
              </w:rPr>
              <w:t>13 629,76</w:t>
            </w:r>
          </w:p>
        </w:tc>
      </w:tr>
      <w:tr w:rsidR="00722DA8" w:rsidRPr="00363B7E" w14:paraId="470CE247" w14:textId="77777777" w:rsidTr="00722DA8">
        <w:trPr>
          <w:trHeight w:val="229"/>
        </w:trPr>
        <w:tc>
          <w:tcPr>
            <w:tcW w:w="1338" w:type="dxa"/>
          </w:tcPr>
          <w:p w14:paraId="5EE8A3C3" w14:textId="77777777" w:rsidR="00722DA8" w:rsidRPr="00B2574C" w:rsidRDefault="00722DA8">
            <w:pPr>
              <w:pStyle w:val="Tabele"/>
              <w:rPr>
                <w:color w:val="auto"/>
                <w:sz w:val="12"/>
                <w:szCs w:val="12"/>
              </w:rPr>
            </w:pPr>
            <w:r w:rsidRPr="00B2574C">
              <w:rPr>
                <w:color w:val="auto"/>
                <w:sz w:val="12"/>
                <w:szCs w:val="12"/>
              </w:rPr>
              <w:t>1A1a Produkcja energii elektrycznej i ciepła</w:t>
            </w:r>
          </w:p>
        </w:tc>
        <w:tc>
          <w:tcPr>
            <w:tcW w:w="822" w:type="dxa"/>
            <w:shd w:val="clear" w:color="auto" w:fill="C5E0B3"/>
          </w:tcPr>
          <w:p w14:paraId="1DDF5BD0" w14:textId="77777777" w:rsidR="00722DA8" w:rsidRPr="00B2574C" w:rsidRDefault="00722DA8">
            <w:pPr>
              <w:pStyle w:val="Tabele"/>
              <w:jc w:val="right"/>
              <w:rPr>
                <w:rFonts w:cs="Calibri"/>
                <w:color w:val="auto"/>
                <w:sz w:val="12"/>
                <w:szCs w:val="12"/>
              </w:rPr>
            </w:pPr>
            <w:r w:rsidRPr="00B2574C">
              <w:rPr>
                <w:color w:val="auto"/>
                <w:sz w:val="12"/>
                <w:szCs w:val="12"/>
              </w:rPr>
              <w:t>228 193,02</w:t>
            </w:r>
          </w:p>
        </w:tc>
        <w:tc>
          <w:tcPr>
            <w:tcW w:w="822" w:type="dxa"/>
            <w:shd w:val="clear" w:color="auto" w:fill="C5E0B3"/>
          </w:tcPr>
          <w:p w14:paraId="1CD20A97" w14:textId="77777777" w:rsidR="00722DA8" w:rsidRPr="00B2574C" w:rsidRDefault="00722DA8">
            <w:pPr>
              <w:pStyle w:val="Tabele"/>
              <w:jc w:val="right"/>
              <w:rPr>
                <w:color w:val="auto"/>
                <w:sz w:val="12"/>
                <w:szCs w:val="12"/>
              </w:rPr>
            </w:pPr>
            <w:r w:rsidRPr="00B2574C">
              <w:rPr>
                <w:color w:val="auto"/>
                <w:sz w:val="12"/>
                <w:szCs w:val="12"/>
              </w:rPr>
              <w:t>171 009,45</w:t>
            </w:r>
          </w:p>
        </w:tc>
        <w:tc>
          <w:tcPr>
            <w:tcW w:w="822" w:type="dxa"/>
            <w:shd w:val="clear" w:color="auto" w:fill="C5E0B3"/>
          </w:tcPr>
          <w:p w14:paraId="40ECF608" w14:textId="77777777" w:rsidR="00722DA8" w:rsidRPr="00B2574C" w:rsidRDefault="00722DA8">
            <w:pPr>
              <w:pStyle w:val="Tabele"/>
              <w:jc w:val="right"/>
              <w:rPr>
                <w:color w:val="auto"/>
                <w:sz w:val="12"/>
                <w:szCs w:val="12"/>
              </w:rPr>
            </w:pPr>
            <w:r w:rsidRPr="00B2574C">
              <w:rPr>
                <w:color w:val="auto"/>
                <w:sz w:val="12"/>
                <w:szCs w:val="12"/>
              </w:rPr>
              <w:t>165 731,48</w:t>
            </w:r>
          </w:p>
        </w:tc>
        <w:tc>
          <w:tcPr>
            <w:tcW w:w="824" w:type="dxa"/>
            <w:shd w:val="clear" w:color="auto" w:fill="C5E0B3"/>
          </w:tcPr>
          <w:p w14:paraId="5DA76D11" w14:textId="77777777" w:rsidR="00722DA8" w:rsidRPr="00B2574C" w:rsidRDefault="00722DA8">
            <w:pPr>
              <w:pStyle w:val="Tabele"/>
              <w:jc w:val="right"/>
              <w:rPr>
                <w:color w:val="auto"/>
                <w:sz w:val="12"/>
                <w:szCs w:val="12"/>
              </w:rPr>
            </w:pPr>
            <w:r w:rsidRPr="00B2574C">
              <w:rPr>
                <w:color w:val="auto"/>
                <w:sz w:val="12"/>
                <w:szCs w:val="12"/>
              </w:rPr>
              <w:t>155 616,22</w:t>
            </w:r>
          </w:p>
        </w:tc>
        <w:tc>
          <w:tcPr>
            <w:tcW w:w="824" w:type="dxa"/>
            <w:shd w:val="clear" w:color="auto" w:fill="C5E0B3"/>
          </w:tcPr>
          <w:p w14:paraId="7B100F0C" w14:textId="77777777" w:rsidR="00722DA8" w:rsidRPr="00B2574C" w:rsidRDefault="00722DA8">
            <w:pPr>
              <w:pStyle w:val="Tabele"/>
              <w:jc w:val="right"/>
              <w:rPr>
                <w:color w:val="auto"/>
                <w:sz w:val="12"/>
                <w:szCs w:val="12"/>
              </w:rPr>
            </w:pPr>
            <w:r w:rsidRPr="00B2574C">
              <w:rPr>
                <w:color w:val="auto"/>
                <w:sz w:val="12"/>
                <w:szCs w:val="12"/>
              </w:rPr>
              <w:t>131 814,93</w:t>
            </w:r>
          </w:p>
        </w:tc>
        <w:tc>
          <w:tcPr>
            <w:tcW w:w="824" w:type="dxa"/>
          </w:tcPr>
          <w:p w14:paraId="321E3273" w14:textId="77777777" w:rsidR="00722DA8" w:rsidRPr="00B2574C" w:rsidRDefault="00722DA8">
            <w:pPr>
              <w:pStyle w:val="Tabele"/>
              <w:jc w:val="right"/>
              <w:rPr>
                <w:color w:val="auto"/>
                <w:sz w:val="12"/>
                <w:szCs w:val="12"/>
                <w:highlight w:val="yellow"/>
              </w:rPr>
            </w:pPr>
            <w:r w:rsidRPr="00B2574C">
              <w:rPr>
                <w:color w:val="auto"/>
                <w:sz w:val="12"/>
                <w:szCs w:val="12"/>
              </w:rPr>
              <w:t>112 360,53</w:t>
            </w:r>
          </w:p>
        </w:tc>
        <w:tc>
          <w:tcPr>
            <w:tcW w:w="824" w:type="dxa"/>
          </w:tcPr>
          <w:p w14:paraId="4B823F9E" w14:textId="77777777" w:rsidR="00722DA8" w:rsidRPr="00B2574C" w:rsidRDefault="00722DA8">
            <w:pPr>
              <w:pStyle w:val="Tabele"/>
              <w:jc w:val="right"/>
              <w:rPr>
                <w:color w:val="auto"/>
                <w:sz w:val="12"/>
                <w:szCs w:val="12"/>
                <w:highlight w:val="yellow"/>
              </w:rPr>
            </w:pPr>
            <w:r w:rsidRPr="00B2574C">
              <w:rPr>
                <w:color w:val="auto"/>
                <w:sz w:val="12"/>
                <w:szCs w:val="12"/>
              </w:rPr>
              <w:t>66 155,31</w:t>
            </w:r>
          </w:p>
        </w:tc>
        <w:tc>
          <w:tcPr>
            <w:tcW w:w="824" w:type="dxa"/>
          </w:tcPr>
          <w:p w14:paraId="5ECF6212" w14:textId="77777777" w:rsidR="00722DA8" w:rsidRPr="00B2574C" w:rsidRDefault="00722DA8">
            <w:pPr>
              <w:pStyle w:val="Tabele"/>
              <w:jc w:val="right"/>
              <w:rPr>
                <w:color w:val="auto"/>
                <w:sz w:val="12"/>
                <w:szCs w:val="12"/>
                <w:highlight w:val="yellow"/>
              </w:rPr>
            </w:pPr>
            <w:r w:rsidRPr="00B2574C">
              <w:rPr>
                <w:color w:val="auto"/>
                <w:sz w:val="12"/>
                <w:szCs w:val="12"/>
              </w:rPr>
              <w:t>30 646,72</w:t>
            </w:r>
          </w:p>
        </w:tc>
        <w:tc>
          <w:tcPr>
            <w:tcW w:w="694" w:type="dxa"/>
          </w:tcPr>
          <w:p w14:paraId="54F225ED" w14:textId="77777777" w:rsidR="00722DA8" w:rsidRPr="00B2574C" w:rsidRDefault="00722DA8">
            <w:pPr>
              <w:pStyle w:val="Tabele"/>
              <w:jc w:val="right"/>
              <w:rPr>
                <w:color w:val="auto"/>
                <w:sz w:val="12"/>
                <w:szCs w:val="12"/>
                <w:highlight w:val="yellow"/>
              </w:rPr>
            </w:pPr>
            <w:r w:rsidRPr="00B2574C">
              <w:rPr>
                <w:color w:val="auto"/>
                <w:sz w:val="12"/>
                <w:szCs w:val="12"/>
              </w:rPr>
              <w:t>9 954,18</w:t>
            </w:r>
          </w:p>
        </w:tc>
      </w:tr>
      <w:tr w:rsidR="00722DA8" w:rsidRPr="00363B7E" w14:paraId="593B7AAE" w14:textId="77777777" w:rsidTr="00722DA8">
        <w:trPr>
          <w:trHeight w:val="229"/>
        </w:trPr>
        <w:tc>
          <w:tcPr>
            <w:tcW w:w="1338" w:type="dxa"/>
          </w:tcPr>
          <w:p w14:paraId="54519EAD" w14:textId="77777777" w:rsidR="00722DA8" w:rsidRPr="00B2574C" w:rsidRDefault="00722DA8">
            <w:pPr>
              <w:pStyle w:val="Tabele"/>
              <w:rPr>
                <w:color w:val="auto"/>
                <w:sz w:val="12"/>
                <w:szCs w:val="12"/>
              </w:rPr>
            </w:pPr>
            <w:r w:rsidRPr="00B2574C">
              <w:rPr>
                <w:color w:val="auto"/>
                <w:sz w:val="12"/>
                <w:szCs w:val="12"/>
              </w:rPr>
              <w:t>1A1ai Produkcja energii elektrycznej</w:t>
            </w:r>
          </w:p>
        </w:tc>
        <w:tc>
          <w:tcPr>
            <w:tcW w:w="822" w:type="dxa"/>
            <w:shd w:val="clear" w:color="auto" w:fill="C5E0B3"/>
          </w:tcPr>
          <w:p w14:paraId="5A41275E" w14:textId="77777777" w:rsidR="00722DA8" w:rsidRPr="00B2574C" w:rsidRDefault="00722DA8">
            <w:pPr>
              <w:pStyle w:val="Tabele"/>
              <w:jc w:val="right"/>
              <w:rPr>
                <w:color w:val="auto"/>
                <w:sz w:val="12"/>
                <w:szCs w:val="12"/>
              </w:rPr>
            </w:pPr>
            <w:r w:rsidRPr="00B2574C">
              <w:rPr>
                <w:color w:val="auto"/>
                <w:sz w:val="12"/>
                <w:szCs w:val="12"/>
              </w:rPr>
              <w:t>IE</w:t>
            </w:r>
          </w:p>
        </w:tc>
        <w:tc>
          <w:tcPr>
            <w:tcW w:w="822" w:type="dxa"/>
            <w:shd w:val="clear" w:color="auto" w:fill="C5E0B3"/>
          </w:tcPr>
          <w:p w14:paraId="109016CB" w14:textId="77777777" w:rsidR="00722DA8" w:rsidRPr="00B2574C" w:rsidRDefault="00722DA8">
            <w:pPr>
              <w:pStyle w:val="Tabele"/>
              <w:jc w:val="right"/>
              <w:rPr>
                <w:color w:val="auto"/>
                <w:sz w:val="12"/>
                <w:szCs w:val="12"/>
              </w:rPr>
            </w:pPr>
            <w:r w:rsidRPr="00B2574C">
              <w:rPr>
                <w:color w:val="auto"/>
                <w:sz w:val="12"/>
                <w:szCs w:val="12"/>
              </w:rPr>
              <w:t>IE</w:t>
            </w:r>
          </w:p>
        </w:tc>
        <w:tc>
          <w:tcPr>
            <w:tcW w:w="822" w:type="dxa"/>
            <w:shd w:val="clear" w:color="auto" w:fill="C5E0B3"/>
          </w:tcPr>
          <w:p w14:paraId="02C734D4" w14:textId="77777777" w:rsidR="00722DA8" w:rsidRPr="00B2574C" w:rsidRDefault="00722DA8">
            <w:pPr>
              <w:pStyle w:val="Tabele"/>
              <w:jc w:val="right"/>
              <w:rPr>
                <w:color w:val="auto"/>
                <w:sz w:val="12"/>
                <w:szCs w:val="12"/>
              </w:rPr>
            </w:pPr>
            <w:r w:rsidRPr="00B2574C">
              <w:rPr>
                <w:color w:val="auto"/>
                <w:sz w:val="12"/>
                <w:szCs w:val="12"/>
              </w:rPr>
              <w:t>IE</w:t>
            </w:r>
          </w:p>
        </w:tc>
        <w:tc>
          <w:tcPr>
            <w:tcW w:w="824" w:type="dxa"/>
            <w:shd w:val="clear" w:color="auto" w:fill="C5E0B3"/>
          </w:tcPr>
          <w:p w14:paraId="2F425CA4" w14:textId="77777777" w:rsidR="00722DA8" w:rsidRPr="00B2574C" w:rsidRDefault="00722DA8">
            <w:pPr>
              <w:pStyle w:val="Tabele"/>
              <w:jc w:val="right"/>
              <w:rPr>
                <w:color w:val="auto"/>
                <w:sz w:val="12"/>
                <w:szCs w:val="12"/>
              </w:rPr>
            </w:pPr>
            <w:r w:rsidRPr="00B2574C">
              <w:rPr>
                <w:color w:val="auto"/>
                <w:sz w:val="12"/>
                <w:szCs w:val="12"/>
              </w:rPr>
              <w:t>IE</w:t>
            </w:r>
          </w:p>
        </w:tc>
        <w:tc>
          <w:tcPr>
            <w:tcW w:w="824" w:type="dxa"/>
            <w:shd w:val="clear" w:color="auto" w:fill="C5E0B3"/>
          </w:tcPr>
          <w:p w14:paraId="1FE8DF31" w14:textId="77777777" w:rsidR="00722DA8" w:rsidRPr="00B2574C" w:rsidRDefault="00722DA8">
            <w:pPr>
              <w:pStyle w:val="Tabele"/>
              <w:jc w:val="right"/>
              <w:rPr>
                <w:color w:val="auto"/>
                <w:sz w:val="12"/>
                <w:szCs w:val="12"/>
              </w:rPr>
            </w:pPr>
            <w:r w:rsidRPr="00B2574C">
              <w:rPr>
                <w:color w:val="auto"/>
                <w:sz w:val="12"/>
                <w:szCs w:val="12"/>
              </w:rPr>
              <w:t>IE</w:t>
            </w:r>
          </w:p>
        </w:tc>
        <w:tc>
          <w:tcPr>
            <w:tcW w:w="824" w:type="dxa"/>
          </w:tcPr>
          <w:p w14:paraId="43C71C97" w14:textId="77777777" w:rsidR="00722DA8" w:rsidRPr="00B2574C" w:rsidRDefault="00722DA8">
            <w:pPr>
              <w:pStyle w:val="Tabele"/>
              <w:jc w:val="right"/>
              <w:rPr>
                <w:color w:val="auto"/>
                <w:sz w:val="12"/>
                <w:szCs w:val="12"/>
                <w:highlight w:val="yellow"/>
              </w:rPr>
            </w:pPr>
            <w:r w:rsidRPr="00B2574C">
              <w:rPr>
                <w:color w:val="auto"/>
                <w:sz w:val="12"/>
                <w:szCs w:val="12"/>
              </w:rPr>
              <w:t>IE</w:t>
            </w:r>
          </w:p>
        </w:tc>
        <w:tc>
          <w:tcPr>
            <w:tcW w:w="824" w:type="dxa"/>
          </w:tcPr>
          <w:p w14:paraId="48A092C3" w14:textId="77777777" w:rsidR="00722DA8" w:rsidRPr="00B2574C" w:rsidRDefault="00722DA8">
            <w:pPr>
              <w:pStyle w:val="Tabele"/>
              <w:jc w:val="right"/>
              <w:rPr>
                <w:color w:val="auto"/>
                <w:sz w:val="12"/>
                <w:szCs w:val="12"/>
                <w:highlight w:val="yellow"/>
              </w:rPr>
            </w:pPr>
            <w:r w:rsidRPr="00B2574C">
              <w:rPr>
                <w:color w:val="auto"/>
                <w:sz w:val="12"/>
                <w:szCs w:val="12"/>
              </w:rPr>
              <w:t>IE</w:t>
            </w:r>
          </w:p>
        </w:tc>
        <w:tc>
          <w:tcPr>
            <w:tcW w:w="824" w:type="dxa"/>
          </w:tcPr>
          <w:p w14:paraId="532B2EBC" w14:textId="77777777" w:rsidR="00722DA8" w:rsidRPr="00B2574C" w:rsidRDefault="00722DA8">
            <w:pPr>
              <w:pStyle w:val="Tabele"/>
              <w:jc w:val="right"/>
              <w:rPr>
                <w:color w:val="auto"/>
                <w:sz w:val="12"/>
                <w:szCs w:val="12"/>
                <w:highlight w:val="yellow"/>
              </w:rPr>
            </w:pPr>
            <w:r w:rsidRPr="00B2574C">
              <w:rPr>
                <w:color w:val="auto"/>
                <w:sz w:val="12"/>
                <w:szCs w:val="12"/>
              </w:rPr>
              <w:t>IE</w:t>
            </w:r>
          </w:p>
        </w:tc>
        <w:tc>
          <w:tcPr>
            <w:tcW w:w="694" w:type="dxa"/>
          </w:tcPr>
          <w:p w14:paraId="3AACD1B7" w14:textId="77777777" w:rsidR="00722DA8" w:rsidRPr="00B2574C" w:rsidRDefault="00722DA8">
            <w:pPr>
              <w:pStyle w:val="Tabele"/>
              <w:jc w:val="right"/>
              <w:rPr>
                <w:color w:val="auto"/>
                <w:sz w:val="12"/>
                <w:szCs w:val="12"/>
                <w:highlight w:val="yellow"/>
              </w:rPr>
            </w:pPr>
            <w:r w:rsidRPr="00B2574C">
              <w:rPr>
                <w:color w:val="auto"/>
                <w:sz w:val="12"/>
                <w:szCs w:val="12"/>
              </w:rPr>
              <w:t>IE</w:t>
            </w:r>
          </w:p>
        </w:tc>
      </w:tr>
      <w:tr w:rsidR="00722DA8" w:rsidRPr="00363B7E" w14:paraId="36857080" w14:textId="77777777" w:rsidTr="00722DA8">
        <w:trPr>
          <w:trHeight w:val="229"/>
        </w:trPr>
        <w:tc>
          <w:tcPr>
            <w:tcW w:w="1338" w:type="dxa"/>
          </w:tcPr>
          <w:p w14:paraId="59DE468B" w14:textId="77777777" w:rsidR="00722DA8" w:rsidRPr="00B2574C" w:rsidRDefault="00722DA8">
            <w:pPr>
              <w:pStyle w:val="Tabele"/>
              <w:rPr>
                <w:color w:val="auto"/>
                <w:sz w:val="12"/>
                <w:szCs w:val="12"/>
              </w:rPr>
            </w:pPr>
            <w:r w:rsidRPr="00B2574C">
              <w:rPr>
                <w:color w:val="auto"/>
                <w:sz w:val="12"/>
                <w:szCs w:val="12"/>
              </w:rPr>
              <w:t>1A1aii Skojarzona produkcja energii elektrycznej i ciepła</w:t>
            </w:r>
          </w:p>
        </w:tc>
        <w:tc>
          <w:tcPr>
            <w:tcW w:w="822" w:type="dxa"/>
            <w:shd w:val="clear" w:color="auto" w:fill="C5E0B3"/>
          </w:tcPr>
          <w:p w14:paraId="3F451A76" w14:textId="77777777" w:rsidR="00722DA8" w:rsidRPr="00B2574C" w:rsidRDefault="00722DA8">
            <w:pPr>
              <w:pStyle w:val="Tabele"/>
              <w:jc w:val="right"/>
              <w:rPr>
                <w:rFonts w:cs="Calibri"/>
                <w:color w:val="auto"/>
                <w:sz w:val="12"/>
                <w:szCs w:val="12"/>
              </w:rPr>
            </w:pPr>
            <w:r w:rsidRPr="00B2574C">
              <w:rPr>
                <w:color w:val="auto"/>
                <w:sz w:val="12"/>
                <w:szCs w:val="12"/>
              </w:rPr>
              <w:t>186 891,62</w:t>
            </w:r>
          </w:p>
        </w:tc>
        <w:tc>
          <w:tcPr>
            <w:tcW w:w="822" w:type="dxa"/>
            <w:shd w:val="clear" w:color="auto" w:fill="C5E0B3"/>
          </w:tcPr>
          <w:p w14:paraId="59150425" w14:textId="77777777" w:rsidR="00722DA8" w:rsidRPr="00B2574C" w:rsidRDefault="00722DA8">
            <w:pPr>
              <w:pStyle w:val="Tabele"/>
              <w:jc w:val="right"/>
              <w:rPr>
                <w:color w:val="auto"/>
                <w:sz w:val="12"/>
                <w:szCs w:val="12"/>
              </w:rPr>
            </w:pPr>
            <w:r w:rsidRPr="00B2574C">
              <w:rPr>
                <w:color w:val="auto"/>
                <w:sz w:val="12"/>
                <w:szCs w:val="12"/>
              </w:rPr>
              <w:t>148 030,89</w:t>
            </w:r>
          </w:p>
        </w:tc>
        <w:tc>
          <w:tcPr>
            <w:tcW w:w="822" w:type="dxa"/>
            <w:shd w:val="clear" w:color="auto" w:fill="C5E0B3"/>
          </w:tcPr>
          <w:p w14:paraId="164CF322" w14:textId="77777777" w:rsidR="00722DA8" w:rsidRPr="00B2574C" w:rsidRDefault="00722DA8">
            <w:pPr>
              <w:pStyle w:val="Tabele"/>
              <w:jc w:val="right"/>
              <w:rPr>
                <w:color w:val="auto"/>
                <w:sz w:val="12"/>
                <w:szCs w:val="12"/>
              </w:rPr>
            </w:pPr>
            <w:r w:rsidRPr="00B2574C">
              <w:rPr>
                <w:color w:val="auto"/>
                <w:sz w:val="12"/>
                <w:szCs w:val="12"/>
              </w:rPr>
              <w:t>146 793,76</w:t>
            </w:r>
          </w:p>
        </w:tc>
        <w:tc>
          <w:tcPr>
            <w:tcW w:w="824" w:type="dxa"/>
            <w:shd w:val="clear" w:color="auto" w:fill="C5E0B3"/>
          </w:tcPr>
          <w:p w14:paraId="21182436" w14:textId="77777777" w:rsidR="00722DA8" w:rsidRPr="00B2574C" w:rsidRDefault="00722DA8">
            <w:pPr>
              <w:pStyle w:val="Tabele"/>
              <w:jc w:val="right"/>
              <w:rPr>
                <w:color w:val="auto"/>
                <w:sz w:val="12"/>
                <w:szCs w:val="12"/>
              </w:rPr>
            </w:pPr>
            <w:r w:rsidRPr="00B2574C">
              <w:rPr>
                <w:color w:val="auto"/>
                <w:sz w:val="12"/>
                <w:szCs w:val="12"/>
              </w:rPr>
              <w:t>143 099,30</w:t>
            </w:r>
          </w:p>
        </w:tc>
        <w:tc>
          <w:tcPr>
            <w:tcW w:w="824" w:type="dxa"/>
            <w:shd w:val="clear" w:color="auto" w:fill="C5E0B3"/>
          </w:tcPr>
          <w:p w14:paraId="363202AF" w14:textId="77777777" w:rsidR="00722DA8" w:rsidRPr="00B2574C" w:rsidRDefault="00722DA8">
            <w:pPr>
              <w:pStyle w:val="Tabele"/>
              <w:jc w:val="right"/>
              <w:rPr>
                <w:color w:val="auto"/>
                <w:sz w:val="12"/>
                <w:szCs w:val="12"/>
              </w:rPr>
            </w:pPr>
            <w:r w:rsidRPr="00B2574C">
              <w:rPr>
                <w:color w:val="auto"/>
                <w:sz w:val="12"/>
                <w:szCs w:val="12"/>
              </w:rPr>
              <w:t>118 386,03</w:t>
            </w:r>
          </w:p>
        </w:tc>
        <w:tc>
          <w:tcPr>
            <w:tcW w:w="824" w:type="dxa"/>
          </w:tcPr>
          <w:p w14:paraId="379DCFF6" w14:textId="77777777" w:rsidR="00722DA8" w:rsidRPr="00B2574C" w:rsidRDefault="00722DA8">
            <w:pPr>
              <w:pStyle w:val="Tabele"/>
              <w:jc w:val="right"/>
              <w:rPr>
                <w:color w:val="auto"/>
                <w:sz w:val="12"/>
                <w:szCs w:val="12"/>
                <w:highlight w:val="yellow"/>
              </w:rPr>
            </w:pPr>
            <w:r w:rsidRPr="00B2574C">
              <w:rPr>
                <w:color w:val="auto"/>
                <w:sz w:val="12"/>
                <w:szCs w:val="12"/>
              </w:rPr>
              <w:t>103 985,87</w:t>
            </w:r>
          </w:p>
        </w:tc>
        <w:tc>
          <w:tcPr>
            <w:tcW w:w="824" w:type="dxa"/>
          </w:tcPr>
          <w:p w14:paraId="3C3FE8C8" w14:textId="77777777" w:rsidR="00722DA8" w:rsidRPr="00B2574C" w:rsidRDefault="00722DA8">
            <w:pPr>
              <w:pStyle w:val="Tabele"/>
              <w:jc w:val="right"/>
              <w:rPr>
                <w:color w:val="auto"/>
                <w:sz w:val="12"/>
                <w:szCs w:val="12"/>
                <w:highlight w:val="yellow"/>
              </w:rPr>
            </w:pPr>
            <w:r w:rsidRPr="00B2574C">
              <w:rPr>
                <w:color w:val="auto"/>
                <w:sz w:val="12"/>
                <w:szCs w:val="12"/>
              </w:rPr>
              <w:t>61 268,79</w:t>
            </w:r>
          </w:p>
        </w:tc>
        <w:tc>
          <w:tcPr>
            <w:tcW w:w="824" w:type="dxa"/>
          </w:tcPr>
          <w:p w14:paraId="7AD22761" w14:textId="77777777" w:rsidR="00722DA8" w:rsidRPr="00B2574C" w:rsidRDefault="00722DA8">
            <w:pPr>
              <w:pStyle w:val="Tabele"/>
              <w:jc w:val="right"/>
              <w:rPr>
                <w:color w:val="auto"/>
                <w:sz w:val="12"/>
                <w:szCs w:val="12"/>
                <w:highlight w:val="yellow"/>
              </w:rPr>
            </w:pPr>
            <w:r w:rsidRPr="00B2574C">
              <w:rPr>
                <w:color w:val="auto"/>
                <w:sz w:val="12"/>
                <w:szCs w:val="12"/>
              </w:rPr>
              <w:t>27 463,58</w:t>
            </w:r>
          </w:p>
        </w:tc>
        <w:tc>
          <w:tcPr>
            <w:tcW w:w="694" w:type="dxa"/>
          </w:tcPr>
          <w:p w14:paraId="6B3DB590" w14:textId="77777777" w:rsidR="00722DA8" w:rsidRPr="00B2574C" w:rsidRDefault="00722DA8">
            <w:pPr>
              <w:pStyle w:val="Tabele"/>
              <w:jc w:val="right"/>
              <w:rPr>
                <w:color w:val="auto"/>
                <w:sz w:val="12"/>
                <w:szCs w:val="12"/>
                <w:highlight w:val="yellow"/>
              </w:rPr>
            </w:pPr>
            <w:r w:rsidRPr="00B2574C">
              <w:rPr>
                <w:color w:val="auto"/>
                <w:sz w:val="12"/>
                <w:szCs w:val="12"/>
              </w:rPr>
              <w:t>8 442,82</w:t>
            </w:r>
          </w:p>
        </w:tc>
      </w:tr>
      <w:tr w:rsidR="00722DA8" w:rsidRPr="00363B7E" w14:paraId="5809D633" w14:textId="77777777" w:rsidTr="00722DA8">
        <w:trPr>
          <w:trHeight w:val="229"/>
        </w:trPr>
        <w:tc>
          <w:tcPr>
            <w:tcW w:w="1338" w:type="dxa"/>
          </w:tcPr>
          <w:p w14:paraId="3839BEC9" w14:textId="77777777" w:rsidR="00722DA8" w:rsidRPr="00B2574C" w:rsidRDefault="00722DA8">
            <w:pPr>
              <w:pStyle w:val="Tabele"/>
              <w:rPr>
                <w:color w:val="auto"/>
                <w:sz w:val="12"/>
                <w:szCs w:val="12"/>
              </w:rPr>
            </w:pPr>
            <w:r w:rsidRPr="00B2574C">
              <w:rPr>
                <w:color w:val="auto"/>
                <w:sz w:val="12"/>
                <w:szCs w:val="12"/>
              </w:rPr>
              <w:t>1A1aiii Ciepłownie</w:t>
            </w:r>
          </w:p>
        </w:tc>
        <w:tc>
          <w:tcPr>
            <w:tcW w:w="822" w:type="dxa"/>
            <w:shd w:val="clear" w:color="auto" w:fill="C5E0B3"/>
          </w:tcPr>
          <w:p w14:paraId="1A58E828" w14:textId="77777777" w:rsidR="00722DA8" w:rsidRPr="00B2574C" w:rsidRDefault="00722DA8">
            <w:pPr>
              <w:pStyle w:val="Tabele"/>
              <w:jc w:val="right"/>
              <w:rPr>
                <w:rFonts w:cs="Calibri"/>
                <w:color w:val="auto"/>
                <w:sz w:val="12"/>
                <w:szCs w:val="12"/>
              </w:rPr>
            </w:pPr>
            <w:r w:rsidRPr="00B2574C">
              <w:rPr>
                <w:color w:val="auto"/>
                <w:sz w:val="12"/>
                <w:szCs w:val="12"/>
              </w:rPr>
              <w:t>41 301,40</w:t>
            </w:r>
          </w:p>
        </w:tc>
        <w:tc>
          <w:tcPr>
            <w:tcW w:w="822" w:type="dxa"/>
            <w:shd w:val="clear" w:color="auto" w:fill="C5E0B3"/>
          </w:tcPr>
          <w:p w14:paraId="5FCF16C7" w14:textId="77777777" w:rsidR="00722DA8" w:rsidRPr="00B2574C" w:rsidRDefault="00722DA8">
            <w:pPr>
              <w:pStyle w:val="Tabele"/>
              <w:jc w:val="right"/>
              <w:rPr>
                <w:color w:val="auto"/>
                <w:sz w:val="12"/>
                <w:szCs w:val="12"/>
              </w:rPr>
            </w:pPr>
            <w:r w:rsidRPr="00B2574C">
              <w:rPr>
                <w:color w:val="auto"/>
                <w:sz w:val="12"/>
                <w:szCs w:val="12"/>
              </w:rPr>
              <w:t>13 064,40</w:t>
            </w:r>
          </w:p>
        </w:tc>
        <w:tc>
          <w:tcPr>
            <w:tcW w:w="822" w:type="dxa"/>
            <w:shd w:val="clear" w:color="auto" w:fill="C5E0B3"/>
          </w:tcPr>
          <w:p w14:paraId="26A9BEBD" w14:textId="77777777" w:rsidR="00722DA8" w:rsidRPr="00B2574C" w:rsidRDefault="00722DA8">
            <w:pPr>
              <w:pStyle w:val="Tabele"/>
              <w:jc w:val="right"/>
              <w:rPr>
                <w:color w:val="auto"/>
                <w:sz w:val="12"/>
                <w:szCs w:val="12"/>
              </w:rPr>
            </w:pPr>
            <w:r w:rsidRPr="00B2574C">
              <w:rPr>
                <w:color w:val="auto"/>
                <w:sz w:val="12"/>
                <w:szCs w:val="12"/>
              </w:rPr>
              <w:t>14 168,17</w:t>
            </w:r>
          </w:p>
        </w:tc>
        <w:tc>
          <w:tcPr>
            <w:tcW w:w="824" w:type="dxa"/>
            <w:shd w:val="clear" w:color="auto" w:fill="C5E0B3"/>
          </w:tcPr>
          <w:p w14:paraId="59072875" w14:textId="77777777" w:rsidR="00722DA8" w:rsidRPr="00B2574C" w:rsidRDefault="00722DA8">
            <w:pPr>
              <w:pStyle w:val="Tabele"/>
              <w:jc w:val="right"/>
              <w:rPr>
                <w:color w:val="auto"/>
                <w:sz w:val="12"/>
                <w:szCs w:val="12"/>
              </w:rPr>
            </w:pPr>
            <w:r w:rsidRPr="00B2574C">
              <w:rPr>
                <w:color w:val="auto"/>
                <w:sz w:val="12"/>
                <w:szCs w:val="12"/>
              </w:rPr>
              <w:t>10 135,69</w:t>
            </w:r>
          </w:p>
        </w:tc>
        <w:tc>
          <w:tcPr>
            <w:tcW w:w="824" w:type="dxa"/>
            <w:shd w:val="clear" w:color="auto" w:fill="C5E0B3"/>
          </w:tcPr>
          <w:p w14:paraId="02A7FB81" w14:textId="77777777" w:rsidR="00722DA8" w:rsidRPr="00B2574C" w:rsidRDefault="00722DA8">
            <w:pPr>
              <w:pStyle w:val="Tabele"/>
              <w:jc w:val="right"/>
              <w:rPr>
                <w:color w:val="auto"/>
                <w:sz w:val="12"/>
                <w:szCs w:val="12"/>
              </w:rPr>
            </w:pPr>
            <w:r w:rsidRPr="00B2574C">
              <w:rPr>
                <w:color w:val="auto"/>
                <w:sz w:val="12"/>
                <w:szCs w:val="12"/>
              </w:rPr>
              <w:t>9 939,55</w:t>
            </w:r>
          </w:p>
        </w:tc>
        <w:tc>
          <w:tcPr>
            <w:tcW w:w="824" w:type="dxa"/>
          </w:tcPr>
          <w:p w14:paraId="01684607" w14:textId="77777777" w:rsidR="00722DA8" w:rsidRPr="00B2574C" w:rsidRDefault="00722DA8">
            <w:pPr>
              <w:pStyle w:val="Tabele"/>
              <w:jc w:val="right"/>
              <w:rPr>
                <w:color w:val="auto"/>
                <w:sz w:val="12"/>
                <w:szCs w:val="12"/>
                <w:highlight w:val="yellow"/>
              </w:rPr>
            </w:pPr>
            <w:r w:rsidRPr="00B2574C">
              <w:rPr>
                <w:color w:val="auto"/>
                <w:sz w:val="12"/>
                <w:szCs w:val="12"/>
              </w:rPr>
              <w:t>8 374,66</w:t>
            </w:r>
          </w:p>
        </w:tc>
        <w:tc>
          <w:tcPr>
            <w:tcW w:w="824" w:type="dxa"/>
          </w:tcPr>
          <w:p w14:paraId="18533CEF" w14:textId="77777777" w:rsidR="00722DA8" w:rsidRPr="00B2574C" w:rsidRDefault="00722DA8">
            <w:pPr>
              <w:pStyle w:val="Tabele"/>
              <w:jc w:val="right"/>
              <w:rPr>
                <w:color w:val="auto"/>
                <w:sz w:val="12"/>
                <w:szCs w:val="12"/>
                <w:highlight w:val="yellow"/>
              </w:rPr>
            </w:pPr>
            <w:r w:rsidRPr="00B2574C">
              <w:rPr>
                <w:color w:val="auto"/>
                <w:sz w:val="12"/>
                <w:szCs w:val="12"/>
              </w:rPr>
              <w:t>4 886,52</w:t>
            </w:r>
          </w:p>
        </w:tc>
        <w:tc>
          <w:tcPr>
            <w:tcW w:w="824" w:type="dxa"/>
          </w:tcPr>
          <w:p w14:paraId="4C5564C0" w14:textId="77777777" w:rsidR="00722DA8" w:rsidRPr="00B2574C" w:rsidRDefault="00722DA8">
            <w:pPr>
              <w:pStyle w:val="Tabele"/>
              <w:jc w:val="right"/>
              <w:rPr>
                <w:color w:val="auto"/>
                <w:sz w:val="12"/>
                <w:szCs w:val="12"/>
                <w:highlight w:val="yellow"/>
              </w:rPr>
            </w:pPr>
            <w:r w:rsidRPr="00B2574C">
              <w:rPr>
                <w:color w:val="auto"/>
                <w:sz w:val="12"/>
                <w:szCs w:val="12"/>
              </w:rPr>
              <w:t>3 183,14</w:t>
            </w:r>
          </w:p>
        </w:tc>
        <w:tc>
          <w:tcPr>
            <w:tcW w:w="694" w:type="dxa"/>
          </w:tcPr>
          <w:p w14:paraId="0306EEDB" w14:textId="77777777" w:rsidR="00722DA8" w:rsidRPr="00B2574C" w:rsidRDefault="00722DA8">
            <w:pPr>
              <w:pStyle w:val="Tabele"/>
              <w:jc w:val="right"/>
              <w:rPr>
                <w:color w:val="auto"/>
                <w:sz w:val="12"/>
                <w:szCs w:val="12"/>
                <w:highlight w:val="yellow"/>
              </w:rPr>
            </w:pPr>
            <w:r w:rsidRPr="00B2574C">
              <w:rPr>
                <w:color w:val="auto"/>
                <w:sz w:val="12"/>
                <w:szCs w:val="12"/>
              </w:rPr>
              <w:t>1 511,36</w:t>
            </w:r>
          </w:p>
        </w:tc>
      </w:tr>
      <w:tr w:rsidR="00722DA8" w:rsidRPr="00363B7E" w14:paraId="5295CBCE" w14:textId="77777777" w:rsidTr="00722DA8">
        <w:trPr>
          <w:trHeight w:val="229"/>
        </w:trPr>
        <w:tc>
          <w:tcPr>
            <w:tcW w:w="1338" w:type="dxa"/>
          </w:tcPr>
          <w:p w14:paraId="0C6B443D" w14:textId="77777777" w:rsidR="00722DA8" w:rsidRPr="00B2574C" w:rsidRDefault="00722DA8">
            <w:pPr>
              <w:pStyle w:val="Tabele"/>
              <w:rPr>
                <w:color w:val="auto"/>
                <w:sz w:val="12"/>
                <w:szCs w:val="12"/>
              </w:rPr>
            </w:pPr>
            <w:r w:rsidRPr="00B2574C">
              <w:rPr>
                <w:color w:val="auto"/>
                <w:sz w:val="12"/>
                <w:szCs w:val="12"/>
              </w:rPr>
              <w:t>1A1b Rafinerie</w:t>
            </w:r>
          </w:p>
        </w:tc>
        <w:tc>
          <w:tcPr>
            <w:tcW w:w="822" w:type="dxa"/>
            <w:shd w:val="clear" w:color="auto" w:fill="C5E0B3"/>
          </w:tcPr>
          <w:p w14:paraId="0A25863F" w14:textId="77777777" w:rsidR="00722DA8" w:rsidRPr="00B2574C" w:rsidRDefault="00722DA8">
            <w:pPr>
              <w:pStyle w:val="Tabele"/>
              <w:jc w:val="right"/>
              <w:rPr>
                <w:rFonts w:cs="Calibri"/>
                <w:color w:val="auto"/>
                <w:sz w:val="12"/>
                <w:szCs w:val="12"/>
              </w:rPr>
            </w:pPr>
            <w:r w:rsidRPr="00B2574C">
              <w:rPr>
                <w:color w:val="auto"/>
                <w:sz w:val="12"/>
                <w:szCs w:val="12"/>
              </w:rPr>
              <w:t>2 182,39</w:t>
            </w:r>
          </w:p>
        </w:tc>
        <w:tc>
          <w:tcPr>
            <w:tcW w:w="822" w:type="dxa"/>
            <w:shd w:val="clear" w:color="auto" w:fill="C5E0B3"/>
          </w:tcPr>
          <w:p w14:paraId="5C9BC732" w14:textId="77777777" w:rsidR="00722DA8" w:rsidRPr="00B2574C" w:rsidRDefault="00722DA8">
            <w:pPr>
              <w:pStyle w:val="Tabele"/>
              <w:jc w:val="right"/>
              <w:rPr>
                <w:color w:val="auto"/>
                <w:sz w:val="12"/>
                <w:szCs w:val="12"/>
              </w:rPr>
            </w:pPr>
            <w:r w:rsidRPr="00B2574C">
              <w:rPr>
                <w:color w:val="auto"/>
                <w:sz w:val="12"/>
                <w:szCs w:val="12"/>
              </w:rPr>
              <w:t>3 569,54</w:t>
            </w:r>
          </w:p>
        </w:tc>
        <w:tc>
          <w:tcPr>
            <w:tcW w:w="822" w:type="dxa"/>
            <w:shd w:val="clear" w:color="auto" w:fill="C5E0B3"/>
          </w:tcPr>
          <w:p w14:paraId="5F35BEBA" w14:textId="77777777" w:rsidR="00722DA8" w:rsidRPr="00B2574C" w:rsidRDefault="00722DA8">
            <w:pPr>
              <w:pStyle w:val="Tabele"/>
              <w:jc w:val="right"/>
              <w:rPr>
                <w:color w:val="auto"/>
                <w:sz w:val="12"/>
                <w:szCs w:val="12"/>
              </w:rPr>
            </w:pPr>
            <w:r w:rsidRPr="00B2574C">
              <w:rPr>
                <w:color w:val="auto"/>
                <w:sz w:val="12"/>
                <w:szCs w:val="12"/>
              </w:rPr>
              <w:t>4 789,81</w:t>
            </w:r>
          </w:p>
        </w:tc>
        <w:tc>
          <w:tcPr>
            <w:tcW w:w="824" w:type="dxa"/>
            <w:shd w:val="clear" w:color="auto" w:fill="C5E0B3"/>
          </w:tcPr>
          <w:p w14:paraId="2BE2BF30" w14:textId="77777777" w:rsidR="00722DA8" w:rsidRPr="00B2574C" w:rsidRDefault="00722DA8">
            <w:pPr>
              <w:pStyle w:val="Tabele"/>
              <w:jc w:val="right"/>
              <w:rPr>
                <w:color w:val="auto"/>
                <w:sz w:val="12"/>
                <w:szCs w:val="12"/>
              </w:rPr>
            </w:pPr>
            <w:r w:rsidRPr="00B2574C">
              <w:rPr>
                <w:color w:val="auto"/>
                <w:sz w:val="12"/>
                <w:szCs w:val="12"/>
              </w:rPr>
              <w:t>4 435,10</w:t>
            </w:r>
          </w:p>
        </w:tc>
        <w:tc>
          <w:tcPr>
            <w:tcW w:w="824" w:type="dxa"/>
            <w:shd w:val="clear" w:color="auto" w:fill="C5E0B3"/>
          </w:tcPr>
          <w:p w14:paraId="34CD5135" w14:textId="77777777" w:rsidR="00722DA8" w:rsidRPr="00B2574C" w:rsidRDefault="00722DA8">
            <w:pPr>
              <w:pStyle w:val="Tabele"/>
              <w:jc w:val="right"/>
              <w:rPr>
                <w:color w:val="auto"/>
                <w:sz w:val="12"/>
                <w:szCs w:val="12"/>
              </w:rPr>
            </w:pPr>
            <w:r w:rsidRPr="00B2574C">
              <w:rPr>
                <w:color w:val="auto"/>
                <w:sz w:val="12"/>
                <w:szCs w:val="12"/>
              </w:rPr>
              <w:t>4 592,73</w:t>
            </w:r>
          </w:p>
        </w:tc>
        <w:tc>
          <w:tcPr>
            <w:tcW w:w="824" w:type="dxa"/>
          </w:tcPr>
          <w:p w14:paraId="43B11DA5" w14:textId="77777777" w:rsidR="00722DA8" w:rsidRPr="00B2574C" w:rsidRDefault="00722DA8">
            <w:pPr>
              <w:pStyle w:val="Tabele"/>
              <w:jc w:val="right"/>
              <w:rPr>
                <w:color w:val="auto"/>
                <w:sz w:val="12"/>
                <w:szCs w:val="12"/>
                <w:highlight w:val="yellow"/>
              </w:rPr>
            </w:pPr>
            <w:r w:rsidRPr="00B2574C">
              <w:rPr>
                <w:color w:val="auto"/>
                <w:sz w:val="12"/>
                <w:szCs w:val="12"/>
              </w:rPr>
              <w:t>4 385,42</w:t>
            </w:r>
          </w:p>
        </w:tc>
        <w:tc>
          <w:tcPr>
            <w:tcW w:w="824" w:type="dxa"/>
          </w:tcPr>
          <w:p w14:paraId="7CCB100A" w14:textId="77777777" w:rsidR="00722DA8" w:rsidRPr="00B2574C" w:rsidRDefault="00722DA8">
            <w:pPr>
              <w:pStyle w:val="Tabele"/>
              <w:jc w:val="right"/>
              <w:rPr>
                <w:color w:val="auto"/>
                <w:sz w:val="12"/>
                <w:szCs w:val="12"/>
                <w:highlight w:val="yellow"/>
              </w:rPr>
            </w:pPr>
            <w:r w:rsidRPr="00B2574C">
              <w:rPr>
                <w:color w:val="auto"/>
                <w:sz w:val="12"/>
                <w:szCs w:val="12"/>
              </w:rPr>
              <w:t>3 307,88</w:t>
            </w:r>
          </w:p>
        </w:tc>
        <w:tc>
          <w:tcPr>
            <w:tcW w:w="824" w:type="dxa"/>
          </w:tcPr>
          <w:p w14:paraId="15334C51" w14:textId="77777777" w:rsidR="00722DA8" w:rsidRPr="00B2574C" w:rsidRDefault="00722DA8">
            <w:pPr>
              <w:pStyle w:val="Tabele"/>
              <w:jc w:val="right"/>
              <w:rPr>
                <w:color w:val="auto"/>
                <w:sz w:val="12"/>
                <w:szCs w:val="12"/>
                <w:highlight w:val="yellow"/>
              </w:rPr>
            </w:pPr>
            <w:r w:rsidRPr="00B2574C">
              <w:rPr>
                <w:color w:val="auto"/>
                <w:sz w:val="12"/>
                <w:szCs w:val="12"/>
              </w:rPr>
              <w:t>2 112,77</w:t>
            </w:r>
          </w:p>
        </w:tc>
        <w:tc>
          <w:tcPr>
            <w:tcW w:w="694" w:type="dxa"/>
          </w:tcPr>
          <w:p w14:paraId="6C037C7D" w14:textId="77777777" w:rsidR="00722DA8" w:rsidRPr="00B2574C" w:rsidRDefault="00722DA8">
            <w:pPr>
              <w:pStyle w:val="Tabele"/>
              <w:jc w:val="right"/>
              <w:rPr>
                <w:color w:val="auto"/>
                <w:sz w:val="12"/>
                <w:szCs w:val="12"/>
                <w:highlight w:val="yellow"/>
              </w:rPr>
            </w:pPr>
            <w:r w:rsidRPr="00B2574C">
              <w:rPr>
                <w:color w:val="auto"/>
                <w:sz w:val="12"/>
                <w:szCs w:val="12"/>
              </w:rPr>
              <w:t>1 376,58</w:t>
            </w:r>
          </w:p>
        </w:tc>
      </w:tr>
      <w:tr w:rsidR="00722DA8" w:rsidRPr="00363B7E" w14:paraId="33590381" w14:textId="77777777" w:rsidTr="00722DA8">
        <w:trPr>
          <w:trHeight w:val="229"/>
        </w:trPr>
        <w:tc>
          <w:tcPr>
            <w:tcW w:w="1338" w:type="dxa"/>
          </w:tcPr>
          <w:p w14:paraId="57B8914D" w14:textId="77777777" w:rsidR="00722DA8" w:rsidRPr="00B2574C" w:rsidRDefault="00722DA8">
            <w:pPr>
              <w:pStyle w:val="Tabele"/>
              <w:rPr>
                <w:color w:val="auto"/>
                <w:sz w:val="12"/>
                <w:szCs w:val="12"/>
              </w:rPr>
            </w:pPr>
            <w:r w:rsidRPr="00B2574C">
              <w:rPr>
                <w:color w:val="auto"/>
                <w:sz w:val="12"/>
                <w:szCs w:val="12"/>
              </w:rPr>
              <w:t>1A1c Produkcja paliw stałych i inne przemysły energetyczne</w:t>
            </w:r>
          </w:p>
        </w:tc>
        <w:tc>
          <w:tcPr>
            <w:tcW w:w="822" w:type="dxa"/>
            <w:shd w:val="clear" w:color="auto" w:fill="C5E0B3"/>
          </w:tcPr>
          <w:p w14:paraId="5EAB0D4A" w14:textId="77777777" w:rsidR="00722DA8" w:rsidRPr="00B2574C" w:rsidRDefault="00722DA8">
            <w:pPr>
              <w:pStyle w:val="Tabele"/>
              <w:jc w:val="right"/>
              <w:rPr>
                <w:rFonts w:cs="Calibri"/>
                <w:color w:val="auto"/>
                <w:sz w:val="12"/>
                <w:szCs w:val="12"/>
              </w:rPr>
            </w:pPr>
            <w:r w:rsidRPr="00B2574C">
              <w:rPr>
                <w:color w:val="auto"/>
                <w:sz w:val="12"/>
                <w:szCs w:val="12"/>
              </w:rPr>
              <w:t>4 854,03</w:t>
            </w:r>
          </w:p>
        </w:tc>
        <w:tc>
          <w:tcPr>
            <w:tcW w:w="822" w:type="dxa"/>
            <w:shd w:val="clear" w:color="auto" w:fill="C5E0B3"/>
          </w:tcPr>
          <w:p w14:paraId="6329B350" w14:textId="77777777" w:rsidR="00722DA8" w:rsidRPr="00B2574C" w:rsidRDefault="00722DA8">
            <w:pPr>
              <w:pStyle w:val="Tabele"/>
              <w:jc w:val="right"/>
              <w:rPr>
                <w:color w:val="auto"/>
                <w:sz w:val="12"/>
                <w:szCs w:val="12"/>
              </w:rPr>
            </w:pPr>
            <w:r w:rsidRPr="00B2574C">
              <w:rPr>
                <w:color w:val="auto"/>
                <w:sz w:val="12"/>
                <w:szCs w:val="12"/>
              </w:rPr>
              <w:t>3 783,42</w:t>
            </w:r>
          </w:p>
        </w:tc>
        <w:tc>
          <w:tcPr>
            <w:tcW w:w="822" w:type="dxa"/>
            <w:shd w:val="clear" w:color="auto" w:fill="C5E0B3"/>
          </w:tcPr>
          <w:p w14:paraId="51D0DF53" w14:textId="77777777" w:rsidR="00722DA8" w:rsidRPr="00B2574C" w:rsidRDefault="00722DA8">
            <w:pPr>
              <w:pStyle w:val="Tabele"/>
              <w:jc w:val="right"/>
              <w:rPr>
                <w:color w:val="auto"/>
                <w:sz w:val="12"/>
                <w:szCs w:val="12"/>
              </w:rPr>
            </w:pPr>
            <w:r w:rsidRPr="00B2574C">
              <w:rPr>
                <w:color w:val="auto"/>
                <w:sz w:val="12"/>
                <w:szCs w:val="12"/>
              </w:rPr>
              <w:t>3 007,97</w:t>
            </w:r>
          </w:p>
        </w:tc>
        <w:tc>
          <w:tcPr>
            <w:tcW w:w="824" w:type="dxa"/>
            <w:shd w:val="clear" w:color="auto" w:fill="C5E0B3"/>
          </w:tcPr>
          <w:p w14:paraId="55145622" w14:textId="77777777" w:rsidR="00722DA8" w:rsidRPr="00B2574C" w:rsidRDefault="00722DA8">
            <w:pPr>
              <w:pStyle w:val="Tabele"/>
              <w:jc w:val="right"/>
              <w:rPr>
                <w:color w:val="auto"/>
                <w:sz w:val="12"/>
                <w:szCs w:val="12"/>
              </w:rPr>
            </w:pPr>
            <w:r w:rsidRPr="00B2574C">
              <w:rPr>
                <w:color w:val="auto"/>
                <w:sz w:val="12"/>
                <w:szCs w:val="12"/>
              </w:rPr>
              <w:t>3 648,87</w:t>
            </w:r>
          </w:p>
        </w:tc>
        <w:tc>
          <w:tcPr>
            <w:tcW w:w="824" w:type="dxa"/>
            <w:shd w:val="clear" w:color="auto" w:fill="C5E0B3"/>
          </w:tcPr>
          <w:p w14:paraId="08392E2C" w14:textId="77777777" w:rsidR="00722DA8" w:rsidRPr="00B2574C" w:rsidRDefault="00722DA8">
            <w:pPr>
              <w:pStyle w:val="Tabele"/>
              <w:jc w:val="right"/>
              <w:rPr>
                <w:color w:val="auto"/>
                <w:sz w:val="12"/>
                <w:szCs w:val="12"/>
              </w:rPr>
            </w:pPr>
            <w:r w:rsidRPr="00B2574C">
              <w:rPr>
                <w:color w:val="auto"/>
                <w:sz w:val="12"/>
                <w:szCs w:val="12"/>
              </w:rPr>
              <w:t>3 195,58</w:t>
            </w:r>
          </w:p>
        </w:tc>
        <w:tc>
          <w:tcPr>
            <w:tcW w:w="824" w:type="dxa"/>
          </w:tcPr>
          <w:p w14:paraId="14ACFCF8" w14:textId="77777777" w:rsidR="00722DA8" w:rsidRPr="00B2574C" w:rsidRDefault="00722DA8">
            <w:pPr>
              <w:pStyle w:val="Tabele"/>
              <w:jc w:val="right"/>
              <w:rPr>
                <w:color w:val="auto"/>
                <w:sz w:val="12"/>
                <w:szCs w:val="12"/>
                <w:highlight w:val="yellow"/>
              </w:rPr>
            </w:pPr>
            <w:r w:rsidRPr="00B2574C">
              <w:rPr>
                <w:color w:val="auto"/>
                <w:sz w:val="12"/>
                <w:szCs w:val="12"/>
              </w:rPr>
              <w:t>2 873,73</w:t>
            </w:r>
          </w:p>
        </w:tc>
        <w:tc>
          <w:tcPr>
            <w:tcW w:w="824" w:type="dxa"/>
          </w:tcPr>
          <w:p w14:paraId="4B71654C" w14:textId="77777777" w:rsidR="00722DA8" w:rsidRPr="00B2574C" w:rsidRDefault="00722DA8">
            <w:pPr>
              <w:pStyle w:val="Tabele"/>
              <w:jc w:val="right"/>
              <w:rPr>
                <w:color w:val="auto"/>
                <w:sz w:val="12"/>
                <w:szCs w:val="12"/>
                <w:highlight w:val="yellow"/>
              </w:rPr>
            </w:pPr>
            <w:r w:rsidRPr="00B2574C">
              <w:rPr>
                <w:color w:val="auto"/>
                <w:sz w:val="12"/>
                <w:szCs w:val="12"/>
              </w:rPr>
              <w:t>2 724,44</w:t>
            </w:r>
          </w:p>
        </w:tc>
        <w:tc>
          <w:tcPr>
            <w:tcW w:w="824" w:type="dxa"/>
          </w:tcPr>
          <w:p w14:paraId="5847FF15" w14:textId="77777777" w:rsidR="00722DA8" w:rsidRPr="00B2574C" w:rsidRDefault="00722DA8">
            <w:pPr>
              <w:pStyle w:val="Tabele"/>
              <w:jc w:val="right"/>
              <w:rPr>
                <w:color w:val="auto"/>
                <w:sz w:val="12"/>
                <w:szCs w:val="12"/>
                <w:highlight w:val="yellow"/>
              </w:rPr>
            </w:pPr>
            <w:r w:rsidRPr="00B2574C">
              <w:rPr>
                <w:color w:val="auto"/>
                <w:sz w:val="12"/>
                <w:szCs w:val="12"/>
              </w:rPr>
              <w:t>2 494,17</w:t>
            </w:r>
          </w:p>
        </w:tc>
        <w:tc>
          <w:tcPr>
            <w:tcW w:w="694" w:type="dxa"/>
          </w:tcPr>
          <w:p w14:paraId="5D11A6BD" w14:textId="77777777" w:rsidR="00722DA8" w:rsidRPr="00B2574C" w:rsidRDefault="00722DA8">
            <w:pPr>
              <w:pStyle w:val="Tabele"/>
              <w:jc w:val="right"/>
              <w:rPr>
                <w:color w:val="auto"/>
                <w:sz w:val="12"/>
                <w:szCs w:val="12"/>
                <w:highlight w:val="yellow"/>
              </w:rPr>
            </w:pPr>
            <w:r w:rsidRPr="00B2574C">
              <w:rPr>
                <w:color w:val="auto"/>
                <w:sz w:val="12"/>
                <w:szCs w:val="12"/>
              </w:rPr>
              <w:t>2 299,00</w:t>
            </w:r>
          </w:p>
        </w:tc>
      </w:tr>
      <w:tr w:rsidR="00722DA8" w:rsidRPr="00363B7E" w14:paraId="1D3C4D22" w14:textId="77777777" w:rsidTr="00722DA8">
        <w:trPr>
          <w:trHeight w:val="229"/>
        </w:trPr>
        <w:tc>
          <w:tcPr>
            <w:tcW w:w="1338" w:type="dxa"/>
          </w:tcPr>
          <w:p w14:paraId="78E82EB2" w14:textId="77777777" w:rsidR="00722DA8" w:rsidRPr="00B2574C" w:rsidRDefault="00722DA8">
            <w:pPr>
              <w:pStyle w:val="Tabele"/>
              <w:rPr>
                <w:b/>
                <w:color w:val="auto"/>
                <w:sz w:val="12"/>
                <w:szCs w:val="12"/>
              </w:rPr>
            </w:pPr>
            <w:r w:rsidRPr="00B2574C">
              <w:rPr>
                <w:b/>
                <w:color w:val="auto"/>
                <w:sz w:val="12"/>
                <w:szCs w:val="12"/>
              </w:rPr>
              <w:t>1A2 Przemysł wytwórczy i budownictwo</w:t>
            </w:r>
          </w:p>
        </w:tc>
        <w:tc>
          <w:tcPr>
            <w:tcW w:w="822" w:type="dxa"/>
            <w:shd w:val="clear" w:color="auto" w:fill="C5E0B3"/>
          </w:tcPr>
          <w:p w14:paraId="7E5463C3" w14:textId="77777777" w:rsidR="00722DA8" w:rsidRPr="00B2574C" w:rsidRDefault="00722DA8">
            <w:pPr>
              <w:pStyle w:val="Tabele"/>
              <w:jc w:val="right"/>
              <w:rPr>
                <w:rFonts w:cs="Calibri"/>
                <w:b/>
                <w:bCs/>
                <w:color w:val="auto"/>
                <w:sz w:val="12"/>
                <w:szCs w:val="12"/>
              </w:rPr>
            </w:pPr>
            <w:r w:rsidRPr="00B2574C">
              <w:rPr>
                <w:b/>
                <w:color w:val="auto"/>
                <w:sz w:val="12"/>
                <w:szCs w:val="12"/>
              </w:rPr>
              <w:t>42 830,74</w:t>
            </w:r>
          </w:p>
        </w:tc>
        <w:tc>
          <w:tcPr>
            <w:tcW w:w="822" w:type="dxa"/>
            <w:shd w:val="clear" w:color="auto" w:fill="C5E0B3"/>
          </w:tcPr>
          <w:p w14:paraId="06842ED9" w14:textId="77777777" w:rsidR="00722DA8" w:rsidRPr="00B2574C" w:rsidRDefault="00722DA8">
            <w:pPr>
              <w:pStyle w:val="Tabele"/>
              <w:jc w:val="right"/>
              <w:rPr>
                <w:b/>
                <w:color w:val="auto"/>
                <w:sz w:val="12"/>
                <w:szCs w:val="12"/>
              </w:rPr>
            </w:pPr>
            <w:r w:rsidRPr="00B2574C">
              <w:rPr>
                <w:b/>
                <w:color w:val="auto"/>
                <w:sz w:val="12"/>
                <w:szCs w:val="12"/>
              </w:rPr>
              <w:t>33 872,34</w:t>
            </w:r>
          </w:p>
        </w:tc>
        <w:tc>
          <w:tcPr>
            <w:tcW w:w="822" w:type="dxa"/>
            <w:shd w:val="clear" w:color="auto" w:fill="C5E0B3"/>
          </w:tcPr>
          <w:p w14:paraId="1805E9D1" w14:textId="77777777" w:rsidR="00722DA8" w:rsidRPr="00B2574C" w:rsidRDefault="00722DA8">
            <w:pPr>
              <w:pStyle w:val="Tabele"/>
              <w:jc w:val="right"/>
              <w:rPr>
                <w:b/>
                <w:color w:val="auto"/>
                <w:sz w:val="12"/>
                <w:szCs w:val="12"/>
              </w:rPr>
            </w:pPr>
            <w:r w:rsidRPr="00B2574C">
              <w:rPr>
                <w:b/>
                <w:color w:val="auto"/>
                <w:sz w:val="12"/>
                <w:szCs w:val="12"/>
              </w:rPr>
              <w:t>29 615,73</w:t>
            </w:r>
          </w:p>
        </w:tc>
        <w:tc>
          <w:tcPr>
            <w:tcW w:w="824" w:type="dxa"/>
            <w:shd w:val="clear" w:color="auto" w:fill="C5E0B3"/>
          </w:tcPr>
          <w:p w14:paraId="35E7A622" w14:textId="77777777" w:rsidR="00722DA8" w:rsidRPr="00B2574C" w:rsidRDefault="00722DA8">
            <w:pPr>
              <w:pStyle w:val="Tabele"/>
              <w:jc w:val="right"/>
              <w:rPr>
                <w:b/>
                <w:color w:val="auto"/>
                <w:sz w:val="12"/>
                <w:szCs w:val="12"/>
              </w:rPr>
            </w:pPr>
            <w:r w:rsidRPr="00B2574C">
              <w:rPr>
                <w:b/>
                <w:color w:val="auto"/>
                <w:sz w:val="12"/>
                <w:szCs w:val="12"/>
              </w:rPr>
              <w:t>27 954,16</w:t>
            </w:r>
          </w:p>
        </w:tc>
        <w:tc>
          <w:tcPr>
            <w:tcW w:w="824" w:type="dxa"/>
            <w:shd w:val="clear" w:color="auto" w:fill="C5E0B3"/>
          </w:tcPr>
          <w:p w14:paraId="12DD2A77" w14:textId="77777777" w:rsidR="00722DA8" w:rsidRPr="00B2574C" w:rsidRDefault="00722DA8">
            <w:pPr>
              <w:pStyle w:val="Tabele"/>
              <w:jc w:val="right"/>
              <w:rPr>
                <w:b/>
                <w:color w:val="auto"/>
                <w:sz w:val="12"/>
                <w:szCs w:val="12"/>
              </w:rPr>
            </w:pPr>
            <w:r w:rsidRPr="00B2574C">
              <w:rPr>
                <w:b/>
                <w:color w:val="auto"/>
                <w:sz w:val="12"/>
                <w:szCs w:val="12"/>
              </w:rPr>
              <w:t>28 906,83</w:t>
            </w:r>
          </w:p>
        </w:tc>
        <w:tc>
          <w:tcPr>
            <w:tcW w:w="824" w:type="dxa"/>
          </w:tcPr>
          <w:p w14:paraId="49B2CEFA" w14:textId="77777777" w:rsidR="00722DA8" w:rsidRPr="00B2574C" w:rsidRDefault="00722DA8">
            <w:pPr>
              <w:pStyle w:val="Tabele"/>
              <w:jc w:val="right"/>
              <w:rPr>
                <w:b/>
                <w:color w:val="auto"/>
                <w:sz w:val="12"/>
                <w:szCs w:val="12"/>
                <w:highlight w:val="yellow"/>
              </w:rPr>
            </w:pPr>
            <w:r w:rsidRPr="00B2574C">
              <w:rPr>
                <w:b/>
                <w:color w:val="auto"/>
                <w:sz w:val="12"/>
                <w:szCs w:val="12"/>
              </w:rPr>
              <w:t>27 515,97</w:t>
            </w:r>
          </w:p>
        </w:tc>
        <w:tc>
          <w:tcPr>
            <w:tcW w:w="824" w:type="dxa"/>
          </w:tcPr>
          <w:p w14:paraId="6BBB2C0D" w14:textId="77777777" w:rsidR="00722DA8" w:rsidRPr="00B2574C" w:rsidRDefault="00722DA8">
            <w:pPr>
              <w:pStyle w:val="Tabele"/>
              <w:jc w:val="right"/>
              <w:rPr>
                <w:b/>
                <w:color w:val="auto"/>
                <w:sz w:val="12"/>
                <w:szCs w:val="12"/>
                <w:highlight w:val="yellow"/>
              </w:rPr>
            </w:pPr>
            <w:r w:rsidRPr="00B2574C">
              <w:rPr>
                <w:b/>
                <w:color w:val="auto"/>
                <w:sz w:val="12"/>
                <w:szCs w:val="12"/>
              </w:rPr>
              <w:t>21 366,45</w:t>
            </w:r>
          </w:p>
        </w:tc>
        <w:tc>
          <w:tcPr>
            <w:tcW w:w="824" w:type="dxa"/>
          </w:tcPr>
          <w:p w14:paraId="0695E9C2" w14:textId="77777777" w:rsidR="00722DA8" w:rsidRPr="00B2574C" w:rsidRDefault="00722DA8">
            <w:pPr>
              <w:pStyle w:val="Tabele"/>
              <w:jc w:val="right"/>
              <w:rPr>
                <w:b/>
                <w:color w:val="auto"/>
                <w:sz w:val="12"/>
                <w:szCs w:val="12"/>
                <w:highlight w:val="yellow"/>
              </w:rPr>
            </w:pPr>
            <w:r w:rsidRPr="00B2574C">
              <w:rPr>
                <w:b/>
                <w:color w:val="auto"/>
                <w:sz w:val="12"/>
                <w:szCs w:val="12"/>
              </w:rPr>
              <w:t>17 099,42</w:t>
            </w:r>
          </w:p>
        </w:tc>
        <w:tc>
          <w:tcPr>
            <w:tcW w:w="694" w:type="dxa"/>
          </w:tcPr>
          <w:p w14:paraId="403574D8" w14:textId="77777777" w:rsidR="00722DA8" w:rsidRPr="00B2574C" w:rsidRDefault="00722DA8">
            <w:pPr>
              <w:pStyle w:val="Tabele"/>
              <w:jc w:val="right"/>
              <w:rPr>
                <w:b/>
                <w:color w:val="auto"/>
                <w:sz w:val="12"/>
                <w:szCs w:val="12"/>
                <w:highlight w:val="yellow"/>
              </w:rPr>
            </w:pPr>
            <w:r w:rsidRPr="00B2574C">
              <w:rPr>
                <w:b/>
                <w:color w:val="auto"/>
                <w:sz w:val="12"/>
                <w:szCs w:val="12"/>
              </w:rPr>
              <w:t>12 946,63</w:t>
            </w:r>
          </w:p>
        </w:tc>
      </w:tr>
      <w:tr w:rsidR="00722DA8" w:rsidRPr="00363B7E" w14:paraId="6BE6AA16" w14:textId="77777777" w:rsidTr="00722DA8">
        <w:trPr>
          <w:trHeight w:val="229"/>
        </w:trPr>
        <w:tc>
          <w:tcPr>
            <w:tcW w:w="1338" w:type="dxa"/>
          </w:tcPr>
          <w:p w14:paraId="2D67D89C" w14:textId="77777777" w:rsidR="00722DA8" w:rsidRPr="00B2574C" w:rsidRDefault="00722DA8">
            <w:pPr>
              <w:pStyle w:val="Tabele"/>
              <w:rPr>
                <w:b/>
                <w:color w:val="auto"/>
                <w:sz w:val="12"/>
                <w:szCs w:val="12"/>
              </w:rPr>
            </w:pPr>
            <w:r w:rsidRPr="00B2574C">
              <w:rPr>
                <w:b/>
                <w:color w:val="auto"/>
                <w:sz w:val="12"/>
                <w:szCs w:val="12"/>
              </w:rPr>
              <w:t>1A3 Transport</w:t>
            </w:r>
          </w:p>
        </w:tc>
        <w:tc>
          <w:tcPr>
            <w:tcW w:w="822" w:type="dxa"/>
            <w:shd w:val="clear" w:color="auto" w:fill="C5E0B3"/>
          </w:tcPr>
          <w:p w14:paraId="03EDA88D" w14:textId="77777777" w:rsidR="00722DA8" w:rsidRPr="00B2574C" w:rsidRDefault="00722DA8">
            <w:pPr>
              <w:pStyle w:val="Tabele"/>
              <w:jc w:val="right"/>
              <w:rPr>
                <w:rFonts w:cs="Calibri"/>
                <w:b/>
                <w:bCs/>
                <w:color w:val="auto"/>
                <w:sz w:val="12"/>
                <w:szCs w:val="12"/>
              </w:rPr>
            </w:pPr>
            <w:r w:rsidRPr="00B2574C">
              <w:rPr>
                <w:b/>
                <w:color w:val="auto"/>
                <w:sz w:val="12"/>
                <w:szCs w:val="12"/>
              </w:rPr>
              <w:t>20 741,06</w:t>
            </w:r>
          </w:p>
        </w:tc>
        <w:tc>
          <w:tcPr>
            <w:tcW w:w="822" w:type="dxa"/>
            <w:shd w:val="clear" w:color="auto" w:fill="C5E0B3"/>
          </w:tcPr>
          <w:p w14:paraId="4F67CE76" w14:textId="77777777" w:rsidR="00722DA8" w:rsidRPr="00B2574C" w:rsidRDefault="00722DA8">
            <w:pPr>
              <w:pStyle w:val="Tabele"/>
              <w:jc w:val="right"/>
              <w:rPr>
                <w:b/>
                <w:color w:val="auto"/>
                <w:sz w:val="12"/>
                <w:szCs w:val="12"/>
              </w:rPr>
            </w:pPr>
            <w:r w:rsidRPr="00B2574C">
              <w:rPr>
                <w:b/>
                <w:color w:val="auto"/>
                <w:sz w:val="12"/>
                <w:szCs w:val="12"/>
              </w:rPr>
              <w:t>36 259,89</w:t>
            </w:r>
          </w:p>
        </w:tc>
        <w:tc>
          <w:tcPr>
            <w:tcW w:w="822" w:type="dxa"/>
            <w:shd w:val="clear" w:color="auto" w:fill="C5E0B3"/>
          </w:tcPr>
          <w:p w14:paraId="5C686945" w14:textId="77777777" w:rsidR="00722DA8" w:rsidRPr="00B2574C" w:rsidRDefault="00722DA8">
            <w:pPr>
              <w:pStyle w:val="Tabele"/>
              <w:jc w:val="right"/>
              <w:rPr>
                <w:b/>
                <w:color w:val="auto"/>
                <w:sz w:val="12"/>
                <w:szCs w:val="12"/>
              </w:rPr>
            </w:pPr>
            <w:r w:rsidRPr="00B2574C">
              <w:rPr>
                <w:b/>
                <w:color w:val="auto"/>
                <w:sz w:val="12"/>
                <w:szCs w:val="12"/>
              </w:rPr>
              <w:t>49 374,96</w:t>
            </w:r>
          </w:p>
        </w:tc>
        <w:tc>
          <w:tcPr>
            <w:tcW w:w="824" w:type="dxa"/>
            <w:shd w:val="clear" w:color="auto" w:fill="C5E0B3"/>
          </w:tcPr>
          <w:p w14:paraId="2C9B6531" w14:textId="77777777" w:rsidR="00722DA8" w:rsidRPr="00B2574C" w:rsidRDefault="00722DA8">
            <w:pPr>
              <w:pStyle w:val="Tabele"/>
              <w:jc w:val="right"/>
              <w:rPr>
                <w:b/>
                <w:color w:val="auto"/>
                <w:sz w:val="12"/>
                <w:szCs w:val="12"/>
              </w:rPr>
            </w:pPr>
            <w:r w:rsidRPr="00B2574C">
              <w:rPr>
                <w:b/>
                <w:color w:val="auto"/>
                <w:sz w:val="12"/>
                <w:szCs w:val="12"/>
              </w:rPr>
              <w:t>48 007,36</w:t>
            </w:r>
          </w:p>
        </w:tc>
        <w:tc>
          <w:tcPr>
            <w:tcW w:w="824" w:type="dxa"/>
            <w:shd w:val="clear" w:color="auto" w:fill="C5E0B3"/>
          </w:tcPr>
          <w:p w14:paraId="6085DC92" w14:textId="77777777" w:rsidR="00722DA8" w:rsidRPr="00B2574C" w:rsidRDefault="00722DA8">
            <w:pPr>
              <w:pStyle w:val="Tabele"/>
              <w:jc w:val="right"/>
              <w:rPr>
                <w:b/>
                <w:color w:val="auto"/>
                <w:sz w:val="12"/>
                <w:szCs w:val="12"/>
              </w:rPr>
            </w:pPr>
            <w:r w:rsidRPr="00B2574C">
              <w:rPr>
                <w:b/>
                <w:color w:val="auto"/>
                <w:sz w:val="12"/>
                <w:szCs w:val="12"/>
              </w:rPr>
              <w:t>63 084,14</w:t>
            </w:r>
          </w:p>
        </w:tc>
        <w:tc>
          <w:tcPr>
            <w:tcW w:w="824" w:type="dxa"/>
          </w:tcPr>
          <w:p w14:paraId="0A6BA9BB" w14:textId="77777777" w:rsidR="00722DA8" w:rsidRPr="00B2574C" w:rsidRDefault="00722DA8">
            <w:pPr>
              <w:pStyle w:val="Tabele"/>
              <w:jc w:val="right"/>
              <w:rPr>
                <w:b/>
                <w:color w:val="auto"/>
                <w:sz w:val="12"/>
                <w:szCs w:val="12"/>
                <w:highlight w:val="yellow"/>
              </w:rPr>
            </w:pPr>
            <w:r w:rsidRPr="00B2574C">
              <w:rPr>
                <w:b/>
                <w:color w:val="auto"/>
                <w:sz w:val="12"/>
                <w:szCs w:val="12"/>
              </w:rPr>
              <w:t>64 954,28</w:t>
            </w:r>
          </w:p>
        </w:tc>
        <w:tc>
          <w:tcPr>
            <w:tcW w:w="824" w:type="dxa"/>
          </w:tcPr>
          <w:p w14:paraId="5F5B127F" w14:textId="77777777" w:rsidR="00722DA8" w:rsidRPr="00B2574C" w:rsidRDefault="00722DA8">
            <w:pPr>
              <w:pStyle w:val="Tabele"/>
              <w:jc w:val="right"/>
              <w:rPr>
                <w:b/>
                <w:color w:val="auto"/>
                <w:sz w:val="12"/>
                <w:szCs w:val="12"/>
                <w:highlight w:val="yellow"/>
              </w:rPr>
            </w:pPr>
            <w:r w:rsidRPr="00B2574C">
              <w:rPr>
                <w:b/>
                <w:color w:val="auto"/>
                <w:sz w:val="12"/>
                <w:szCs w:val="12"/>
              </w:rPr>
              <w:t>58 186,97</w:t>
            </w:r>
          </w:p>
        </w:tc>
        <w:tc>
          <w:tcPr>
            <w:tcW w:w="824" w:type="dxa"/>
          </w:tcPr>
          <w:p w14:paraId="43E16861" w14:textId="77777777" w:rsidR="00722DA8" w:rsidRPr="00B2574C" w:rsidRDefault="00722DA8">
            <w:pPr>
              <w:pStyle w:val="Tabele"/>
              <w:jc w:val="right"/>
              <w:rPr>
                <w:b/>
                <w:color w:val="auto"/>
                <w:sz w:val="12"/>
                <w:szCs w:val="12"/>
                <w:highlight w:val="yellow"/>
              </w:rPr>
            </w:pPr>
            <w:r w:rsidRPr="00B2574C">
              <w:rPr>
                <w:b/>
                <w:color w:val="auto"/>
                <w:sz w:val="12"/>
                <w:szCs w:val="12"/>
              </w:rPr>
              <w:t>51 964,89</w:t>
            </w:r>
          </w:p>
        </w:tc>
        <w:tc>
          <w:tcPr>
            <w:tcW w:w="694" w:type="dxa"/>
          </w:tcPr>
          <w:p w14:paraId="396E2DB3" w14:textId="77777777" w:rsidR="00722DA8" w:rsidRPr="00B2574C" w:rsidRDefault="00722DA8">
            <w:pPr>
              <w:pStyle w:val="Tabele"/>
              <w:jc w:val="right"/>
              <w:rPr>
                <w:b/>
                <w:color w:val="auto"/>
                <w:sz w:val="12"/>
                <w:szCs w:val="12"/>
                <w:highlight w:val="yellow"/>
              </w:rPr>
            </w:pPr>
            <w:r w:rsidRPr="00B2574C">
              <w:rPr>
                <w:b/>
                <w:color w:val="auto"/>
                <w:sz w:val="12"/>
                <w:szCs w:val="12"/>
              </w:rPr>
              <w:t>44 678,14</w:t>
            </w:r>
          </w:p>
        </w:tc>
      </w:tr>
      <w:tr w:rsidR="00722DA8" w:rsidRPr="00363B7E" w14:paraId="180DF139" w14:textId="77777777" w:rsidTr="00722DA8">
        <w:trPr>
          <w:trHeight w:val="229"/>
        </w:trPr>
        <w:tc>
          <w:tcPr>
            <w:tcW w:w="1338" w:type="dxa"/>
          </w:tcPr>
          <w:p w14:paraId="0B17F7F2" w14:textId="77777777" w:rsidR="00722DA8" w:rsidRPr="00B2574C" w:rsidRDefault="00722DA8">
            <w:pPr>
              <w:pStyle w:val="Tabele"/>
              <w:rPr>
                <w:b/>
                <w:color w:val="auto"/>
                <w:sz w:val="12"/>
                <w:szCs w:val="12"/>
              </w:rPr>
            </w:pPr>
            <w:r w:rsidRPr="00B2574C">
              <w:rPr>
                <w:b/>
                <w:color w:val="auto"/>
                <w:sz w:val="12"/>
                <w:szCs w:val="12"/>
              </w:rPr>
              <w:t>1A4 Inne sektory</w:t>
            </w:r>
          </w:p>
        </w:tc>
        <w:tc>
          <w:tcPr>
            <w:tcW w:w="822" w:type="dxa"/>
            <w:shd w:val="clear" w:color="auto" w:fill="C5E0B3"/>
          </w:tcPr>
          <w:p w14:paraId="318FAC66" w14:textId="77777777" w:rsidR="00722DA8" w:rsidRPr="00B2574C" w:rsidRDefault="00722DA8">
            <w:pPr>
              <w:pStyle w:val="Tabele"/>
              <w:jc w:val="right"/>
              <w:rPr>
                <w:rFonts w:cs="Calibri"/>
                <w:b/>
                <w:bCs/>
                <w:color w:val="auto"/>
                <w:sz w:val="12"/>
                <w:szCs w:val="12"/>
              </w:rPr>
            </w:pPr>
            <w:r w:rsidRPr="00B2574C">
              <w:rPr>
                <w:b/>
                <w:color w:val="auto"/>
                <w:sz w:val="12"/>
                <w:szCs w:val="12"/>
              </w:rPr>
              <w:t>57 185,16</w:t>
            </w:r>
          </w:p>
        </w:tc>
        <w:tc>
          <w:tcPr>
            <w:tcW w:w="822" w:type="dxa"/>
            <w:shd w:val="clear" w:color="auto" w:fill="C5E0B3"/>
          </w:tcPr>
          <w:p w14:paraId="6FD58258" w14:textId="77777777" w:rsidR="00722DA8" w:rsidRPr="00B2574C" w:rsidRDefault="00722DA8">
            <w:pPr>
              <w:pStyle w:val="Tabele"/>
              <w:jc w:val="right"/>
              <w:rPr>
                <w:b/>
                <w:color w:val="auto"/>
                <w:sz w:val="12"/>
                <w:szCs w:val="12"/>
              </w:rPr>
            </w:pPr>
            <w:r w:rsidRPr="00B2574C">
              <w:rPr>
                <w:b/>
                <w:color w:val="auto"/>
                <w:sz w:val="12"/>
                <w:szCs w:val="12"/>
              </w:rPr>
              <w:t>59 642,19</w:t>
            </w:r>
          </w:p>
        </w:tc>
        <w:tc>
          <w:tcPr>
            <w:tcW w:w="822" w:type="dxa"/>
            <w:shd w:val="clear" w:color="auto" w:fill="C5E0B3"/>
          </w:tcPr>
          <w:p w14:paraId="6CF65A22" w14:textId="77777777" w:rsidR="00722DA8" w:rsidRPr="00B2574C" w:rsidRDefault="00722DA8">
            <w:pPr>
              <w:pStyle w:val="Tabele"/>
              <w:jc w:val="right"/>
              <w:rPr>
                <w:b/>
                <w:color w:val="auto"/>
                <w:sz w:val="12"/>
                <w:szCs w:val="12"/>
              </w:rPr>
            </w:pPr>
            <w:r w:rsidRPr="00B2574C">
              <w:rPr>
                <w:b/>
                <w:color w:val="auto"/>
                <w:sz w:val="12"/>
                <w:szCs w:val="12"/>
              </w:rPr>
              <w:t>67 724,94</w:t>
            </w:r>
          </w:p>
        </w:tc>
        <w:tc>
          <w:tcPr>
            <w:tcW w:w="824" w:type="dxa"/>
            <w:shd w:val="clear" w:color="auto" w:fill="C5E0B3"/>
          </w:tcPr>
          <w:p w14:paraId="41ECC768" w14:textId="77777777" w:rsidR="00722DA8" w:rsidRPr="00B2574C" w:rsidRDefault="00722DA8">
            <w:pPr>
              <w:pStyle w:val="Tabele"/>
              <w:jc w:val="right"/>
              <w:rPr>
                <w:b/>
                <w:color w:val="auto"/>
                <w:sz w:val="12"/>
                <w:szCs w:val="12"/>
              </w:rPr>
            </w:pPr>
            <w:r w:rsidRPr="00B2574C">
              <w:rPr>
                <w:b/>
                <w:color w:val="auto"/>
                <w:sz w:val="12"/>
                <w:szCs w:val="12"/>
              </w:rPr>
              <w:t>55 110,02</w:t>
            </w:r>
          </w:p>
        </w:tc>
        <w:tc>
          <w:tcPr>
            <w:tcW w:w="824" w:type="dxa"/>
            <w:shd w:val="clear" w:color="auto" w:fill="C5E0B3"/>
          </w:tcPr>
          <w:p w14:paraId="33AAC0C4" w14:textId="77777777" w:rsidR="00722DA8" w:rsidRPr="00B2574C" w:rsidRDefault="00722DA8">
            <w:pPr>
              <w:pStyle w:val="Tabele"/>
              <w:jc w:val="right"/>
              <w:rPr>
                <w:b/>
                <w:color w:val="auto"/>
                <w:sz w:val="12"/>
                <w:szCs w:val="12"/>
              </w:rPr>
            </w:pPr>
            <w:r w:rsidRPr="00B2574C">
              <w:rPr>
                <w:b/>
                <w:color w:val="auto"/>
                <w:sz w:val="12"/>
                <w:szCs w:val="12"/>
              </w:rPr>
              <w:t>52 975,22</w:t>
            </w:r>
          </w:p>
        </w:tc>
        <w:tc>
          <w:tcPr>
            <w:tcW w:w="824" w:type="dxa"/>
          </w:tcPr>
          <w:p w14:paraId="38B1ECD4" w14:textId="77777777" w:rsidR="00722DA8" w:rsidRPr="00B2574C" w:rsidRDefault="00722DA8">
            <w:pPr>
              <w:pStyle w:val="Tabele"/>
              <w:jc w:val="right"/>
              <w:rPr>
                <w:b/>
                <w:color w:val="auto"/>
                <w:sz w:val="12"/>
                <w:szCs w:val="12"/>
                <w:highlight w:val="yellow"/>
              </w:rPr>
            </w:pPr>
            <w:r w:rsidRPr="00B2574C">
              <w:rPr>
                <w:b/>
                <w:color w:val="auto"/>
                <w:sz w:val="12"/>
                <w:szCs w:val="12"/>
              </w:rPr>
              <w:t>42 073,77</w:t>
            </w:r>
          </w:p>
        </w:tc>
        <w:tc>
          <w:tcPr>
            <w:tcW w:w="824" w:type="dxa"/>
          </w:tcPr>
          <w:p w14:paraId="1CD761C0" w14:textId="77777777" w:rsidR="00722DA8" w:rsidRPr="00B2574C" w:rsidRDefault="00722DA8">
            <w:pPr>
              <w:pStyle w:val="Tabele"/>
              <w:jc w:val="right"/>
              <w:rPr>
                <w:b/>
                <w:color w:val="auto"/>
                <w:sz w:val="12"/>
                <w:szCs w:val="12"/>
                <w:highlight w:val="yellow"/>
              </w:rPr>
            </w:pPr>
            <w:r w:rsidRPr="00B2574C">
              <w:rPr>
                <w:b/>
                <w:color w:val="auto"/>
                <w:sz w:val="12"/>
                <w:szCs w:val="12"/>
              </w:rPr>
              <w:t>30 607,83</w:t>
            </w:r>
          </w:p>
        </w:tc>
        <w:tc>
          <w:tcPr>
            <w:tcW w:w="824" w:type="dxa"/>
          </w:tcPr>
          <w:p w14:paraId="0DCDC956" w14:textId="77777777" w:rsidR="00722DA8" w:rsidRPr="00B2574C" w:rsidRDefault="00722DA8">
            <w:pPr>
              <w:pStyle w:val="Tabele"/>
              <w:jc w:val="right"/>
              <w:rPr>
                <w:b/>
                <w:color w:val="auto"/>
                <w:sz w:val="12"/>
                <w:szCs w:val="12"/>
                <w:highlight w:val="yellow"/>
              </w:rPr>
            </w:pPr>
            <w:r w:rsidRPr="00B2574C">
              <w:rPr>
                <w:b/>
                <w:color w:val="auto"/>
                <w:sz w:val="12"/>
                <w:szCs w:val="12"/>
              </w:rPr>
              <w:t>20 452,45</w:t>
            </w:r>
          </w:p>
        </w:tc>
        <w:tc>
          <w:tcPr>
            <w:tcW w:w="694" w:type="dxa"/>
          </w:tcPr>
          <w:p w14:paraId="2AB19FC4" w14:textId="77777777" w:rsidR="00722DA8" w:rsidRPr="00B2574C" w:rsidRDefault="00722DA8">
            <w:pPr>
              <w:pStyle w:val="Tabele"/>
              <w:jc w:val="right"/>
              <w:rPr>
                <w:b/>
                <w:color w:val="auto"/>
                <w:sz w:val="12"/>
                <w:szCs w:val="12"/>
                <w:highlight w:val="yellow"/>
              </w:rPr>
            </w:pPr>
            <w:r w:rsidRPr="00B2574C">
              <w:rPr>
                <w:b/>
                <w:color w:val="auto"/>
                <w:sz w:val="12"/>
                <w:szCs w:val="12"/>
              </w:rPr>
              <w:t>14 900,90</w:t>
            </w:r>
          </w:p>
        </w:tc>
      </w:tr>
      <w:tr w:rsidR="00722DA8" w:rsidRPr="00363B7E" w14:paraId="0DE78C7D" w14:textId="77777777" w:rsidTr="00722DA8">
        <w:trPr>
          <w:trHeight w:val="229"/>
        </w:trPr>
        <w:tc>
          <w:tcPr>
            <w:tcW w:w="1338" w:type="dxa"/>
          </w:tcPr>
          <w:p w14:paraId="69EBC5B6" w14:textId="77777777" w:rsidR="00722DA8" w:rsidRPr="00B2574C" w:rsidRDefault="00722DA8">
            <w:pPr>
              <w:pStyle w:val="Tabele"/>
              <w:rPr>
                <w:color w:val="auto"/>
                <w:sz w:val="12"/>
                <w:szCs w:val="12"/>
              </w:rPr>
            </w:pPr>
            <w:r w:rsidRPr="00B2574C">
              <w:rPr>
                <w:color w:val="auto"/>
                <w:sz w:val="12"/>
                <w:szCs w:val="12"/>
              </w:rPr>
              <w:t>1A4a Handel/usługi/instytucje</w:t>
            </w:r>
          </w:p>
        </w:tc>
        <w:tc>
          <w:tcPr>
            <w:tcW w:w="822" w:type="dxa"/>
            <w:shd w:val="clear" w:color="auto" w:fill="C5E0B3"/>
          </w:tcPr>
          <w:p w14:paraId="150CC531" w14:textId="77777777" w:rsidR="00722DA8" w:rsidRPr="00B2574C" w:rsidRDefault="00722DA8">
            <w:pPr>
              <w:pStyle w:val="Tabele"/>
              <w:jc w:val="right"/>
              <w:rPr>
                <w:rFonts w:cs="Calibri"/>
                <w:color w:val="auto"/>
                <w:sz w:val="12"/>
                <w:szCs w:val="12"/>
              </w:rPr>
            </w:pPr>
            <w:r w:rsidRPr="00B2574C">
              <w:rPr>
                <w:color w:val="auto"/>
                <w:sz w:val="12"/>
                <w:szCs w:val="12"/>
              </w:rPr>
              <w:t>9 782,20</w:t>
            </w:r>
          </w:p>
        </w:tc>
        <w:tc>
          <w:tcPr>
            <w:tcW w:w="822" w:type="dxa"/>
            <w:shd w:val="clear" w:color="auto" w:fill="C5E0B3"/>
          </w:tcPr>
          <w:p w14:paraId="25F595C2" w14:textId="77777777" w:rsidR="00722DA8" w:rsidRPr="00B2574C" w:rsidRDefault="00722DA8">
            <w:pPr>
              <w:pStyle w:val="Tabele"/>
              <w:jc w:val="right"/>
              <w:rPr>
                <w:color w:val="auto"/>
                <w:sz w:val="12"/>
                <w:szCs w:val="12"/>
              </w:rPr>
            </w:pPr>
            <w:r w:rsidRPr="00B2574C">
              <w:rPr>
                <w:color w:val="auto"/>
                <w:sz w:val="12"/>
                <w:szCs w:val="12"/>
              </w:rPr>
              <w:t>7 796,21</w:t>
            </w:r>
          </w:p>
        </w:tc>
        <w:tc>
          <w:tcPr>
            <w:tcW w:w="822" w:type="dxa"/>
            <w:shd w:val="clear" w:color="auto" w:fill="C5E0B3"/>
          </w:tcPr>
          <w:p w14:paraId="597F0CB7" w14:textId="77777777" w:rsidR="00722DA8" w:rsidRPr="00B2574C" w:rsidRDefault="00722DA8">
            <w:pPr>
              <w:pStyle w:val="Tabele"/>
              <w:jc w:val="right"/>
              <w:rPr>
                <w:color w:val="auto"/>
                <w:sz w:val="12"/>
                <w:szCs w:val="12"/>
              </w:rPr>
            </w:pPr>
            <w:r w:rsidRPr="00B2574C">
              <w:rPr>
                <w:color w:val="auto"/>
                <w:sz w:val="12"/>
                <w:szCs w:val="12"/>
              </w:rPr>
              <w:t>10 614,49</w:t>
            </w:r>
          </w:p>
        </w:tc>
        <w:tc>
          <w:tcPr>
            <w:tcW w:w="824" w:type="dxa"/>
            <w:shd w:val="clear" w:color="auto" w:fill="C5E0B3"/>
          </w:tcPr>
          <w:p w14:paraId="7A17AF21" w14:textId="77777777" w:rsidR="00722DA8" w:rsidRPr="00B2574C" w:rsidRDefault="00722DA8">
            <w:pPr>
              <w:pStyle w:val="Tabele"/>
              <w:jc w:val="right"/>
              <w:rPr>
                <w:color w:val="auto"/>
                <w:sz w:val="12"/>
                <w:szCs w:val="12"/>
              </w:rPr>
            </w:pPr>
            <w:r w:rsidRPr="00B2574C">
              <w:rPr>
                <w:color w:val="auto"/>
                <w:sz w:val="12"/>
                <w:szCs w:val="12"/>
              </w:rPr>
              <w:t>7 944,34</w:t>
            </w:r>
          </w:p>
        </w:tc>
        <w:tc>
          <w:tcPr>
            <w:tcW w:w="824" w:type="dxa"/>
            <w:shd w:val="clear" w:color="auto" w:fill="C5E0B3"/>
          </w:tcPr>
          <w:p w14:paraId="79A67F58" w14:textId="77777777" w:rsidR="00722DA8" w:rsidRPr="00B2574C" w:rsidRDefault="00722DA8">
            <w:pPr>
              <w:pStyle w:val="Tabele"/>
              <w:jc w:val="right"/>
              <w:rPr>
                <w:color w:val="auto"/>
                <w:sz w:val="12"/>
                <w:szCs w:val="12"/>
              </w:rPr>
            </w:pPr>
            <w:r w:rsidRPr="00B2574C">
              <w:rPr>
                <w:color w:val="auto"/>
                <w:sz w:val="12"/>
                <w:szCs w:val="12"/>
              </w:rPr>
              <w:t>6 031,18</w:t>
            </w:r>
          </w:p>
        </w:tc>
        <w:tc>
          <w:tcPr>
            <w:tcW w:w="824" w:type="dxa"/>
          </w:tcPr>
          <w:p w14:paraId="037044A4" w14:textId="77777777" w:rsidR="00722DA8" w:rsidRPr="00B2574C" w:rsidRDefault="00722DA8">
            <w:pPr>
              <w:pStyle w:val="Tabele"/>
              <w:jc w:val="right"/>
              <w:rPr>
                <w:color w:val="auto"/>
                <w:sz w:val="12"/>
                <w:szCs w:val="12"/>
                <w:highlight w:val="yellow"/>
              </w:rPr>
            </w:pPr>
            <w:r w:rsidRPr="00B2574C">
              <w:rPr>
                <w:color w:val="auto"/>
                <w:sz w:val="12"/>
                <w:szCs w:val="12"/>
              </w:rPr>
              <w:t>5 301,77</w:t>
            </w:r>
          </w:p>
        </w:tc>
        <w:tc>
          <w:tcPr>
            <w:tcW w:w="824" w:type="dxa"/>
          </w:tcPr>
          <w:p w14:paraId="0505E9D3" w14:textId="77777777" w:rsidR="00722DA8" w:rsidRPr="00B2574C" w:rsidRDefault="00722DA8">
            <w:pPr>
              <w:pStyle w:val="Tabele"/>
              <w:jc w:val="right"/>
              <w:rPr>
                <w:color w:val="auto"/>
                <w:sz w:val="12"/>
                <w:szCs w:val="12"/>
                <w:highlight w:val="yellow"/>
              </w:rPr>
            </w:pPr>
            <w:r w:rsidRPr="00B2574C">
              <w:rPr>
                <w:color w:val="auto"/>
                <w:sz w:val="12"/>
                <w:szCs w:val="12"/>
              </w:rPr>
              <w:t>4 232,29</w:t>
            </w:r>
          </w:p>
        </w:tc>
        <w:tc>
          <w:tcPr>
            <w:tcW w:w="824" w:type="dxa"/>
          </w:tcPr>
          <w:p w14:paraId="4EE7F781" w14:textId="77777777" w:rsidR="00722DA8" w:rsidRPr="00B2574C" w:rsidRDefault="00722DA8">
            <w:pPr>
              <w:pStyle w:val="Tabele"/>
              <w:jc w:val="right"/>
              <w:rPr>
                <w:color w:val="auto"/>
                <w:sz w:val="12"/>
                <w:szCs w:val="12"/>
                <w:highlight w:val="yellow"/>
              </w:rPr>
            </w:pPr>
            <w:r w:rsidRPr="00B2574C">
              <w:rPr>
                <w:color w:val="auto"/>
                <w:sz w:val="12"/>
                <w:szCs w:val="12"/>
              </w:rPr>
              <w:t>2 981,95</w:t>
            </w:r>
          </w:p>
        </w:tc>
        <w:tc>
          <w:tcPr>
            <w:tcW w:w="694" w:type="dxa"/>
          </w:tcPr>
          <w:p w14:paraId="340EDE04" w14:textId="77777777" w:rsidR="00722DA8" w:rsidRPr="00B2574C" w:rsidRDefault="00722DA8">
            <w:pPr>
              <w:pStyle w:val="Tabele"/>
              <w:jc w:val="right"/>
              <w:rPr>
                <w:color w:val="auto"/>
                <w:sz w:val="12"/>
                <w:szCs w:val="12"/>
                <w:highlight w:val="yellow"/>
              </w:rPr>
            </w:pPr>
            <w:r w:rsidRPr="00B2574C">
              <w:rPr>
                <w:color w:val="auto"/>
                <w:sz w:val="12"/>
                <w:szCs w:val="12"/>
              </w:rPr>
              <w:t>2 203,25</w:t>
            </w:r>
          </w:p>
        </w:tc>
      </w:tr>
      <w:tr w:rsidR="00722DA8" w:rsidRPr="00363B7E" w14:paraId="4865FA86" w14:textId="77777777" w:rsidTr="00722DA8">
        <w:trPr>
          <w:trHeight w:val="229"/>
        </w:trPr>
        <w:tc>
          <w:tcPr>
            <w:tcW w:w="1338" w:type="dxa"/>
          </w:tcPr>
          <w:p w14:paraId="07054917" w14:textId="77777777" w:rsidR="00722DA8" w:rsidRPr="00B2574C" w:rsidRDefault="00722DA8">
            <w:pPr>
              <w:pStyle w:val="Tabele"/>
              <w:rPr>
                <w:color w:val="auto"/>
                <w:sz w:val="12"/>
                <w:szCs w:val="12"/>
              </w:rPr>
            </w:pPr>
            <w:r w:rsidRPr="00B2574C">
              <w:rPr>
                <w:color w:val="auto"/>
                <w:sz w:val="12"/>
                <w:szCs w:val="12"/>
              </w:rPr>
              <w:t>1A4b Gospodarstwa domowe</w:t>
            </w:r>
          </w:p>
        </w:tc>
        <w:tc>
          <w:tcPr>
            <w:tcW w:w="822" w:type="dxa"/>
            <w:shd w:val="clear" w:color="auto" w:fill="C5E0B3"/>
          </w:tcPr>
          <w:p w14:paraId="70D1BB3D" w14:textId="77777777" w:rsidR="00722DA8" w:rsidRPr="00B2574C" w:rsidRDefault="00722DA8">
            <w:pPr>
              <w:pStyle w:val="Tabele"/>
              <w:jc w:val="right"/>
              <w:rPr>
                <w:rFonts w:cs="Calibri"/>
                <w:color w:val="auto"/>
                <w:sz w:val="12"/>
                <w:szCs w:val="12"/>
              </w:rPr>
            </w:pPr>
            <w:r w:rsidRPr="00B2574C">
              <w:rPr>
                <w:color w:val="auto"/>
                <w:sz w:val="12"/>
                <w:szCs w:val="12"/>
              </w:rPr>
              <w:t>38 154,35</w:t>
            </w:r>
          </w:p>
        </w:tc>
        <w:tc>
          <w:tcPr>
            <w:tcW w:w="822" w:type="dxa"/>
            <w:shd w:val="clear" w:color="auto" w:fill="C5E0B3"/>
          </w:tcPr>
          <w:p w14:paraId="390902BB" w14:textId="77777777" w:rsidR="00722DA8" w:rsidRPr="00B2574C" w:rsidRDefault="00722DA8">
            <w:pPr>
              <w:pStyle w:val="Tabele"/>
              <w:jc w:val="right"/>
              <w:rPr>
                <w:color w:val="auto"/>
                <w:sz w:val="12"/>
                <w:szCs w:val="12"/>
              </w:rPr>
            </w:pPr>
            <w:r w:rsidRPr="00B2574C">
              <w:rPr>
                <w:color w:val="auto"/>
                <w:sz w:val="12"/>
                <w:szCs w:val="12"/>
              </w:rPr>
              <w:t>37 621,06</w:t>
            </w:r>
          </w:p>
        </w:tc>
        <w:tc>
          <w:tcPr>
            <w:tcW w:w="822" w:type="dxa"/>
            <w:shd w:val="clear" w:color="auto" w:fill="C5E0B3"/>
          </w:tcPr>
          <w:p w14:paraId="29BA853E" w14:textId="77777777" w:rsidR="00722DA8" w:rsidRPr="00B2574C" w:rsidRDefault="00722DA8">
            <w:pPr>
              <w:pStyle w:val="Tabele"/>
              <w:jc w:val="right"/>
              <w:rPr>
                <w:color w:val="auto"/>
                <w:sz w:val="12"/>
                <w:szCs w:val="12"/>
              </w:rPr>
            </w:pPr>
            <w:r w:rsidRPr="00B2574C">
              <w:rPr>
                <w:color w:val="auto"/>
                <w:sz w:val="12"/>
                <w:szCs w:val="12"/>
              </w:rPr>
              <w:t>45 248,17</w:t>
            </w:r>
          </w:p>
        </w:tc>
        <w:tc>
          <w:tcPr>
            <w:tcW w:w="824" w:type="dxa"/>
            <w:shd w:val="clear" w:color="auto" w:fill="C5E0B3"/>
          </w:tcPr>
          <w:p w14:paraId="73967609" w14:textId="77777777" w:rsidR="00722DA8" w:rsidRPr="00B2574C" w:rsidRDefault="00722DA8">
            <w:pPr>
              <w:pStyle w:val="Tabele"/>
              <w:jc w:val="right"/>
              <w:rPr>
                <w:color w:val="auto"/>
                <w:sz w:val="12"/>
                <w:szCs w:val="12"/>
              </w:rPr>
            </w:pPr>
            <w:r w:rsidRPr="00B2574C">
              <w:rPr>
                <w:color w:val="auto"/>
                <w:sz w:val="12"/>
                <w:szCs w:val="12"/>
              </w:rPr>
              <w:t>36 818,66</w:t>
            </w:r>
          </w:p>
        </w:tc>
        <w:tc>
          <w:tcPr>
            <w:tcW w:w="824" w:type="dxa"/>
            <w:shd w:val="clear" w:color="auto" w:fill="C5E0B3"/>
          </w:tcPr>
          <w:p w14:paraId="6E3B214A" w14:textId="77777777" w:rsidR="00722DA8" w:rsidRPr="00B2574C" w:rsidRDefault="00722DA8">
            <w:pPr>
              <w:pStyle w:val="Tabele"/>
              <w:jc w:val="right"/>
              <w:rPr>
                <w:color w:val="auto"/>
                <w:sz w:val="12"/>
                <w:szCs w:val="12"/>
              </w:rPr>
            </w:pPr>
            <w:r w:rsidRPr="00B2574C">
              <w:rPr>
                <w:color w:val="auto"/>
                <w:sz w:val="12"/>
                <w:szCs w:val="12"/>
              </w:rPr>
              <w:t>34 982,89</w:t>
            </w:r>
          </w:p>
        </w:tc>
        <w:tc>
          <w:tcPr>
            <w:tcW w:w="824" w:type="dxa"/>
          </w:tcPr>
          <w:p w14:paraId="6D7914FB" w14:textId="77777777" w:rsidR="00722DA8" w:rsidRPr="00B2574C" w:rsidRDefault="00722DA8">
            <w:pPr>
              <w:pStyle w:val="Tabele"/>
              <w:jc w:val="right"/>
              <w:rPr>
                <w:color w:val="auto"/>
                <w:sz w:val="12"/>
                <w:szCs w:val="12"/>
                <w:highlight w:val="yellow"/>
              </w:rPr>
            </w:pPr>
            <w:r w:rsidRPr="00B2574C">
              <w:rPr>
                <w:color w:val="auto"/>
                <w:sz w:val="12"/>
                <w:szCs w:val="12"/>
              </w:rPr>
              <w:t>26 512,00</w:t>
            </w:r>
          </w:p>
        </w:tc>
        <w:tc>
          <w:tcPr>
            <w:tcW w:w="824" w:type="dxa"/>
          </w:tcPr>
          <w:p w14:paraId="5926E030" w14:textId="77777777" w:rsidR="00722DA8" w:rsidRPr="00B2574C" w:rsidRDefault="00722DA8">
            <w:pPr>
              <w:pStyle w:val="Tabele"/>
              <w:jc w:val="right"/>
              <w:rPr>
                <w:color w:val="auto"/>
                <w:sz w:val="12"/>
                <w:szCs w:val="12"/>
                <w:highlight w:val="yellow"/>
              </w:rPr>
            </w:pPr>
            <w:r w:rsidRPr="00B2574C">
              <w:rPr>
                <w:color w:val="auto"/>
                <w:sz w:val="12"/>
                <w:szCs w:val="12"/>
              </w:rPr>
              <w:t>17 211,38</w:t>
            </w:r>
          </w:p>
        </w:tc>
        <w:tc>
          <w:tcPr>
            <w:tcW w:w="824" w:type="dxa"/>
          </w:tcPr>
          <w:p w14:paraId="437366C8" w14:textId="77777777" w:rsidR="00722DA8" w:rsidRPr="00B2574C" w:rsidRDefault="00722DA8">
            <w:pPr>
              <w:pStyle w:val="Tabele"/>
              <w:jc w:val="right"/>
              <w:rPr>
                <w:color w:val="auto"/>
                <w:sz w:val="12"/>
                <w:szCs w:val="12"/>
                <w:highlight w:val="yellow"/>
              </w:rPr>
            </w:pPr>
            <w:r w:rsidRPr="00B2574C">
              <w:rPr>
                <w:color w:val="auto"/>
                <w:sz w:val="12"/>
                <w:szCs w:val="12"/>
              </w:rPr>
              <w:t>9 166,39</w:t>
            </w:r>
          </w:p>
        </w:tc>
        <w:tc>
          <w:tcPr>
            <w:tcW w:w="694" w:type="dxa"/>
          </w:tcPr>
          <w:p w14:paraId="3D3ADC3A" w14:textId="77777777" w:rsidR="00722DA8" w:rsidRPr="00B2574C" w:rsidRDefault="00722DA8">
            <w:pPr>
              <w:pStyle w:val="Tabele"/>
              <w:jc w:val="right"/>
              <w:rPr>
                <w:color w:val="auto"/>
                <w:sz w:val="12"/>
                <w:szCs w:val="12"/>
                <w:highlight w:val="yellow"/>
              </w:rPr>
            </w:pPr>
            <w:r w:rsidRPr="00B2574C">
              <w:rPr>
                <w:color w:val="auto"/>
                <w:sz w:val="12"/>
                <w:szCs w:val="12"/>
              </w:rPr>
              <w:t>5 293,05</w:t>
            </w:r>
          </w:p>
        </w:tc>
      </w:tr>
      <w:tr w:rsidR="00722DA8" w:rsidRPr="00363B7E" w14:paraId="68798FEF" w14:textId="77777777" w:rsidTr="00722DA8">
        <w:trPr>
          <w:trHeight w:val="229"/>
        </w:trPr>
        <w:tc>
          <w:tcPr>
            <w:tcW w:w="1338" w:type="dxa"/>
          </w:tcPr>
          <w:p w14:paraId="0B48BB5A" w14:textId="77777777" w:rsidR="00722DA8" w:rsidRPr="00B2574C" w:rsidRDefault="00722DA8">
            <w:pPr>
              <w:pStyle w:val="Tabele"/>
              <w:rPr>
                <w:color w:val="auto"/>
                <w:sz w:val="12"/>
                <w:szCs w:val="12"/>
              </w:rPr>
            </w:pPr>
            <w:r w:rsidRPr="00B2574C">
              <w:rPr>
                <w:color w:val="auto"/>
                <w:sz w:val="12"/>
                <w:szCs w:val="12"/>
              </w:rPr>
              <w:t>1A4c Rolnictwo/leśnictwo/ rybołówstwo</w:t>
            </w:r>
          </w:p>
        </w:tc>
        <w:tc>
          <w:tcPr>
            <w:tcW w:w="822" w:type="dxa"/>
            <w:shd w:val="clear" w:color="auto" w:fill="C5E0B3"/>
          </w:tcPr>
          <w:p w14:paraId="004828EA" w14:textId="77777777" w:rsidR="00722DA8" w:rsidRPr="00B2574C" w:rsidRDefault="00722DA8">
            <w:pPr>
              <w:pStyle w:val="Tabele"/>
              <w:jc w:val="right"/>
              <w:rPr>
                <w:rFonts w:cs="Calibri"/>
                <w:color w:val="auto"/>
                <w:sz w:val="12"/>
                <w:szCs w:val="12"/>
              </w:rPr>
            </w:pPr>
            <w:r w:rsidRPr="00B2574C">
              <w:rPr>
                <w:color w:val="auto"/>
                <w:sz w:val="12"/>
                <w:szCs w:val="12"/>
              </w:rPr>
              <w:t>9 248,61</w:t>
            </w:r>
          </w:p>
        </w:tc>
        <w:tc>
          <w:tcPr>
            <w:tcW w:w="822" w:type="dxa"/>
            <w:shd w:val="clear" w:color="auto" w:fill="C5E0B3"/>
          </w:tcPr>
          <w:p w14:paraId="6B565BD7" w14:textId="77777777" w:rsidR="00722DA8" w:rsidRPr="00B2574C" w:rsidRDefault="00722DA8">
            <w:pPr>
              <w:pStyle w:val="Tabele"/>
              <w:jc w:val="right"/>
              <w:rPr>
                <w:color w:val="auto"/>
                <w:sz w:val="12"/>
                <w:szCs w:val="12"/>
              </w:rPr>
            </w:pPr>
            <w:r w:rsidRPr="00B2574C">
              <w:rPr>
                <w:color w:val="auto"/>
                <w:sz w:val="12"/>
                <w:szCs w:val="12"/>
              </w:rPr>
              <w:t>14 224,92</w:t>
            </w:r>
          </w:p>
        </w:tc>
        <w:tc>
          <w:tcPr>
            <w:tcW w:w="822" w:type="dxa"/>
            <w:shd w:val="clear" w:color="auto" w:fill="C5E0B3"/>
          </w:tcPr>
          <w:p w14:paraId="6B0E4835" w14:textId="77777777" w:rsidR="00722DA8" w:rsidRPr="00B2574C" w:rsidRDefault="00722DA8">
            <w:pPr>
              <w:pStyle w:val="Tabele"/>
              <w:jc w:val="right"/>
              <w:rPr>
                <w:color w:val="auto"/>
                <w:sz w:val="12"/>
                <w:szCs w:val="12"/>
              </w:rPr>
            </w:pPr>
            <w:r w:rsidRPr="00B2574C">
              <w:rPr>
                <w:color w:val="auto"/>
                <w:sz w:val="12"/>
                <w:szCs w:val="12"/>
              </w:rPr>
              <w:t>11 862,28</w:t>
            </w:r>
          </w:p>
        </w:tc>
        <w:tc>
          <w:tcPr>
            <w:tcW w:w="824" w:type="dxa"/>
            <w:shd w:val="clear" w:color="auto" w:fill="C5E0B3"/>
          </w:tcPr>
          <w:p w14:paraId="1DF50048" w14:textId="77777777" w:rsidR="00722DA8" w:rsidRPr="00B2574C" w:rsidRDefault="00722DA8">
            <w:pPr>
              <w:pStyle w:val="Tabele"/>
              <w:jc w:val="right"/>
              <w:rPr>
                <w:color w:val="auto"/>
                <w:sz w:val="12"/>
                <w:szCs w:val="12"/>
              </w:rPr>
            </w:pPr>
            <w:r w:rsidRPr="00B2574C">
              <w:rPr>
                <w:color w:val="auto"/>
                <w:sz w:val="12"/>
                <w:szCs w:val="12"/>
              </w:rPr>
              <w:t>10 347,02</w:t>
            </w:r>
          </w:p>
        </w:tc>
        <w:tc>
          <w:tcPr>
            <w:tcW w:w="824" w:type="dxa"/>
            <w:shd w:val="clear" w:color="auto" w:fill="C5E0B3"/>
          </w:tcPr>
          <w:p w14:paraId="5B189AB4" w14:textId="77777777" w:rsidR="00722DA8" w:rsidRPr="00B2574C" w:rsidRDefault="00722DA8">
            <w:pPr>
              <w:pStyle w:val="Tabele"/>
              <w:jc w:val="right"/>
              <w:rPr>
                <w:color w:val="auto"/>
                <w:sz w:val="12"/>
                <w:szCs w:val="12"/>
              </w:rPr>
            </w:pPr>
            <w:r w:rsidRPr="00B2574C">
              <w:rPr>
                <w:color w:val="auto"/>
                <w:sz w:val="12"/>
                <w:szCs w:val="12"/>
              </w:rPr>
              <w:t>11 961,14</w:t>
            </w:r>
          </w:p>
        </w:tc>
        <w:tc>
          <w:tcPr>
            <w:tcW w:w="824" w:type="dxa"/>
          </w:tcPr>
          <w:p w14:paraId="59F3CF58" w14:textId="77777777" w:rsidR="00722DA8" w:rsidRPr="00B2574C" w:rsidRDefault="00722DA8">
            <w:pPr>
              <w:pStyle w:val="Tabele"/>
              <w:jc w:val="right"/>
              <w:rPr>
                <w:color w:val="auto"/>
                <w:sz w:val="12"/>
                <w:szCs w:val="12"/>
                <w:highlight w:val="yellow"/>
              </w:rPr>
            </w:pPr>
            <w:r w:rsidRPr="00B2574C">
              <w:rPr>
                <w:color w:val="auto"/>
                <w:sz w:val="12"/>
                <w:szCs w:val="12"/>
              </w:rPr>
              <w:t>10 260,00</w:t>
            </w:r>
          </w:p>
        </w:tc>
        <w:tc>
          <w:tcPr>
            <w:tcW w:w="824" w:type="dxa"/>
          </w:tcPr>
          <w:p w14:paraId="796648A5" w14:textId="77777777" w:rsidR="00722DA8" w:rsidRPr="00B2574C" w:rsidRDefault="00722DA8">
            <w:pPr>
              <w:pStyle w:val="Tabele"/>
              <w:jc w:val="right"/>
              <w:rPr>
                <w:color w:val="auto"/>
                <w:sz w:val="12"/>
                <w:szCs w:val="12"/>
                <w:highlight w:val="yellow"/>
              </w:rPr>
            </w:pPr>
            <w:r w:rsidRPr="00B2574C">
              <w:rPr>
                <w:color w:val="auto"/>
                <w:sz w:val="12"/>
                <w:szCs w:val="12"/>
              </w:rPr>
              <w:t>9 164,16</w:t>
            </w:r>
          </w:p>
        </w:tc>
        <w:tc>
          <w:tcPr>
            <w:tcW w:w="824" w:type="dxa"/>
          </w:tcPr>
          <w:p w14:paraId="63FDCE70" w14:textId="77777777" w:rsidR="00722DA8" w:rsidRPr="00B2574C" w:rsidRDefault="00722DA8">
            <w:pPr>
              <w:pStyle w:val="Tabele"/>
              <w:jc w:val="right"/>
              <w:rPr>
                <w:color w:val="auto"/>
                <w:sz w:val="12"/>
                <w:szCs w:val="12"/>
                <w:highlight w:val="yellow"/>
              </w:rPr>
            </w:pPr>
            <w:r w:rsidRPr="00B2574C">
              <w:rPr>
                <w:color w:val="auto"/>
                <w:sz w:val="12"/>
                <w:szCs w:val="12"/>
              </w:rPr>
              <w:t>8 304,10</w:t>
            </w:r>
          </w:p>
        </w:tc>
        <w:tc>
          <w:tcPr>
            <w:tcW w:w="694" w:type="dxa"/>
          </w:tcPr>
          <w:p w14:paraId="1AE57921" w14:textId="77777777" w:rsidR="00722DA8" w:rsidRPr="00B2574C" w:rsidRDefault="00722DA8">
            <w:pPr>
              <w:pStyle w:val="Tabele"/>
              <w:jc w:val="right"/>
              <w:rPr>
                <w:color w:val="auto"/>
                <w:sz w:val="12"/>
                <w:szCs w:val="12"/>
                <w:highlight w:val="yellow"/>
              </w:rPr>
            </w:pPr>
            <w:r w:rsidRPr="00B2574C">
              <w:rPr>
                <w:color w:val="auto"/>
                <w:sz w:val="12"/>
                <w:szCs w:val="12"/>
              </w:rPr>
              <w:t>7 404,60</w:t>
            </w:r>
          </w:p>
        </w:tc>
      </w:tr>
    </w:tbl>
    <w:p w14:paraId="1A93A0BD" w14:textId="77777777" w:rsidR="005C4144" w:rsidRPr="001F033C" w:rsidRDefault="005C4144" w:rsidP="005C4144">
      <w:pPr>
        <w:pStyle w:val="adnotacje"/>
        <w:rPr>
          <w:lang w:val="en-GB"/>
        </w:rPr>
      </w:pPr>
      <w:r w:rsidRPr="001F033C">
        <w:rPr>
          <w:lang w:val="en-GB"/>
        </w:rPr>
        <w:t>IE – „included elsewhere" (zawarto w 1A1aii)</w:t>
      </w:r>
    </w:p>
    <w:p w14:paraId="5D87CCEB" w14:textId="2C8A2F21" w:rsidR="005C4144" w:rsidRPr="00BB1158" w:rsidRDefault="005C4144" w:rsidP="00B2574C">
      <w:pPr>
        <w:pStyle w:val="Legenda"/>
      </w:pPr>
      <w:r w:rsidRPr="00BB1158">
        <w:t>Źródło: Opracowanie własne KOBIZE, IOŚ-PIB</w:t>
      </w:r>
    </w:p>
    <w:p w14:paraId="50D28F17" w14:textId="1A559378" w:rsidR="00202C09" w:rsidRDefault="00202C09" w:rsidP="00202C09">
      <w:r w:rsidRPr="00820E3A">
        <w:t xml:space="preserve">W latach objętych projekcjami prognozowany jest </w:t>
      </w:r>
      <w:r w:rsidRPr="0082549A">
        <w:rPr>
          <w:b/>
        </w:rPr>
        <w:t>bardzo duży spadek emisji gazów cieplarnianych ze spalania paliw</w:t>
      </w:r>
      <w:r w:rsidRPr="00820E3A">
        <w:t>, który w okresie 2020-2030 wyniesie blisko 36%, a </w:t>
      </w:r>
      <w:r w:rsidRPr="004B7924">
        <w:t xml:space="preserve">do </w:t>
      </w:r>
      <w:r w:rsidR="00F128CB">
        <w:t>2040 r.</w:t>
      </w:r>
      <w:r w:rsidRPr="004B7924">
        <w:t xml:space="preserve"> </w:t>
      </w:r>
      <w:r w:rsidR="004B7924" w:rsidRPr="004B7924">
        <w:t>70</w:t>
      </w:r>
      <w:r w:rsidRPr="004B7924">
        <w:t>%.</w:t>
      </w:r>
      <w:r w:rsidRPr="00820E3A">
        <w:t xml:space="preserve"> Największy wpływ na tę redukcję ma obniżenie emisji GHG w kategorii 1A1a Produkcja energii elektrycznej i ciepła. Przewidywany spadek </w:t>
      </w:r>
      <w:r>
        <w:t xml:space="preserve">emisji gazów cieplarnianych </w:t>
      </w:r>
      <w:r w:rsidRPr="00820E3A">
        <w:t xml:space="preserve">w tej kategorii wynosi prawie 50% w perspektywie do </w:t>
      </w:r>
      <w:r w:rsidR="00F128CB">
        <w:t>2030 r.</w:t>
      </w:r>
      <w:r w:rsidRPr="00820E3A">
        <w:t xml:space="preserve"> i</w:t>
      </w:r>
      <w:r w:rsidR="002A532C">
        <w:t xml:space="preserve"> </w:t>
      </w:r>
      <w:r w:rsidR="004D1612" w:rsidRPr="004D1612">
        <w:t>92</w:t>
      </w:r>
      <w:r w:rsidRPr="004D1612">
        <w:t xml:space="preserve">% do </w:t>
      </w:r>
      <w:r w:rsidR="00F128CB">
        <w:t>2040 r.</w:t>
      </w:r>
      <w:r w:rsidRPr="00820E3A">
        <w:t xml:space="preserve">, w stosunku do </w:t>
      </w:r>
      <w:r w:rsidR="00A16CDB">
        <w:t>2020 r.</w:t>
      </w:r>
      <w:r w:rsidRPr="00BF691D">
        <w:t xml:space="preserve"> Wynika to z ograniczenia zużycia paliw kopalnych w tym sektorze </w:t>
      </w:r>
      <w:r w:rsidRPr="00BF691D">
        <w:rPr>
          <w:rFonts w:ascii="Arial" w:hAnsi="Arial" w:cs="Arial"/>
        </w:rPr>
        <w:t>-</w:t>
      </w:r>
      <w:r w:rsidRPr="00BF691D">
        <w:t xml:space="preserve"> do </w:t>
      </w:r>
      <w:r w:rsidR="00F128CB">
        <w:t>2030 r.</w:t>
      </w:r>
      <w:r w:rsidRPr="00BF691D">
        <w:t xml:space="preserve"> spodziewane jest zmniejszenie zużycia węgla kamiennego o prawie 63%, </w:t>
      </w:r>
      <w:r w:rsidR="005507B0">
        <w:t>a</w:t>
      </w:r>
      <w:r w:rsidR="006E236D">
        <w:t> </w:t>
      </w:r>
      <w:r w:rsidRPr="00BF691D">
        <w:t xml:space="preserve">brunatnego o ok. </w:t>
      </w:r>
      <w:r w:rsidRPr="007E5817">
        <w:t>64%</w:t>
      </w:r>
      <w:r w:rsidR="00410BE5">
        <w:t xml:space="preserve">. Proces odchodzenia od wykorzystania tych paliw </w:t>
      </w:r>
      <w:r w:rsidR="00AB2A5C">
        <w:t xml:space="preserve">będzie kontynuowany aż do </w:t>
      </w:r>
      <w:r w:rsidR="00B6512D">
        <w:t>ich</w:t>
      </w:r>
      <w:r w:rsidR="00AB2A5C">
        <w:t xml:space="preserve"> całkowitego</w:t>
      </w:r>
      <w:r w:rsidRPr="00BF691D">
        <w:t xml:space="preserve"> </w:t>
      </w:r>
      <w:r w:rsidR="009A7239">
        <w:t>wycofania</w:t>
      </w:r>
      <w:r w:rsidRPr="007E5817">
        <w:t>.</w:t>
      </w:r>
      <w:r w:rsidRPr="00BF691D">
        <w:t xml:space="preserve"> W </w:t>
      </w:r>
      <w:r w:rsidRPr="007E5817">
        <w:t>20</w:t>
      </w:r>
      <w:r w:rsidR="00627256" w:rsidRPr="007E5817">
        <w:t>4</w:t>
      </w:r>
      <w:r w:rsidR="00BE2ED8">
        <w:t>0 r.</w:t>
      </w:r>
      <w:r w:rsidRPr="00BF691D">
        <w:t xml:space="preserve"> zakłada się możliwość wykorzystania technologii BECCS (Bio-Energy with Carbon Capture and Storage) w celu ograniczenia emisji gazów cieplarnianych, co skutkowałoby generowaniem emisji ujemnej CO</w:t>
      </w:r>
      <w:r w:rsidRPr="00BF691D">
        <w:rPr>
          <w:vertAlign w:val="subscript"/>
        </w:rPr>
        <w:t>2</w:t>
      </w:r>
      <w:r w:rsidRPr="00BF691D">
        <w:t>, ale ta metoda redukcji emisji nie została uwzględniona w</w:t>
      </w:r>
      <w:r w:rsidR="006E236D">
        <w:t> </w:t>
      </w:r>
      <w:r w:rsidRPr="00BF691D">
        <w:t xml:space="preserve">zamieszczonych danych. </w:t>
      </w:r>
      <w:r w:rsidRPr="00342A9A">
        <w:t>Znaczący spadek emisji GHG przewidywany jest też w kategorii 1A4b Gospodarstwa domowe, w latach 2020-2030 o ponad 50% a </w:t>
      </w:r>
      <w:r w:rsidRPr="00013CE6">
        <w:t>do 20</w:t>
      </w:r>
      <w:r w:rsidR="00627256" w:rsidRPr="00013CE6">
        <w:t>4</w:t>
      </w:r>
      <w:r w:rsidRPr="00013CE6">
        <w:t>0 o </w:t>
      </w:r>
      <w:r w:rsidR="00013CE6" w:rsidRPr="00013CE6">
        <w:t>85</w:t>
      </w:r>
      <w:r w:rsidRPr="00013CE6">
        <w:t>%.</w:t>
      </w:r>
      <w:r w:rsidRPr="00342A9A">
        <w:t xml:space="preserve"> Spadek emisji gazów cieplarnianych w tym sektorze ma być wynikiem ograniczenia zużycia paliw - głównie węgla kamiennego o ok. 70% do </w:t>
      </w:r>
      <w:r w:rsidR="00F128CB">
        <w:t>2030 r.</w:t>
      </w:r>
      <w:r w:rsidRPr="00342A9A">
        <w:t xml:space="preserve"> </w:t>
      </w:r>
      <w:r w:rsidRPr="001016A8">
        <w:t>oraz</w:t>
      </w:r>
      <w:r w:rsidR="00444FF0">
        <w:t xml:space="preserve"> docelowo</w:t>
      </w:r>
      <w:r w:rsidRPr="001016A8">
        <w:t> </w:t>
      </w:r>
      <w:r w:rsidR="0043604E">
        <w:t xml:space="preserve">do </w:t>
      </w:r>
      <w:r w:rsidRPr="001016A8">
        <w:t>całkowitego wyeliminowania tego paliwa.</w:t>
      </w:r>
      <w:r w:rsidRPr="00A067C0">
        <w:t xml:space="preserve"> </w:t>
      </w:r>
      <w:r>
        <w:t xml:space="preserve">Przewiduje się również ograniczenie zużycia gazu ziemnego w gospodarstwach domowych (o ok. 8% do </w:t>
      </w:r>
      <w:r w:rsidR="00F128CB">
        <w:t>2030 r.</w:t>
      </w:r>
      <w:r>
        <w:t xml:space="preserve"> i o </w:t>
      </w:r>
      <w:r w:rsidR="00A12C79">
        <w:t>ok.59</w:t>
      </w:r>
      <w:r w:rsidRPr="00A12C79">
        <w:t xml:space="preserve">% do </w:t>
      </w:r>
      <w:r w:rsidR="00F128CB">
        <w:t>2040 r.</w:t>
      </w:r>
      <w:r>
        <w:t xml:space="preserve"> w stosunku do </w:t>
      </w:r>
      <w:r w:rsidR="00A16CDB">
        <w:t>2020 r.</w:t>
      </w:r>
      <w:r>
        <w:t xml:space="preserve">). </w:t>
      </w:r>
      <w:r w:rsidRPr="00A067C0">
        <w:t xml:space="preserve">W sektorze </w:t>
      </w:r>
      <w:r w:rsidRPr="00A70629">
        <w:t>transportu w latach prognozy również obserwuje się znaczny spadek emisji gazów cieplarnianych wynikający ze zmniejszenia zużycia paliw kopalnych, w szczególności oleju napędowego (45% w perspektywie do 204</w:t>
      </w:r>
      <w:r w:rsidR="00BE2ED8">
        <w:t>0 r.</w:t>
      </w:r>
      <w:r w:rsidRPr="00A70629">
        <w:t>), gazu skroplonego LPG (55% do 204</w:t>
      </w:r>
      <w:r w:rsidR="00BE2ED8">
        <w:t>0 r.</w:t>
      </w:r>
      <w:r w:rsidRPr="00A70629">
        <w:t>) oraz benzyny (20% do 204</w:t>
      </w:r>
      <w:r w:rsidR="00BE2ED8">
        <w:t>0 r.</w:t>
      </w:r>
      <w:r w:rsidRPr="00A70629">
        <w:t>).</w:t>
      </w:r>
    </w:p>
    <w:p w14:paraId="043AD78F" w14:textId="56A155ED" w:rsidR="005C4144" w:rsidRDefault="00DA5E7D" w:rsidP="005C4144">
      <w:r>
        <w:lastRenderedPageBreak/>
        <w:t>W kolejnych tabelach (</w:t>
      </w:r>
      <w:r>
        <w:fldChar w:fldCharType="begin"/>
      </w:r>
      <w:r>
        <w:instrText xml:space="preserve"> REF _Ref156464697 \h </w:instrText>
      </w:r>
      <w:r>
        <w:fldChar w:fldCharType="separate"/>
      </w:r>
      <w:r w:rsidR="00F27D6F">
        <w:t xml:space="preserve">Tabela </w:t>
      </w:r>
      <w:r w:rsidR="00F27D6F">
        <w:rPr>
          <w:noProof/>
        </w:rPr>
        <w:t>1</w:t>
      </w:r>
      <w:r w:rsidR="00F27D6F">
        <w:t>.</w:t>
      </w:r>
      <w:r w:rsidR="00F27D6F">
        <w:rPr>
          <w:noProof/>
        </w:rPr>
        <w:t>4</w:t>
      </w:r>
      <w:r>
        <w:fldChar w:fldCharType="end"/>
      </w:r>
      <w:r>
        <w:t xml:space="preserve">; </w:t>
      </w:r>
      <w:r>
        <w:fldChar w:fldCharType="begin"/>
      </w:r>
      <w:r>
        <w:instrText xml:space="preserve"> REF _Ref200724017 \h </w:instrText>
      </w:r>
      <w:r>
        <w:fldChar w:fldCharType="separate"/>
      </w:r>
      <w:r w:rsidR="00F27D6F">
        <w:t xml:space="preserve">Tabela </w:t>
      </w:r>
      <w:r w:rsidR="00F27D6F">
        <w:rPr>
          <w:noProof/>
        </w:rPr>
        <w:t>1</w:t>
      </w:r>
      <w:r w:rsidR="00F27D6F">
        <w:t>.</w:t>
      </w:r>
      <w:r w:rsidR="00F27D6F">
        <w:rPr>
          <w:noProof/>
        </w:rPr>
        <w:t>5</w:t>
      </w:r>
      <w:r>
        <w:fldChar w:fldCharType="end"/>
      </w:r>
      <w:r>
        <w:t xml:space="preserve">; </w:t>
      </w:r>
      <w:r>
        <w:fldChar w:fldCharType="begin"/>
      </w:r>
      <w:r>
        <w:instrText xml:space="preserve"> REF _Ref200724787 \h </w:instrText>
      </w:r>
      <w:r>
        <w:fldChar w:fldCharType="separate"/>
      </w:r>
      <w:r w:rsidR="00F27D6F">
        <w:t xml:space="preserve">Tabela </w:t>
      </w:r>
      <w:r w:rsidR="00F27D6F">
        <w:rPr>
          <w:noProof/>
        </w:rPr>
        <w:t>1</w:t>
      </w:r>
      <w:r w:rsidR="00F27D6F">
        <w:t>.</w:t>
      </w:r>
      <w:r w:rsidR="00F27D6F">
        <w:rPr>
          <w:noProof/>
        </w:rPr>
        <w:t>6</w:t>
      </w:r>
      <w:r>
        <w:fldChar w:fldCharType="end"/>
      </w:r>
      <w:r>
        <w:t xml:space="preserve">) </w:t>
      </w:r>
      <w:r w:rsidR="005C4144" w:rsidRPr="00CC3622">
        <w:t>zaprezentowano wyniki prognozowanych dla lat 2025-20</w:t>
      </w:r>
      <w:r w:rsidR="00B46005">
        <w:t>4</w:t>
      </w:r>
      <w:r w:rsidR="005C4144" w:rsidRPr="00CC3622">
        <w:t>0 emisji gazów cieplarnianych w Polsce w poszczególnych sektorach i podsektorach, w zestawieniu z emisją w latach 2005-2020, wg gazów.</w:t>
      </w:r>
    </w:p>
    <w:p w14:paraId="34419B55" w14:textId="5CAA14F1" w:rsidR="005C4144" w:rsidRPr="002E7BD7" w:rsidRDefault="005C4144" w:rsidP="005C4144">
      <w:pPr>
        <w:pStyle w:val="Legenda"/>
      </w:pPr>
      <w:bookmarkStart w:id="35" w:name="_Ref156464697"/>
      <w:bookmarkStart w:id="36" w:name="_Ref195869288"/>
      <w:bookmarkStart w:id="37" w:name="_Toc167442082"/>
      <w:bookmarkStart w:id="38" w:name="_Toc171587163"/>
      <w:bookmarkStart w:id="39" w:name="_Toc174710947"/>
      <w:bookmarkStart w:id="40" w:name="_Toc202966949"/>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4</w:t>
      </w:r>
      <w:r w:rsidR="00653D9A">
        <w:rPr>
          <w:noProof/>
        </w:rPr>
        <w:fldChar w:fldCharType="end"/>
      </w:r>
      <w:bookmarkEnd w:id="35"/>
      <w:bookmarkEnd w:id="36"/>
      <w:r>
        <w:t>. Prognozowane emisje CO</w:t>
      </w:r>
      <w:r w:rsidRPr="00C80726">
        <w:rPr>
          <w:vertAlign w:val="subscript"/>
        </w:rPr>
        <w:t>2</w:t>
      </w:r>
      <w:r>
        <w:t>, dla scenariusza WAM</w:t>
      </w:r>
      <w:bookmarkEnd w:id="37"/>
      <w:bookmarkEnd w:id="38"/>
      <w:bookmarkEnd w:id="39"/>
      <w:bookmarkEnd w:id="40"/>
    </w:p>
    <w:tbl>
      <w:tblPr>
        <w:tblStyle w:val="KPEiK"/>
        <w:tblW w:w="5000" w:type="pct"/>
        <w:tblCellMar>
          <w:left w:w="28" w:type="dxa"/>
          <w:right w:w="28" w:type="dxa"/>
        </w:tblCellMar>
        <w:tblLook w:val="04A0" w:firstRow="1" w:lastRow="0" w:firstColumn="1" w:lastColumn="0" w:noHBand="0" w:noVBand="1"/>
      </w:tblPr>
      <w:tblGrid>
        <w:gridCol w:w="1306"/>
        <w:gridCol w:w="757"/>
        <w:gridCol w:w="800"/>
        <w:gridCol w:w="794"/>
        <w:gridCol w:w="864"/>
        <w:gridCol w:w="903"/>
        <w:gridCol w:w="904"/>
        <w:gridCol w:w="928"/>
        <w:gridCol w:w="890"/>
        <w:gridCol w:w="916"/>
      </w:tblGrid>
      <w:tr w:rsidR="00704C24" w:rsidRPr="00520300" w14:paraId="78FB0F3B" w14:textId="77777777" w:rsidTr="00881CAF">
        <w:trPr>
          <w:cnfStyle w:val="100000000000" w:firstRow="1" w:lastRow="0" w:firstColumn="0" w:lastColumn="0" w:oddVBand="0" w:evenVBand="0" w:oddHBand="0" w:evenHBand="0" w:firstRowFirstColumn="0" w:firstRowLastColumn="0" w:lastRowFirstColumn="0" w:lastRowLastColumn="0"/>
          <w:trHeight w:val="227"/>
          <w:tblHeader/>
        </w:trPr>
        <w:tc>
          <w:tcPr>
            <w:tcW w:w="1306" w:type="dxa"/>
            <w:vMerge w:val="restart"/>
          </w:tcPr>
          <w:p w14:paraId="53F0C9B2" w14:textId="77777777" w:rsidR="00704C24" w:rsidRPr="00520300" w:rsidRDefault="00704C24">
            <w:pPr>
              <w:pStyle w:val="Tabele"/>
              <w:jc w:val="center"/>
              <w:rPr>
                <w:sz w:val="12"/>
                <w:szCs w:val="12"/>
              </w:rPr>
            </w:pPr>
            <w:r w:rsidRPr="00520300">
              <w:rPr>
                <w:sz w:val="12"/>
                <w:szCs w:val="12"/>
              </w:rPr>
              <w:t>Sektor</w:t>
            </w:r>
          </w:p>
        </w:tc>
        <w:tc>
          <w:tcPr>
            <w:tcW w:w="7756" w:type="dxa"/>
            <w:gridSpan w:val="9"/>
          </w:tcPr>
          <w:p w14:paraId="53F9B0AA" w14:textId="77777777" w:rsidR="00704C24" w:rsidRPr="00520300" w:rsidRDefault="00704C24">
            <w:pPr>
              <w:pStyle w:val="Tabele"/>
              <w:jc w:val="center"/>
              <w:rPr>
                <w:b w:val="0"/>
                <w:sz w:val="12"/>
                <w:szCs w:val="12"/>
              </w:rPr>
            </w:pPr>
            <w:r w:rsidRPr="00520300">
              <w:rPr>
                <w:sz w:val="12"/>
                <w:szCs w:val="12"/>
              </w:rPr>
              <w:t>Emisje CO</w:t>
            </w:r>
            <w:r w:rsidRPr="00520300">
              <w:rPr>
                <w:sz w:val="12"/>
                <w:szCs w:val="12"/>
                <w:vertAlign w:val="subscript"/>
              </w:rPr>
              <w:t>2</w:t>
            </w:r>
            <w:r w:rsidRPr="00520300">
              <w:rPr>
                <w:sz w:val="12"/>
                <w:szCs w:val="12"/>
              </w:rPr>
              <w:t xml:space="preserve"> [kt]</w:t>
            </w:r>
          </w:p>
        </w:tc>
      </w:tr>
      <w:tr w:rsidR="001734F0" w:rsidRPr="00520300" w14:paraId="53FCDA35" w14:textId="77777777" w:rsidTr="00881CAF">
        <w:trPr>
          <w:cnfStyle w:val="100000000000" w:firstRow="1" w:lastRow="0" w:firstColumn="0" w:lastColumn="0" w:oddVBand="0" w:evenVBand="0" w:oddHBand="0" w:evenHBand="0" w:firstRowFirstColumn="0" w:firstRowLastColumn="0" w:lastRowFirstColumn="0" w:lastRowLastColumn="0"/>
          <w:trHeight w:val="227"/>
          <w:tblHeader/>
        </w:trPr>
        <w:tc>
          <w:tcPr>
            <w:tcW w:w="1306" w:type="dxa"/>
            <w:vMerge/>
          </w:tcPr>
          <w:p w14:paraId="52844C5C" w14:textId="77777777" w:rsidR="00704C24" w:rsidRPr="00520300" w:rsidRDefault="00704C24">
            <w:pPr>
              <w:pStyle w:val="Tabele"/>
              <w:jc w:val="center"/>
              <w:rPr>
                <w:sz w:val="12"/>
                <w:szCs w:val="12"/>
              </w:rPr>
            </w:pPr>
          </w:p>
        </w:tc>
        <w:tc>
          <w:tcPr>
            <w:tcW w:w="757" w:type="dxa"/>
          </w:tcPr>
          <w:p w14:paraId="38723E10" w14:textId="77777777" w:rsidR="00704C24" w:rsidRPr="00520300" w:rsidRDefault="00704C24">
            <w:pPr>
              <w:pStyle w:val="Tabele"/>
              <w:jc w:val="center"/>
              <w:rPr>
                <w:sz w:val="12"/>
                <w:szCs w:val="12"/>
              </w:rPr>
            </w:pPr>
            <w:r w:rsidRPr="00520300">
              <w:rPr>
                <w:sz w:val="12"/>
                <w:szCs w:val="12"/>
              </w:rPr>
              <w:t>1990</w:t>
            </w:r>
          </w:p>
        </w:tc>
        <w:tc>
          <w:tcPr>
            <w:tcW w:w="800" w:type="dxa"/>
          </w:tcPr>
          <w:p w14:paraId="11C3C116" w14:textId="77777777" w:rsidR="00704C24" w:rsidRPr="00520300" w:rsidRDefault="00704C24">
            <w:pPr>
              <w:pStyle w:val="Tabele"/>
              <w:jc w:val="center"/>
              <w:rPr>
                <w:sz w:val="12"/>
                <w:szCs w:val="12"/>
              </w:rPr>
            </w:pPr>
            <w:r w:rsidRPr="00520300">
              <w:rPr>
                <w:sz w:val="12"/>
                <w:szCs w:val="12"/>
              </w:rPr>
              <w:t>2005</w:t>
            </w:r>
          </w:p>
        </w:tc>
        <w:tc>
          <w:tcPr>
            <w:tcW w:w="794" w:type="dxa"/>
          </w:tcPr>
          <w:p w14:paraId="1DD3113B" w14:textId="77777777" w:rsidR="00704C24" w:rsidRPr="00520300" w:rsidRDefault="00704C24">
            <w:pPr>
              <w:pStyle w:val="Tabele"/>
              <w:jc w:val="center"/>
              <w:rPr>
                <w:sz w:val="12"/>
                <w:szCs w:val="12"/>
              </w:rPr>
            </w:pPr>
            <w:r w:rsidRPr="00520300">
              <w:rPr>
                <w:sz w:val="12"/>
                <w:szCs w:val="12"/>
              </w:rPr>
              <w:t>2010</w:t>
            </w:r>
          </w:p>
        </w:tc>
        <w:tc>
          <w:tcPr>
            <w:tcW w:w="864" w:type="dxa"/>
          </w:tcPr>
          <w:p w14:paraId="4548CCAA" w14:textId="77777777" w:rsidR="00704C24" w:rsidRPr="00520300" w:rsidRDefault="00704C24">
            <w:pPr>
              <w:pStyle w:val="Tabele"/>
              <w:jc w:val="center"/>
              <w:rPr>
                <w:sz w:val="12"/>
                <w:szCs w:val="12"/>
              </w:rPr>
            </w:pPr>
            <w:r w:rsidRPr="00520300">
              <w:rPr>
                <w:sz w:val="12"/>
                <w:szCs w:val="12"/>
              </w:rPr>
              <w:t>2015</w:t>
            </w:r>
          </w:p>
        </w:tc>
        <w:tc>
          <w:tcPr>
            <w:tcW w:w="903" w:type="dxa"/>
          </w:tcPr>
          <w:p w14:paraId="14E0737F" w14:textId="77777777" w:rsidR="00704C24" w:rsidRPr="00520300" w:rsidRDefault="00704C24">
            <w:pPr>
              <w:pStyle w:val="Tabele"/>
              <w:jc w:val="center"/>
              <w:rPr>
                <w:sz w:val="12"/>
                <w:szCs w:val="12"/>
              </w:rPr>
            </w:pPr>
            <w:r w:rsidRPr="00520300">
              <w:rPr>
                <w:sz w:val="12"/>
                <w:szCs w:val="12"/>
              </w:rPr>
              <w:t>2020</w:t>
            </w:r>
          </w:p>
        </w:tc>
        <w:tc>
          <w:tcPr>
            <w:tcW w:w="904" w:type="dxa"/>
          </w:tcPr>
          <w:p w14:paraId="01BB8B88" w14:textId="77777777" w:rsidR="00704C24" w:rsidRPr="00520300" w:rsidRDefault="00704C24">
            <w:pPr>
              <w:pStyle w:val="Tabele"/>
              <w:jc w:val="center"/>
              <w:rPr>
                <w:sz w:val="12"/>
                <w:szCs w:val="12"/>
              </w:rPr>
            </w:pPr>
            <w:r w:rsidRPr="00520300">
              <w:rPr>
                <w:sz w:val="12"/>
                <w:szCs w:val="12"/>
              </w:rPr>
              <w:t>2025</w:t>
            </w:r>
          </w:p>
        </w:tc>
        <w:tc>
          <w:tcPr>
            <w:tcW w:w="928" w:type="dxa"/>
          </w:tcPr>
          <w:p w14:paraId="12E4A352" w14:textId="77777777" w:rsidR="00704C24" w:rsidRPr="00520300" w:rsidRDefault="00704C24">
            <w:pPr>
              <w:pStyle w:val="Tabele"/>
              <w:jc w:val="center"/>
              <w:rPr>
                <w:sz w:val="12"/>
                <w:szCs w:val="12"/>
              </w:rPr>
            </w:pPr>
            <w:r w:rsidRPr="00520300">
              <w:rPr>
                <w:sz w:val="12"/>
                <w:szCs w:val="12"/>
              </w:rPr>
              <w:t>2030</w:t>
            </w:r>
          </w:p>
        </w:tc>
        <w:tc>
          <w:tcPr>
            <w:tcW w:w="890" w:type="dxa"/>
          </w:tcPr>
          <w:p w14:paraId="685A3C22" w14:textId="77777777" w:rsidR="00704C24" w:rsidRPr="00520300" w:rsidRDefault="00704C24">
            <w:pPr>
              <w:pStyle w:val="Tabele"/>
              <w:jc w:val="center"/>
              <w:rPr>
                <w:sz w:val="12"/>
                <w:szCs w:val="12"/>
              </w:rPr>
            </w:pPr>
            <w:r w:rsidRPr="00520300">
              <w:rPr>
                <w:sz w:val="12"/>
                <w:szCs w:val="12"/>
              </w:rPr>
              <w:t>2035</w:t>
            </w:r>
          </w:p>
        </w:tc>
        <w:tc>
          <w:tcPr>
            <w:tcW w:w="916" w:type="dxa"/>
          </w:tcPr>
          <w:p w14:paraId="68C1CFCC" w14:textId="77777777" w:rsidR="00704C24" w:rsidRPr="00520300" w:rsidRDefault="00704C24">
            <w:pPr>
              <w:pStyle w:val="Tabele"/>
              <w:jc w:val="center"/>
              <w:rPr>
                <w:sz w:val="12"/>
                <w:szCs w:val="12"/>
              </w:rPr>
            </w:pPr>
            <w:r w:rsidRPr="00520300">
              <w:rPr>
                <w:sz w:val="12"/>
                <w:szCs w:val="12"/>
              </w:rPr>
              <w:t>2040</w:t>
            </w:r>
          </w:p>
        </w:tc>
      </w:tr>
      <w:tr w:rsidR="00704C24" w:rsidRPr="00520300" w14:paraId="0F4F207D" w14:textId="77777777" w:rsidTr="00881CAF">
        <w:trPr>
          <w:trHeight w:val="227"/>
        </w:trPr>
        <w:tc>
          <w:tcPr>
            <w:tcW w:w="1306" w:type="dxa"/>
          </w:tcPr>
          <w:p w14:paraId="264BFF6B" w14:textId="77777777" w:rsidR="00704C24" w:rsidRPr="00704C24" w:rsidRDefault="00704C24">
            <w:pPr>
              <w:pStyle w:val="Tabele"/>
              <w:rPr>
                <w:color w:val="auto"/>
                <w:sz w:val="12"/>
                <w:szCs w:val="12"/>
              </w:rPr>
            </w:pPr>
            <w:r w:rsidRPr="00704C24">
              <w:rPr>
                <w:rFonts w:cs="Calibri"/>
                <w:b/>
                <w:bCs/>
                <w:color w:val="auto"/>
                <w:sz w:val="12"/>
                <w:szCs w:val="12"/>
              </w:rPr>
              <w:t xml:space="preserve">1. Energia </w:t>
            </w:r>
          </w:p>
        </w:tc>
        <w:tc>
          <w:tcPr>
            <w:tcW w:w="757" w:type="dxa"/>
            <w:shd w:val="clear" w:color="auto" w:fill="C5E0B3"/>
          </w:tcPr>
          <w:p w14:paraId="4C926F62" w14:textId="77777777" w:rsidR="00704C24" w:rsidRPr="00704C24" w:rsidRDefault="00704C24">
            <w:pPr>
              <w:pStyle w:val="Tabele"/>
              <w:jc w:val="right"/>
              <w:rPr>
                <w:rFonts w:cs="Calibri"/>
                <w:b/>
                <w:bCs/>
                <w:color w:val="auto"/>
                <w:sz w:val="12"/>
                <w:szCs w:val="12"/>
              </w:rPr>
            </w:pPr>
            <w:r w:rsidRPr="00704C24">
              <w:rPr>
                <w:b/>
                <w:color w:val="auto"/>
                <w:sz w:val="12"/>
                <w:szCs w:val="12"/>
              </w:rPr>
              <w:t>354 871,00</w:t>
            </w:r>
          </w:p>
        </w:tc>
        <w:tc>
          <w:tcPr>
            <w:tcW w:w="800" w:type="dxa"/>
            <w:shd w:val="clear" w:color="auto" w:fill="C5E0B3"/>
          </w:tcPr>
          <w:p w14:paraId="28C7CF54" w14:textId="77777777" w:rsidR="00704C24" w:rsidRPr="00704C24" w:rsidRDefault="00704C24">
            <w:pPr>
              <w:pStyle w:val="Tabele"/>
              <w:jc w:val="right"/>
              <w:rPr>
                <w:b/>
                <w:color w:val="auto"/>
                <w:sz w:val="12"/>
                <w:szCs w:val="12"/>
              </w:rPr>
            </w:pPr>
            <w:r w:rsidRPr="00704C24">
              <w:rPr>
                <w:b/>
                <w:color w:val="auto"/>
                <w:sz w:val="12"/>
                <w:szCs w:val="12"/>
              </w:rPr>
              <w:t>305 293,49</w:t>
            </w:r>
          </w:p>
        </w:tc>
        <w:tc>
          <w:tcPr>
            <w:tcW w:w="794" w:type="dxa"/>
            <w:shd w:val="clear" w:color="auto" w:fill="C5E0B3"/>
          </w:tcPr>
          <w:p w14:paraId="1469A35C" w14:textId="77777777" w:rsidR="00704C24" w:rsidRPr="00704C24" w:rsidRDefault="00704C24">
            <w:pPr>
              <w:pStyle w:val="Tabele"/>
              <w:jc w:val="right"/>
              <w:rPr>
                <w:b/>
                <w:color w:val="auto"/>
                <w:sz w:val="12"/>
                <w:szCs w:val="12"/>
              </w:rPr>
            </w:pPr>
            <w:r w:rsidRPr="00704C24">
              <w:rPr>
                <w:b/>
                <w:color w:val="auto"/>
                <w:sz w:val="12"/>
                <w:szCs w:val="12"/>
              </w:rPr>
              <w:t>316 849,77</w:t>
            </w:r>
          </w:p>
        </w:tc>
        <w:tc>
          <w:tcPr>
            <w:tcW w:w="864" w:type="dxa"/>
            <w:shd w:val="clear" w:color="auto" w:fill="C5E0B3"/>
          </w:tcPr>
          <w:p w14:paraId="33ACABBB" w14:textId="77777777" w:rsidR="00704C24" w:rsidRPr="00704C24" w:rsidRDefault="00704C24">
            <w:pPr>
              <w:pStyle w:val="Tabele"/>
              <w:jc w:val="right"/>
              <w:rPr>
                <w:b/>
                <w:color w:val="auto"/>
                <w:sz w:val="12"/>
                <w:szCs w:val="12"/>
              </w:rPr>
            </w:pPr>
            <w:r w:rsidRPr="00704C24">
              <w:rPr>
                <w:b/>
                <w:color w:val="auto"/>
                <w:sz w:val="12"/>
                <w:szCs w:val="12"/>
              </w:rPr>
              <w:t>293 504,51</w:t>
            </w:r>
          </w:p>
        </w:tc>
        <w:tc>
          <w:tcPr>
            <w:tcW w:w="903" w:type="dxa"/>
            <w:shd w:val="clear" w:color="auto" w:fill="C5E0B3"/>
          </w:tcPr>
          <w:p w14:paraId="0244FE54" w14:textId="77777777" w:rsidR="00704C24" w:rsidRPr="00704C24" w:rsidRDefault="00704C24">
            <w:pPr>
              <w:pStyle w:val="Tabele"/>
              <w:jc w:val="right"/>
              <w:rPr>
                <w:b/>
                <w:color w:val="auto"/>
                <w:sz w:val="12"/>
                <w:szCs w:val="12"/>
              </w:rPr>
            </w:pPr>
            <w:r w:rsidRPr="00704C24">
              <w:rPr>
                <w:b/>
                <w:color w:val="auto"/>
                <w:sz w:val="12"/>
                <w:szCs w:val="12"/>
              </w:rPr>
              <w:t>281 980,96</w:t>
            </w:r>
          </w:p>
        </w:tc>
        <w:tc>
          <w:tcPr>
            <w:tcW w:w="904" w:type="dxa"/>
          </w:tcPr>
          <w:p w14:paraId="2BDD8461" w14:textId="77777777" w:rsidR="00704C24" w:rsidRPr="00704C24" w:rsidRDefault="00704C24">
            <w:pPr>
              <w:pStyle w:val="Tabele"/>
              <w:jc w:val="right"/>
              <w:rPr>
                <w:b/>
                <w:bCs/>
                <w:color w:val="auto"/>
                <w:sz w:val="12"/>
                <w:szCs w:val="12"/>
                <w:highlight w:val="yellow"/>
              </w:rPr>
            </w:pPr>
            <w:r w:rsidRPr="00704C24">
              <w:rPr>
                <w:b/>
                <w:color w:val="auto"/>
                <w:sz w:val="12"/>
                <w:szCs w:val="12"/>
              </w:rPr>
              <w:t>253 070,50</w:t>
            </w:r>
          </w:p>
        </w:tc>
        <w:tc>
          <w:tcPr>
            <w:tcW w:w="928" w:type="dxa"/>
          </w:tcPr>
          <w:p w14:paraId="6C2C48FE" w14:textId="77777777" w:rsidR="00704C24" w:rsidRPr="00704C24" w:rsidRDefault="00704C24">
            <w:pPr>
              <w:pStyle w:val="Tabele"/>
              <w:jc w:val="right"/>
              <w:rPr>
                <w:b/>
                <w:bCs/>
                <w:color w:val="auto"/>
                <w:sz w:val="12"/>
                <w:szCs w:val="12"/>
                <w:highlight w:val="yellow"/>
              </w:rPr>
            </w:pPr>
            <w:r w:rsidRPr="00704C24">
              <w:rPr>
                <w:b/>
                <w:color w:val="auto"/>
                <w:sz w:val="12"/>
                <w:szCs w:val="12"/>
              </w:rPr>
              <w:t>182 351,21</w:t>
            </w:r>
          </w:p>
        </w:tc>
        <w:tc>
          <w:tcPr>
            <w:tcW w:w="890" w:type="dxa"/>
          </w:tcPr>
          <w:p w14:paraId="79F91B40" w14:textId="77777777" w:rsidR="00704C24" w:rsidRPr="00704C24" w:rsidRDefault="00704C24">
            <w:pPr>
              <w:pStyle w:val="Tabele"/>
              <w:jc w:val="right"/>
              <w:rPr>
                <w:b/>
                <w:bCs/>
                <w:color w:val="auto"/>
                <w:sz w:val="12"/>
                <w:szCs w:val="12"/>
                <w:highlight w:val="yellow"/>
              </w:rPr>
            </w:pPr>
            <w:r w:rsidRPr="00704C24">
              <w:rPr>
                <w:b/>
                <w:color w:val="auto"/>
                <w:sz w:val="12"/>
                <w:szCs w:val="12"/>
              </w:rPr>
              <w:t>125 660,34</w:t>
            </w:r>
          </w:p>
        </w:tc>
        <w:tc>
          <w:tcPr>
            <w:tcW w:w="916" w:type="dxa"/>
          </w:tcPr>
          <w:p w14:paraId="64976481" w14:textId="77777777" w:rsidR="00704C24" w:rsidRPr="00704C24" w:rsidRDefault="00704C24">
            <w:pPr>
              <w:pStyle w:val="Tabele"/>
              <w:jc w:val="right"/>
              <w:rPr>
                <w:b/>
                <w:bCs/>
                <w:color w:val="auto"/>
                <w:sz w:val="12"/>
                <w:szCs w:val="12"/>
                <w:highlight w:val="yellow"/>
              </w:rPr>
            </w:pPr>
            <w:r w:rsidRPr="00704C24">
              <w:rPr>
                <w:b/>
                <w:color w:val="auto"/>
                <w:sz w:val="12"/>
                <w:szCs w:val="12"/>
              </w:rPr>
              <w:t>87 700,80</w:t>
            </w:r>
          </w:p>
        </w:tc>
      </w:tr>
      <w:tr w:rsidR="00704C24" w:rsidRPr="00520300" w14:paraId="581C8582" w14:textId="77777777" w:rsidTr="00881CAF">
        <w:trPr>
          <w:trHeight w:val="227"/>
        </w:trPr>
        <w:tc>
          <w:tcPr>
            <w:tcW w:w="1306" w:type="dxa"/>
          </w:tcPr>
          <w:p w14:paraId="699E1002" w14:textId="77777777" w:rsidR="00704C24" w:rsidRPr="00704C24" w:rsidRDefault="00704C24">
            <w:pPr>
              <w:pStyle w:val="Tabele"/>
              <w:rPr>
                <w:b/>
                <w:color w:val="auto"/>
                <w:sz w:val="12"/>
                <w:szCs w:val="12"/>
              </w:rPr>
            </w:pPr>
            <w:r w:rsidRPr="00704C24">
              <w:rPr>
                <w:rFonts w:cs="Calibri"/>
                <w:color w:val="auto"/>
                <w:sz w:val="12"/>
                <w:szCs w:val="12"/>
              </w:rPr>
              <w:t xml:space="preserve">A. Spalanie paliw </w:t>
            </w:r>
          </w:p>
        </w:tc>
        <w:tc>
          <w:tcPr>
            <w:tcW w:w="757" w:type="dxa"/>
            <w:shd w:val="clear" w:color="auto" w:fill="C5E0B3"/>
          </w:tcPr>
          <w:p w14:paraId="6FD90A32" w14:textId="77777777" w:rsidR="00704C24" w:rsidRPr="00704C24" w:rsidRDefault="00704C24">
            <w:pPr>
              <w:pStyle w:val="Tabele"/>
              <w:jc w:val="right"/>
              <w:rPr>
                <w:rFonts w:cs="Calibri"/>
                <w:color w:val="auto"/>
                <w:sz w:val="12"/>
                <w:szCs w:val="12"/>
              </w:rPr>
            </w:pPr>
            <w:r w:rsidRPr="00704C24">
              <w:rPr>
                <w:color w:val="auto"/>
                <w:sz w:val="12"/>
                <w:szCs w:val="12"/>
              </w:rPr>
              <w:t>350 635,52</w:t>
            </w:r>
          </w:p>
        </w:tc>
        <w:tc>
          <w:tcPr>
            <w:tcW w:w="800" w:type="dxa"/>
            <w:shd w:val="clear" w:color="auto" w:fill="C5E0B3"/>
          </w:tcPr>
          <w:p w14:paraId="74690876" w14:textId="77777777" w:rsidR="00704C24" w:rsidRPr="00704C24" w:rsidRDefault="00704C24">
            <w:pPr>
              <w:pStyle w:val="Tabele"/>
              <w:jc w:val="right"/>
              <w:rPr>
                <w:color w:val="auto"/>
                <w:sz w:val="12"/>
                <w:szCs w:val="12"/>
              </w:rPr>
            </w:pPr>
            <w:r w:rsidRPr="00704C24">
              <w:rPr>
                <w:color w:val="auto"/>
                <w:sz w:val="12"/>
                <w:szCs w:val="12"/>
              </w:rPr>
              <w:t>301 906,40</w:t>
            </w:r>
          </w:p>
        </w:tc>
        <w:tc>
          <w:tcPr>
            <w:tcW w:w="794" w:type="dxa"/>
            <w:shd w:val="clear" w:color="auto" w:fill="C5E0B3"/>
          </w:tcPr>
          <w:p w14:paraId="7C769112" w14:textId="77777777" w:rsidR="00704C24" w:rsidRPr="00704C24" w:rsidRDefault="00704C24">
            <w:pPr>
              <w:pStyle w:val="Tabele"/>
              <w:jc w:val="right"/>
              <w:rPr>
                <w:color w:val="auto"/>
                <w:sz w:val="12"/>
                <w:szCs w:val="12"/>
              </w:rPr>
            </w:pPr>
            <w:r w:rsidRPr="00704C24">
              <w:rPr>
                <w:color w:val="auto"/>
                <w:sz w:val="12"/>
                <w:szCs w:val="12"/>
              </w:rPr>
              <w:t>313 360,97</w:t>
            </w:r>
          </w:p>
        </w:tc>
        <w:tc>
          <w:tcPr>
            <w:tcW w:w="864" w:type="dxa"/>
            <w:shd w:val="clear" w:color="auto" w:fill="C5E0B3"/>
          </w:tcPr>
          <w:p w14:paraId="6BA869A1" w14:textId="77777777" w:rsidR="00704C24" w:rsidRPr="00704C24" w:rsidRDefault="00704C24">
            <w:pPr>
              <w:pStyle w:val="Tabele"/>
              <w:jc w:val="right"/>
              <w:rPr>
                <w:color w:val="auto"/>
                <w:sz w:val="12"/>
                <w:szCs w:val="12"/>
              </w:rPr>
            </w:pPr>
            <w:r w:rsidRPr="00704C24">
              <w:rPr>
                <w:color w:val="auto"/>
                <w:sz w:val="12"/>
                <w:szCs w:val="12"/>
              </w:rPr>
              <w:t>288 757,65</w:t>
            </w:r>
          </w:p>
        </w:tc>
        <w:tc>
          <w:tcPr>
            <w:tcW w:w="903" w:type="dxa"/>
            <w:shd w:val="clear" w:color="auto" w:fill="C5E0B3"/>
          </w:tcPr>
          <w:p w14:paraId="36E93CB3" w14:textId="77777777" w:rsidR="00704C24" w:rsidRPr="00704C24" w:rsidRDefault="00704C24">
            <w:pPr>
              <w:pStyle w:val="Tabele"/>
              <w:jc w:val="right"/>
              <w:rPr>
                <w:color w:val="auto"/>
                <w:sz w:val="12"/>
                <w:szCs w:val="12"/>
              </w:rPr>
            </w:pPr>
            <w:r w:rsidRPr="00704C24">
              <w:rPr>
                <w:color w:val="auto"/>
                <w:sz w:val="12"/>
                <w:szCs w:val="12"/>
              </w:rPr>
              <w:t>277 755,91</w:t>
            </w:r>
          </w:p>
        </w:tc>
        <w:tc>
          <w:tcPr>
            <w:tcW w:w="904" w:type="dxa"/>
          </w:tcPr>
          <w:p w14:paraId="2CCA7891" w14:textId="77777777" w:rsidR="00704C24" w:rsidRPr="00704C24" w:rsidRDefault="00704C24">
            <w:pPr>
              <w:pStyle w:val="Tabele"/>
              <w:jc w:val="right"/>
              <w:rPr>
                <w:bCs/>
                <w:color w:val="auto"/>
                <w:sz w:val="12"/>
                <w:szCs w:val="12"/>
                <w:highlight w:val="yellow"/>
              </w:rPr>
            </w:pPr>
            <w:r w:rsidRPr="00704C24">
              <w:rPr>
                <w:color w:val="auto"/>
                <w:sz w:val="12"/>
                <w:szCs w:val="12"/>
              </w:rPr>
              <w:t>248 787,94</w:t>
            </w:r>
          </w:p>
        </w:tc>
        <w:tc>
          <w:tcPr>
            <w:tcW w:w="928" w:type="dxa"/>
          </w:tcPr>
          <w:p w14:paraId="6E802ED6" w14:textId="77777777" w:rsidR="00704C24" w:rsidRPr="00704C24" w:rsidRDefault="00704C24">
            <w:pPr>
              <w:pStyle w:val="Tabele"/>
              <w:jc w:val="right"/>
              <w:rPr>
                <w:bCs/>
                <w:color w:val="auto"/>
                <w:sz w:val="12"/>
                <w:szCs w:val="12"/>
                <w:highlight w:val="yellow"/>
              </w:rPr>
            </w:pPr>
            <w:r w:rsidRPr="00704C24">
              <w:rPr>
                <w:color w:val="auto"/>
                <w:sz w:val="12"/>
                <w:szCs w:val="12"/>
              </w:rPr>
              <w:t>177 984,60</w:t>
            </w:r>
          </w:p>
        </w:tc>
        <w:tc>
          <w:tcPr>
            <w:tcW w:w="890" w:type="dxa"/>
          </w:tcPr>
          <w:p w14:paraId="4691B19E" w14:textId="77777777" w:rsidR="00704C24" w:rsidRPr="00704C24" w:rsidRDefault="00704C24">
            <w:pPr>
              <w:pStyle w:val="Tabele"/>
              <w:jc w:val="right"/>
              <w:rPr>
                <w:bCs/>
                <w:color w:val="auto"/>
                <w:sz w:val="12"/>
                <w:szCs w:val="12"/>
                <w:highlight w:val="yellow"/>
              </w:rPr>
            </w:pPr>
            <w:r w:rsidRPr="00704C24">
              <w:rPr>
                <w:color w:val="auto"/>
                <w:sz w:val="12"/>
                <w:szCs w:val="12"/>
              </w:rPr>
              <w:t>121 262,80</w:t>
            </w:r>
          </w:p>
        </w:tc>
        <w:tc>
          <w:tcPr>
            <w:tcW w:w="916" w:type="dxa"/>
          </w:tcPr>
          <w:p w14:paraId="5E57C733" w14:textId="77777777" w:rsidR="00704C24" w:rsidRPr="00704C24" w:rsidRDefault="00704C24">
            <w:pPr>
              <w:pStyle w:val="Tabele"/>
              <w:jc w:val="right"/>
              <w:rPr>
                <w:bCs/>
                <w:color w:val="auto"/>
                <w:sz w:val="12"/>
                <w:szCs w:val="12"/>
                <w:highlight w:val="yellow"/>
              </w:rPr>
            </w:pPr>
            <w:r w:rsidRPr="00704C24">
              <w:rPr>
                <w:color w:val="auto"/>
                <w:sz w:val="12"/>
                <w:szCs w:val="12"/>
              </w:rPr>
              <w:t>83 295,12</w:t>
            </w:r>
          </w:p>
        </w:tc>
      </w:tr>
      <w:tr w:rsidR="00704C24" w:rsidRPr="00520300" w14:paraId="1CA74530" w14:textId="77777777" w:rsidTr="00881CAF">
        <w:trPr>
          <w:trHeight w:val="227"/>
        </w:trPr>
        <w:tc>
          <w:tcPr>
            <w:tcW w:w="1306" w:type="dxa"/>
          </w:tcPr>
          <w:p w14:paraId="593ABD4B" w14:textId="77777777" w:rsidR="00704C24" w:rsidRPr="00704C24" w:rsidRDefault="00704C24">
            <w:pPr>
              <w:pStyle w:val="Tabele"/>
              <w:rPr>
                <w:b/>
                <w:color w:val="auto"/>
                <w:sz w:val="12"/>
                <w:szCs w:val="12"/>
              </w:rPr>
            </w:pPr>
            <w:r w:rsidRPr="00704C24">
              <w:rPr>
                <w:rFonts w:cs="Calibri"/>
                <w:color w:val="auto"/>
                <w:sz w:val="12"/>
                <w:szCs w:val="12"/>
              </w:rPr>
              <w:t xml:space="preserve">1. Przemysły energetyczne </w:t>
            </w:r>
          </w:p>
        </w:tc>
        <w:tc>
          <w:tcPr>
            <w:tcW w:w="757" w:type="dxa"/>
            <w:shd w:val="clear" w:color="auto" w:fill="C5E0B3"/>
          </w:tcPr>
          <w:p w14:paraId="3D7CC3C2" w14:textId="77777777" w:rsidR="00704C24" w:rsidRPr="00704C24" w:rsidRDefault="00704C24">
            <w:pPr>
              <w:pStyle w:val="Tabele"/>
              <w:jc w:val="right"/>
              <w:rPr>
                <w:rFonts w:cs="Calibri"/>
                <w:color w:val="auto"/>
                <w:sz w:val="12"/>
                <w:szCs w:val="12"/>
              </w:rPr>
            </w:pPr>
            <w:r w:rsidRPr="00704C24">
              <w:rPr>
                <w:color w:val="auto"/>
                <w:sz w:val="12"/>
                <w:szCs w:val="12"/>
              </w:rPr>
              <w:t>234 294,46</w:t>
            </w:r>
          </w:p>
        </w:tc>
        <w:tc>
          <w:tcPr>
            <w:tcW w:w="800" w:type="dxa"/>
            <w:shd w:val="clear" w:color="auto" w:fill="C5E0B3"/>
          </w:tcPr>
          <w:p w14:paraId="766EB753" w14:textId="77777777" w:rsidR="00704C24" w:rsidRPr="00704C24" w:rsidRDefault="00704C24">
            <w:pPr>
              <w:pStyle w:val="Tabele"/>
              <w:jc w:val="right"/>
              <w:rPr>
                <w:color w:val="auto"/>
                <w:sz w:val="12"/>
                <w:szCs w:val="12"/>
              </w:rPr>
            </w:pPr>
            <w:r w:rsidRPr="00704C24">
              <w:rPr>
                <w:color w:val="auto"/>
                <w:sz w:val="12"/>
                <w:szCs w:val="12"/>
              </w:rPr>
              <w:t>177 651,35</w:t>
            </w:r>
          </w:p>
        </w:tc>
        <w:tc>
          <w:tcPr>
            <w:tcW w:w="794" w:type="dxa"/>
            <w:shd w:val="clear" w:color="auto" w:fill="C5E0B3"/>
          </w:tcPr>
          <w:p w14:paraId="107BE0CB" w14:textId="77777777" w:rsidR="00704C24" w:rsidRPr="00704C24" w:rsidRDefault="00704C24">
            <w:pPr>
              <w:pStyle w:val="Tabele"/>
              <w:jc w:val="right"/>
              <w:rPr>
                <w:color w:val="auto"/>
                <w:sz w:val="12"/>
                <w:szCs w:val="12"/>
              </w:rPr>
            </w:pPr>
            <w:r w:rsidRPr="00704C24">
              <w:rPr>
                <w:color w:val="auto"/>
                <w:sz w:val="12"/>
                <w:szCs w:val="12"/>
              </w:rPr>
              <w:t>172 795,91</w:t>
            </w:r>
          </w:p>
        </w:tc>
        <w:tc>
          <w:tcPr>
            <w:tcW w:w="864" w:type="dxa"/>
            <w:shd w:val="clear" w:color="auto" w:fill="C5E0B3"/>
          </w:tcPr>
          <w:p w14:paraId="7B6B861D" w14:textId="77777777" w:rsidR="00704C24" w:rsidRPr="00704C24" w:rsidRDefault="00704C24">
            <w:pPr>
              <w:pStyle w:val="Tabele"/>
              <w:jc w:val="right"/>
              <w:rPr>
                <w:color w:val="auto"/>
                <w:sz w:val="12"/>
                <w:szCs w:val="12"/>
              </w:rPr>
            </w:pPr>
            <w:r w:rsidRPr="00704C24">
              <w:rPr>
                <w:color w:val="auto"/>
                <w:sz w:val="12"/>
                <w:szCs w:val="12"/>
              </w:rPr>
              <w:t>162 990,16</w:t>
            </w:r>
          </w:p>
        </w:tc>
        <w:tc>
          <w:tcPr>
            <w:tcW w:w="903" w:type="dxa"/>
            <w:shd w:val="clear" w:color="auto" w:fill="C5E0B3"/>
          </w:tcPr>
          <w:p w14:paraId="6704F37B" w14:textId="77777777" w:rsidR="00704C24" w:rsidRPr="00704C24" w:rsidRDefault="00704C24">
            <w:pPr>
              <w:pStyle w:val="Tabele"/>
              <w:jc w:val="right"/>
              <w:rPr>
                <w:color w:val="auto"/>
                <w:sz w:val="12"/>
                <w:szCs w:val="12"/>
              </w:rPr>
            </w:pPr>
            <w:r w:rsidRPr="00704C24">
              <w:rPr>
                <w:color w:val="auto"/>
                <w:sz w:val="12"/>
                <w:szCs w:val="12"/>
              </w:rPr>
              <w:t>138 993,06</w:t>
            </w:r>
          </w:p>
        </w:tc>
        <w:tc>
          <w:tcPr>
            <w:tcW w:w="904" w:type="dxa"/>
          </w:tcPr>
          <w:p w14:paraId="43FD93B8" w14:textId="77777777" w:rsidR="00704C24" w:rsidRPr="00704C24" w:rsidRDefault="00704C24">
            <w:pPr>
              <w:pStyle w:val="Tabele"/>
              <w:jc w:val="right"/>
              <w:rPr>
                <w:b/>
                <w:bCs/>
                <w:color w:val="auto"/>
                <w:sz w:val="12"/>
                <w:szCs w:val="12"/>
                <w:highlight w:val="yellow"/>
              </w:rPr>
            </w:pPr>
            <w:r w:rsidRPr="00704C24">
              <w:rPr>
                <w:color w:val="auto"/>
                <w:sz w:val="12"/>
                <w:szCs w:val="12"/>
              </w:rPr>
              <w:t>119 095,94</w:t>
            </w:r>
          </w:p>
        </w:tc>
        <w:tc>
          <w:tcPr>
            <w:tcW w:w="928" w:type="dxa"/>
          </w:tcPr>
          <w:p w14:paraId="7218D21B" w14:textId="77777777" w:rsidR="00704C24" w:rsidRPr="00704C24" w:rsidRDefault="00704C24">
            <w:pPr>
              <w:pStyle w:val="Tabele"/>
              <w:jc w:val="right"/>
              <w:rPr>
                <w:b/>
                <w:bCs/>
                <w:color w:val="auto"/>
                <w:sz w:val="12"/>
                <w:szCs w:val="12"/>
                <w:highlight w:val="yellow"/>
              </w:rPr>
            </w:pPr>
            <w:r w:rsidRPr="00704C24">
              <w:rPr>
                <w:color w:val="auto"/>
                <w:sz w:val="12"/>
                <w:szCs w:val="12"/>
              </w:rPr>
              <w:t>71 849,21</w:t>
            </w:r>
          </w:p>
        </w:tc>
        <w:tc>
          <w:tcPr>
            <w:tcW w:w="890" w:type="dxa"/>
          </w:tcPr>
          <w:p w14:paraId="3D4154F6" w14:textId="77777777" w:rsidR="00704C24" w:rsidRPr="00704C24" w:rsidRDefault="00704C24">
            <w:pPr>
              <w:pStyle w:val="Tabele"/>
              <w:jc w:val="right"/>
              <w:rPr>
                <w:b/>
                <w:bCs/>
                <w:color w:val="auto"/>
                <w:sz w:val="12"/>
                <w:szCs w:val="12"/>
                <w:highlight w:val="yellow"/>
              </w:rPr>
            </w:pPr>
            <w:r w:rsidRPr="00704C24">
              <w:rPr>
                <w:color w:val="auto"/>
                <w:sz w:val="12"/>
                <w:szCs w:val="12"/>
              </w:rPr>
              <w:t>35 055,20</w:t>
            </w:r>
          </w:p>
        </w:tc>
        <w:tc>
          <w:tcPr>
            <w:tcW w:w="916" w:type="dxa"/>
          </w:tcPr>
          <w:p w14:paraId="0E6544A7" w14:textId="77777777" w:rsidR="00704C24" w:rsidRPr="00704C24" w:rsidRDefault="00704C24">
            <w:pPr>
              <w:pStyle w:val="Tabele"/>
              <w:jc w:val="right"/>
              <w:rPr>
                <w:b/>
                <w:bCs/>
                <w:color w:val="auto"/>
                <w:sz w:val="12"/>
                <w:szCs w:val="12"/>
                <w:highlight w:val="yellow"/>
              </w:rPr>
            </w:pPr>
            <w:r w:rsidRPr="00704C24">
              <w:rPr>
                <w:color w:val="auto"/>
                <w:sz w:val="12"/>
                <w:szCs w:val="12"/>
              </w:rPr>
              <w:t>13 517,58</w:t>
            </w:r>
          </w:p>
        </w:tc>
      </w:tr>
      <w:tr w:rsidR="00704C24" w:rsidRPr="00520300" w14:paraId="4689637C" w14:textId="77777777" w:rsidTr="00881CAF">
        <w:trPr>
          <w:trHeight w:val="227"/>
        </w:trPr>
        <w:tc>
          <w:tcPr>
            <w:tcW w:w="1306" w:type="dxa"/>
          </w:tcPr>
          <w:p w14:paraId="5815F876" w14:textId="77777777" w:rsidR="00704C24" w:rsidRPr="00704C24" w:rsidRDefault="00704C24">
            <w:pPr>
              <w:pStyle w:val="Tabele"/>
              <w:rPr>
                <w:b/>
                <w:color w:val="auto"/>
                <w:sz w:val="12"/>
                <w:szCs w:val="12"/>
              </w:rPr>
            </w:pPr>
            <w:r w:rsidRPr="00704C24">
              <w:rPr>
                <w:rFonts w:cs="Calibri"/>
                <w:color w:val="auto"/>
                <w:sz w:val="12"/>
                <w:szCs w:val="12"/>
              </w:rPr>
              <w:t xml:space="preserve">2. Przemysł wytwórczy i budownictwo </w:t>
            </w:r>
          </w:p>
        </w:tc>
        <w:tc>
          <w:tcPr>
            <w:tcW w:w="757" w:type="dxa"/>
            <w:shd w:val="clear" w:color="auto" w:fill="C5E0B3"/>
          </w:tcPr>
          <w:p w14:paraId="5DE99F48" w14:textId="77777777" w:rsidR="00704C24" w:rsidRPr="00704C24" w:rsidRDefault="00704C24">
            <w:pPr>
              <w:pStyle w:val="Tabele"/>
              <w:jc w:val="right"/>
              <w:rPr>
                <w:rFonts w:cs="Calibri"/>
                <w:color w:val="auto"/>
                <w:sz w:val="12"/>
                <w:szCs w:val="12"/>
              </w:rPr>
            </w:pPr>
            <w:r w:rsidRPr="00704C24">
              <w:rPr>
                <w:color w:val="auto"/>
                <w:sz w:val="12"/>
                <w:szCs w:val="12"/>
              </w:rPr>
              <w:t>42 621,39</w:t>
            </w:r>
          </w:p>
        </w:tc>
        <w:tc>
          <w:tcPr>
            <w:tcW w:w="800" w:type="dxa"/>
            <w:shd w:val="clear" w:color="auto" w:fill="C5E0B3"/>
          </w:tcPr>
          <w:p w14:paraId="669073E2" w14:textId="77777777" w:rsidR="00704C24" w:rsidRPr="00704C24" w:rsidRDefault="00704C24">
            <w:pPr>
              <w:pStyle w:val="Tabele"/>
              <w:jc w:val="right"/>
              <w:rPr>
                <w:color w:val="auto"/>
                <w:sz w:val="12"/>
                <w:szCs w:val="12"/>
              </w:rPr>
            </w:pPr>
            <w:r w:rsidRPr="00704C24">
              <w:rPr>
                <w:color w:val="auto"/>
                <w:sz w:val="12"/>
                <w:szCs w:val="12"/>
              </w:rPr>
              <w:t>33 669,65</w:t>
            </w:r>
          </w:p>
        </w:tc>
        <w:tc>
          <w:tcPr>
            <w:tcW w:w="794" w:type="dxa"/>
            <w:shd w:val="clear" w:color="auto" w:fill="C5E0B3"/>
          </w:tcPr>
          <w:p w14:paraId="4EBA8010" w14:textId="77777777" w:rsidR="00704C24" w:rsidRPr="00704C24" w:rsidRDefault="00704C24">
            <w:pPr>
              <w:pStyle w:val="Tabele"/>
              <w:jc w:val="right"/>
              <w:rPr>
                <w:color w:val="auto"/>
                <w:sz w:val="12"/>
                <w:szCs w:val="12"/>
              </w:rPr>
            </w:pPr>
            <w:r w:rsidRPr="00704C24">
              <w:rPr>
                <w:color w:val="auto"/>
                <w:sz w:val="12"/>
                <w:szCs w:val="12"/>
              </w:rPr>
              <w:t>29 402,61</w:t>
            </w:r>
          </w:p>
        </w:tc>
        <w:tc>
          <w:tcPr>
            <w:tcW w:w="864" w:type="dxa"/>
            <w:shd w:val="clear" w:color="auto" w:fill="C5E0B3"/>
          </w:tcPr>
          <w:p w14:paraId="63CFD348" w14:textId="77777777" w:rsidR="00704C24" w:rsidRPr="00704C24" w:rsidRDefault="00704C24">
            <w:pPr>
              <w:pStyle w:val="Tabele"/>
              <w:jc w:val="right"/>
              <w:rPr>
                <w:color w:val="auto"/>
                <w:sz w:val="12"/>
                <w:szCs w:val="12"/>
              </w:rPr>
            </w:pPr>
            <w:r w:rsidRPr="00704C24">
              <w:rPr>
                <w:color w:val="auto"/>
                <w:sz w:val="12"/>
                <w:szCs w:val="12"/>
              </w:rPr>
              <w:t>27 703,78</w:t>
            </w:r>
          </w:p>
        </w:tc>
        <w:tc>
          <w:tcPr>
            <w:tcW w:w="903" w:type="dxa"/>
            <w:shd w:val="clear" w:color="auto" w:fill="C5E0B3"/>
          </w:tcPr>
          <w:p w14:paraId="36E95975" w14:textId="77777777" w:rsidR="00704C24" w:rsidRPr="00704C24" w:rsidRDefault="00704C24">
            <w:pPr>
              <w:pStyle w:val="Tabele"/>
              <w:jc w:val="right"/>
              <w:rPr>
                <w:color w:val="auto"/>
                <w:sz w:val="12"/>
                <w:szCs w:val="12"/>
              </w:rPr>
            </w:pPr>
            <w:r w:rsidRPr="00704C24">
              <w:rPr>
                <w:color w:val="auto"/>
                <w:sz w:val="12"/>
                <w:szCs w:val="12"/>
              </w:rPr>
              <w:t>28 596,72</w:t>
            </w:r>
          </w:p>
        </w:tc>
        <w:tc>
          <w:tcPr>
            <w:tcW w:w="904" w:type="dxa"/>
          </w:tcPr>
          <w:p w14:paraId="3119B15A" w14:textId="77777777" w:rsidR="00704C24" w:rsidRPr="00704C24" w:rsidRDefault="00704C24">
            <w:pPr>
              <w:pStyle w:val="Tabele"/>
              <w:jc w:val="right"/>
              <w:rPr>
                <w:b/>
                <w:bCs/>
                <w:color w:val="auto"/>
                <w:sz w:val="12"/>
                <w:szCs w:val="12"/>
                <w:highlight w:val="yellow"/>
              </w:rPr>
            </w:pPr>
            <w:r w:rsidRPr="00704C24">
              <w:rPr>
                <w:color w:val="auto"/>
                <w:sz w:val="12"/>
                <w:szCs w:val="12"/>
              </w:rPr>
              <w:t>27 208,95</w:t>
            </w:r>
          </w:p>
        </w:tc>
        <w:tc>
          <w:tcPr>
            <w:tcW w:w="928" w:type="dxa"/>
          </w:tcPr>
          <w:p w14:paraId="41B586FD" w14:textId="77777777" w:rsidR="00704C24" w:rsidRPr="00704C24" w:rsidRDefault="00704C24">
            <w:pPr>
              <w:pStyle w:val="Tabele"/>
              <w:jc w:val="right"/>
              <w:rPr>
                <w:b/>
                <w:bCs/>
                <w:color w:val="auto"/>
                <w:sz w:val="12"/>
                <w:szCs w:val="12"/>
                <w:highlight w:val="yellow"/>
              </w:rPr>
            </w:pPr>
            <w:r w:rsidRPr="00704C24">
              <w:rPr>
                <w:color w:val="auto"/>
                <w:sz w:val="12"/>
                <w:szCs w:val="12"/>
              </w:rPr>
              <w:t>21 091,53</w:t>
            </w:r>
          </w:p>
        </w:tc>
        <w:tc>
          <w:tcPr>
            <w:tcW w:w="890" w:type="dxa"/>
          </w:tcPr>
          <w:p w14:paraId="6C0861B6" w14:textId="77777777" w:rsidR="00704C24" w:rsidRPr="00704C24" w:rsidRDefault="00704C24">
            <w:pPr>
              <w:pStyle w:val="Tabele"/>
              <w:jc w:val="right"/>
              <w:rPr>
                <w:b/>
                <w:bCs/>
                <w:color w:val="auto"/>
                <w:sz w:val="12"/>
                <w:szCs w:val="12"/>
                <w:highlight w:val="yellow"/>
              </w:rPr>
            </w:pPr>
            <w:r w:rsidRPr="00704C24">
              <w:rPr>
                <w:color w:val="auto"/>
                <w:sz w:val="12"/>
                <w:szCs w:val="12"/>
              </w:rPr>
              <w:t>16 838,47</w:t>
            </w:r>
          </w:p>
        </w:tc>
        <w:tc>
          <w:tcPr>
            <w:tcW w:w="916" w:type="dxa"/>
          </w:tcPr>
          <w:p w14:paraId="1899801A" w14:textId="77777777" w:rsidR="00704C24" w:rsidRPr="00704C24" w:rsidRDefault="00704C24">
            <w:pPr>
              <w:pStyle w:val="Tabele"/>
              <w:jc w:val="right"/>
              <w:rPr>
                <w:b/>
                <w:bCs/>
                <w:color w:val="auto"/>
                <w:sz w:val="12"/>
                <w:szCs w:val="12"/>
                <w:highlight w:val="yellow"/>
              </w:rPr>
            </w:pPr>
            <w:r w:rsidRPr="00704C24">
              <w:rPr>
                <w:color w:val="auto"/>
                <w:sz w:val="12"/>
                <w:szCs w:val="12"/>
              </w:rPr>
              <w:t>12 690,19</w:t>
            </w:r>
          </w:p>
        </w:tc>
      </w:tr>
      <w:tr w:rsidR="00704C24" w:rsidRPr="00520300" w14:paraId="02B72C46" w14:textId="77777777" w:rsidTr="00881CAF">
        <w:trPr>
          <w:trHeight w:val="227"/>
        </w:trPr>
        <w:tc>
          <w:tcPr>
            <w:tcW w:w="1306" w:type="dxa"/>
          </w:tcPr>
          <w:p w14:paraId="1FBA55C7" w14:textId="77777777" w:rsidR="00704C24" w:rsidRPr="00704C24" w:rsidRDefault="00704C24">
            <w:pPr>
              <w:pStyle w:val="Tabele"/>
              <w:rPr>
                <w:b/>
                <w:color w:val="auto"/>
                <w:sz w:val="12"/>
                <w:szCs w:val="12"/>
              </w:rPr>
            </w:pPr>
            <w:r w:rsidRPr="00704C24">
              <w:rPr>
                <w:rFonts w:cs="Calibri"/>
                <w:color w:val="auto"/>
                <w:sz w:val="12"/>
                <w:szCs w:val="12"/>
              </w:rPr>
              <w:t xml:space="preserve">3. Transport </w:t>
            </w:r>
          </w:p>
        </w:tc>
        <w:tc>
          <w:tcPr>
            <w:tcW w:w="757" w:type="dxa"/>
            <w:shd w:val="clear" w:color="auto" w:fill="C5E0B3"/>
          </w:tcPr>
          <w:p w14:paraId="4A7982F1" w14:textId="77777777" w:rsidR="00704C24" w:rsidRPr="00704C24" w:rsidRDefault="00704C24">
            <w:pPr>
              <w:pStyle w:val="Tabele"/>
              <w:jc w:val="right"/>
              <w:rPr>
                <w:rFonts w:cs="Calibri"/>
                <w:color w:val="auto"/>
                <w:sz w:val="12"/>
                <w:szCs w:val="12"/>
              </w:rPr>
            </w:pPr>
            <w:r w:rsidRPr="00704C24">
              <w:rPr>
                <w:color w:val="auto"/>
                <w:sz w:val="12"/>
                <w:szCs w:val="12"/>
              </w:rPr>
              <w:t>20 277,37</w:t>
            </w:r>
          </w:p>
        </w:tc>
        <w:tc>
          <w:tcPr>
            <w:tcW w:w="800" w:type="dxa"/>
            <w:shd w:val="clear" w:color="auto" w:fill="C5E0B3"/>
          </w:tcPr>
          <w:p w14:paraId="32A1349D" w14:textId="77777777" w:rsidR="00704C24" w:rsidRPr="00704C24" w:rsidRDefault="00704C24">
            <w:pPr>
              <w:pStyle w:val="Tabele"/>
              <w:jc w:val="right"/>
              <w:rPr>
                <w:color w:val="auto"/>
                <w:sz w:val="12"/>
                <w:szCs w:val="12"/>
              </w:rPr>
            </w:pPr>
            <w:r w:rsidRPr="00704C24">
              <w:rPr>
                <w:color w:val="auto"/>
                <w:sz w:val="12"/>
                <w:szCs w:val="12"/>
              </w:rPr>
              <w:t>35 632,66</w:t>
            </w:r>
          </w:p>
        </w:tc>
        <w:tc>
          <w:tcPr>
            <w:tcW w:w="794" w:type="dxa"/>
            <w:shd w:val="clear" w:color="auto" w:fill="C5E0B3"/>
          </w:tcPr>
          <w:p w14:paraId="6D6C3570" w14:textId="77777777" w:rsidR="00704C24" w:rsidRPr="00704C24" w:rsidRDefault="00704C24">
            <w:pPr>
              <w:pStyle w:val="Tabele"/>
              <w:jc w:val="right"/>
              <w:rPr>
                <w:color w:val="auto"/>
                <w:sz w:val="12"/>
                <w:szCs w:val="12"/>
              </w:rPr>
            </w:pPr>
            <w:r w:rsidRPr="00704C24">
              <w:rPr>
                <w:color w:val="auto"/>
                <w:sz w:val="12"/>
                <w:szCs w:val="12"/>
              </w:rPr>
              <w:t>48 764,58</w:t>
            </w:r>
          </w:p>
        </w:tc>
        <w:tc>
          <w:tcPr>
            <w:tcW w:w="864" w:type="dxa"/>
            <w:shd w:val="clear" w:color="auto" w:fill="C5E0B3"/>
          </w:tcPr>
          <w:p w14:paraId="6B4AF1B0" w14:textId="77777777" w:rsidR="00704C24" w:rsidRPr="00704C24" w:rsidRDefault="00704C24">
            <w:pPr>
              <w:pStyle w:val="Tabele"/>
              <w:jc w:val="right"/>
              <w:rPr>
                <w:color w:val="auto"/>
                <w:sz w:val="12"/>
                <w:szCs w:val="12"/>
              </w:rPr>
            </w:pPr>
            <w:r w:rsidRPr="00704C24">
              <w:rPr>
                <w:color w:val="auto"/>
                <w:sz w:val="12"/>
                <w:szCs w:val="12"/>
              </w:rPr>
              <w:t>47 458,18</w:t>
            </w:r>
          </w:p>
        </w:tc>
        <w:tc>
          <w:tcPr>
            <w:tcW w:w="903" w:type="dxa"/>
            <w:shd w:val="clear" w:color="auto" w:fill="C5E0B3"/>
          </w:tcPr>
          <w:p w14:paraId="3526CB46" w14:textId="77777777" w:rsidR="00704C24" w:rsidRPr="00704C24" w:rsidRDefault="00704C24">
            <w:pPr>
              <w:pStyle w:val="Tabele"/>
              <w:jc w:val="right"/>
              <w:rPr>
                <w:color w:val="auto"/>
                <w:sz w:val="12"/>
                <w:szCs w:val="12"/>
              </w:rPr>
            </w:pPr>
            <w:r w:rsidRPr="00704C24">
              <w:rPr>
                <w:color w:val="auto"/>
                <w:sz w:val="12"/>
                <w:szCs w:val="12"/>
              </w:rPr>
              <w:t>62 374,18</w:t>
            </w:r>
          </w:p>
        </w:tc>
        <w:tc>
          <w:tcPr>
            <w:tcW w:w="904" w:type="dxa"/>
          </w:tcPr>
          <w:p w14:paraId="2C510A48" w14:textId="77777777" w:rsidR="00704C24" w:rsidRPr="00704C24" w:rsidRDefault="00704C24">
            <w:pPr>
              <w:pStyle w:val="Tabele"/>
              <w:jc w:val="right"/>
              <w:rPr>
                <w:b/>
                <w:bCs/>
                <w:color w:val="auto"/>
                <w:sz w:val="12"/>
                <w:szCs w:val="12"/>
                <w:highlight w:val="yellow"/>
              </w:rPr>
            </w:pPr>
            <w:r w:rsidRPr="00704C24">
              <w:rPr>
                <w:color w:val="auto"/>
                <w:sz w:val="12"/>
                <w:szCs w:val="12"/>
              </w:rPr>
              <w:t>64 258,25</w:t>
            </w:r>
          </w:p>
        </w:tc>
        <w:tc>
          <w:tcPr>
            <w:tcW w:w="928" w:type="dxa"/>
          </w:tcPr>
          <w:p w14:paraId="3C043B6E" w14:textId="77777777" w:rsidR="00704C24" w:rsidRPr="00704C24" w:rsidRDefault="00704C24">
            <w:pPr>
              <w:pStyle w:val="Tabele"/>
              <w:jc w:val="right"/>
              <w:rPr>
                <w:b/>
                <w:bCs/>
                <w:color w:val="auto"/>
                <w:sz w:val="12"/>
                <w:szCs w:val="12"/>
                <w:highlight w:val="yellow"/>
              </w:rPr>
            </w:pPr>
            <w:r w:rsidRPr="00704C24">
              <w:rPr>
                <w:color w:val="auto"/>
                <w:sz w:val="12"/>
                <w:szCs w:val="12"/>
              </w:rPr>
              <w:t>57 530,45</w:t>
            </w:r>
          </w:p>
        </w:tc>
        <w:tc>
          <w:tcPr>
            <w:tcW w:w="890" w:type="dxa"/>
          </w:tcPr>
          <w:p w14:paraId="0968CB8C" w14:textId="77777777" w:rsidR="00704C24" w:rsidRPr="00704C24" w:rsidRDefault="00704C24">
            <w:pPr>
              <w:pStyle w:val="Tabele"/>
              <w:jc w:val="right"/>
              <w:rPr>
                <w:b/>
                <w:bCs/>
                <w:color w:val="auto"/>
                <w:sz w:val="12"/>
                <w:szCs w:val="12"/>
                <w:highlight w:val="yellow"/>
              </w:rPr>
            </w:pPr>
            <w:r w:rsidRPr="00704C24">
              <w:rPr>
                <w:color w:val="auto"/>
                <w:sz w:val="12"/>
                <w:szCs w:val="12"/>
              </w:rPr>
              <w:t>51 358,53</w:t>
            </w:r>
          </w:p>
        </w:tc>
        <w:tc>
          <w:tcPr>
            <w:tcW w:w="916" w:type="dxa"/>
          </w:tcPr>
          <w:p w14:paraId="14557282" w14:textId="77777777" w:rsidR="00704C24" w:rsidRPr="00704C24" w:rsidRDefault="00704C24">
            <w:pPr>
              <w:pStyle w:val="Tabele"/>
              <w:jc w:val="right"/>
              <w:rPr>
                <w:b/>
                <w:bCs/>
                <w:color w:val="auto"/>
                <w:sz w:val="12"/>
                <w:szCs w:val="12"/>
                <w:highlight w:val="yellow"/>
              </w:rPr>
            </w:pPr>
            <w:r w:rsidRPr="00704C24">
              <w:rPr>
                <w:color w:val="auto"/>
                <w:sz w:val="12"/>
                <w:szCs w:val="12"/>
              </w:rPr>
              <w:t>44 157,29</w:t>
            </w:r>
          </w:p>
        </w:tc>
      </w:tr>
      <w:tr w:rsidR="00704C24" w:rsidRPr="00520300" w14:paraId="4BEFF4B7" w14:textId="77777777" w:rsidTr="00881CAF">
        <w:trPr>
          <w:trHeight w:val="227"/>
        </w:trPr>
        <w:tc>
          <w:tcPr>
            <w:tcW w:w="1306" w:type="dxa"/>
          </w:tcPr>
          <w:p w14:paraId="482A385F" w14:textId="77777777" w:rsidR="00704C24" w:rsidRPr="00704C24" w:rsidRDefault="00704C24">
            <w:pPr>
              <w:pStyle w:val="Tabele"/>
              <w:rPr>
                <w:b/>
                <w:color w:val="auto"/>
                <w:sz w:val="12"/>
                <w:szCs w:val="12"/>
              </w:rPr>
            </w:pPr>
            <w:r w:rsidRPr="00704C24">
              <w:rPr>
                <w:rFonts w:cs="Calibri"/>
                <w:color w:val="auto"/>
                <w:sz w:val="12"/>
                <w:szCs w:val="12"/>
              </w:rPr>
              <w:t xml:space="preserve">4. Inne sektory </w:t>
            </w:r>
          </w:p>
        </w:tc>
        <w:tc>
          <w:tcPr>
            <w:tcW w:w="757" w:type="dxa"/>
            <w:shd w:val="clear" w:color="auto" w:fill="C5E0B3"/>
          </w:tcPr>
          <w:p w14:paraId="16C15E2C" w14:textId="77777777" w:rsidR="00704C24" w:rsidRPr="00704C24" w:rsidRDefault="00704C24">
            <w:pPr>
              <w:pStyle w:val="Tabele"/>
              <w:jc w:val="right"/>
              <w:rPr>
                <w:rFonts w:cs="Calibri"/>
                <w:color w:val="auto"/>
                <w:sz w:val="12"/>
                <w:szCs w:val="12"/>
              </w:rPr>
            </w:pPr>
            <w:r w:rsidRPr="00704C24">
              <w:rPr>
                <w:color w:val="auto"/>
                <w:sz w:val="12"/>
                <w:szCs w:val="12"/>
              </w:rPr>
              <w:t>53 442,30</w:t>
            </w:r>
          </w:p>
        </w:tc>
        <w:tc>
          <w:tcPr>
            <w:tcW w:w="800" w:type="dxa"/>
            <w:shd w:val="clear" w:color="auto" w:fill="C5E0B3"/>
          </w:tcPr>
          <w:p w14:paraId="1346774F" w14:textId="77777777" w:rsidR="00704C24" w:rsidRPr="00704C24" w:rsidRDefault="00704C24">
            <w:pPr>
              <w:pStyle w:val="Tabele"/>
              <w:jc w:val="right"/>
              <w:rPr>
                <w:color w:val="auto"/>
                <w:sz w:val="12"/>
                <w:szCs w:val="12"/>
              </w:rPr>
            </w:pPr>
            <w:r w:rsidRPr="00704C24">
              <w:rPr>
                <w:color w:val="auto"/>
                <w:sz w:val="12"/>
                <w:szCs w:val="12"/>
              </w:rPr>
              <w:t>54 952,74</w:t>
            </w:r>
          </w:p>
        </w:tc>
        <w:tc>
          <w:tcPr>
            <w:tcW w:w="794" w:type="dxa"/>
            <w:shd w:val="clear" w:color="auto" w:fill="C5E0B3"/>
          </w:tcPr>
          <w:p w14:paraId="115BC374" w14:textId="77777777" w:rsidR="00704C24" w:rsidRPr="00704C24" w:rsidRDefault="00704C24">
            <w:pPr>
              <w:pStyle w:val="Tabele"/>
              <w:jc w:val="right"/>
              <w:rPr>
                <w:color w:val="auto"/>
                <w:sz w:val="12"/>
                <w:szCs w:val="12"/>
              </w:rPr>
            </w:pPr>
            <w:r w:rsidRPr="00704C24">
              <w:rPr>
                <w:color w:val="auto"/>
                <w:sz w:val="12"/>
                <w:szCs w:val="12"/>
              </w:rPr>
              <w:t>62 397,88</w:t>
            </w:r>
          </w:p>
        </w:tc>
        <w:tc>
          <w:tcPr>
            <w:tcW w:w="864" w:type="dxa"/>
            <w:shd w:val="clear" w:color="auto" w:fill="C5E0B3"/>
          </w:tcPr>
          <w:p w14:paraId="086603FF" w14:textId="77777777" w:rsidR="00704C24" w:rsidRPr="00704C24" w:rsidRDefault="00704C24">
            <w:pPr>
              <w:pStyle w:val="Tabele"/>
              <w:jc w:val="right"/>
              <w:rPr>
                <w:color w:val="auto"/>
                <w:sz w:val="12"/>
                <w:szCs w:val="12"/>
              </w:rPr>
            </w:pPr>
            <w:r w:rsidRPr="00704C24">
              <w:rPr>
                <w:color w:val="auto"/>
                <w:sz w:val="12"/>
                <w:szCs w:val="12"/>
              </w:rPr>
              <w:t>50 605,53</w:t>
            </w:r>
          </w:p>
        </w:tc>
        <w:tc>
          <w:tcPr>
            <w:tcW w:w="903" w:type="dxa"/>
            <w:shd w:val="clear" w:color="auto" w:fill="C5E0B3"/>
          </w:tcPr>
          <w:p w14:paraId="4CB412B8" w14:textId="77777777" w:rsidR="00704C24" w:rsidRPr="00704C24" w:rsidRDefault="00704C24">
            <w:pPr>
              <w:pStyle w:val="Tabele"/>
              <w:jc w:val="right"/>
              <w:rPr>
                <w:color w:val="auto"/>
                <w:sz w:val="12"/>
                <w:szCs w:val="12"/>
              </w:rPr>
            </w:pPr>
            <w:r w:rsidRPr="00704C24">
              <w:rPr>
                <w:color w:val="auto"/>
                <w:sz w:val="12"/>
                <w:szCs w:val="12"/>
              </w:rPr>
              <w:t>47 791,95</w:t>
            </w:r>
          </w:p>
        </w:tc>
        <w:tc>
          <w:tcPr>
            <w:tcW w:w="904" w:type="dxa"/>
          </w:tcPr>
          <w:p w14:paraId="333F08D1" w14:textId="77777777" w:rsidR="00704C24" w:rsidRPr="00704C24" w:rsidRDefault="00704C24">
            <w:pPr>
              <w:pStyle w:val="Tabele"/>
              <w:jc w:val="right"/>
              <w:rPr>
                <w:b/>
                <w:bCs/>
                <w:color w:val="auto"/>
                <w:sz w:val="12"/>
                <w:szCs w:val="12"/>
                <w:highlight w:val="yellow"/>
              </w:rPr>
            </w:pPr>
            <w:r w:rsidRPr="00704C24">
              <w:rPr>
                <w:color w:val="auto"/>
                <w:sz w:val="12"/>
                <w:szCs w:val="12"/>
              </w:rPr>
              <w:t>38 224,80</w:t>
            </w:r>
          </w:p>
        </w:tc>
        <w:tc>
          <w:tcPr>
            <w:tcW w:w="928" w:type="dxa"/>
          </w:tcPr>
          <w:p w14:paraId="144209F4" w14:textId="77777777" w:rsidR="00704C24" w:rsidRPr="00704C24" w:rsidRDefault="00704C24">
            <w:pPr>
              <w:pStyle w:val="Tabele"/>
              <w:jc w:val="right"/>
              <w:rPr>
                <w:b/>
                <w:bCs/>
                <w:color w:val="auto"/>
                <w:sz w:val="12"/>
                <w:szCs w:val="12"/>
                <w:highlight w:val="yellow"/>
              </w:rPr>
            </w:pPr>
            <w:r w:rsidRPr="00704C24">
              <w:rPr>
                <w:color w:val="auto"/>
                <w:sz w:val="12"/>
                <w:szCs w:val="12"/>
              </w:rPr>
              <w:t>27 513,41</w:t>
            </w:r>
          </w:p>
        </w:tc>
        <w:tc>
          <w:tcPr>
            <w:tcW w:w="890" w:type="dxa"/>
          </w:tcPr>
          <w:p w14:paraId="448488D1" w14:textId="77777777" w:rsidR="00704C24" w:rsidRPr="00704C24" w:rsidRDefault="00704C24">
            <w:pPr>
              <w:pStyle w:val="Tabele"/>
              <w:jc w:val="right"/>
              <w:rPr>
                <w:b/>
                <w:bCs/>
                <w:color w:val="auto"/>
                <w:sz w:val="12"/>
                <w:szCs w:val="12"/>
                <w:highlight w:val="yellow"/>
              </w:rPr>
            </w:pPr>
            <w:r w:rsidRPr="00704C24">
              <w:rPr>
                <w:color w:val="auto"/>
                <w:sz w:val="12"/>
                <w:szCs w:val="12"/>
              </w:rPr>
              <w:t>18 010,61</w:t>
            </w:r>
          </w:p>
        </w:tc>
        <w:tc>
          <w:tcPr>
            <w:tcW w:w="916" w:type="dxa"/>
          </w:tcPr>
          <w:p w14:paraId="2B819617" w14:textId="77777777" w:rsidR="00704C24" w:rsidRPr="00704C24" w:rsidRDefault="00704C24">
            <w:pPr>
              <w:pStyle w:val="Tabele"/>
              <w:jc w:val="right"/>
              <w:rPr>
                <w:b/>
                <w:bCs/>
                <w:color w:val="auto"/>
                <w:sz w:val="12"/>
                <w:szCs w:val="12"/>
                <w:highlight w:val="yellow"/>
              </w:rPr>
            </w:pPr>
            <w:r w:rsidRPr="00704C24">
              <w:rPr>
                <w:color w:val="auto"/>
                <w:sz w:val="12"/>
                <w:szCs w:val="12"/>
              </w:rPr>
              <w:t>12 930,06</w:t>
            </w:r>
          </w:p>
        </w:tc>
      </w:tr>
      <w:tr w:rsidR="00704C24" w:rsidRPr="00520300" w14:paraId="2B39EDBD" w14:textId="77777777" w:rsidTr="00881CAF">
        <w:trPr>
          <w:trHeight w:val="227"/>
        </w:trPr>
        <w:tc>
          <w:tcPr>
            <w:tcW w:w="1306" w:type="dxa"/>
          </w:tcPr>
          <w:p w14:paraId="4F8BE227" w14:textId="77777777" w:rsidR="00704C24" w:rsidRPr="00704C24" w:rsidRDefault="00704C24">
            <w:pPr>
              <w:pStyle w:val="Tabele"/>
              <w:rPr>
                <w:b/>
                <w:color w:val="auto"/>
                <w:sz w:val="12"/>
                <w:szCs w:val="12"/>
              </w:rPr>
            </w:pPr>
            <w:r w:rsidRPr="00704C24">
              <w:rPr>
                <w:rFonts w:cs="Calibri"/>
                <w:color w:val="auto"/>
                <w:sz w:val="12"/>
                <w:szCs w:val="12"/>
              </w:rPr>
              <w:t xml:space="preserve">B. Emisja lotna z paliw </w:t>
            </w:r>
          </w:p>
        </w:tc>
        <w:tc>
          <w:tcPr>
            <w:tcW w:w="757" w:type="dxa"/>
            <w:shd w:val="clear" w:color="auto" w:fill="C5E0B3"/>
          </w:tcPr>
          <w:p w14:paraId="446FCB8F" w14:textId="77777777" w:rsidR="00704C24" w:rsidRPr="00704C24" w:rsidRDefault="00704C24">
            <w:pPr>
              <w:pStyle w:val="Tabele"/>
              <w:jc w:val="right"/>
              <w:rPr>
                <w:rFonts w:cs="Calibri"/>
                <w:color w:val="auto"/>
                <w:sz w:val="12"/>
                <w:szCs w:val="12"/>
              </w:rPr>
            </w:pPr>
            <w:r w:rsidRPr="00704C24">
              <w:rPr>
                <w:color w:val="auto"/>
                <w:sz w:val="12"/>
                <w:szCs w:val="12"/>
              </w:rPr>
              <w:t>4 235,48</w:t>
            </w:r>
          </w:p>
        </w:tc>
        <w:tc>
          <w:tcPr>
            <w:tcW w:w="800" w:type="dxa"/>
            <w:shd w:val="clear" w:color="auto" w:fill="C5E0B3"/>
          </w:tcPr>
          <w:p w14:paraId="0FE0FB2D" w14:textId="77777777" w:rsidR="00704C24" w:rsidRPr="00704C24" w:rsidRDefault="00704C24">
            <w:pPr>
              <w:pStyle w:val="Tabele"/>
              <w:jc w:val="right"/>
              <w:rPr>
                <w:color w:val="auto"/>
                <w:sz w:val="12"/>
                <w:szCs w:val="12"/>
              </w:rPr>
            </w:pPr>
            <w:r w:rsidRPr="00704C24">
              <w:rPr>
                <w:color w:val="auto"/>
                <w:sz w:val="12"/>
                <w:szCs w:val="12"/>
              </w:rPr>
              <w:t>3 387,10</w:t>
            </w:r>
          </w:p>
        </w:tc>
        <w:tc>
          <w:tcPr>
            <w:tcW w:w="794" w:type="dxa"/>
            <w:shd w:val="clear" w:color="auto" w:fill="C5E0B3"/>
          </w:tcPr>
          <w:p w14:paraId="4510B91A" w14:textId="77777777" w:rsidR="00704C24" w:rsidRPr="00704C24" w:rsidRDefault="00704C24">
            <w:pPr>
              <w:pStyle w:val="Tabele"/>
              <w:jc w:val="right"/>
              <w:rPr>
                <w:color w:val="auto"/>
                <w:sz w:val="12"/>
                <w:szCs w:val="12"/>
              </w:rPr>
            </w:pPr>
            <w:r w:rsidRPr="00704C24">
              <w:rPr>
                <w:color w:val="auto"/>
                <w:sz w:val="12"/>
                <w:szCs w:val="12"/>
              </w:rPr>
              <w:t>3 488,80</w:t>
            </w:r>
          </w:p>
        </w:tc>
        <w:tc>
          <w:tcPr>
            <w:tcW w:w="864" w:type="dxa"/>
            <w:shd w:val="clear" w:color="auto" w:fill="C5E0B3"/>
          </w:tcPr>
          <w:p w14:paraId="2D99E66D" w14:textId="77777777" w:rsidR="00704C24" w:rsidRPr="00704C24" w:rsidRDefault="00704C24">
            <w:pPr>
              <w:pStyle w:val="Tabele"/>
              <w:jc w:val="right"/>
              <w:rPr>
                <w:color w:val="auto"/>
                <w:sz w:val="12"/>
                <w:szCs w:val="12"/>
              </w:rPr>
            </w:pPr>
            <w:r w:rsidRPr="00704C24">
              <w:rPr>
                <w:color w:val="auto"/>
                <w:sz w:val="12"/>
                <w:szCs w:val="12"/>
              </w:rPr>
              <w:t>4 746,86</w:t>
            </w:r>
          </w:p>
        </w:tc>
        <w:tc>
          <w:tcPr>
            <w:tcW w:w="903" w:type="dxa"/>
            <w:shd w:val="clear" w:color="auto" w:fill="C5E0B3"/>
          </w:tcPr>
          <w:p w14:paraId="04299E1F" w14:textId="77777777" w:rsidR="00704C24" w:rsidRPr="00704C24" w:rsidRDefault="00704C24">
            <w:pPr>
              <w:pStyle w:val="Tabele"/>
              <w:jc w:val="right"/>
              <w:rPr>
                <w:color w:val="auto"/>
                <w:sz w:val="12"/>
                <w:szCs w:val="12"/>
              </w:rPr>
            </w:pPr>
            <w:r w:rsidRPr="00704C24">
              <w:rPr>
                <w:color w:val="auto"/>
                <w:sz w:val="12"/>
                <w:szCs w:val="12"/>
              </w:rPr>
              <w:t>4 225,05</w:t>
            </w:r>
          </w:p>
        </w:tc>
        <w:tc>
          <w:tcPr>
            <w:tcW w:w="904" w:type="dxa"/>
          </w:tcPr>
          <w:p w14:paraId="4BA3B96B" w14:textId="77777777" w:rsidR="00704C24" w:rsidRPr="00704C24" w:rsidRDefault="00704C24">
            <w:pPr>
              <w:pStyle w:val="Tabele"/>
              <w:jc w:val="right"/>
              <w:rPr>
                <w:b/>
                <w:bCs/>
                <w:color w:val="auto"/>
                <w:sz w:val="12"/>
                <w:szCs w:val="12"/>
                <w:highlight w:val="yellow"/>
              </w:rPr>
            </w:pPr>
            <w:r w:rsidRPr="00704C24">
              <w:rPr>
                <w:color w:val="auto"/>
                <w:sz w:val="12"/>
                <w:szCs w:val="12"/>
              </w:rPr>
              <w:t>4 282,56</w:t>
            </w:r>
          </w:p>
        </w:tc>
        <w:tc>
          <w:tcPr>
            <w:tcW w:w="928" w:type="dxa"/>
          </w:tcPr>
          <w:p w14:paraId="630D1383" w14:textId="77777777" w:rsidR="00704C24" w:rsidRPr="00704C24" w:rsidRDefault="00704C24">
            <w:pPr>
              <w:pStyle w:val="Tabele"/>
              <w:jc w:val="right"/>
              <w:rPr>
                <w:b/>
                <w:bCs/>
                <w:color w:val="auto"/>
                <w:sz w:val="12"/>
                <w:szCs w:val="12"/>
                <w:highlight w:val="yellow"/>
              </w:rPr>
            </w:pPr>
            <w:r w:rsidRPr="00704C24">
              <w:rPr>
                <w:color w:val="auto"/>
                <w:sz w:val="12"/>
                <w:szCs w:val="12"/>
              </w:rPr>
              <w:t>4 366,61</w:t>
            </w:r>
          </w:p>
        </w:tc>
        <w:tc>
          <w:tcPr>
            <w:tcW w:w="890" w:type="dxa"/>
          </w:tcPr>
          <w:p w14:paraId="07B27A09" w14:textId="77777777" w:rsidR="00704C24" w:rsidRPr="00704C24" w:rsidRDefault="00704C24">
            <w:pPr>
              <w:pStyle w:val="Tabele"/>
              <w:jc w:val="right"/>
              <w:rPr>
                <w:b/>
                <w:bCs/>
                <w:color w:val="auto"/>
                <w:sz w:val="12"/>
                <w:szCs w:val="12"/>
                <w:highlight w:val="yellow"/>
              </w:rPr>
            </w:pPr>
            <w:r w:rsidRPr="00704C24">
              <w:rPr>
                <w:color w:val="auto"/>
                <w:sz w:val="12"/>
                <w:szCs w:val="12"/>
              </w:rPr>
              <w:t>4 397,54</w:t>
            </w:r>
          </w:p>
        </w:tc>
        <w:tc>
          <w:tcPr>
            <w:tcW w:w="916" w:type="dxa"/>
          </w:tcPr>
          <w:p w14:paraId="65005EE5" w14:textId="77777777" w:rsidR="00704C24" w:rsidRPr="00704C24" w:rsidRDefault="00704C24">
            <w:pPr>
              <w:pStyle w:val="Tabele"/>
              <w:jc w:val="right"/>
              <w:rPr>
                <w:b/>
                <w:bCs/>
                <w:color w:val="auto"/>
                <w:sz w:val="12"/>
                <w:szCs w:val="12"/>
                <w:highlight w:val="yellow"/>
              </w:rPr>
            </w:pPr>
            <w:r w:rsidRPr="00704C24">
              <w:rPr>
                <w:color w:val="auto"/>
                <w:sz w:val="12"/>
                <w:szCs w:val="12"/>
              </w:rPr>
              <w:t>4 405,68</w:t>
            </w:r>
          </w:p>
        </w:tc>
      </w:tr>
      <w:tr w:rsidR="00704C24" w:rsidRPr="00520300" w14:paraId="52F1B69B" w14:textId="77777777" w:rsidTr="00881CAF">
        <w:trPr>
          <w:trHeight w:val="227"/>
        </w:trPr>
        <w:tc>
          <w:tcPr>
            <w:tcW w:w="1306" w:type="dxa"/>
          </w:tcPr>
          <w:p w14:paraId="6862305E" w14:textId="77777777" w:rsidR="00704C24" w:rsidRPr="00704C24" w:rsidRDefault="00704C24">
            <w:pPr>
              <w:pStyle w:val="Tabele"/>
              <w:rPr>
                <w:b/>
                <w:color w:val="auto"/>
                <w:sz w:val="12"/>
                <w:szCs w:val="12"/>
              </w:rPr>
            </w:pPr>
            <w:r w:rsidRPr="00704C24">
              <w:rPr>
                <w:rFonts w:cs="Calibri"/>
                <w:color w:val="auto"/>
                <w:sz w:val="12"/>
                <w:szCs w:val="12"/>
              </w:rPr>
              <w:t xml:space="preserve">1. Paliwa stałe </w:t>
            </w:r>
          </w:p>
        </w:tc>
        <w:tc>
          <w:tcPr>
            <w:tcW w:w="757" w:type="dxa"/>
            <w:shd w:val="clear" w:color="auto" w:fill="C5E0B3"/>
          </w:tcPr>
          <w:p w14:paraId="19E675A5" w14:textId="77777777" w:rsidR="00704C24" w:rsidRPr="00704C24" w:rsidRDefault="00704C24">
            <w:pPr>
              <w:pStyle w:val="Tabele"/>
              <w:jc w:val="right"/>
              <w:rPr>
                <w:rFonts w:cs="Calibri"/>
                <w:color w:val="auto"/>
                <w:sz w:val="12"/>
                <w:szCs w:val="12"/>
              </w:rPr>
            </w:pPr>
            <w:r w:rsidRPr="00704C24">
              <w:rPr>
                <w:color w:val="auto"/>
                <w:sz w:val="12"/>
                <w:szCs w:val="12"/>
              </w:rPr>
              <w:t>4 188,20</w:t>
            </w:r>
          </w:p>
        </w:tc>
        <w:tc>
          <w:tcPr>
            <w:tcW w:w="800" w:type="dxa"/>
            <w:shd w:val="clear" w:color="auto" w:fill="C5E0B3"/>
          </w:tcPr>
          <w:p w14:paraId="393BF935" w14:textId="77777777" w:rsidR="00704C24" w:rsidRPr="00704C24" w:rsidRDefault="00704C24">
            <w:pPr>
              <w:pStyle w:val="Tabele"/>
              <w:jc w:val="right"/>
              <w:rPr>
                <w:b/>
                <w:color w:val="auto"/>
                <w:sz w:val="12"/>
                <w:szCs w:val="12"/>
              </w:rPr>
            </w:pPr>
            <w:r w:rsidRPr="00704C24">
              <w:rPr>
                <w:color w:val="auto"/>
                <w:sz w:val="12"/>
                <w:szCs w:val="12"/>
              </w:rPr>
              <w:t>2 225,64</w:t>
            </w:r>
          </w:p>
        </w:tc>
        <w:tc>
          <w:tcPr>
            <w:tcW w:w="794" w:type="dxa"/>
            <w:shd w:val="clear" w:color="auto" w:fill="C5E0B3"/>
          </w:tcPr>
          <w:p w14:paraId="4CD43DEB" w14:textId="77777777" w:rsidR="00704C24" w:rsidRPr="00704C24" w:rsidRDefault="00704C24">
            <w:pPr>
              <w:pStyle w:val="Tabele"/>
              <w:jc w:val="right"/>
              <w:rPr>
                <w:b/>
                <w:color w:val="auto"/>
                <w:sz w:val="12"/>
                <w:szCs w:val="12"/>
              </w:rPr>
            </w:pPr>
            <w:r w:rsidRPr="00704C24">
              <w:rPr>
                <w:color w:val="auto"/>
                <w:sz w:val="12"/>
                <w:szCs w:val="12"/>
              </w:rPr>
              <w:t>2 424,68</w:t>
            </w:r>
          </w:p>
        </w:tc>
        <w:tc>
          <w:tcPr>
            <w:tcW w:w="864" w:type="dxa"/>
            <w:shd w:val="clear" w:color="auto" w:fill="C5E0B3"/>
          </w:tcPr>
          <w:p w14:paraId="05584E25" w14:textId="77777777" w:rsidR="00704C24" w:rsidRPr="00704C24" w:rsidRDefault="00704C24">
            <w:pPr>
              <w:pStyle w:val="Tabele"/>
              <w:jc w:val="right"/>
              <w:rPr>
                <w:b/>
                <w:color w:val="auto"/>
                <w:sz w:val="12"/>
                <w:szCs w:val="12"/>
              </w:rPr>
            </w:pPr>
            <w:r w:rsidRPr="00704C24">
              <w:rPr>
                <w:color w:val="auto"/>
                <w:sz w:val="12"/>
                <w:szCs w:val="12"/>
              </w:rPr>
              <w:t>2 712,17</w:t>
            </w:r>
          </w:p>
        </w:tc>
        <w:tc>
          <w:tcPr>
            <w:tcW w:w="903" w:type="dxa"/>
            <w:shd w:val="clear" w:color="auto" w:fill="C5E0B3"/>
          </w:tcPr>
          <w:p w14:paraId="27BA98E4" w14:textId="77777777" w:rsidR="00704C24" w:rsidRPr="00704C24" w:rsidRDefault="00704C24">
            <w:pPr>
              <w:pStyle w:val="Tabele"/>
              <w:jc w:val="right"/>
              <w:rPr>
                <w:b/>
                <w:color w:val="auto"/>
                <w:sz w:val="12"/>
                <w:szCs w:val="12"/>
              </w:rPr>
            </w:pPr>
            <w:r w:rsidRPr="00704C24">
              <w:rPr>
                <w:color w:val="auto"/>
                <w:sz w:val="12"/>
                <w:szCs w:val="12"/>
              </w:rPr>
              <w:t>2 340,89</w:t>
            </w:r>
          </w:p>
        </w:tc>
        <w:tc>
          <w:tcPr>
            <w:tcW w:w="904" w:type="dxa"/>
          </w:tcPr>
          <w:p w14:paraId="3C882630" w14:textId="77777777" w:rsidR="00704C24" w:rsidRPr="00704C24" w:rsidRDefault="00704C24">
            <w:pPr>
              <w:pStyle w:val="Tabele"/>
              <w:jc w:val="right"/>
              <w:rPr>
                <w:b/>
                <w:bCs/>
                <w:color w:val="auto"/>
                <w:sz w:val="12"/>
                <w:szCs w:val="12"/>
                <w:highlight w:val="yellow"/>
              </w:rPr>
            </w:pPr>
            <w:r w:rsidRPr="00704C24">
              <w:rPr>
                <w:color w:val="auto"/>
                <w:sz w:val="12"/>
                <w:szCs w:val="12"/>
              </w:rPr>
              <w:t>2 087,61</w:t>
            </w:r>
          </w:p>
        </w:tc>
        <w:tc>
          <w:tcPr>
            <w:tcW w:w="928" w:type="dxa"/>
          </w:tcPr>
          <w:p w14:paraId="4E2DE497" w14:textId="77777777" w:rsidR="00704C24" w:rsidRPr="00704C24" w:rsidRDefault="00704C24">
            <w:pPr>
              <w:pStyle w:val="Tabele"/>
              <w:jc w:val="right"/>
              <w:rPr>
                <w:b/>
                <w:bCs/>
                <w:color w:val="auto"/>
                <w:sz w:val="12"/>
                <w:szCs w:val="12"/>
                <w:highlight w:val="yellow"/>
              </w:rPr>
            </w:pPr>
            <w:r w:rsidRPr="00704C24">
              <w:rPr>
                <w:color w:val="auto"/>
                <w:sz w:val="12"/>
                <w:szCs w:val="12"/>
              </w:rPr>
              <w:t>2 094,51</w:t>
            </w:r>
          </w:p>
        </w:tc>
        <w:tc>
          <w:tcPr>
            <w:tcW w:w="890" w:type="dxa"/>
          </w:tcPr>
          <w:p w14:paraId="51A756F0" w14:textId="77777777" w:rsidR="00704C24" w:rsidRPr="00704C24" w:rsidRDefault="00704C24">
            <w:pPr>
              <w:pStyle w:val="Tabele"/>
              <w:jc w:val="right"/>
              <w:rPr>
                <w:b/>
                <w:bCs/>
                <w:color w:val="auto"/>
                <w:sz w:val="12"/>
                <w:szCs w:val="12"/>
                <w:highlight w:val="yellow"/>
              </w:rPr>
            </w:pPr>
            <w:r w:rsidRPr="00704C24">
              <w:rPr>
                <w:color w:val="auto"/>
                <w:sz w:val="12"/>
                <w:szCs w:val="12"/>
              </w:rPr>
              <w:t>2 110,93</w:t>
            </w:r>
          </w:p>
        </w:tc>
        <w:tc>
          <w:tcPr>
            <w:tcW w:w="916" w:type="dxa"/>
          </w:tcPr>
          <w:p w14:paraId="1BBF061D" w14:textId="77777777" w:rsidR="00704C24" w:rsidRPr="00704C24" w:rsidRDefault="00704C24">
            <w:pPr>
              <w:pStyle w:val="Tabele"/>
              <w:jc w:val="right"/>
              <w:rPr>
                <w:b/>
                <w:bCs/>
                <w:color w:val="auto"/>
                <w:sz w:val="12"/>
                <w:szCs w:val="12"/>
                <w:highlight w:val="yellow"/>
              </w:rPr>
            </w:pPr>
            <w:r w:rsidRPr="00704C24">
              <w:rPr>
                <w:color w:val="auto"/>
                <w:sz w:val="12"/>
                <w:szCs w:val="12"/>
              </w:rPr>
              <w:t>2 132,85</w:t>
            </w:r>
          </w:p>
        </w:tc>
      </w:tr>
      <w:tr w:rsidR="00704C24" w:rsidRPr="00520300" w14:paraId="7D1A5C06" w14:textId="77777777" w:rsidTr="00881CAF">
        <w:trPr>
          <w:trHeight w:val="227"/>
        </w:trPr>
        <w:tc>
          <w:tcPr>
            <w:tcW w:w="1306" w:type="dxa"/>
          </w:tcPr>
          <w:p w14:paraId="1DF74781" w14:textId="77777777" w:rsidR="00704C24" w:rsidRPr="00704C24" w:rsidRDefault="00704C24">
            <w:pPr>
              <w:pStyle w:val="Tabele"/>
              <w:rPr>
                <w:b/>
                <w:color w:val="auto"/>
                <w:sz w:val="12"/>
                <w:szCs w:val="12"/>
              </w:rPr>
            </w:pPr>
            <w:r w:rsidRPr="00704C24">
              <w:rPr>
                <w:rFonts w:cs="Calibri"/>
                <w:color w:val="auto"/>
                <w:sz w:val="12"/>
                <w:szCs w:val="12"/>
              </w:rPr>
              <w:t xml:space="preserve">2. Ropa naftowa i gaz ziemny </w:t>
            </w:r>
          </w:p>
        </w:tc>
        <w:tc>
          <w:tcPr>
            <w:tcW w:w="757" w:type="dxa"/>
            <w:shd w:val="clear" w:color="auto" w:fill="C5E0B3"/>
          </w:tcPr>
          <w:p w14:paraId="327EE89F" w14:textId="77777777" w:rsidR="00704C24" w:rsidRPr="00704C24" w:rsidRDefault="00704C24">
            <w:pPr>
              <w:pStyle w:val="Tabele"/>
              <w:jc w:val="right"/>
              <w:rPr>
                <w:rFonts w:cs="Calibri"/>
                <w:color w:val="auto"/>
                <w:sz w:val="12"/>
                <w:szCs w:val="12"/>
              </w:rPr>
            </w:pPr>
            <w:r w:rsidRPr="00704C24">
              <w:rPr>
                <w:color w:val="auto"/>
                <w:sz w:val="12"/>
                <w:szCs w:val="12"/>
              </w:rPr>
              <w:t>47,27</w:t>
            </w:r>
          </w:p>
        </w:tc>
        <w:tc>
          <w:tcPr>
            <w:tcW w:w="800" w:type="dxa"/>
            <w:shd w:val="clear" w:color="auto" w:fill="C5E0B3"/>
          </w:tcPr>
          <w:p w14:paraId="49AEDD8C" w14:textId="77777777" w:rsidR="00704C24" w:rsidRPr="00704C24" w:rsidRDefault="00704C24">
            <w:pPr>
              <w:pStyle w:val="Tabele"/>
              <w:jc w:val="right"/>
              <w:rPr>
                <w:b/>
                <w:color w:val="auto"/>
                <w:sz w:val="12"/>
                <w:szCs w:val="12"/>
              </w:rPr>
            </w:pPr>
            <w:r w:rsidRPr="00704C24">
              <w:rPr>
                <w:color w:val="auto"/>
                <w:sz w:val="12"/>
                <w:szCs w:val="12"/>
              </w:rPr>
              <w:t>1 161,46</w:t>
            </w:r>
          </w:p>
        </w:tc>
        <w:tc>
          <w:tcPr>
            <w:tcW w:w="794" w:type="dxa"/>
            <w:shd w:val="clear" w:color="auto" w:fill="C5E0B3"/>
          </w:tcPr>
          <w:p w14:paraId="54763021" w14:textId="77777777" w:rsidR="00704C24" w:rsidRPr="00704C24" w:rsidRDefault="00704C24">
            <w:pPr>
              <w:pStyle w:val="Tabele"/>
              <w:jc w:val="right"/>
              <w:rPr>
                <w:b/>
                <w:color w:val="auto"/>
                <w:sz w:val="12"/>
                <w:szCs w:val="12"/>
              </w:rPr>
            </w:pPr>
            <w:r w:rsidRPr="00704C24">
              <w:rPr>
                <w:color w:val="auto"/>
                <w:sz w:val="12"/>
                <w:szCs w:val="12"/>
              </w:rPr>
              <w:t>1 064,11</w:t>
            </w:r>
          </w:p>
        </w:tc>
        <w:tc>
          <w:tcPr>
            <w:tcW w:w="864" w:type="dxa"/>
            <w:shd w:val="clear" w:color="auto" w:fill="C5E0B3"/>
          </w:tcPr>
          <w:p w14:paraId="55214DE2" w14:textId="77777777" w:rsidR="00704C24" w:rsidRPr="00704C24" w:rsidRDefault="00704C24">
            <w:pPr>
              <w:pStyle w:val="Tabele"/>
              <w:jc w:val="right"/>
              <w:rPr>
                <w:b/>
                <w:color w:val="auto"/>
                <w:sz w:val="12"/>
                <w:szCs w:val="12"/>
              </w:rPr>
            </w:pPr>
            <w:r w:rsidRPr="00704C24">
              <w:rPr>
                <w:color w:val="auto"/>
                <w:sz w:val="12"/>
                <w:szCs w:val="12"/>
              </w:rPr>
              <w:t>2 034,69</w:t>
            </w:r>
          </w:p>
        </w:tc>
        <w:tc>
          <w:tcPr>
            <w:tcW w:w="903" w:type="dxa"/>
            <w:shd w:val="clear" w:color="auto" w:fill="C5E0B3"/>
          </w:tcPr>
          <w:p w14:paraId="79B5C684" w14:textId="77777777" w:rsidR="00704C24" w:rsidRPr="00704C24" w:rsidRDefault="00704C24">
            <w:pPr>
              <w:pStyle w:val="Tabele"/>
              <w:jc w:val="right"/>
              <w:rPr>
                <w:b/>
                <w:color w:val="auto"/>
                <w:sz w:val="12"/>
                <w:szCs w:val="12"/>
              </w:rPr>
            </w:pPr>
            <w:r w:rsidRPr="00704C24">
              <w:rPr>
                <w:color w:val="auto"/>
                <w:sz w:val="12"/>
                <w:szCs w:val="12"/>
              </w:rPr>
              <w:t>1 884,16</w:t>
            </w:r>
          </w:p>
        </w:tc>
        <w:tc>
          <w:tcPr>
            <w:tcW w:w="904" w:type="dxa"/>
          </w:tcPr>
          <w:p w14:paraId="4D8DB9FA" w14:textId="77777777" w:rsidR="00704C24" w:rsidRPr="00704C24" w:rsidRDefault="00704C24">
            <w:pPr>
              <w:pStyle w:val="Tabele"/>
              <w:jc w:val="right"/>
              <w:rPr>
                <w:b/>
                <w:bCs/>
                <w:color w:val="auto"/>
                <w:sz w:val="12"/>
                <w:szCs w:val="12"/>
                <w:highlight w:val="yellow"/>
              </w:rPr>
            </w:pPr>
            <w:r w:rsidRPr="00704C24">
              <w:rPr>
                <w:color w:val="auto"/>
                <w:sz w:val="12"/>
                <w:szCs w:val="12"/>
              </w:rPr>
              <w:t>2 194,95</w:t>
            </w:r>
          </w:p>
        </w:tc>
        <w:tc>
          <w:tcPr>
            <w:tcW w:w="928" w:type="dxa"/>
          </w:tcPr>
          <w:p w14:paraId="512487C2" w14:textId="77777777" w:rsidR="00704C24" w:rsidRPr="00704C24" w:rsidRDefault="00704C24">
            <w:pPr>
              <w:pStyle w:val="Tabele"/>
              <w:jc w:val="right"/>
              <w:rPr>
                <w:b/>
                <w:bCs/>
                <w:color w:val="auto"/>
                <w:sz w:val="12"/>
                <w:szCs w:val="12"/>
                <w:highlight w:val="yellow"/>
              </w:rPr>
            </w:pPr>
            <w:r w:rsidRPr="00704C24">
              <w:rPr>
                <w:color w:val="auto"/>
                <w:sz w:val="12"/>
                <w:szCs w:val="12"/>
              </w:rPr>
              <w:t>2 272,10</w:t>
            </w:r>
          </w:p>
        </w:tc>
        <w:tc>
          <w:tcPr>
            <w:tcW w:w="890" w:type="dxa"/>
          </w:tcPr>
          <w:p w14:paraId="0178F273" w14:textId="77777777" w:rsidR="00704C24" w:rsidRPr="00704C24" w:rsidRDefault="00704C24">
            <w:pPr>
              <w:pStyle w:val="Tabele"/>
              <w:jc w:val="right"/>
              <w:rPr>
                <w:b/>
                <w:bCs/>
                <w:color w:val="auto"/>
                <w:sz w:val="12"/>
                <w:szCs w:val="12"/>
                <w:highlight w:val="yellow"/>
              </w:rPr>
            </w:pPr>
            <w:r w:rsidRPr="00704C24">
              <w:rPr>
                <w:color w:val="auto"/>
                <w:sz w:val="12"/>
                <w:szCs w:val="12"/>
              </w:rPr>
              <w:t>2 286,61</w:t>
            </w:r>
          </w:p>
        </w:tc>
        <w:tc>
          <w:tcPr>
            <w:tcW w:w="916" w:type="dxa"/>
          </w:tcPr>
          <w:p w14:paraId="17F9D882" w14:textId="77777777" w:rsidR="00704C24" w:rsidRPr="00704C24" w:rsidRDefault="00704C24">
            <w:pPr>
              <w:pStyle w:val="Tabele"/>
              <w:jc w:val="right"/>
              <w:rPr>
                <w:b/>
                <w:bCs/>
                <w:color w:val="auto"/>
                <w:sz w:val="12"/>
                <w:szCs w:val="12"/>
                <w:highlight w:val="yellow"/>
              </w:rPr>
            </w:pPr>
            <w:r w:rsidRPr="00704C24">
              <w:rPr>
                <w:color w:val="auto"/>
                <w:sz w:val="12"/>
                <w:szCs w:val="12"/>
              </w:rPr>
              <w:t>2 272,83</w:t>
            </w:r>
          </w:p>
        </w:tc>
      </w:tr>
      <w:tr w:rsidR="00704C24" w:rsidRPr="00520300" w14:paraId="037635ED" w14:textId="77777777" w:rsidTr="00881CAF">
        <w:trPr>
          <w:trHeight w:val="227"/>
        </w:trPr>
        <w:tc>
          <w:tcPr>
            <w:tcW w:w="1306" w:type="dxa"/>
          </w:tcPr>
          <w:p w14:paraId="77495839" w14:textId="77777777" w:rsidR="00704C24" w:rsidRPr="00704C24" w:rsidRDefault="00704C24">
            <w:pPr>
              <w:pStyle w:val="Tabele"/>
              <w:rPr>
                <w:color w:val="auto"/>
                <w:sz w:val="12"/>
                <w:szCs w:val="12"/>
              </w:rPr>
            </w:pPr>
            <w:r w:rsidRPr="00704C24">
              <w:rPr>
                <w:rFonts w:cs="Calibri"/>
                <w:b/>
                <w:bCs/>
                <w:color w:val="auto"/>
                <w:sz w:val="12"/>
                <w:szCs w:val="12"/>
              </w:rPr>
              <w:t xml:space="preserve">2. Procesy przemysłowe </w:t>
            </w:r>
          </w:p>
        </w:tc>
        <w:tc>
          <w:tcPr>
            <w:tcW w:w="757" w:type="dxa"/>
            <w:shd w:val="clear" w:color="auto" w:fill="C5E0B3"/>
          </w:tcPr>
          <w:p w14:paraId="53CA8143" w14:textId="77777777" w:rsidR="00704C24" w:rsidRPr="00704C24" w:rsidRDefault="00704C24">
            <w:pPr>
              <w:pStyle w:val="Tabele"/>
              <w:jc w:val="right"/>
              <w:rPr>
                <w:rFonts w:cs="Calibri"/>
                <w:b/>
                <w:bCs/>
                <w:color w:val="auto"/>
                <w:sz w:val="12"/>
                <w:szCs w:val="12"/>
              </w:rPr>
            </w:pPr>
            <w:r w:rsidRPr="00704C24">
              <w:rPr>
                <w:b/>
                <w:color w:val="auto"/>
                <w:sz w:val="12"/>
                <w:szCs w:val="12"/>
              </w:rPr>
              <w:t>18 522,65</w:t>
            </w:r>
          </w:p>
        </w:tc>
        <w:tc>
          <w:tcPr>
            <w:tcW w:w="800" w:type="dxa"/>
            <w:shd w:val="clear" w:color="auto" w:fill="C5E0B3"/>
          </w:tcPr>
          <w:p w14:paraId="1ACDB93D" w14:textId="77777777" w:rsidR="00704C24" w:rsidRPr="00704C24" w:rsidRDefault="00704C24">
            <w:pPr>
              <w:pStyle w:val="Tabele"/>
              <w:jc w:val="right"/>
              <w:rPr>
                <w:b/>
                <w:color w:val="auto"/>
                <w:sz w:val="12"/>
                <w:szCs w:val="12"/>
              </w:rPr>
            </w:pPr>
            <w:r w:rsidRPr="00704C24">
              <w:rPr>
                <w:b/>
                <w:color w:val="auto"/>
                <w:sz w:val="12"/>
                <w:szCs w:val="12"/>
              </w:rPr>
              <w:t>15 665,47</w:t>
            </w:r>
          </w:p>
        </w:tc>
        <w:tc>
          <w:tcPr>
            <w:tcW w:w="794" w:type="dxa"/>
            <w:shd w:val="clear" w:color="auto" w:fill="C5E0B3"/>
          </w:tcPr>
          <w:p w14:paraId="61482117" w14:textId="77777777" w:rsidR="00704C24" w:rsidRPr="00704C24" w:rsidRDefault="00704C24">
            <w:pPr>
              <w:pStyle w:val="Tabele"/>
              <w:ind w:hanging="132"/>
              <w:jc w:val="right"/>
              <w:rPr>
                <w:b/>
                <w:color w:val="auto"/>
                <w:sz w:val="12"/>
                <w:szCs w:val="12"/>
              </w:rPr>
            </w:pPr>
            <w:r w:rsidRPr="00704C24">
              <w:rPr>
                <w:b/>
                <w:color w:val="auto"/>
                <w:sz w:val="12"/>
                <w:szCs w:val="12"/>
              </w:rPr>
              <w:t>16 060,51</w:t>
            </w:r>
          </w:p>
        </w:tc>
        <w:tc>
          <w:tcPr>
            <w:tcW w:w="864" w:type="dxa"/>
            <w:shd w:val="clear" w:color="auto" w:fill="C5E0B3"/>
          </w:tcPr>
          <w:p w14:paraId="272A5795" w14:textId="77777777" w:rsidR="00704C24" w:rsidRPr="00704C24" w:rsidRDefault="00704C24">
            <w:pPr>
              <w:pStyle w:val="Tabele"/>
              <w:jc w:val="right"/>
              <w:rPr>
                <w:b/>
                <w:color w:val="auto"/>
                <w:sz w:val="12"/>
                <w:szCs w:val="12"/>
              </w:rPr>
            </w:pPr>
            <w:r w:rsidRPr="00704C24">
              <w:rPr>
                <w:b/>
                <w:color w:val="auto"/>
                <w:sz w:val="12"/>
                <w:szCs w:val="12"/>
              </w:rPr>
              <w:t>17 912,34</w:t>
            </w:r>
          </w:p>
        </w:tc>
        <w:tc>
          <w:tcPr>
            <w:tcW w:w="903" w:type="dxa"/>
            <w:shd w:val="clear" w:color="auto" w:fill="C5E0B3"/>
          </w:tcPr>
          <w:p w14:paraId="1E6EBC02" w14:textId="77777777" w:rsidR="00704C24" w:rsidRPr="00704C24" w:rsidRDefault="00704C24">
            <w:pPr>
              <w:pStyle w:val="Tabele"/>
              <w:jc w:val="right"/>
              <w:rPr>
                <w:b/>
                <w:color w:val="auto"/>
                <w:sz w:val="12"/>
                <w:szCs w:val="12"/>
              </w:rPr>
            </w:pPr>
            <w:r w:rsidRPr="00704C24">
              <w:rPr>
                <w:b/>
                <w:color w:val="auto"/>
                <w:sz w:val="12"/>
                <w:szCs w:val="12"/>
              </w:rPr>
              <w:t>18 744,06</w:t>
            </w:r>
          </w:p>
        </w:tc>
        <w:tc>
          <w:tcPr>
            <w:tcW w:w="904" w:type="dxa"/>
          </w:tcPr>
          <w:p w14:paraId="192F5A24" w14:textId="77777777" w:rsidR="00704C24" w:rsidRPr="00704C24" w:rsidRDefault="00704C24">
            <w:pPr>
              <w:pStyle w:val="Tabele"/>
              <w:jc w:val="right"/>
              <w:rPr>
                <w:b/>
                <w:bCs/>
                <w:color w:val="auto"/>
                <w:sz w:val="12"/>
                <w:szCs w:val="12"/>
                <w:highlight w:val="yellow"/>
              </w:rPr>
            </w:pPr>
            <w:r w:rsidRPr="00704C24">
              <w:rPr>
                <w:b/>
                <w:color w:val="auto"/>
                <w:sz w:val="12"/>
                <w:szCs w:val="12"/>
              </w:rPr>
              <w:t>15 541,10</w:t>
            </w:r>
          </w:p>
        </w:tc>
        <w:tc>
          <w:tcPr>
            <w:tcW w:w="928" w:type="dxa"/>
          </w:tcPr>
          <w:p w14:paraId="48A1E082" w14:textId="77777777" w:rsidR="00704C24" w:rsidRPr="00704C24" w:rsidRDefault="00704C24">
            <w:pPr>
              <w:pStyle w:val="Tabele"/>
              <w:jc w:val="right"/>
              <w:rPr>
                <w:b/>
                <w:bCs/>
                <w:color w:val="auto"/>
                <w:sz w:val="12"/>
                <w:szCs w:val="12"/>
                <w:highlight w:val="yellow"/>
              </w:rPr>
            </w:pPr>
            <w:r w:rsidRPr="00704C24">
              <w:rPr>
                <w:b/>
                <w:color w:val="auto"/>
                <w:sz w:val="12"/>
                <w:szCs w:val="12"/>
              </w:rPr>
              <w:t>14 151,98</w:t>
            </w:r>
          </w:p>
        </w:tc>
        <w:tc>
          <w:tcPr>
            <w:tcW w:w="890" w:type="dxa"/>
          </w:tcPr>
          <w:p w14:paraId="052EB55F" w14:textId="77777777" w:rsidR="00704C24" w:rsidRPr="00704C24" w:rsidRDefault="00704C24">
            <w:pPr>
              <w:pStyle w:val="Tabele"/>
              <w:jc w:val="right"/>
              <w:rPr>
                <w:b/>
                <w:bCs/>
                <w:color w:val="auto"/>
                <w:sz w:val="12"/>
                <w:szCs w:val="12"/>
                <w:highlight w:val="yellow"/>
              </w:rPr>
            </w:pPr>
            <w:r w:rsidRPr="00704C24">
              <w:rPr>
                <w:b/>
                <w:color w:val="auto"/>
                <w:sz w:val="12"/>
                <w:szCs w:val="12"/>
              </w:rPr>
              <w:t>12 520,79</w:t>
            </w:r>
          </w:p>
        </w:tc>
        <w:tc>
          <w:tcPr>
            <w:tcW w:w="916" w:type="dxa"/>
          </w:tcPr>
          <w:p w14:paraId="6BF09E54" w14:textId="77777777" w:rsidR="00704C24" w:rsidRPr="00704C24" w:rsidRDefault="00704C24">
            <w:pPr>
              <w:pStyle w:val="Tabele"/>
              <w:jc w:val="right"/>
              <w:rPr>
                <w:b/>
                <w:bCs/>
                <w:color w:val="auto"/>
                <w:sz w:val="12"/>
                <w:szCs w:val="12"/>
                <w:highlight w:val="yellow"/>
              </w:rPr>
            </w:pPr>
            <w:r w:rsidRPr="00704C24">
              <w:rPr>
                <w:b/>
                <w:color w:val="auto"/>
                <w:sz w:val="12"/>
                <w:szCs w:val="12"/>
              </w:rPr>
              <w:t>10 101,92</w:t>
            </w:r>
          </w:p>
        </w:tc>
      </w:tr>
      <w:tr w:rsidR="00704C24" w:rsidRPr="00520300" w14:paraId="0E4870F2" w14:textId="77777777" w:rsidTr="00881CAF">
        <w:trPr>
          <w:trHeight w:val="227"/>
        </w:trPr>
        <w:tc>
          <w:tcPr>
            <w:tcW w:w="1306" w:type="dxa"/>
          </w:tcPr>
          <w:p w14:paraId="68FF8742" w14:textId="77777777" w:rsidR="00704C24" w:rsidRPr="00704C24" w:rsidRDefault="00704C24">
            <w:pPr>
              <w:pStyle w:val="Tabele"/>
              <w:rPr>
                <w:b/>
                <w:color w:val="auto"/>
                <w:sz w:val="12"/>
                <w:szCs w:val="12"/>
              </w:rPr>
            </w:pPr>
            <w:r w:rsidRPr="00704C24">
              <w:rPr>
                <w:rFonts w:cs="Calibri"/>
                <w:color w:val="auto"/>
                <w:sz w:val="12"/>
                <w:szCs w:val="12"/>
              </w:rPr>
              <w:t xml:space="preserve">A. Produkty mineralne </w:t>
            </w:r>
          </w:p>
        </w:tc>
        <w:tc>
          <w:tcPr>
            <w:tcW w:w="757" w:type="dxa"/>
            <w:shd w:val="clear" w:color="auto" w:fill="C5E0B3"/>
          </w:tcPr>
          <w:p w14:paraId="2DF4D7BA" w14:textId="77777777" w:rsidR="00704C24" w:rsidRPr="00704C24" w:rsidRDefault="00704C24">
            <w:pPr>
              <w:pStyle w:val="Tabele"/>
              <w:jc w:val="right"/>
              <w:rPr>
                <w:rFonts w:cs="Calibri"/>
                <w:color w:val="auto"/>
                <w:sz w:val="12"/>
                <w:szCs w:val="12"/>
              </w:rPr>
            </w:pPr>
            <w:r w:rsidRPr="00704C24">
              <w:rPr>
                <w:color w:val="auto"/>
                <w:sz w:val="12"/>
                <w:szCs w:val="12"/>
              </w:rPr>
              <w:t>8 855,06</w:t>
            </w:r>
          </w:p>
        </w:tc>
        <w:tc>
          <w:tcPr>
            <w:tcW w:w="800" w:type="dxa"/>
            <w:shd w:val="clear" w:color="auto" w:fill="C5E0B3"/>
          </w:tcPr>
          <w:p w14:paraId="2504D1DD" w14:textId="77777777" w:rsidR="00704C24" w:rsidRPr="00704C24" w:rsidRDefault="00704C24">
            <w:pPr>
              <w:pStyle w:val="Tabele"/>
              <w:jc w:val="right"/>
              <w:rPr>
                <w:color w:val="auto"/>
                <w:sz w:val="12"/>
                <w:szCs w:val="12"/>
              </w:rPr>
            </w:pPr>
            <w:r w:rsidRPr="00704C24">
              <w:rPr>
                <w:color w:val="auto"/>
                <w:sz w:val="12"/>
                <w:szCs w:val="12"/>
              </w:rPr>
              <w:t>8 355,79</w:t>
            </w:r>
          </w:p>
        </w:tc>
        <w:tc>
          <w:tcPr>
            <w:tcW w:w="794" w:type="dxa"/>
            <w:shd w:val="clear" w:color="auto" w:fill="C5E0B3"/>
          </w:tcPr>
          <w:p w14:paraId="44F3D637" w14:textId="77777777" w:rsidR="00704C24" w:rsidRPr="00704C24" w:rsidRDefault="00704C24">
            <w:pPr>
              <w:pStyle w:val="Tabele"/>
              <w:jc w:val="right"/>
              <w:rPr>
                <w:color w:val="auto"/>
                <w:sz w:val="12"/>
                <w:szCs w:val="12"/>
              </w:rPr>
            </w:pPr>
            <w:r w:rsidRPr="00704C24">
              <w:rPr>
                <w:color w:val="auto"/>
                <w:sz w:val="12"/>
                <w:szCs w:val="12"/>
              </w:rPr>
              <w:t>9 849,54</w:t>
            </w:r>
          </w:p>
        </w:tc>
        <w:tc>
          <w:tcPr>
            <w:tcW w:w="864" w:type="dxa"/>
            <w:shd w:val="clear" w:color="auto" w:fill="C5E0B3"/>
          </w:tcPr>
          <w:p w14:paraId="596DC808" w14:textId="77777777" w:rsidR="00704C24" w:rsidRPr="00704C24" w:rsidRDefault="00704C24">
            <w:pPr>
              <w:pStyle w:val="Tabele"/>
              <w:jc w:val="right"/>
              <w:rPr>
                <w:color w:val="auto"/>
                <w:sz w:val="12"/>
                <w:szCs w:val="12"/>
              </w:rPr>
            </w:pPr>
            <w:r w:rsidRPr="00704C24">
              <w:rPr>
                <w:color w:val="auto"/>
                <w:sz w:val="12"/>
                <w:szCs w:val="12"/>
              </w:rPr>
              <w:t>10 088,59</w:t>
            </w:r>
          </w:p>
        </w:tc>
        <w:tc>
          <w:tcPr>
            <w:tcW w:w="903" w:type="dxa"/>
            <w:shd w:val="clear" w:color="auto" w:fill="C5E0B3"/>
          </w:tcPr>
          <w:p w14:paraId="639FC2C1" w14:textId="77777777" w:rsidR="00704C24" w:rsidRPr="00704C24" w:rsidRDefault="00704C24">
            <w:pPr>
              <w:pStyle w:val="Tabele"/>
              <w:jc w:val="right"/>
              <w:rPr>
                <w:color w:val="auto"/>
                <w:sz w:val="12"/>
                <w:szCs w:val="12"/>
              </w:rPr>
            </w:pPr>
            <w:r w:rsidRPr="00704C24">
              <w:rPr>
                <w:color w:val="auto"/>
                <w:sz w:val="12"/>
                <w:szCs w:val="12"/>
              </w:rPr>
              <w:t>11 736,99</w:t>
            </w:r>
          </w:p>
        </w:tc>
        <w:tc>
          <w:tcPr>
            <w:tcW w:w="904" w:type="dxa"/>
          </w:tcPr>
          <w:p w14:paraId="02FF5CE1" w14:textId="77777777" w:rsidR="00704C24" w:rsidRPr="00704C24" w:rsidRDefault="00704C24">
            <w:pPr>
              <w:pStyle w:val="Tabele"/>
              <w:jc w:val="right"/>
              <w:rPr>
                <w:b/>
                <w:bCs/>
                <w:color w:val="auto"/>
                <w:sz w:val="12"/>
                <w:szCs w:val="12"/>
                <w:highlight w:val="yellow"/>
              </w:rPr>
            </w:pPr>
            <w:r w:rsidRPr="00704C24">
              <w:rPr>
                <w:color w:val="auto"/>
                <w:sz w:val="12"/>
                <w:szCs w:val="12"/>
              </w:rPr>
              <w:t>11 679,76</w:t>
            </w:r>
          </w:p>
        </w:tc>
        <w:tc>
          <w:tcPr>
            <w:tcW w:w="928" w:type="dxa"/>
            <w:vMerge w:val="restart"/>
          </w:tcPr>
          <w:p w14:paraId="0E56149F" w14:textId="704BD8B6" w:rsidR="00881CAF" w:rsidRPr="00704C24" w:rsidRDefault="00881CAF">
            <w:pPr>
              <w:pStyle w:val="Tabele"/>
              <w:jc w:val="right"/>
              <w:rPr>
                <w:b/>
                <w:bCs/>
                <w:color w:val="auto"/>
                <w:sz w:val="12"/>
                <w:szCs w:val="12"/>
                <w:highlight w:val="yellow"/>
              </w:rPr>
            </w:pPr>
          </w:p>
          <w:p w14:paraId="1CF57DE3" w14:textId="5ACE62CD" w:rsidR="00881CAF" w:rsidRPr="00704C24" w:rsidRDefault="00881CAF">
            <w:pPr>
              <w:pStyle w:val="Tabele"/>
              <w:jc w:val="right"/>
              <w:rPr>
                <w:b/>
                <w:bCs/>
                <w:color w:val="auto"/>
                <w:sz w:val="12"/>
                <w:szCs w:val="12"/>
                <w:highlight w:val="yellow"/>
              </w:rPr>
            </w:pPr>
            <w:r>
              <w:rPr>
                <w:color w:val="auto"/>
                <w:sz w:val="12"/>
                <w:szCs w:val="12"/>
              </w:rPr>
              <w:t>14</w:t>
            </w:r>
            <w:r w:rsidR="00583B92">
              <w:rPr>
                <w:color w:val="auto"/>
                <w:sz w:val="12"/>
                <w:szCs w:val="12"/>
              </w:rPr>
              <w:t> 151,98</w:t>
            </w:r>
          </w:p>
          <w:p w14:paraId="199AD365" w14:textId="06D84E78" w:rsidR="00704C24" w:rsidRPr="00704C24" w:rsidRDefault="00704C24">
            <w:pPr>
              <w:pStyle w:val="Tabele"/>
              <w:jc w:val="right"/>
              <w:rPr>
                <w:b/>
                <w:bCs/>
                <w:color w:val="auto"/>
                <w:sz w:val="12"/>
                <w:szCs w:val="12"/>
                <w:highlight w:val="yellow"/>
              </w:rPr>
            </w:pPr>
          </w:p>
        </w:tc>
        <w:tc>
          <w:tcPr>
            <w:tcW w:w="890" w:type="dxa"/>
            <w:vMerge w:val="restart"/>
          </w:tcPr>
          <w:p w14:paraId="63AC9140" w14:textId="3F7652C0" w:rsidR="00704C24" w:rsidRPr="00704C24" w:rsidRDefault="00583B92">
            <w:pPr>
              <w:pStyle w:val="Tabele"/>
              <w:jc w:val="right"/>
              <w:rPr>
                <w:b/>
                <w:bCs/>
                <w:color w:val="auto"/>
                <w:sz w:val="12"/>
                <w:szCs w:val="12"/>
                <w:highlight w:val="yellow"/>
              </w:rPr>
            </w:pPr>
            <w:r>
              <w:rPr>
                <w:color w:val="auto"/>
                <w:sz w:val="12"/>
                <w:szCs w:val="12"/>
              </w:rPr>
              <w:t>12 520,79</w:t>
            </w:r>
          </w:p>
        </w:tc>
        <w:tc>
          <w:tcPr>
            <w:tcW w:w="916" w:type="dxa"/>
            <w:vMerge w:val="restart"/>
          </w:tcPr>
          <w:p w14:paraId="6E4D20A2" w14:textId="2B8373F5" w:rsidR="00704C24" w:rsidRPr="00704C24" w:rsidRDefault="00583B92">
            <w:pPr>
              <w:pStyle w:val="Tabele"/>
              <w:jc w:val="right"/>
              <w:rPr>
                <w:b/>
                <w:bCs/>
                <w:color w:val="auto"/>
                <w:sz w:val="12"/>
                <w:szCs w:val="12"/>
                <w:highlight w:val="yellow"/>
              </w:rPr>
            </w:pPr>
            <w:r>
              <w:rPr>
                <w:color w:val="auto"/>
                <w:sz w:val="12"/>
                <w:szCs w:val="12"/>
              </w:rPr>
              <w:t>10 101,92</w:t>
            </w:r>
          </w:p>
        </w:tc>
      </w:tr>
      <w:tr w:rsidR="00704C24" w:rsidRPr="00520300" w14:paraId="6F827892" w14:textId="77777777" w:rsidTr="00881CAF">
        <w:trPr>
          <w:trHeight w:val="227"/>
        </w:trPr>
        <w:tc>
          <w:tcPr>
            <w:tcW w:w="1306" w:type="dxa"/>
          </w:tcPr>
          <w:p w14:paraId="0C21BB2D" w14:textId="77777777" w:rsidR="00704C24" w:rsidRPr="00704C24" w:rsidRDefault="00704C24">
            <w:pPr>
              <w:pStyle w:val="Tabele"/>
              <w:rPr>
                <w:b/>
                <w:color w:val="auto"/>
                <w:sz w:val="12"/>
                <w:szCs w:val="12"/>
              </w:rPr>
            </w:pPr>
            <w:r w:rsidRPr="00704C24">
              <w:rPr>
                <w:rFonts w:cs="Calibri"/>
                <w:color w:val="auto"/>
                <w:sz w:val="12"/>
                <w:szCs w:val="12"/>
              </w:rPr>
              <w:t xml:space="preserve">B. Przemysł chemiczny </w:t>
            </w:r>
          </w:p>
        </w:tc>
        <w:tc>
          <w:tcPr>
            <w:tcW w:w="757" w:type="dxa"/>
            <w:shd w:val="clear" w:color="auto" w:fill="C5E0B3"/>
          </w:tcPr>
          <w:p w14:paraId="051656DD" w14:textId="77777777" w:rsidR="00704C24" w:rsidRPr="00704C24" w:rsidRDefault="00704C24">
            <w:pPr>
              <w:pStyle w:val="Tabele"/>
              <w:jc w:val="right"/>
              <w:rPr>
                <w:rFonts w:cs="Calibri"/>
                <w:color w:val="auto"/>
                <w:sz w:val="12"/>
                <w:szCs w:val="12"/>
              </w:rPr>
            </w:pPr>
            <w:r w:rsidRPr="00704C24">
              <w:rPr>
                <w:color w:val="auto"/>
                <w:sz w:val="12"/>
                <w:szCs w:val="12"/>
              </w:rPr>
              <w:t>3 801,80</w:t>
            </w:r>
          </w:p>
        </w:tc>
        <w:tc>
          <w:tcPr>
            <w:tcW w:w="800" w:type="dxa"/>
            <w:shd w:val="clear" w:color="auto" w:fill="C5E0B3"/>
          </w:tcPr>
          <w:p w14:paraId="450F0186" w14:textId="77777777" w:rsidR="00704C24" w:rsidRPr="00704C24" w:rsidRDefault="00704C24">
            <w:pPr>
              <w:pStyle w:val="Tabele"/>
              <w:jc w:val="right"/>
              <w:rPr>
                <w:color w:val="auto"/>
                <w:sz w:val="12"/>
                <w:szCs w:val="12"/>
              </w:rPr>
            </w:pPr>
            <w:r w:rsidRPr="00704C24">
              <w:rPr>
                <w:color w:val="auto"/>
                <w:sz w:val="12"/>
                <w:szCs w:val="12"/>
              </w:rPr>
              <w:t>4 886,78</w:t>
            </w:r>
          </w:p>
        </w:tc>
        <w:tc>
          <w:tcPr>
            <w:tcW w:w="794" w:type="dxa"/>
            <w:shd w:val="clear" w:color="auto" w:fill="C5E0B3"/>
          </w:tcPr>
          <w:p w14:paraId="6BBA5615" w14:textId="77777777" w:rsidR="00704C24" w:rsidRPr="00704C24" w:rsidRDefault="00704C24">
            <w:pPr>
              <w:pStyle w:val="Tabele"/>
              <w:jc w:val="right"/>
              <w:rPr>
                <w:color w:val="auto"/>
                <w:sz w:val="12"/>
                <w:szCs w:val="12"/>
              </w:rPr>
            </w:pPr>
            <w:r w:rsidRPr="00704C24">
              <w:rPr>
                <w:color w:val="auto"/>
                <w:sz w:val="12"/>
                <w:szCs w:val="12"/>
              </w:rPr>
              <w:t>4 335,42</w:t>
            </w:r>
          </w:p>
        </w:tc>
        <w:tc>
          <w:tcPr>
            <w:tcW w:w="864" w:type="dxa"/>
            <w:shd w:val="clear" w:color="auto" w:fill="C5E0B3"/>
          </w:tcPr>
          <w:p w14:paraId="66854CC0" w14:textId="77777777" w:rsidR="00704C24" w:rsidRPr="00704C24" w:rsidRDefault="00704C24">
            <w:pPr>
              <w:pStyle w:val="Tabele"/>
              <w:jc w:val="right"/>
              <w:rPr>
                <w:color w:val="auto"/>
                <w:sz w:val="12"/>
                <w:szCs w:val="12"/>
              </w:rPr>
            </w:pPr>
            <w:r w:rsidRPr="00704C24">
              <w:rPr>
                <w:color w:val="auto"/>
                <w:sz w:val="12"/>
                <w:szCs w:val="12"/>
              </w:rPr>
              <w:t>5 141,13</w:t>
            </w:r>
          </w:p>
        </w:tc>
        <w:tc>
          <w:tcPr>
            <w:tcW w:w="903" w:type="dxa"/>
            <w:shd w:val="clear" w:color="auto" w:fill="C5E0B3"/>
          </w:tcPr>
          <w:p w14:paraId="22DE5BF6" w14:textId="77777777" w:rsidR="00704C24" w:rsidRPr="00704C24" w:rsidRDefault="00704C24">
            <w:pPr>
              <w:pStyle w:val="Tabele"/>
              <w:jc w:val="right"/>
              <w:rPr>
                <w:color w:val="auto"/>
                <w:sz w:val="12"/>
                <w:szCs w:val="12"/>
              </w:rPr>
            </w:pPr>
            <w:r w:rsidRPr="00704C24">
              <w:rPr>
                <w:color w:val="auto"/>
                <w:sz w:val="12"/>
                <w:szCs w:val="12"/>
              </w:rPr>
              <w:t>4 866,96</w:t>
            </w:r>
          </w:p>
        </w:tc>
        <w:tc>
          <w:tcPr>
            <w:tcW w:w="904" w:type="dxa"/>
          </w:tcPr>
          <w:p w14:paraId="477AA9A9" w14:textId="77777777" w:rsidR="00704C24" w:rsidRPr="00704C24" w:rsidRDefault="00704C24">
            <w:pPr>
              <w:pStyle w:val="Tabele"/>
              <w:jc w:val="right"/>
              <w:rPr>
                <w:b/>
                <w:bCs/>
                <w:color w:val="auto"/>
                <w:sz w:val="12"/>
                <w:szCs w:val="12"/>
                <w:highlight w:val="yellow"/>
              </w:rPr>
            </w:pPr>
            <w:r w:rsidRPr="00704C24">
              <w:rPr>
                <w:color w:val="auto"/>
                <w:sz w:val="12"/>
                <w:szCs w:val="12"/>
              </w:rPr>
              <w:t>1 394,59</w:t>
            </w:r>
          </w:p>
        </w:tc>
        <w:tc>
          <w:tcPr>
            <w:tcW w:w="928" w:type="dxa"/>
            <w:vMerge/>
          </w:tcPr>
          <w:p w14:paraId="47CB8233" w14:textId="54A4008F" w:rsidR="00704C24" w:rsidRPr="00704C24" w:rsidRDefault="00704C24">
            <w:pPr>
              <w:pStyle w:val="Tabele"/>
              <w:jc w:val="right"/>
              <w:rPr>
                <w:b/>
                <w:bCs/>
                <w:color w:val="auto"/>
                <w:sz w:val="12"/>
                <w:szCs w:val="12"/>
                <w:highlight w:val="yellow"/>
              </w:rPr>
            </w:pPr>
          </w:p>
        </w:tc>
        <w:tc>
          <w:tcPr>
            <w:tcW w:w="890" w:type="dxa"/>
            <w:vMerge/>
          </w:tcPr>
          <w:p w14:paraId="654EB524" w14:textId="4F2CA047" w:rsidR="00704C24" w:rsidRPr="00704C24" w:rsidRDefault="00704C24">
            <w:pPr>
              <w:pStyle w:val="Tabele"/>
              <w:jc w:val="right"/>
              <w:rPr>
                <w:b/>
                <w:bCs/>
                <w:color w:val="auto"/>
                <w:sz w:val="12"/>
                <w:szCs w:val="12"/>
                <w:highlight w:val="yellow"/>
              </w:rPr>
            </w:pPr>
          </w:p>
        </w:tc>
        <w:tc>
          <w:tcPr>
            <w:tcW w:w="916" w:type="dxa"/>
            <w:vMerge/>
          </w:tcPr>
          <w:p w14:paraId="17882562" w14:textId="38CA1542" w:rsidR="00704C24" w:rsidRPr="00704C24" w:rsidRDefault="00704C24">
            <w:pPr>
              <w:pStyle w:val="Tabele"/>
              <w:jc w:val="right"/>
              <w:rPr>
                <w:b/>
                <w:bCs/>
                <w:color w:val="auto"/>
                <w:sz w:val="12"/>
                <w:szCs w:val="12"/>
                <w:highlight w:val="yellow"/>
              </w:rPr>
            </w:pPr>
          </w:p>
        </w:tc>
      </w:tr>
      <w:tr w:rsidR="00704C24" w:rsidRPr="00520300" w14:paraId="01F514E0" w14:textId="77777777" w:rsidTr="00881CAF">
        <w:trPr>
          <w:trHeight w:val="227"/>
        </w:trPr>
        <w:tc>
          <w:tcPr>
            <w:tcW w:w="1306" w:type="dxa"/>
          </w:tcPr>
          <w:p w14:paraId="7B586F0C" w14:textId="77777777" w:rsidR="00704C24" w:rsidRPr="00704C24" w:rsidRDefault="00704C24">
            <w:pPr>
              <w:pStyle w:val="Tabele"/>
              <w:rPr>
                <w:b/>
                <w:color w:val="auto"/>
                <w:sz w:val="12"/>
                <w:szCs w:val="12"/>
              </w:rPr>
            </w:pPr>
            <w:r w:rsidRPr="00704C24">
              <w:rPr>
                <w:rFonts w:cs="Calibri"/>
                <w:color w:val="auto"/>
                <w:sz w:val="12"/>
                <w:szCs w:val="12"/>
              </w:rPr>
              <w:t xml:space="preserve">C. Produkcja metali </w:t>
            </w:r>
          </w:p>
        </w:tc>
        <w:tc>
          <w:tcPr>
            <w:tcW w:w="757" w:type="dxa"/>
            <w:shd w:val="clear" w:color="auto" w:fill="C5E0B3"/>
          </w:tcPr>
          <w:p w14:paraId="0AA922DD" w14:textId="77777777" w:rsidR="00704C24" w:rsidRPr="00704C24" w:rsidRDefault="00704C24">
            <w:pPr>
              <w:pStyle w:val="Tabele"/>
              <w:jc w:val="right"/>
              <w:rPr>
                <w:rFonts w:cs="Calibri"/>
                <w:color w:val="auto"/>
                <w:sz w:val="12"/>
                <w:szCs w:val="12"/>
              </w:rPr>
            </w:pPr>
            <w:r w:rsidRPr="00704C24">
              <w:rPr>
                <w:color w:val="auto"/>
                <w:sz w:val="12"/>
                <w:szCs w:val="12"/>
              </w:rPr>
              <w:t>5 652,35</w:t>
            </w:r>
          </w:p>
        </w:tc>
        <w:tc>
          <w:tcPr>
            <w:tcW w:w="800" w:type="dxa"/>
            <w:shd w:val="clear" w:color="auto" w:fill="C5E0B3"/>
          </w:tcPr>
          <w:p w14:paraId="15AB235F" w14:textId="77777777" w:rsidR="00704C24" w:rsidRPr="00704C24" w:rsidRDefault="00704C24">
            <w:pPr>
              <w:pStyle w:val="Tabele"/>
              <w:jc w:val="right"/>
              <w:rPr>
                <w:color w:val="auto"/>
                <w:sz w:val="12"/>
                <w:szCs w:val="12"/>
              </w:rPr>
            </w:pPr>
            <w:r w:rsidRPr="00704C24">
              <w:rPr>
                <w:color w:val="auto"/>
                <w:sz w:val="12"/>
                <w:szCs w:val="12"/>
              </w:rPr>
              <w:t>2 236,00</w:t>
            </w:r>
          </w:p>
        </w:tc>
        <w:tc>
          <w:tcPr>
            <w:tcW w:w="794" w:type="dxa"/>
            <w:shd w:val="clear" w:color="auto" w:fill="C5E0B3"/>
          </w:tcPr>
          <w:p w14:paraId="6178B7FF" w14:textId="77777777" w:rsidR="00704C24" w:rsidRPr="00704C24" w:rsidRDefault="00704C24">
            <w:pPr>
              <w:pStyle w:val="Tabele"/>
              <w:jc w:val="right"/>
              <w:rPr>
                <w:color w:val="auto"/>
                <w:sz w:val="12"/>
                <w:szCs w:val="12"/>
              </w:rPr>
            </w:pPr>
            <w:r w:rsidRPr="00704C24">
              <w:rPr>
                <w:color w:val="auto"/>
                <w:sz w:val="12"/>
                <w:szCs w:val="12"/>
              </w:rPr>
              <w:t>1 639,16</w:t>
            </w:r>
          </w:p>
        </w:tc>
        <w:tc>
          <w:tcPr>
            <w:tcW w:w="864" w:type="dxa"/>
            <w:shd w:val="clear" w:color="auto" w:fill="C5E0B3"/>
          </w:tcPr>
          <w:p w14:paraId="6F378C39" w14:textId="77777777" w:rsidR="00704C24" w:rsidRPr="00704C24" w:rsidRDefault="00704C24">
            <w:pPr>
              <w:pStyle w:val="Tabele"/>
              <w:jc w:val="right"/>
              <w:rPr>
                <w:color w:val="auto"/>
                <w:sz w:val="12"/>
                <w:szCs w:val="12"/>
              </w:rPr>
            </w:pPr>
            <w:r w:rsidRPr="00704C24">
              <w:rPr>
                <w:color w:val="auto"/>
                <w:sz w:val="12"/>
                <w:szCs w:val="12"/>
              </w:rPr>
              <w:t>2 419,96</w:t>
            </w:r>
          </w:p>
        </w:tc>
        <w:tc>
          <w:tcPr>
            <w:tcW w:w="903" w:type="dxa"/>
            <w:shd w:val="clear" w:color="auto" w:fill="C5E0B3"/>
          </w:tcPr>
          <w:p w14:paraId="410B57B3" w14:textId="77777777" w:rsidR="00704C24" w:rsidRPr="00704C24" w:rsidRDefault="00704C24">
            <w:pPr>
              <w:pStyle w:val="Tabele"/>
              <w:jc w:val="right"/>
              <w:rPr>
                <w:color w:val="auto"/>
                <w:sz w:val="12"/>
                <w:szCs w:val="12"/>
              </w:rPr>
            </w:pPr>
            <w:r w:rsidRPr="00704C24">
              <w:rPr>
                <w:color w:val="auto"/>
                <w:sz w:val="12"/>
                <w:szCs w:val="12"/>
              </w:rPr>
              <w:t>1 824,37</w:t>
            </w:r>
          </w:p>
        </w:tc>
        <w:tc>
          <w:tcPr>
            <w:tcW w:w="904" w:type="dxa"/>
          </w:tcPr>
          <w:p w14:paraId="6B304491" w14:textId="77777777" w:rsidR="00704C24" w:rsidRPr="00704C24" w:rsidRDefault="00704C24">
            <w:pPr>
              <w:pStyle w:val="Tabele"/>
              <w:jc w:val="right"/>
              <w:rPr>
                <w:b/>
                <w:bCs/>
                <w:color w:val="auto"/>
                <w:sz w:val="12"/>
                <w:szCs w:val="12"/>
                <w:highlight w:val="yellow"/>
              </w:rPr>
            </w:pPr>
            <w:r w:rsidRPr="00704C24">
              <w:rPr>
                <w:color w:val="auto"/>
                <w:sz w:val="12"/>
                <w:szCs w:val="12"/>
              </w:rPr>
              <w:t>2 159,99</w:t>
            </w:r>
          </w:p>
        </w:tc>
        <w:tc>
          <w:tcPr>
            <w:tcW w:w="928" w:type="dxa"/>
            <w:vMerge/>
          </w:tcPr>
          <w:p w14:paraId="35C36703" w14:textId="1E70D821" w:rsidR="00704C24" w:rsidRPr="00704C24" w:rsidRDefault="00704C24">
            <w:pPr>
              <w:pStyle w:val="Tabele"/>
              <w:jc w:val="right"/>
              <w:rPr>
                <w:b/>
                <w:bCs/>
                <w:color w:val="auto"/>
                <w:sz w:val="12"/>
                <w:szCs w:val="12"/>
                <w:highlight w:val="yellow"/>
              </w:rPr>
            </w:pPr>
          </w:p>
        </w:tc>
        <w:tc>
          <w:tcPr>
            <w:tcW w:w="890" w:type="dxa"/>
            <w:vMerge/>
          </w:tcPr>
          <w:p w14:paraId="2453AD24" w14:textId="5748787B" w:rsidR="00704C24" w:rsidRPr="00704C24" w:rsidRDefault="00704C24">
            <w:pPr>
              <w:pStyle w:val="Tabele"/>
              <w:jc w:val="right"/>
              <w:rPr>
                <w:b/>
                <w:bCs/>
                <w:color w:val="auto"/>
                <w:sz w:val="12"/>
                <w:szCs w:val="12"/>
                <w:highlight w:val="yellow"/>
              </w:rPr>
            </w:pPr>
          </w:p>
        </w:tc>
        <w:tc>
          <w:tcPr>
            <w:tcW w:w="916" w:type="dxa"/>
            <w:vMerge/>
          </w:tcPr>
          <w:p w14:paraId="392609C2" w14:textId="4EFB9028" w:rsidR="00704C24" w:rsidRPr="00704C24" w:rsidRDefault="00704C24">
            <w:pPr>
              <w:pStyle w:val="Tabele"/>
              <w:jc w:val="right"/>
              <w:rPr>
                <w:b/>
                <w:bCs/>
                <w:color w:val="auto"/>
                <w:sz w:val="12"/>
                <w:szCs w:val="12"/>
                <w:highlight w:val="yellow"/>
              </w:rPr>
            </w:pPr>
          </w:p>
        </w:tc>
      </w:tr>
      <w:tr w:rsidR="00704C24" w:rsidRPr="00520300" w14:paraId="5A8F5EF2" w14:textId="77777777" w:rsidTr="00881CAF">
        <w:trPr>
          <w:trHeight w:val="227"/>
        </w:trPr>
        <w:tc>
          <w:tcPr>
            <w:tcW w:w="1306" w:type="dxa"/>
          </w:tcPr>
          <w:p w14:paraId="322E78D1" w14:textId="77777777" w:rsidR="00704C24" w:rsidRPr="00704C24" w:rsidRDefault="00704C24">
            <w:pPr>
              <w:pStyle w:val="Tabele"/>
              <w:rPr>
                <w:b/>
                <w:color w:val="auto"/>
                <w:sz w:val="12"/>
                <w:szCs w:val="12"/>
              </w:rPr>
            </w:pPr>
            <w:r w:rsidRPr="00704C24">
              <w:rPr>
                <w:rFonts w:cs="Calibri"/>
                <w:color w:val="auto"/>
                <w:sz w:val="12"/>
                <w:szCs w:val="12"/>
              </w:rPr>
              <w:t xml:space="preserve">D. Produkty nieenergetyczne ze zużycia paliw i rozpuszczalników </w:t>
            </w:r>
          </w:p>
        </w:tc>
        <w:tc>
          <w:tcPr>
            <w:tcW w:w="757" w:type="dxa"/>
            <w:shd w:val="clear" w:color="auto" w:fill="C5E0B3"/>
          </w:tcPr>
          <w:p w14:paraId="3BDDC08C" w14:textId="77777777" w:rsidR="00704C24" w:rsidRPr="00704C24" w:rsidRDefault="00704C24">
            <w:pPr>
              <w:pStyle w:val="Tabele"/>
              <w:jc w:val="right"/>
              <w:rPr>
                <w:rFonts w:cs="Calibri"/>
                <w:color w:val="auto"/>
                <w:sz w:val="12"/>
                <w:szCs w:val="12"/>
              </w:rPr>
            </w:pPr>
            <w:r w:rsidRPr="00704C24">
              <w:rPr>
                <w:color w:val="auto"/>
                <w:sz w:val="12"/>
                <w:szCs w:val="12"/>
              </w:rPr>
              <w:t>213,44</w:t>
            </w:r>
          </w:p>
        </w:tc>
        <w:tc>
          <w:tcPr>
            <w:tcW w:w="800" w:type="dxa"/>
            <w:shd w:val="clear" w:color="auto" w:fill="C5E0B3"/>
          </w:tcPr>
          <w:p w14:paraId="45308470" w14:textId="77777777" w:rsidR="00704C24" w:rsidRPr="00704C24" w:rsidRDefault="00704C24">
            <w:pPr>
              <w:pStyle w:val="Tabele"/>
              <w:jc w:val="right"/>
              <w:rPr>
                <w:color w:val="auto"/>
                <w:sz w:val="12"/>
                <w:szCs w:val="12"/>
              </w:rPr>
            </w:pPr>
            <w:r w:rsidRPr="00704C24">
              <w:rPr>
                <w:color w:val="auto"/>
                <w:sz w:val="12"/>
                <w:szCs w:val="12"/>
              </w:rPr>
              <w:t>186,90</w:t>
            </w:r>
          </w:p>
        </w:tc>
        <w:tc>
          <w:tcPr>
            <w:tcW w:w="794" w:type="dxa"/>
            <w:shd w:val="clear" w:color="auto" w:fill="C5E0B3"/>
          </w:tcPr>
          <w:p w14:paraId="7155A4C3" w14:textId="77777777" w:rsidR="00704C24" w:rsidRPr="00704C24" w:rsidRDefault="00704C24">
            <w:pPr>
              <w:pStyle w:val="Tabele"/>
              <w:jc w:val="right"/>
              <w:rPr>
                <w:color w:val="auto"/>
                <w:sz w:val="12"/>
                <w:szCs w:val="12"/>
              </w:rPr>
            </w:pPr>
            <w:r w:rsidRPr="00704C24">
              <w:rPr>
                <w:color w:val="auto"/>
                <w:sz w:val="12"/>
                <w:szCs w:val="12"/>
              </w:rPr>
              <w:t>236,40</w:t>
            </w:r>
          </w:p>
        </w:tc>
        <w:tc>
          <w:tcPr>
            <w:tcW w:w="864" w:type="dxa"/>
            <w:shd w:val="clear" w:color="auto" w:fill="C5E0B3"/>
          </w:tcPr>
          <w:p w14:paraId="7D9EB224" w14:textId="77777777" w:rsidR="00704C24" w:rsidRPr="00704C24" w:rsidRDefault="00704C24">
            <w:pPr>
              <w:pStyle w:val="Tabele"/>
              <w:jc w:val="right"/>
              <w:rPr>
                <w:color w:val="auto"/>
                <w:sz w:val="12"/>
                <w:szCs w:val="12"/>
              </w:rPr>
            </w:pPr>
            <w:r w:rsidRPr="00704C24">
              <w:rPr>
                <w:color w:val="auto"/>
                <w:sz w:val="12"/>
                <w:szCs w:val="12"/>
              </w:rPr>
              <w:t>262,66</w:t>
            </w:r>
          </w:p>
        </w:tc>
        <w:tc>
          <w:tcPr>
            <w:tcW w:w="903" w:type="dxa"/>
            <w:shd w:val="clear" w:color="auto" w:fill="C5E0B3"/>
          </w:tcPr>
          <w:p w14:paraId="4C24FF18" w14:textId="77777777" w:rsidR="00704C24" w:rsidRPr="00704C24" w:rsidRDefault="00704C24">
            <w:pPr>
              <w:pStyle w:val="Tabele"/>
              <w:jc w:val="right"/>
              <w:rPr>
                <w:color w:val="auto"/>
                <w:sz w:val="12"/>
                <w:szCs w:val="12"/>
              </w:rPr>
            </w:pPr>
            <w:r w:rsidRPr="00704C24">
              <w:rPr>
                <w:color w:val="auto"/>
                <w:sz w:val="12"/>
                <w:szCs w:val="12"/>
              </w:rPr>
              <w:t>315,74</w:t>
            </w:r>
          </w:p>
        </w:tc>
        <w:tc>
          <w:tcPr>
            <w:tcW w:w="904" w:type="dxa"/>
          </w:tcPr>
          <w:p w14:paraId="425B2AD6" w14:textId="77777777" w:rsidR="00704C24" w:rsidRPr="00704C24" w:rsidRDefault="00704C24">
            <w:pPr>
              <w:pStyle w:val="Tabele"/>
              <w:jc w:val="right"/>
              <w:rPr>
                <w:b/>
                <w:bCs/>
                <w:color w:val="auto"/>
                <w:sz w:val="12"/>
                <w:szCs w:val="12"/>
                <w:highlight w:val="yellow"/>
              </w:rPr>
            </w:pPr>
            <w:r w:rsidRPr="00704C24">
              <w:rPr>
                <w:color w:val="auto"/>
                <w:sz w:val="12"/>
                <w:szCs w:val="12"/>
              </w:rPr>
              <w:t>306,76</w:t>
            </w:r>
          </w:p>
        </w:tc>
        <w:tc>
          <w:tcPr>
            <w:tcW w:w="928" w:type="dxa"/>
            <w:vMerge/>
          </w:tcPr>
          <w:p w14:paraId="3E873BE5" w14:textId="1CA4EBAA" w:rsidR="00704C24" w:rsidRPr="00704C24" w:rsidRDefault="00704C24">
            <w:pPr>
              <w:pStyle w:val="Tabele"/>
              <w:jc w:val="right"/>
              <w:rPr>
                <w:b/>
                <w:bCs/>
                <w:color w:val="auto"/>
                <w:sz w:val="12"/>
                <w:szCs w:val="12"/>
                <w:highlight w:val="yellow"/>
              </w:rPr>
            </w:pPr>
          </w:p>
        </w:tc>
        <w:tc>
          <w:tcPr>
            <w:tcW w:w="890" w:type="dxa"/>
            <w:vMerge/>
          </w:tcPr>
          <w:p w14:paraId="65118619" w14:textId="2F2F0E36" w:rsidR="00704C24" w:rsidRPr="00704C24" w:rsidRDefault="00704C24">
            <w:pPr>
              <w:pStyle w:val="Tabele"/>
              <w:jc w:val="right"/>
              <w:rPr>
                <w:b/>
                <w:bCs/>
                <w:color w:val="auto"/>
                <w:sz w:val="12"/>
                <w:szCs w:val="12"/>
                <w:highlight w:val="yellow"/>
              </w:rPr>
            </w:pPr>
          </w:p>
        </w:tc>
        <w:tc>
          <w:tcPr>
            <w:tcW w:w="916" w:type="dxa"/>
            <w:vMerge/>
          </w:tcPr>
          <w:p w14:paraId="6C5258FA" w14:textId="10B80F67" w:rsidR="00704C24" w:rsidRPr="00704C24" w:rsidRDefault="00704C24">
            <w:pPr>
              <w:pStyle w:val="Tabele"/>
              <w:jc w:val="right"/>
              <w:rPr>
                <w:b/>
                <w:bCs/>
                <w:color w:val="auto"/>
                <w:sz w:val="12"/>
                <w:szCs w:val="12"/>
                <w:highlight w:val="yellow"/>
              </w:rPr>
            </w:pPr>
          </w:p>
        </w:tc>
      </w:tr>
      <w:tr w:rsidR="00704C24" w:rsidRPr="00520300" w14:paraId="5F2538B6" w14:textId="77777777" w:rsidTr="00881CAF">
        <w:trPr>
          <w:trHeight w:val="227"/>
        </w:trPr>
        <w:tc>
          <w:tcPr>
            <w:tcW w:w="1306" w:type="dxa"/>
          </w:tcPr>
          <w:p w14:paraId="493A5357" w14:textId="77777777" w:rsidR="00704C24" w:rsidRPr="00704C24" w:rsidRDefault="00704C24">
            <w:pPr>
              <w:pStyle w:val="Tabele"/>
              <w:rPr>
                <w:color w:val="auto"/>
                <w:sz w:val="12"/>
                <w:szCs w:val="12"/>
              </w:rPr>
            </w:pPr>
            <w:r w:rsidRPr="00704C24">
              <w:rPr>
                <w:rFonts w:cs="Calibri"/>
                <w:b/>
                <w:bCs/>
                <w:color w:val="auto"/>
                <w:sz w:val="12"/>
                <w:szCs w:val="12"/>
              </w:rPr>
              <w:t xml:space="preserve">3. Rolnictwo </w:t>
            </w:r>
          </w:p>
        </w:tc>
        <w:tc>
          <w:tcPr>
            <w:tcW w:w="757" w:type="dxa"/>
            <w:shd w:val="clear" w:color="auto" w:fill="C5E0B3"/>
          </w:tcPr>
          <w:p w14:paraId="5D9BF9E2" w14:textId="77777777" w:rsidR="00704C24" w:rsidRPr="00704C24" w:rsidRDefault="00704C24">
            <w:pPr>
              <w:pStyle w:val="Tabele"/>
              <w:jc w:val="right"/>
              <w:rPr>
                <w:rFonts w:cs="Calibri"/>
                <w:b/>
                <w:bCs/>
                <w:color w:val="auto"/>
                <w:sz w:val="12"/>
                <w:szCs w:val="12"/>
              </w:rPr>
            </w:pPr>
            <w:r w:rsidRPr="00704C24">
              <w:rPr>
                <w:b/>
                <w:color w:val="auto"/>
                <w:sz w:val="12"/>
                <w:szCs w:val="12"/>
              </w:rPr>
              <w:t>2 906,62</w:t>
            </w:r>
          </w:p>
        </w:tc>
        <w:tc>
          <w:tcPr>
            <w:tcW w:w="800" w:type="dxa"/>
            <w:shd w:val="clear" w:color="auto" w:fill="C5E0B3"/>
          </w:tcPr>
          <w:p w14:paraId="43CE45AB" w14:textId="77777777" w:rsidR="00704C24" w:rsidRPr="00704C24" w:rsidRDefault="00704C24">
            <w:pPr>
              <w:pStyle w:val="Tabele"/>
              <w:jc w:val="right"/>
              <w:rPr>
                <w:b/>
                <w:color w:val="auto"/>
                <w:sz w:val="12"/>
                <w:szCs w:val="12"/>
              </w:rPr>
            </w:pPr>
            <w:r w:rsidRPr="00704C24">
              <w:rPr>
                <w:b/>
                <w:color w:val="auto"/>
                <w:sz w:val="12"/>
                <w:szCs w:val="12"/>
              </w:rPr>
              <w:t>1 591,35</w:t>
            </w:r>
          </w:p>
        </w:tc>
        <w:tc>
          <w:tcPr>
            <w:tcW w:w="794" w:type="dxa"/>
            <w:shd w:val="clear" w:color="auto" w:fill="C5E0B3"/>
          </w:tcPr>
          <w:p w14:paraId="5B53808B" w14:textId="77777777" w:rsidR="00704C24" w:rsidRPr="00704C24" w:rsidRDefault="00704C24">
            <w:pPr>
              <w:pStyle w:val="Tabele"/>
              <w:jc w:val="right"/>
              <w:rPr>
                <w:b/>
                <w:color w:val="auto"/>
                <w:sz w:val="12"/>
                <w:szCs w:val="12"/>
              </w:rPr>
            </w:pPr>
            <w:r w:rsidRPr="00704C24">
              <w:rPr>
                <w:b/>
                <w:color w:val="auto"/>
                <w:sz w:val="12"/>
                <w:szCs w:val="12"/>
              </w:rPr>
              <w:t>1 121,19</w:t>
            </w:r>
          </w:p>
        </w:tc>
        <w:tc>
          <w:tcPr>
            <w:tcW w:w="864" w:type="dxa"/>
            <w:shd w:val="clear" w:color="auto" w:fill="C5E0B3"/>
          </w:tcPr>
          <w:p w14:paraId="2D774304" w14:textId="77777777" w:rsidR="00704C24" w:rsidRPr="00704C24" w:rsidRDefault="00704C24">
            <w:pPr>
              <w:pStyle w:val="Tabele"/>
              <w:jc w:val="right"/>
              <w:rPr>
                <w:b/>
                <w:color w:val="auto"/>
                <w:sz w:val="12"/>
                <w:szCs w:val="12"/>
              </w:rPr>
            </w:pPr>
            <w:r w:rsidRPr="00704C24">
              <w:rPr>
                <w:b/>
                <w:color w:val="auto"/>
                <w:sz w:val="12"/>
                <w:szCs w:val="12"/>
              </w:rPr>
              <w:t>1 108,98</w:t>
            </w:r>
          </w:p>
        </w:tc>
        <w:tc>
          <w:tcPr>
            <w:tcW w:w="903" w:type="dxa"/>
            <w:shd w:val="clear" w:color="auto" w:fill="C5E0B3"/>
          </w:tcPr>
          <w:p w14:paraId="5352C738" w14:textId="77777777" w:rsidR="00704C24" w:rsidRPr="00704C24" w:rsidRDefault="00704C24">
            <w:pPr>
              <w:pStyle w:val="Tabele"/>
              <w:jc w:val="right"/>
              <w:rPr>
                <w:b/>
                <w:color w:val="auto"/>
                <w:sz w:val="12"/>
                <w:szCs w:val="12"/>
              </w:rPr>
            </w:pPr>
            <w:r w:rsidRPr="00704C24">
              <w:rPr>
                <w:b/>
                <w:color w:val="auto"/>
                <w:sz w:val="12"/>
                <w:szCs w:val="12"/>
              </w:rPr>
              <w:t>1 458,75</w:t>
            </w:r>
          </w:p>
        </w:tc>
        <w:tc>
          <w:tcPr>
            <w:tcW w:w="904" w:type="dxa"/>
          </w:tcPr>
          <w:p w14:paraId="29B19639" w14:textId="77777777" w:rsidR="00704C24" w:rsidRPr="00704C24" w:rsidRDefault="00704C24">
            <w:pPr>
              <w:pStyle w:val="Tabele"/>
              <w:jc w:val="right"/>
              <w:rPr>
                <w:b/>
                <w:bCs/>
                <w:color w:val="auto"/>
                <w:sz w:val="12"/>
                <w:szCs w:val="12"/>
                <w:highlight w:val="yellow"/>
              </w:rPr>
            </w:pPr>
            <w:r w:rsidRPr="00704C24">
              <w:rPr>
                <w:b/>
                <w:color w:val="auto"/>
                <w:sz w:val="12"/>
                <w:szCs w:val="12"/>
              </w:rPr>
              <w:t>1 486,70</w:t>
            </w:r>
          </w:p>
        </w:tc>
        <w:tc>
          <w:tcPr>
            <w:tcW w:w="928" w:type="dxa"/>
          </w:tcPr>
          <w:p w14:paraId="1CDCCB3F" w14:textId="77777777" w:rsidR="00704C24" w:rsidRPr="00704C24" w:rsidRDefault="00704C24">
            <w:pPr>
              <w:pStyle w:val="Tabele"/>
              <w:jc w:val="right"/>
              <w:rPr>
                <w:b/>
                <w:bCs/>
                <w:color w:val="auto"/>
                <w:sz w:val="12"/>
                <w:szCs w:val="12"/>
                <w:highlight w:val="yellow"/>
              </w:rPr>
            </w:pPr>
            <w:r w:rsidRPr="00704C24">
              <w:rPr>
                <w:b/>
                <w:color w:val="auto"/>
                <w:sz w:val="12"/>
                <w:szCs w:val="12"/>
              </w:rPr>
              <w:t>1 464,91</w:t>
            </w:r>
          </w:p>
        </w:tc>
        <w:tc>
          <w:tcPr>
            <w:tcW w:w="890" w:type="dxa"/>
          </w:tcPr>
          <w:p w14:paraId="5D6DEEC0" w14:textId="77777777" w:rsidR="00704C24" w:rsidRPr="00704C24" w:rsidRDefault="00704C24">
            <w:pPr>
              <w:pStyle w:val="Tabele"/>
              <w:jc w:val="right"/>
              <w:rPr>
                <w:b/>
                <w:bCs/>
                <w:color w:val="auto"/>
                <w:sz w:val="12"/>
                <w:szCs w:val="12"/>
                <w:highlight w:val="yellow"/>
              </w:rPr>
            </w:pPr>
            <w:r w:rsidRPr="00704C24">
              <w:rPr>
                <w:b/>
                <w:color w:val="auto"/>
                <w:sz w:val="12"/>
                <w:szCs w:val="12"/>
              </w:rPr>
              <w:t>1 510,76</w:t>
            </w:r>
          </w:p>
        </w:tc>
        <w:tc>
          <w:tcPr>
            <w:tcW w:w="916" w:type="dxa"/>
          </w:tcPr>
          <w:p w14:paraId="5D6D24CC" w14:textId="77777777" w:rsidR="00704C24" w:rsidRPr="00704C24" w:rsidRDefault="00704C24">
            <w:pPr>
              <w:pStyle w:val="Tabele"/>
              <w:jc w:val="right"/>
              <w:rPr>
                <w:b/>
                <w:bCs/>
                <w:color w:val="auto"/>
                <w:sz w:val="12"/>
                <w:szCs w:val="12"/>
                <w:highlight w:val="yellow"/>
              </w:rPr>
            </w:pPr>
            <w:r w:rsidRPr="00704C24">
              <w:rPr>
                <w:b/>
                <w:color w:val="auto"/>
                <w:sz w:val="12"/>
                <w:szCs w:val="12"/>
              </w:rPr>
              <w:t>1 492,95</w:t>
            </w:r>
          </w:p>
        </w:tc>
      </w:tr>
      <w:tr w:rsidR="00704C24" w:rsidRPr="00520300" w14:paraId="65C29164" w14:textId="77777777" w:rsidTr="00881CAF">
        <w:trPr>
          <w:trHeight w:val="227"/>
        </w:trPr>
        <w:tc>
          <w:tcPr>
            <w:tcW w:w="1306" w:type="dxa"/>
          </w:tcPr>
          <w:p w14:paraId="31FD77E2" w14:textId="77777777" w:rsidR="00704C24" w:rsidRPr="00704C24" w:rsidRDefault="00704C24">
            <w:pPr>
              <w:pStyle w:val="Tabele"/>
              <w:rPr>
                <w:b/>
                <w:color w:val="auto"/>
                <w:sz w:val="12"/>
                <w:szCs w:val="12"/>
              </w:rPr>
            </w:pPr>
            <w:r w:rsidRPr="00704C24">
              <w:rPr>
                <w:rFonts w:cs="Calibri"/>
                <w:color w:val="auto"/>
                <w:sz w:val="12"/>
                <w:szCs w:val="12"/>
              </w:rPr>
              <w:t xml:space="preserve">G. Wapnowanie </w:t>
            </w:r>
          </w:p>
        </w:tc>
        <w:tc>
          <w:tcPr>
            <w:tcW w:w="757" w:type="dxa"/>
            <w:shd w:val="clear" w:color="auto" w:fill="C5E0B3"/>
          </w:tcPr>
          <w:p w14:paraId="63ECE3CE" w14:textId="77777777" w:rsidR="00704C24" w:rsidRPr="00704C24" w:rsidRDefault="00704C24">
            <w:pPr>
              <w:pStyle w:val="Tabele"/>
              <w:jc w:val="right"/>
              <w:rPr>
                <w:rFonts w:cs="Calibri"/>
                <w:color w:val="auto"/>
                <w:sz w:val="12"/>
                <w:szCs w:val="12"/>
              </w:rPr>
            </w:pPr>
            <w:r w:rsidRPr="00704C24">
              <w:rPr>
                <w:color w:val="auto"/>
                <w:sz w:val="12"/>
                <w:szCs w:val="12"/>
              </w:rPr>
              <w:t>2 099,38</w:t>
            </w:r>
          </w:p>
        </w:tc>
        <w:tc>
          <w:tcPr>
            <w:tcW w:w="800" w:type="dxa"/>
            <w:shd w:val="clear" w:color="auto" w:fill="C5E0B3"/>
          </w:tcPr>
          <w:p w14:paraId="11EC3359" w14:textId="77777777" w:rsidR="00704C24" w:rsidRPr="00704C24" w:rsidRDefault="00704C24">
            <w:pPr>
              <w:pStyle w:val="Tabele"/>
              <w:jc w:val="right"/>
              <w:rPr>
                <w:color w:val="auto"/>
                <w:sz w:val="12"/>
                <w:szCs w:val="12"/>
              </w:rPr>
            </w:pPr>
            <w:r w:rsidRPr="00704C24">
              <w:rPr>
                <w:color w:val="auto"/>
                <w:sz w:val="12"/>
                <w:szCs w:val="12"/>
              </w:rPr>
              <w:t>944,90</w:t>
            </w:r>
          </w:p>
        </w:tc>
        <w:tc>
          <w:tcPr>
            <w:tcW w:w="794" w:type="dxa"/>
            <w:shd w:val="clear" w:color="auto" w:fill="C5E0B3"/>
          </w:tcPr>
          <w:p w14:paraId="2D7AAB2F" w14:textId="77777777" w:rsidR="00704C24" w:rsidRPr="00704C24" w:rsidRDefault="00704C24">
            <w:pPr>
              <w:pStyle w:val="Tabele"/>
              <w:jc w:val="right"/>
              <w:rPr>
                <w:color w:val="auto"/>
                <w:sz w:val="12"/>
                <w:szCs w:val="12"/>
              </w:rPr>
            </w:pPr>
            <w:r w:rsidRPr="00704C24">
              <w:rPr>
                <w:color w:val="auto"/>
                <w:sz w:val="12"/>
                <w:szCs w:val="12"/>
              </w:rPr>
              <w:t>391,55</w:t>
            </w:r>
          </w:p>
        </w:tc>
        <w:tc>
          <w:tcPr>
            <w:tcW w:w="864" w:type="dxa"/>
            <w:shd w:val="clear" w:color="auto" w:fill="C5E0B3"/>
          </w:tcPr>
          <w:p w14:paraId="5605F959" w14:textId="77777777" w:rsidR="00704C24" w:rsidRPr="00704C24" w:rsidRDefault="00704C24">
            <w:pPr>
              <w:pStyle w:val="Tabele"/>
              <w:jc w:val="right"/>
              <w:rPr>
                <w:color w:val="auto"/>
                <w:sz w:val="12"/>
                <w:szCs w:val="12"/>
              </w:rPr>
            </w:pPr>
            <w:r w:rsidRPr="00704C24">
              <w:rPr>
                <w:color w:val="auto"/>
                <w:sz w:val="12"/>
                <w:szCs w:val="12"/>
              </w:rPr>
              <w:t>373,84</w:t>
            </w:r>
          </w:p>
        </w:tc>
        <w:tc>
          <w:tcPr>
            <w:tcW w:w="903" w:type="dxa"/>
            <w:shd w:val="clear" w:color="auto" w:fill="C5E0B3"/>
          </w:tcPr>
          <w:p w14:paraId="3E3BABEA" w14:textId="77777777" w:rsidR="00704C24" w:rsidRPr="00704C24" w:rsidRDefault="00704C24">
            <w:pPr>
              <w:pStyle w:val="Tabele"/>
              <w:jc w:val="right"/>
              <w:rPr>
                <w:color w:val="auto"/>
                <w:sz w:val="12"/>
                <w:szCs w:val="12"/>
              </w:rPr>
            </w:pPr>
            <w:r w:rsidRPr="00704C24">
              <w:rPr>
                <w:color w:val="auto"/>
                <w:sz w:val="12"/>
                <w:szCs w:val="12"/>
              </w:rPr>
              <w:t>836,30</w:t>
            </w:r>
          </w:p>
        </w:tc>
        <w:tc>
          <w:tcPr>
            <w:tcW w:w="904" w:type="dxa"/>
          </w:tcPr>
          <w:p w14:paraId="123F0F05" w14:textId="77777777" w:rsidR="00704C24" w:rsidRPr="00704C24" w:rsidRDefault="00704C24">
            <w:pPr>
              <w:pStyle w:val="Tabele"/>
              <w:jc w:val="right"/>
              <w:rPr>
                <w:b/>
                <w:bCs/>
                <w:color w:val="auto"/>
                <w:sz w:val="12"/>
                <w:szCs w:val="12"/>
                <w:highlight w:val="yellow"/>
              </w:rPr>
            </w:pPr>
            <w:r w:rsidRPr="00704C24">
              <w:rPr>
                <w:color w:val="auto"/>
                <w:sz w:val="12"/>
                <w:szCs w:val="12"/>
              </w:rPr>
              <w:t>914,83</w:t>
            </w:r>
          </w:p>
        </w:tc>
        <w:tc>
          <w:tcPr>
            <w:tcW w:w="928" w:type="dxa"/>
          </w:tcPr>
          <w:p w14:paraId="182FF295" w14:textId="77777777" w:rsidR="00704C24" w:rsidRPr="00704C24" w:rsidRDefault="00704C24">
            <w:pPr>
              <w:pStyle w:val="Tabele"/>
              <w:jc w:val="right"/>
              <w:rPr>
                <w:b/>
                <w:bCs/>
                <w:color w:val="auto"/>
                <w:sz w:val="12"/>
                <w:szCs w:val="12"/>
                <w:highlight w:val="yellow"/>
              </w:rPr>
            </w:pPr>
            <w:r w:rsidRPr="00704C24">
              <w:rPr>
                <w:color w:val="auto"/>
                <w:sz w:val="12"/>
                <w:szCs w:val="12"/>
              </w:rPr>
              <w:t>944,22</w:t>
            </w:r>
          </w:p>
        </w:tc>
        <w:tc>
          <w:tcPr>
            <w:tcW w:w="890" w:type="dxa"/>
          </w:tcPr>
          <w:p w14:paraId="027A07B6" w14:textId="77777777" w:rsidR="00704C24" w:rsidRPr="00704C24" w:rsidRDefault="00704C24">
            <w:pPr>
              <w:pStyle w:val="Tabele"/>
              <w:jc w:val="right"/>
              <w:rPr>
                <w:b/>
                <w:bCs/>
                <w:color w:val="auto"/>
                <w:sz w:val="12"/>
                <w:szCs w:val="12"/>
                <w:highlight w:val="yellow"/>
              </w:rPr>
            </w:pPr>
            <w:r w:rsidRPr="00704C24">
              <w:rPr>
                <w:color w:val="auto"/>
                <w:sz w:val="12"/>
                <w:szCs w:val="12"/>
              </w:rPr>
              <w:t>1 020,94</w:t>
            </w:r>
          </w:p>
        </w:tc>
        <w:tc>
          <w:tcPr>
            <w:tcW w:w="916" w:type="dxa"/>
          </w:tcPr>
          <w:p w14:paraId="1E8692D5" w14:textId="77777777" w:rsidR="00704C24" w:rsidRPr="00704C24" w:rsidRDefault="00704C24">
            <w:pPr>
              <w:pStyle w:val="Tabele"/>
              <w:jc w:val="right"/>
              <w:rPr>
                <w:b/>
                <w:bCs/>
                <w:color w:val="auto"/>
                <w:sz w:val="12"/>
                <w:szCs w:val="12"/>
                <w:highlight w:val="yellow"/>
              </w:rPr>
            </w:pPr>
            <w:r w:rsidRPr="00704C24">
              <w:rPr>
                <w:color w:val="auto"/>
                <w:sz w:val="12"/>
                <w:szCs w:val="12"/>
              </w:rPr>
              <w:t>1 052,80</w:t>
            </w:r>
          </w:p>
        </w:tc>
      </w:tr>
      <w:tr w:rsidR="00704C24" w:rsidRPr="00520300" w14:paraId="168B1356" w14:textId="77777777" w:rsidTr="00881CAF">
        <w:trPr>
          <w:trHeight w:val="227"/>
        </w:trPr>
        <w:tc>
          <w:tcPr>
            <w:tcW w:w="1306" w:type="dxa"/>
          </w:tcPr>
          <w:p w14:paraId="74508B55" w14:textId="77777777" w:rsidR="00704C24" w:rsidRPr="00704C24" w:rsidRDefault="00704C24">
            <w:pPr>
              <w:pStyle w:val="Tabele"/>
              <w:rPr>
                <w:b/>
                <w:color w:val="auto"/>
                <w:sz w:val="12"/>
                <w:szCs w:val="12"/>
              </w:rPr>
            </w:pPr>
            <w:r w:rsidRPr="00704C24">
              <w:rPr>
                <w:rFonts w:cs="Calibri"/>
                <w:color w:val="auto"/>
                <w:sz w:val="12"/>
                <w:szCs w:val="12"/>
              </w:rPr>
              <w:t xml:space="preserve">H. Stosowanie mocznika </w:t>
            </w:r>
          </w:p>
        </w:tc>
        <w:tc>
          <w:tcPr>
            <w:tcW w:w="757" w:type="dxa"/>
            <w:shd w:val="clear" w:color="auto" w:fill="C5E0B3"/>
          </w:tcPr>
          <w:p w14:paraId="50FE2C32" w14:textId="77777777" w:rsidR="00704C24" w:rsidRPr="00704C24" w:rsidRDefault="00704C24">
            <w:pPr>
              <w:pStyle w:val="Tabele"/>
              <w:jc w:val="right"/>
              <w:rPr>
                <w:rFonts w:cs="Calibri"/>
                <w:color w:val="auto"/>
                <w:sz w:val="12"/>
                <w:szCs w:val="12"/>
              </w:rPr>
            </w:pPr>
            <w:r w:rsidRPr="00704C24">
              <w:rPr>
                <w:color w:val="auto"/>
                <w:sz w:val="12"/>
                <w:szCs w:val="12"/>
              </w:rPr>
              <w:t>571,11</w:t>
            </w:r>
          </w:p>
        </w:tc>
        <w:tc>
          <w:tcPr>
            <w:tcW w:w="800" w:type="dxa"/>
            <w:shd w:val="clear" w:color="auto" w:fill="C5E0B3"/>
          </w:tcPr>
          <w:p w14:paraId="41F25ECB" w14:textId="77777777" w:rsidR="00704C24" w:rsidRPr="00704C24" w:rsidRDefault="00704C24">
            <w:pPr>
              <w:pStyle w:val="Tabele"/>
              <w:jc w:val="right"/>
              <w:rPr>
                <w:color w:val="auto"/>
                <w:sz w:val="12"/>
                <w:szCs w:val="12"/>
              </w:rPr>
            </w:pPr>
            <w:r w:rsidRPr="00704C24">
              <w:rPr>
                <w:color w:val="auto"/>
                <w:sz w:val="12"/>
                <w:szCs w:val="12"/>
              </w:rPr>
              <w:t>394,18</w:t>
            </w:r>
          </w:p>
        </w:tc>
        <w:tc>
          <w:tcPr>
            <w:tcW w:w="794" w:type="dxa"/>
            <w:shd w:val="clear" w:color="auto" w:fill="C5E0B3"/>
          </w:tcPr>
          <w:p w14:paraId="0A2B696A" w14:textId="77777777" w:rsidR="00704C24" w:rsidRPr="00704C24" w:rsidRDefault="00704C24">
            <w:pPr>
              <w:pStyle w:val="Tabele"/>
              <w:jc w:val="right"/>
              <w:rPr>
                <w:color w:val="auto"/>
                <w:sz w:val="12"/>
                <w:szCs w:val="12"/>
              </w:rPr>
            </w:pPr>
            <w:r w:rsidRPr="00704C24">
              <w:rPr>
                <w:color w:val="auto"/>
                <w:sz w:val="12"/>
                <w:szCs w:val="12"/>
              </w:rPr>
              <w:t>467,17</w:t>
            </w:r>
          </w:p>
        </w:tc>
        <w:tc>
          <w:tcPr>
            <w:tcW w:w="864" w:type="dxa"/>
            <w:shd w:val="clear" w:color="auto" w:fill="C5E0B3"/>
          </w:tcPr>
          <w:p w14:paraId="3E77CEEA" w14:textId="77777777" w:rsidR="00704C24" w:rsidRPr="00704C24" w:rsidRDefault="00704C24">
            <w:pPr>
              <w:pStyle w:val="Tabele"/>
              <w:jc w:val="right"/>
              <w:rPr>
                <w:color w:val="auto"/>
                <w:sz w:val="12"/>
                <w:szCs w:val="12"/>
              </w:rPr>
            </w:pPr>
            <w:r w:rsidRPr="00704C24">
              <w:rPr>
                <w:color w:val="auto"/>
                <w:sz w:val="12"/>
                <w:szCs w:val="12"/>
              </w:rPr>
              <w:t>471,24</w:t>
            </w:r>
          </w:p>
        </w:tc>
        <w:tc>
          <w:tcPr>
            <w:tcW w:w="903" w:type="dxa"/>
            <w:shd w:val="clear" w:color="auto" w:fill="C5E0B3"/>
          </w:tcPr>
          <w:p w14:paraId="1549C4D2" w14:textId="77777777" w:rsidR="00704C24" w:rsidRPr="00704C24" w:rsidRDefault="00704C24">
            <w:pPr>
              <w:pStyle w:val="Tabele"/>
              <w:jc w:val="right"/>
              <w:rPr>
                <w:color w:val="auto"/>
                <w:sz w:val="12"/>
                <w:szCs w:val="12"/>
              </w:rPr>
            </w:pPr>
            <w:r w:rsidRPr="00704C24">
              <w:rPr>
                <w:color w:val="auto"/>
                <w:sz w:val="12"/>
                <w:szCs w:val="12"/>
              </w:rPr>
              <w:t>431,33</w:t>
            </w:r>
          </w:p>
        </w:tc>
        <w:tc>
          <w:tcPr>
            <w:tcW w:w="904" w:type="dxa"/>
          </w:tcPr>
          <w:p w14:paraId="4A106FA6" w14:textId="77777777" w:rsidR="00704C24" w:rsidRPr="00704C24" w:rsidRDefault="00704C24">
            <w:pPr>
              <w:pStyle w:val="Tabele"/>
              <w:jc w:val="right"/>
              <w:rPr>
                <w:b/>
                <w:bCs/>
                <w:color w:val="auto"/>
                <w:sz w:val="12"/>
                <w:szCs w:val="12"/>
                <w:highlight w:val="yellow"/>
              </w:rPr>
            </w:pPr>
            <w:r w:rsidRPr="00704C24">
              <w:rPr>
                <w:color w:val="auto"/>
                <w:sz w:val="12"/>
                <w:szCs w:val="12"/>
              </w:rPr>
              <w:t>502,13</w:t>
            </w:r>
          </w:p>
        </w:tc>
        <w:tc>
          <w:tcPr>
            <w:tcW w:w="928" w:type="dxa"/>
          </w:tcPr>
          <w:p w14:paraId="73981874" w14:textId="77777777" w:rsidR="00704C24" w:rsidRPr="00704C24" w:rsidRDefault="00704C24">
            <w:pPr>
              <w:pStyle w:val="Tabele"/>
              <w:jc w:val="right"/>
              <w:rPr>
                <w:b/>
                <w:bCs/>
                <w:color w:val="auto"/>
                <w:sz w:val="12"/>
                <w:szCs w:val="12"/>
                <w:highlight w:val="yellow"/>
              </w:rPr>
            </w:pPr>
            <w:r w:rsidRPr="00704C24">
              <w:rPr>
                <w:color w:val="auto"/>
                <w:sz w:val="12"/>
                <w:szCs w:val="12"/>
              </w:rPr>
              <w:t>457,96</w:t>
            </w:r>
          </w:p>
        </w:tc>
        <w:tc>
          <w:tcPr>
            <w:tcW w:w="890" w:type="dxa"/>
          </w:tcPr>
          <w:p w14:paraId="2CEF2296" w14:textId="77777777" w:rsidR="00704C24" w:rsidRPr="00704C24" w:rsidRDefault="00704C24">
            <w:pPr>
              <w:pStyle w:val="Tabele"/>
              <w:jc w:val="right"/>
              <w:rPr>
                <w:b/>
                <w:bCs/>
                <w:color w:val="auto"/>
                <w:sz w:val="12"/>
                <w:szCs w:val="12"/>
                <w:highlight w:val="yellow"/>
              </w:rPr>
            </w:pPr>
            <w:r w:rsidRPr="00704C24">
              <w:rPr>
                <w:color w:val="auto"/>
                <w:sz w:val="12"/>
                <w:szCs w:val="12"/>
              </w:rPr>
              <w:t>436,71</w:t>
            </w:r>
          </w:p>
        </w:tc>
        <w:tc>
          <w:tcPr>
            <w:tcW w:w="916" w:type="dxa"/>
          </w:tcPr>
          <w:p w14:paraId="6D0EA57D" w14:textId="77777777" w:rsidR="00704C24" w:rsidRPr="00704C24" w:rsidRDefault="00704C24">
            <w:pPr>
              <w:pStyle w:val="Tabele"/>
              <w:jc w:val="right"/>
              <w:rPr>
                <w:b/>
                <w:bCs/>
                <w:color w:val="auto"/>
                <w:sz w:val="12"/>
                <w:szCs w:val="12"/>
                <w:highlight w:val="yellow"/>
              </w:rPr>
            </w:pPr>
            <w:r w:rsidRPr="00704C24">
              <w:rPr>
                <w:color w:val="auto"/>
                <w:sz w:val="12"/>
                <w:szCs w:val="12"/>
              </w:rPr>
              <w:t>392,99</w:t>
            </w:r>
          </w:p>
        </w:tc>
      </w:tr>
      <w:tr w:rsidR="00704C24" w:rsidRPr="00520300" w14:paraId="1CC5B6AE" w14:textId="77777777" w:rsidTr="00881CAF">
        <w:trPr>
          <w:trHeight w:val="227"/>
        </w:trPr>
        <w:tc>
          <w:tcPr>
            <w:tcW w:w="1306" w:type="dxa"/>
          </w:tcPr>
          <w:p w14:paraId="70718F8C" w14:textId="77777777" w:rsidR="00704C24" w:rsidRPr="00704C24" w:rsidRDefault="00704C24">
            <w:pPr>
              <w:pStyle w:val="Tabele"/>
              <w:rPr>
                <w:b/>
                <w:color w:val="auto"/>
                <w:sz w:val="12"/>
                <w:szCs w:val="12"/>
              </w:rPr>
            </w:pPr>
            <w:r w:rsidRPr="00704C24">
              <w:rPr>
                <w:rFonts w:cs="Calibri"/>
                <w:color w:val="auto"/>
                <w:sz w:val="12"/>
                <w:szCs w:val="12"/>
              </w:rPr>
              <w:t>I. Inne nawozy</w:t>
            </w:r>
          </w:p>
        </w:tc>
        <w:tc>
          <w:tcPr>
            <w:tcW w:w="757" w:type="dxa"/>
            <w:shd w:val="clear" w:color="auto" w:fill="C5E0B3"/>
          </w:tcPr>
          <w:p w14:paraId="4F9CEEBC" w14:textId="77777777" w:rsidR="00704C24" w:rsidRPr="00704C24" w:rsidRDefault="00704C24">
            <w:pPr>
              <w:pStyle w:val="Tabele"/>
              <w:jc w:val="right"/>
              <w:rPr>
                <w:rFonts w:cs="Calibri"/>
                <w:color w:val="auto"/>
                <w:sz w:val="12"/>
                <w:szCs w:val="12"/>
              </w:rPr>
            </w:pPr>
            <w:r w:rsidRPr="00704C24">
              <w:rPr>
                <w:color w:val="auto"/>
                <w:sz w:val="12"/>
                <w:szCs w:val="12"/>
              </w:rPr>
              <w:t>236,13</w:t>
            </w:r>
          </w:p>
        </w:tc>
        <w:tc>
          <w:tcPr>
            <w:tcW w:w="800" w:type="dxa"/>
            <w:shd w:val="clear" w:color="auto" w:fill="C5E0B3"/>
          </w:tcPr>
          <w:p w14:paraId="527F8C52" w14:textId="77777777" w:rsidR="00704C24" w:rsidRPr="00704C24" w:rsidRDefault="00704C24">
            <w:pPr>
              <w:pStyle w:val="Tabele"/>
              <w:jc w:val="right"/>
              <w:rPr>
                <w:color w:val="auto"/>
                <w:sz w:val="12"/>
                <w:szCs w:val="12"/>
              </w:rPr>
            </w:pPr>
            <w:r w:rsidRPr="00704C24">
              <w:rPr>
                <w:color w:val="auto"/>
                <w:sz w:val="12"/>
                <w:szCs w:val="12"/>
              </w:rPr>
              <w:t>252,27</w:t>
            </w:r>
          </w:p>
        </w:tc>
        <w:tc>
          <w:tcPr>
            <w:tcW w:w="794" w:type="dxa"/>
            <w:shd w:val="clear" w:color="auto" w:fill="C5E0B3"/>
          </w:tcPr>
          <w:p w14:paraId="02370075" w14:textId="77777777" w:rsidR="00704C24" w:rsidRPr="00704C24" w:rsidRDefault="00704C24">
            <w:pPr>
              <w:pStyle w:val="Tabele"/>
              <w:jc w:val="right"/>
              <w:rPr>
                <w:color w:val="auto"/>
                <w:sz w:val="12"/>
                <w:szCs w:val="12"/>
              </w:rPr>
            </w:pPr>
            <w:r w:rsidRPr="00704C24">
              <w:rPr>
                <w:color w:val="auto"/>
                <w:sz w:val="12"/>
                <w:szCs w:val="12"/>
              </w:rPr>
              <w:t>262,46</w:t>
            </w:r>
          </w:p>
        </w:tc>
        <w:tc>
          <w:tcPr>
            <w:tcW w:w="864" w:type="dxa"/>
            <w:shd w:val="clear" w:color="auto" w:fill="C5E0B3"/>
          </w:tcPr>
          <w:p w14:paraId="131933BE" w14:textId="77777777" w:rsidR="00704C24" w:rsidRPr="00704C24" w:rsidRDefault="00704C24">
            <w:pPr>
              <w:pStyle w:val="Tabele"/>
              <w:jc w:val="right"/>
              <w:rPr>
                <w:color w:val="auto"/>
                <w:sz w:val="12"/>
                <w:szCs w:val="12"/>
              </w:rPr>
            </w:pPr>
            <w:r w:rsidRPr="00704C24">
              <w:rPr>
                <w:color w:val="auto"/>
                <w:sz w:val="12"/>
                <w:szCs w:val="12"/>
              </w:rPr>
              <w:t>263,89</w:t>
            </w:r>
          </w:p>
        </w:tc>
        <w:tc>
          <w:tcPr>
            <w:tcW w:w="903" w:type="dxa"/>
            <w:shd w:val="clear" w:color="auto" w:fill="C5E0B3"/>
          </w:tcPr>
          <w:p w14:paraId="48E2AC15" w14:textId="77777777" w:rsidR="00704C24" w:rsidRPr="00704C24" w:rsidRDefault="00704C24">
            <w:pPr>
              <w:pStyle w:val="Tabele"/>
              <w:jc w:val="right"/>
              <w:rPr>
                <w:color w:val="auto"/>
                <w:sz w:val="12"/>
                <w:szCs w:val="12"/>
              </w:rPr>
            </w:pPr>
            <w:r w:rsidRPr="00704C24">
              <w:rPr>
                <w:color w:val="auto"/>
                <w:sz w:val="12"/>
                <w:szCs w:val="12"/>
              </w:rPr>
              <w:t>191,13</w:t>
            </w:r>
          </w:p>
        </w:tc>
        <w:tc>
          <w:tcPr>
            <w:tcW w:w="904" w:type="dxa"/>
          </w:tcPr>
          <w:p w14:paraId="3AF08AFB" w14:textId="77777777" w:rsidR="00704C24" w:rsidRPr="00704C24" w:rsidRDefault="00704C24">
            <w:pPr>
              <w:pStyle w:val="Tabele"/>
              <w:jc w:val="right"/>
              <w:rPr>
                <w:b/>
                <w:bCs/>
                <w:color w:val="auto"/>
                <w:sz w:val="12"/>
                <w:szCs w:val="12"/>
                <w:highlight w:val="yellow"/>
              </w:rPr>
            </w:pPr>
            <w:r w:rsidRPr="00704C24">
              <w:rPr>
                <w:color w:val="auto"/>
                <w:sz w:val="12"/>
                <w:szCs w:val="12"/>
              </w:rPr>
              <w:t>69,74</w:t>
            </w:r>
          </w:p>
        </w:tc>
        <w:tc>
          <w:tcPr>
            <w:tcW w:w="928" w:type="dxa"/>
          </w:tcPr>
          <w:p w14:paraId="3910817F" w14:textId="77777777" w:rsidR="00704C24" w:rsidRPr="00704C24" w:rsidRDefault="00704C24">
            <w:pPr>
              <w:pStyle w:val="Tabele"/>
              <w:jc w:val="right"/>
              <w:rPr>
                <w:b/>
                <w:bCs/>
                <w:color w:val="auto"/>
                <w:sz w:val="12"/>
                <w:szCs w:val="12"/>
                <w:highlight w:val="yellow"/>
              </w:rPr>
            </w:pPr>
            <w:r w:rsidRPr="00704C24">
              <w:rPr>
                <w:color w:val="auto"/>
                <w:sz w:val="12"/>
                <w:szCs w:val="12"/>
              </w:rPr>
              <w:t>62,73</w:t>
            </w:r>
          </w:p>
        </w:tc>
        <w:tc>
          <w:tcPr>
            <w:tcW w:w="890" w:type="dxa"/>
          </w:tcPr>
          <w:p w14:paraId="4944B576" w14:textId="77777777" w:rsidR="00704C24" w:rsidRPr="00704C24" w:rsidRDefault="00704C24">
            <w:pPr>
              <w:pStyle w:val="Tabele"/>
              <w:jc w:val="right"/>
              <w:rPr>
                <w:b/>
                <w:bCs/>
                <w:color w:val="auto"/>
                <w:sz w:val="12"/>
                <w:szCs w:val="12"/>
                <w:highlight w:val="yellow"/>
              </w:rPr>
            </w:pPr>
            <w:r w:rsidRPr="00704C24">
              <w:rPr>
                <w:color w:val="auto"/>
                <w:sz w:val="12"/>
                <w:szCs w:val="12"/>
              </w:rPr>
              <w:t>53,11</w:t>
            </w:r>
          </w:p>
        </w:tc>
        <w:tc>
          <w:tcPr>
            <w:tcW w:w="916" w:type="dxa"/>
          </w:tcPr>
          <w:p w14:paraId="6BF23EEA" w14:textId="77777777" w:rsidR="00704C24" w:rsidRPr="00704C24" w:rsidRDefault="00704C24">
            <w:pPr>
              <w:pStyle w:val="Tabele"/>
              <w:jc w:val="right"/>
              <w:rPr>
                <w:b/>
                <w:bCs/>
                <w:color w:val="auto"/>
                <w:sz w:val="12"/>
                <w:szCs w:val="12"/>
                <w:highlight w:val="yellow"/>
              </w:rPr>
            </w:pPr>
            <w:r w:rsidRPr="00704C24">
              <w:rPr>
                <w:color w:val="auto"/>
                <w:sz w:val="12"/>
                <w:szCs w:val="12"/>
              </w:rPr>
              <w:t>47,16</w:t>
            </w:r>
          </w:p>
        </w:tc>
      </w:tr>
      <w:tr w:rsidR="00704C24" w:rsidRPr="00520300" w14:paraId="03E86E3D" w14:textId="77777777" w:rsidTr="00881CAF">
        <w:trPr>
          <w:trHeight w:val="227"/>
        </w:trPr>
        <w:tc>
          <w:tcPr>
            <w:tcW w:w="1306" w:type="dxa"/>
          </w:tcPr>
          <w:p w14:paraId="67FDFD43" w14:textId="77777777" w:rsidR="00704C24" w:rsidRPr="00704C24" w:rsidRDefault="00704C24">
            <w:pPr>
              <w:pStyle w:val="Tabele"/>
              <w:rPr>
                <w:color w:val="auto"/>
                <w:sz w:val="12"/>
                <w:szCs w:val="12"/>
              </w:rPr>
            </w:pPr>
            <w:r w:rsidRPr="00704C24">
              <w:rPr>
                <w:rFonts w:cs="Calibri"/>
                <w:b/>
                <w:bCs/>
                <w:color w:val="auto"/>
                <w:sz w:val="12"/>
                <w:szCs w:val="12"/>
              </w:rPr>
              <w:t xml:space="preserve">4. Użytkowanie gruntów, zmiany użytkowania gruntów i leśnictwo (LULUCF) </w:t>
            </w:r>
          </w:p>
        </w:tc>
        <w:tc>
          <w:tcPr>
            <w:tcW w:w="757" w:type="dxa"/>
            <w:shd w:val="clear" w:color="auto" w:fill="C5E0B3"/>
          </w:tcPr>
          <w:p w14:paraId="15E9DB31" w14:textId="77777777" w:rsidR="00704C24" w:rsidRPr="00704C24" w:rsidRDefault="00704C24">
            <w:pPr>
              <w:pStyle w:val="Tabele"/>
              <w:jc w:val="right"/>
              <w:rPr>
                <w:rFonts w:cs="Calibri"/>
                <w:b/>
                <w:bCs/>
                <w:color w:val="auto"/>
                <w:sz w:val="12"/>
                <w:szCs w:val="12"/>
              </w:rPr>
            </w:pPr>
            <w:r w:rsidRPr="00704C24">
              <w:rPr>
                <w:b/>
                <w:color w:val="auto"/>
                <w:sz w:val="12"/>
                <w:szCs w:val="12"/>
              </w:rPr>
              <w:t>-30 281,29</w:t>
            </w:r>
          </w:p>
        </w:tc>
        <w:tc>
          <w:tcPr>
            <w:tcW w:w="800" w:type="dxa"/>
            <w:shd w:val="clear" w:color="auto" w:fill="C5E0B3"/>
          </w:tcPr>
          <w:p w14:paraId="478AB733" w14:textId="77777777" w:rsidR="00704C24" w:rsidRPr="00704C24" w:rsidRDefault="00704C24">
            <w:pPr>
              <w:pStyle w:val="Tabele"/>
              <w:jc w:val="right"/>
              <w:rPr>
                <w:b/>
                <w:color w:val="auto"/>
                <w:sz w:val="12"/>
                <w:szCs w:val="12"/>
              </w:rPr>
            </w:pPr>
            <w:r w:rsidRPr="00704C24">
              <w:rPr>
                <w:b/>
                <w:color w:val="auto"/>
                <w:sz w:val="12"/>
                <w:szCs w:val="12"/>
              </w:rPr>
              <w:t>-51 765,76</w:t>
            </w:r>
          </w:p>
        </w:tc>
        <w:tc>
          <w:tcPr>
            <w:tcW w:w="794" w:type="dxa"/>
            <w:shd w:val="clear" w:color="auto" w:fill="C5E0B3"/>
          </w:tcPr>
          <w:p w14:paraId="2FA2F58C" w14:textId="77777777" w:rsidR="00704C24" w:rsidRPr="00704C24" w:rsidRDefault="00704C24">
            <w:pPr>
              <w:pStyle w:val="Tabele"/>
              <w:jc w:val="right"/>
              <w:rPr>
                <w:b/>
                <w:color w:val="auto"/>
                <w:sz w:val="12"/>
                <w:szCs w:val="12"/>
              </w:rPr>
            </w:pPr>
            <w:r w:rsidRPr="00704C24">
              <w:rPr>
                <w:b/>
                <w:color w:val="auto"/>
                <w:sz w:val="12"/>
                <w:szCs w:val="12"/>
              </w:rPr>
              <w:t>-37 412,50</w:t>
            </w:r>
          </w:p>
        </w:tc>
        <w:tc>
          <w:tcPr>
            <w:tcW w:w="864" w:type="dxa"/>
            <w:shd w:val="clear" w:color="auto" w:fill="C5E0B3"/>
          </w:tcPr>
          <w:p w14:paraId="19B2C36B" w14:textId="77777777" w:rsidR="00704C24" w:rsidRPr="00704C24" w:rsidRDefault="00704C24">
            <w:pPr>
              <w:pStyle w:val="Tabele"/>
              <w:jc w:val="right"/>
              <w:rPr>
                <w:b/>
                <w:color w:val="auto"/>
                <w:sz w:val="12"/>
                <w:szCs w:val="12"/>
              </w:rPr>
            </w:pPr>
            <w:r w:rsidRPr="00704C24">
              <w:rPr>
                <w:b/>
                <w:color w:val="auto"/>
                <w:sz w:val="12"/>
                <w:szCs w:val="12"/>
              </w:rPr>
              <w:t>-35 374,77</w:t>
            </w:r>
          </w:p>
        </w:tc>
        <w:tc>
          <w:tcPr>
            <w:tcW w:w="903" w:type="dxa"/>
            <w:shd w:val="clear" w:color="auto" w:fill="C5E0B3"/>
          </w:tcPr>
          <w:p w14:paraId="79FFA540" w14:textId="77777777" w:rsidR="00704C24" w:rsidRPr="00704C24" w:rsidRDefault="00704C24">
            <w:pPr>
              <w:pStyle w:val="Tabele"/>
              <w:jc w:val="right"/>
              <w:rPr>
                <w:b/>
                <w:color w:val="auto"/>
                <w:sz w:val="12"/>
                <w:szCs w:val="12"/>
              </w:rPr>
            </w:pPr>
            <w:r w:rsidRPr="00704C24">
              <w:rPr>
                <w:b/>
                <w:color w:val="auto"/>
                <w:sz w:val="12"/>
                <w:szCs w:val="12"/>
              </w:rPr>
              <w:t>-25 434,85</w:t>
            </w:r>
          </w:p>
        </w:tc>
        <w:tc>
          <w:tcPr>
            <w:tcW w:w="904" w:type="dxa"/>
          </w:tcPr>
          <w:p w14:paraId="5F739018" w14:textId="77777777" w:rsidR="00704C24" w:rsidRPr="00704C24" w:rsidRDefault="00704C24">
            <w:pPr>
              <w:pStyle w:val="Tabele"/>
              <w:jc w:val="right"/>
              <w:rPr>
                <w:b/>
                <w:bCs/>
                <w:color w:val="auto"/>
                <w:sz w:val="12"/>
                <w:szCs w:val="12"/>
                <w:highlight w:val="yellow"/>
              </w:rPr>
            </w:pPr>
            <w:r w:rsidRPr="00704C24">
              <w:rPr>
                <w:b/>
                <w:color w:val="auto"/>
                <w:sz w:val="12"/>
                <w:szCs w:val="12"/>
              </w:rPr>
              <w:t>-51 875,83</w:t>
            </w:r>
          </w:p>
        </w:tc>
        <w:tc>
          <w:tcPr>
            <w:tcW w:w="928" w:type="dxa"/>
          </w:tcPr>
          <w:p w14:paraId="6F6BCEB2" w14:textId="77777777" w:rsidR="00704C24" w:rsidRPr="00704C24" w:rsidRDefault="00704C24">
            <w:pPr>
              <w:pStyle w:val="Tabele"/>
              <w:jc w:val="right"/>
              <w:rPr>
                <w:b/>
                <w:bCs/>
                <w:color w:val="auto"/>
                <w:sz w:val="12"/>
                <w:szCs w:val="12"/>
                <w:highlight w:val="yellow"/>
              </w:rPr>
            </w:pPr>
            <w:r w:rsidRPr="00704C24">
              <w:rPr>
                <w:b/>
                <w:color w:val="auto"/>
                <w:sz w:val="12"/>
                <w:szCs w:val="12"/>
              </w:rPr>
              <w:t>-48 667,90</w:t>
            </w:r>
          </w:p>
        </w:tc>
        <w:tc>
          <w:tcPr>
            <w:tcW w:w="890" w:type="dxa"/>
          </w:tcPr>
          <w:p w14:paraId="15E564AC" w14:textId="77777777" w:rsidR="00704C24" w:rsidRPr="00704C24" w:rsidRDefault="00704C24">
            <w:pPr>
              <w:pStyle w:val="Tabele"/>
              <w:jc w:val="right"/>
              <w:rPr>
                <w:b/>
                <w:bCs/>
                <w:color w:val="auto"/>
                <w:sz w:val="12"/>
                <w:szCs w:val="12"/>
                <w:highlight w:val="yellow"/>
              </w:rPr>
            </w:pPr>
            <w:r w:rsidRPr="00704C24">
              <w:rPr>
                <w:b/>
                <w:color w:val="auto"/>
                <w:sz w:val="12"/>
                <w:szCs w:val="12"/>
              </w:rPr>
              <w:t>-42 366,44</w:t>
            </w:r>
          </w:p>
        </w:tc>
        <w:tc>
          <w:tcPr>
            <w:tcW w:w="916" w:type="dxa"/>
          </w:tcPr>
          <w:p w14:paraId="1C53E471" w14:textId="77777777" w:rsidR="00704C24" w:rsidRPr="00704C24" w:rsidRDefault="00704C24">
            <w:pPr>
              <w:pStyle w:val="Tabele"/>
              <w:jc w:val="right"/>
              <w:rPr>
                <w:b/>
                <w:bCs/>
                <w:color w:val="auto"/>
                <w:sz w:val="12"/>
                <w:szCs w:val="12"/>
                <w:highlight w:val="yellow"/>
              </w:rPr>
            </w:pPr>
            <w:r w:rsidRPr="00704C24">
              <w:rPr>
                <w:b/>
                <w:color w:val="auto"/>
                <w:sz w:val="12"/>
                <w:szCs w:val="12"/>
              </w:rPr>
              <w:t>-36 736,00</w:t>
            </w:r>
          </w:p>
        </w:tc>
      </w:tr>
      <w:tr w:rsidR="00704C24" w:rsidRPr="00520300" w14:paraId="07CA571F" w14:textId="77777777" w:rsidTr="00881CAF">
        <w:trPr>
          <w:trHeight w:val="227"/>
        </w:trPr>
        <w:tc>
          <w:tcPr>
            <w:tcW w:w="1306" w:type="dxa"/>
          </w:tcPr>
          <w:p w14:paraId="06D9D13C" w14:textId="77777777" w:rsidR="00704C24" w:rsidRPr="00704C24" w:rsidRDefault="00704C24">
            <w:pPr>
              <w:pStyle w:val="Tabele"/>
              <w:rPr>
                <w:color w:val="auto"/>
                <w:sz w:val="12"/>
                <w:szCs w:val="12"/>
              </w:rPr>
            </w:pPr>
            <w:r w:rsidRPr="00704C24">
              <w:rPr>
                <w:rFonts w:cs="Calibri"/>
                <w:b/>
                <w:bCs/>
                <w:color w:val="auto"/>
                <w:sz w:val="12"/>
                <w:szCs w:val="12"/>
              </w:rPr>
              <w:t xml:space="preserve">5. Odpady </w:t>
            </w:r>
          </w:p>
        </w:tc>
        <w:tc>
          <w:tcPr>
            <w:tcW w:w="757" w:type="dxa"/>
            <w:shd w:val="clear" w:color="auto" w:fill="C5E0B3"/>
          </w:tcPr>
          <w:p w14:paraId="6D3CB1AD" w14:textId="77777777" w:rsidR="00704C24" w:rsidRPr="00704C24" w:rsidRDefault="00704C24">
            <w:pPr>
              <w:pStyle w:val="Tabele"/>
              <w:jc w:val="right"/>
              <w:rPr>
                <w:rFonts w:cs="Calibri"/>
                <w:b/>
                <w:bCs/>
                <w:color w:val="auto"/>
                <w:sz w:val="12"/>
                <w:szCs w:val="12"/>
              </w:rPr>
            </w:pPr>
            <w:r w:rsidRPr="00704C24">
              <w:rPr>
                <w:b/>
                <w:color w:val="auto"/>
                <w:sz w:val="12"/>
                <w:szCs w:val="12"/>
              </w:rPr>
              <w:t>340,96</w:t>
            </w:r>
          </w:p>
        </w:tc>
        <w:tc>
          <w:tcPr>
            <w:tcW w:w="800" w:type="dxa"/>
            <w:shd w:val="clear" w:color="auto" w:fill="C5E0B3"/>
          </w:tcPr>
          <w:p w14:paraId="4C79339B" w14:textId="77777777" w:rsidR="00704C24" w:rsidRPr="00704C24" w:rsidRDefault="00704C24">
            <w:pPr>
              <w:pStyle w:val="Tabele"/>
              <w:jc w:val="right"/>
              <w:rPr>
                <w:b/>
                <w:color w:val="auto"/>
                <w:sz w:val="12"/>
                <w:szCs w:val="12"/>
              </w:rPr>
            </w:pPr>
            <w:r w:rsidRPr="00704C24">
              <w:rPr>
                <w:b/>
                <w:color w:val="auto"/>
                <w:sz w:val="12"/>
                <w:szCs w:val="12"/>
              </w:rPr>
              <w:t>218,16</w:t>
            </w:r>
          </w:p>
        </w:tc>
        <w:tc>
          <w:tcPr>
            <w:tcW w:w="794" w:type="dxa"/>
            <w:shd w:val="clear" w:color="auto" w:fill="C5E0B3"/>
          </w:tcPr>
          <w:p w14:paraId="60BDA197" w14:textId="77777777" w:rsidR="00704C24" w:rsidRPr="00704C24" w:rsidRDefault="00704C24">
            <w:pPr>
              <w:pStyle w:val="Tabele"/>
              <w:jc w:val="right"/>
              <w:rPr>
                <w:b/>
                <w:color w:val="auto"/>
                <w:sz w:val="12"/>
                <w:szCs w:val="12"/>
              </w:rPr>
            </w:pPr>
            <w:r w:rsidRPr="00704C24">
              <w:rPr>
                <w:b/>
                <w:color w:val="auto"/>
                <w:sz w:val="12"/>
                <w:szCs w:val="12"/>
              </w:rPr>
              <w:t>190,97</w:t>
            </w:r>
          </w:p>
        </w:tc>
        <w:tc>
          <w:tcPr>
            <w:tcW w:w="864" w:type="dxa"/>
            <w:shd w:val="clear" w:color="auto" w:fill="C5E0B3"/>
          </w:tcPr>
          <w:p w14:paraId="65ED075A" w14:textId="77777777" w:rsidR="00704C24" w:rsidRPr="00704C24" w:rsidRDefault="00704C24">
            <w:pPr>
              <w:pStyle w:val="Tabele"/>
              <w:jc w:val="right"/>
              <w:rPr>
                <w:b/>
                <w:color w:val="auto"/>
                <w:sz w:val="12"/>
                <w:szCs w:val="12"/>
              </w:rPr>
            </w:pPr>
            <w:r w:rsidRPr="00704C24">
              <w:rPr>
                <w:b/>
                <w:color w:val="auto"/>
                <w:sz w:val="12"/>
                <w:szCs w:val="12"/>
              </w:rPr>
              <w:t>230,42</w:t>
            </w:r>
          </w:p>
        </w:tc>
        <w:tc>
          <w:tcPr>
            <w:tcW w:w="903" w:type="dxa"/>
            <w:shd w:val="clear" w:color="auto" w:fill="C5E0B3"/>
          </w:tcPr>
          <w:p w14:paraId="513FFE4E" w14:textId="77777777" w:rsidR="00704C24" w:rsidRPr="00704C24" w:rsidRDefault="00704C24">
            <w:pPr>
              <w:pStyle w:val="Tabele"/>
              <w:jc w:val="right"/>
              <w:rPr>
                <w:b/>
                <w:color w:val="auto"/>
                <w:sz w:val="12"/>
                <w:szCs w:val="12"/>
              </w:rPr>
            </w:pPr>
            <w:r w:rsidRPr="00704C24">
              <w:rPr>
                <w:b/>
                <w:color w:val="auto"/>
                <w:sz w:val="12"/>
                <w:szCs w:val="12"/>
              </w:rPr>
              <w:t>248,93</w:t>
            </w:r>
          </w:p>
        </w:tc>
        <w:tc>
          <w:tcPr>
            <w:tcW w:w="904" w:type="dxa"/>
          </w:tcPr>
          <w:p w14:paraId="1F0BE4C8" w14:textId="77777777" w:rsidR="00704C24" w:rsidRPr="00704C24" w:rsidRDefault="00704C24">
            <w:pPr>
              <w:pStyle w:val="Tabele"/>
              <w:jc w:val="right"/>
              <w:rPr>
                <w:b/>
                <w:bCs/>
                <w:color w:val="auto"/>
                <w:sz w:val="12"/>
                <w:szCs w:val="12"/>
                <w:highlight w:val="yellow"/>
              </w:rPr>
            </w:pPr>
            <w:r w:rsidRPr="00704C24">
              <w:rPr>
                <w:color w:val="auto"/>
                <w:sz w:val="12"/>
                <w:szCs w:val="12"/>
              </w:rPr>
              <w:t>0,00</w:t>
            </w:r>
          </w:p>
        </w:tc>
        <w:tc>
          <w:tcPr>
            <w:tcW w:w="928" w:type="dxa"/>
          </w:tcPr>
          <w:p w14:paraId="26549C75" w14:textId="77777777" w:rsidR="00704C24" w:rsidRPr="00704C24" w:rsidRDefault="00704C24">
            <w:pPr>
              <w:pStyle w:val="Tabele"/>
              <w:jc w:val="right"/>
              <w:rPr>
                <w:b/>
                <w:bCs/>
                <w:color w:val="auto"/>
                <w:sz w:val="12"/>
                <w:szCs w:val="12"/>
                <w:highlight w:val="yellow"/>
              </w:rPr>
            </w:pPr>
            <w:r w:rsidRPr="00704C24">
              <w:rPr>
                <w:color w:val="auto"/>
                <w:sz w:val="12"/>
                <w:szCs w:val="12"/>
              </w:rPr>
              <w:t>0,00</w:t>
            </w:r>
          </w:p>
        </w:tc>
        <w:tc>
          <w:tcPr>
            <w:tcW w:w="890" w:type="dxa"/>
          </w:tcPr>
          <w:p w14:paraId="1702F924" w14:textId="77777777" w:rsidR="00704C24" w:rsidRPr="00704C24" w:rsidRDefault="00704C24">
            <w:pPr>
              <w:pStyle w:val="Tabele"/>
              <w:jc w:val="right"/>
              <w:rPr>
                <w:b/>
                <w:bCs/>
                <w:color w:val="auto"/>
                <w:sz w:val="12"/>
                <w:szCs w:val="12"/>
                <w:highlight w:val="yellow"/>
              </w:rPr>
            </w:pPr>
            <w:r w:rsidRPr="00704C24">
              <w:rPr>
                <w:color w:val="auto"/>
                <w:sz w:val="12"/>
                <w:szCs w:val="12"/>
              </w:rPr>
              <w:t>0,00</w:t>
            </w:r>
          </w:p>
        </w:tc>
        <w:tc>
          <w:tcPr>
            <w:tcW w:w="916" w:type="dxa"/>
          </w:tcPr>
          <w:p w14:paraId="681C9C3D" w14:textId="77777777" w:rsidR="00704C24" w:rsidRPr="00704C24" w:rsidRDefault="00704C24">
            <w:pPr>
              <w:pStyle w:val="Tabele"/>
              <w:jc w:val="right"/>
              <w:rPr>
                <w:b/>
                <w:bCs/>
                <w:color w:val="auto"/>
                <w:sz w:val="12"/>
                <w:szCs w:val="12"/>
                <w:highlight w:val="yellow"/>
              </w:rPr>
            </w:pPr>
            <w:r w:rsidRPr="00704C24">
              <w:rPr>
                <w:color w:val="auto"/>
                <w:sz w:val="12"/>
                <w:szCs w:val="12"/>
              </w:rPr>
              <w:t>0,00</w:t>
            </w:r>
          </w:p>
        </w:tc>
      </w:tr>
      <w:tr w:rsidR="00704C24" w:rsidRPr="00520300" w14:paraId="3F731ECE" w14:textId="77777777" w:rsidTr="00881CAF">
        <w:trPr>
          <w:trHeight w:val="227"/>
        </w:trPr>
        <w:tc>
          <w:tcPr>
            <w:tcW w:w="1306" w:type="dxa"/>
          </w:tcPr>
          <w:p w14:paraId="787CE5F3" w14:textId="77777777" w:rsidR="00704C24" w:rsidRPr="00704C24" w:rsidRDefault="00704C24">
            <w:pPr>
              <w:pStyle w:val="Tabele"/>
              <w:rPr>
                <w:b/>
                <w:color w:val="auto"/>
                <w:sz w:val="12"/>
                <w:szCs w:val="12"/>
              </w:rPr>
            </w:pPr>
            <w:r w:rsidRPr="00704C24">
              <w:rPr>
                <w:rFonts w:cs="Calibri"/>
                <w:color w:val="auto"/>
                <w:sz w:val="12"/>
                <w:szCs w:val="12"/>
              </w:rPr>
              <w:t xml:space="preserve">C. Spalanie odpadów </w:t>
            </w:r>
          </w:p>
        </w:tc>
        <w:tc>
          <w:tcPr>
            <w:tcW w:w="757" w:type="dxa"/>
            <w:shd w:val="clear" w:color="auto" w:fill="C5E0B3"/>
          </w:tcPr>
          <w:p w14:paraId="6A8E8320" w14:textId="77777777" w:rsidR="00704C24" w:rsidRPr="00704C24" w:rsidRDefault="00704C24">
            <w:pPr>
              <w:pStyle w:val="Tabele"/>
              <w:jc w:val="right"/>
              <w:rPr>
                <w:rFonts w:cs="Calibri"/>
                <w:color w:val="auto"/>
                <w:sz w:val="12"/>
                <w:szCs w:val="12"/>
              </w:rPr>
            </w:pPr>
            <w:r w:rsidRPr="00704C24">
              <w:rPr>
                <w:color w:val="auto"/>
                <w:sz w:val="12"/>
                <w:szCs w:val="12"/>
              </w:rPr>
              <w:t>340,96</w:t>
            </w:r>
          </w:p>
        </w:tc>
        <w:tc>
          <w:tcPr>
            <w:tcW w:w="800" w:type="dxa"/>
            <w:shd w:val="clear" w:color="auto" w:fill="C5E0B3"/>
          </w:tcPr>
          <w:p w14:paraId="78495988" w14:textId="77777777" w:rsidR="00704C24" w:rsidRPr="00704C24" w:rsidRDefault="00704C24">
            <w:pPr>
              <w:pStyle w:val="Tabele"/>
              <w:jc w:val="right"/>
              <w:rPr>
                <w:color w:val="auto"/>
                <w:sz w:val="12"/>
                <w:szCs w:val="12"/>
              </w:rPr>
            </w:pPr>
            <w:r w:rsidRPr="00704C24">
              <w:rPr>
                <w:color w:val="auto"/>
                <w:sz w:val="12"/>
                <w:szCs w:val="12"/>
              </w:rPr>
              <w:t>218,16</w:t>
            </w:r>
          </w:p>
        </w:tc>
        <w:tc>
          <w:tcPr>
            <w:tcW w:w="794" w:type="dxa"/>
            <w:shd w:val="clear" w:color="auto" w:fill="C5E0B3"/>
          </w:tcPr>
          <w:p w14:paraId="30FCC0BA" w14:textId="77777777" w:rsidR="00704C24" w:rsidRPr="00704C24" w:rsidRDefault="00704C24">
            <w:pPr>
              <w:pStyle w:val="Tabele"/>
              <w:jc w:val="right"/>
              <w:rPr>
                <w:color w:val="auto"/>
                <w:sz w:val="12"/>
                <w:szCs w:val="12"/>
              </w:rPr>
            </w:pPr>
            <w:r w:rsidRPr="00704C24">
              <w:rPr>
                <w:color w:val="auto"/>
                <w:sz w:val="12"/>
                <w:szCs w:val="12"/>
              </w:rPr>
              <w:t>190,97</w:t>
            </w:r>
          </w:p>
        </w:tc>
        <w:tc>
          <w:tcPr>
            <w:tcW w:w="864" w:type="dxa"/>
            <w:shd w:val="clear" w:color="auto" w:fill="C5E0B3"/>
          </w:tcPr>
          <w:p w14:paraId="6B7A5F08" w14:textId="77777777" w:rsidR="00704C24" w:rsidRPr="00704C24" w:rsidRDefault="00704C24">
            <w:pPr>
              <w:pStyle w:val="Tabele"/>
              <w:jc w:val="right"/>
              <w:rPr>
                <w:color w:val="auto"/>
                <w:sz w:val="12"/>
                <w:szCs w:val="12"/>
              </w:rPr>
            </w:pPr>
            <w:r w:rsidRPr="00704C24">
              <w:rPr>
                <w:color w:val="auto"/>
                <w:sz w:val="12"/>
                <w:szCs w:val="12"/>
              </w:rPr>
              <w:t>230,42</w:t>
            </w:r>
          </w:p>
        </w:tc>
        <w:tc>
          <w:tcPr>
            <w:tcW w:w="903" w:type="dxa"/>
            <w:shd w:val="clear" w:color="auto" w:fill="C5E0B3"/>
          </w:tcPr>
          <w:p w14:paraId="509CB057" w14:textId="77777777" w:rsidR="00704C24" w:rsidRPr="00704C24" w:rsidRDefault="00704C24">
            <w:pPr>
              <w:pStyle w:val="Tabele"/>
              <w:jc w:val="right"/>
              <w:rPr>
                <w:color w:val="auto"/>
                <w:sz w:val="12"/>
                <w:szCs w:val="12"/>
              </w:rPr>
            </w:pPr>
            <w:r w:rsidRPr="00704C24">
              <w:rPr>
                <w:color w:val="auto"/>
                <w:sz w:val="12"/>
                <w:szCs w:val="12"/>
              </w:rPr>
              <w:t>248,93</w:t>
            </w:r>
          </w:p>
        </w:tc>
        <w:tc>
          <w:tcPr>
            <w:tcW w:w="904" w:type="dxa"/>
          </w:tcPr>
          <w:p w14:paraId="2625CBF4" w14:textId="77777777" w:rsidR="00704C24" w:rsidRPr="00704C24" w:rsidRDefault="00704C24">
            <w:pPr>
              <w:pStyle w:val="Tabele"/>
              <w:jc w:val="right"/>
              <w:rPr>
                <w:b/>
                <w:bCs/>
                <w:color w:val="auto"/>
                <w:sz w:val="12"/>
                <w:szCs w:val="12"/>
                <w:highlight w:val="yellow"/>
              </w:rPr>
            </w:pPr>
            <w:r w:rsidRPr="00704C24">
              <w:rPr>
                <w:color w:val="auto"/>
                <w:sz w:val="12"/>
                <w:szCs w:val="12"/>
              </w:rPr>
              <w:t>0,00</w:t>
            </w:r>
          </w:p>
        </w:tc>
        <w:tc>
          <w:tcPr>
            <w:tcW w:w="928" w:type="dxa"/>
          </w:tcPr>
          <w:p w14:paraId="130E1B06" w14:textId="77777777" w:rsidR="00704C24" w:rsidRPr="00704C24" w:rsidRDefault="00704C24">
            <w:pPr>
              <w:pStyle w:val="Tabele"/>
              <w:jc w:val="right"/>
              <w:rPr>
                <w:b/>
                <w:bCs/>
                <w:color w:val="auto"/>
                <w:sz w:val="12"/>
                <w:szCs w:val="12"/>
                <w:highlight w:val="yellow"/>
              </w:rPr>
            </w:pPr>
            <w:r w:rsidRPr="00704C24">
              <w:rPr>
                <w:color w:val="auto"/>
                <w:sz w:val="12"/>
                <w:szCs w:val="12"/>
              </w:rPr>
              <w:t>0,00</w:t>
            </w:r>
          </w:p>
        </w:tc>
        <w:tc>
          <w:tcPr>
            <w:tcW w:w="890" w:type="dxa"/>
          </w:tcPr>
          <w:p w14:paraId="1F2F5E51" w14:textId="77777777" w:rsidR="00704C24" w:rsidRPr="00704C24" w:rsidRDefault="00704C24">
            <w:pPr>
              <w:pStyle w:val="Tabele"/>
              <w:jc w:val="right"/>
              <w:rPr>
                <w:b/>
                <w:bCs/>
                <w:color w:val="auto"/>
                <w:sz w:val="12"/>
                <w:szCs w:val="12"/>
                <w:highlight w:val="yellow"/>
              </w:rPr>
            </w:pPr>
            <w:r w:rsidRPr="00704C24">
              <w:rPr>
                <w:color w:val="auto"/>
                <w:sz w:val="12"/>
                <w:szCs w:val="12"/>
              </w:rPr>
              <w:t>0,00</w:t>
            </w:r>
          </w:p>
        </w:tc>
        <w:tc>
          <w:tcPr>
            <w:tcW w:w="916" w:type="dxa"/>
          </w:tcPr>
          <w:p w14:paraId="7742188C" w14:textId="77777777" w:rsidR="00704C24" w:rsidRPr="00704C24" w:rsidRDefault="00704C24">
            <w:pPr>
              <w:pStyle w:val="Tabele"/>
              <w:jc w:val="right"/>
              <w:rPr>
                <w:b/>
                <w:bCs/>
                <w:color w:val="auto"/>
                <w:sz w:val="12"/>
                <w:szCs w:val="12"/>
                <w:highlight w:val="yellow"/>
              </w:rPr>
            </w:pPr>
            <w:r w:rsidRPr="00704C24">
              <w:rPr>
                <w:color w:val="auto"/>
                <w:sz w:val="12"/>
                <w:szCs w:val="12"/>
              </w:rPr>
              <w:t>0,00</w:t>
            </w:r>
          </w:p>
        </w:tc>
      </w:tr>
      <w:tr w:rsidR="00704C24" w:rsidRPr="00520300" w14:paraId="0EA0573C" w14:textId="77777777" w:rsidTr="00881CAF">
        <w:trPr>
          <w:trHeight w:val="227"/>
        </w:trPr>
        <w:tc>
          <w:tcPr>
            <w:tcW w:w="1306" w:type="dxa"/>
          </w:tcPr>
          <w:p w14:paraId="3E719157" w14:textId="77777777" w:rsidR="00704C24" w:rsidRPr="00704C24" w:rsidRDefault="00704C24">
            <w:pPr>
              <w:pStyle w:val="Tabele"/>
              <w:rPr>
                <w:rFonts w:cs="Calibri"/>
                <w:color w:val="auto"/>
                <w:sz w:val="12"/>
                <w:szCs w:val="12"/>
              </w:rPr>
            </w:pPr>
            <w:r w:rsidRPr="00704C24">
              <w:rPr>
                <w:color w:val="auto"/>
                <w:sz w:val="12"/>
                <w:szCs w:val="12"/>
              </w:rPr>
              <w:t>Emisje pośrednie CO</w:t>
            </w:r>
            <w:r w:rsidRPr="00704C24">
              <w:rPr>
                <w:color w:val="auto"/>
                <w:sz w:val="12"/>
                <w:szCs w:val="12"/>
                <w:vertAlign w:val="subscript"/>
              </w:rPr>
              <w:t xml:space="preserve">2 </w:t>
            </w:r>
          </w:p>
        </w:tc>
        <w:tc>
          <w:tcPr>
            <w:tcW w:w="757" w:type="dxa"/>
            <w:shd w:val="clear" w:color="auto" w:fill="C5E0B3"/>
          </w:tcPr>
          <w:p w14:paraId="25E17B8B" w14:textId="77777777" w:rsidR="00704C24" w:rsidRPr="00704C24" w:rsidRDefault="00704C24">
            <w:pPr>
              <w:pStyle w:val="Tabele"/>
              <w:jc w:val="right"/>
              <w:rPr>
                <w:color w:val="auto"/>
                <w:sz w:val="12"/>
                <w:szCs w:val="12"/>
              </w:rPr>
            </w:pPr>
            <w:r w:rsidRPr="00704C24">
              <w:rPr>
                <w:color w:val="auto"/>
                <w:sz w:val="12"/>
                <w:szCs w:val="12"/>
              </w:rPr>
              <w:t xml:space="preserve">257,16 </w:t>
            </w:r>
          </w:p>
        </w:tc>
        <w:tc>
          <w:tcPr>
            <w:tcW w:w="800" w:type="dxa"/>
            <w:shd w:val="clear" w:color="auto" w:fill="C5E0B3"/>
          </w:tcPr>
          <w:p w14:paraId="564D3B2B" w14:textId="77777777" w:rsidR="00704C24" w:rsidRPr="00704C24" w:rsidRDefault="00704C24">
            <w:pPr>
              <w:pStyle w:val="Tabele"/>
              <w:jc w:val="right"/>
              <w:rPr>
                <w:color w:val="auto"/>
                <w:sz w:val="12"/>
                <w:szCs w:val="12"/>
              </w:rPr>
            </w:pPr>
            <w:r w:rsidRPr="00704C24">
              <w:rPr>
                <w:color w:val="auto"/>
                <w:sz w:val="12"/>
                <w:szCs w:val="12"/>
              </w:rPr>
              <w:t xml:space="preserve">551,23 </w:t>
            </w:r>
          </w:p>
        </w:tc>
        <w:tc>
          <w:tcPr>
            <w:tcW w:w="794" w:type="dxa"/>
            <w:shd w:val="clear" w:color="auto" w:fill="C5E0B3"/>
          </w:tcPr>
          <w:p w14:paraId="6BE3B8E2" w14:textId="77777777" w:rsidR="00704C24" w:rsidRPr="00704C24" w:rsidRDefault="00704C24">
            <w:pPr>
              <w:pStyle w:val="Tabele"/>
              <w:jc w:val="right"/>
              <w:rPr>
                <w:color w:val="auto"/>
                <w:sz w:val="12"/>
                <w:szCs w:val="12"/>
              </w:rPr>
            </w:pPr>
            <w:r w:rsidRPr="00704C24">
              <w:rPr>
                <w:color w:val="auto"/>
                <w:sz w:val="12"/>
                <w:szCs w:val="12"/>
              </w:rPr>
              <w:t xml:space="preserve">545,29 </w:t>
            </w:r>
          </w:p>
        </w:tc>
        <w:tc>
          <w:tcPr>
            <w:tcW w:w="864" w:type="dxa"/>
            <w:shd w:val="clear" w:color="auto" w:fill="C5E0B3"/>
          </w:tcPr>
          <w:p w14:paraId="1A38B542" w14:textId="77777777" w:rsidR="00704C24" w:rsidRPr="00704C24" w:rsidRDefault="00704C24">
            <w:pPr>
              <w:pStyle w:val="Tabele"/>
              <w:jc w:val="right"/>
              <w:rPr>
                <w:color w:val="auto"/>
                <w:sz w:val="12"/>
                <w:szCs w:val="12"/>
              </w:rPr>
            </w:pPr>
            <w:r w:rsidRPr="00704C24">
              <w:rPr>
                <w:color w:val="auto"/>
                <w:sz w:val="12"/>
                <w:szCs w:val="12"/>
              </w:rPr>
              <w:t xml:space="preserve">522,68 </w:t>
            </w:r>
          </w:p>
        </w:tc>
        <w:tc>
          <w:tcPr>
            <w:tcW w:w="903" w:type="dxa"/>
            <w:shd w:val="clear" w:color="auto" w:fill="C5E0B3"/>
          </w:tcPr>
          <w:p w14:paraId="0C8E61E6" w14:textId="77777777" w:rsidR="00704C24" w:rsidRPr="00704C24" w:rsidRDefault="00704C24">
            <w:pPr>
              <w:pStyle w:val="Tabele"/>
              <w:jc w:val="right"/>
              <w:rPr>
                <w:color w:val="auto"/>
                <w:sz w:val="12"/>
                <w:szCs w:val="12"/>
              </w:rPr>
            </w:pPr>
            <w:r w:rsidRPr="00704C24">
              <w:rPr>
                <w:color w:val="auto"/>
                <w:sz w:val="12"/>
                <w:szCs w:val="12"/>
              </w:rPr>
              <w:t xml:space="preserve">527,67 </w:t>
            </w:r>
          </w:p>
        </w:tc>
        <w:tc>
          <w:tcPr>
            <w:tcW w:w="904" w:type="dxa"/>
          </w:tcPr>
          <w:p w14:paraId="4D4E5B84" w14:textId="77777777" w:rsidR="00704C24" w:rsidRPr="00704C24" w:rsidRDefault="00704C24">
            <w:pPr>
              <w:pStyle w:val="Tabele"/>
              <w:jc w:val="right"/>
              <w:rPr>
                <w:color w:val="auto"/>
                <w:sz w:val="12"/>
                <w:szCs w:val="12"/>
              </w:rPr>
            </w:pPr>
            <w:r w:rsidRPr="00704C24">
              <w:rPr>
                <w:color w:val="auto"/>
                <w:sz w:val="12"/>
                <w:szCs w:val="12"/>
              </w:rPr>
              <w:t>405,62</w:t>
            </w:r>
          </w:p>
        </w:tc>
        <w:tc>
          <w:tcPr>
            <w:tcW w:w="928" w:type="dxa"/>
          </w:tcPr>
          <w:p w14:paraId="5219C22D" w14:textId="77777777" w:rsidR="00704C24" w:rsidRPr="00704C24" w:rsidRDefault="00704C24">
            <w:pPr>
              <w:pStyle w:val="Tabele"/>
              <w:jc w:val="right"/>
              <w:rPr>
                <w:color w:val="auto"/>
                <w:sz w:val="12"/>
                <w:szCs w:val="12"/>
              </w:rPr>
            </w:pPr>
            <w:r w:rsidRPr="00704C24">
              <w:rPr>
                <w:color w:val="auto"/>
                <w:sz w:val="12"/>
                <w:szCs w:val="12"/>
              </w:rPr>
              <w:t>400,57</w:t>
            </w:r>
          </w:p>
        </w:tc>
        <w:tc>
          <w:tcPr>
            <w:tcW w:w="890" w:type="dxa"/>
          </w:tcPr>
          <w:p w14:paraId="413B0F6A" w14:textId="77777777" w:rsidR="00704C24" w:rsidRPr="00704C24" w:rsidRDefault="00704C24">
            <w:pPr>
              <w:pStyle w:val="Tabele"/>
              <w:jc w:val="right"/>
              <w:rPr>
                <w:color w:val="auto"/>
                <w:sz w:val="12"/>
                <w:szCs w:val="12"/>
              </w:rPr>
            </w:pPr>
            <w:r w:rsidRPr="00704C24">
              <w:rPr>
                <w:color w:val="auto"/>
                <w:sz w:val="12"/>
                <w:szCs w:val="12"/>
              </w:rPr>
              <w:t>393,29</w:t>
            </w:r>
          </w:p>
        </w:tc>
        <w:tc>
          <w:tcPr>
            <w:tcW w:w="916" w:type="dxa"/>
          </w:tcPr>
          <w:p w14:paraId="11CB31E6" w14:textId="77777777" w:rsidR="00704C24" w:rsidRPr="00704C24" w:rsidRDefault="00704C24">
            <w:pPr>
              <w:pStyle w:val="Tabele"/>
              <w:jc w:val="right"/>
              <w:rPr>
                <w:color w:val="auto"/>
                <w:sz w:val="12"/>
                <w:szCs w:val="12"/>
              </w:rPr>
            </w:pPr>
            <w:r w:rsidRPr="00704C24">
              <w:rPr>
                <w:color w:val="auto"/>
                <w:sz w:val="12"/>
                <w:szCs w:val="12"/>
              </w:rPr>
              <w:t>387,61</w:t>
            </w:r>
          </w:p>
        </w:tc>
      </w:tr>
      <w:tr w:rsidR="00704C24" w:rsidRPr="00520300" w14:paraId="22D03D1F" w14:textId="77777777" w:rsidTr="00881CAF">
        <w:trPr>
          <w:trHeight w:val="227"/>
        </w:trPr>
        <w:tc>
          <w:tcPr>
            <w:tcW w:w="1306" w:type="dxa"/>
          </w:tcPr>
          <w:p w14:paraId="383F5FE8" w14:textId="77777777" w:rsidR="00704C24" w:rsidRPr="00704C24" w:rsidRDefault="00704C24">
            <w:pPr>
              <w:pStyle w:val="Tabele"/>
              <w:rPr>
                <w:color w:val="auto"/>
                <w:sz w:val="12"/>
                <w:szCs w:val="12"/>
              </w:rPr>
            </w:pPr>
            <w:r w:rsidRPr="00704C24">
              <w:rPr>
                <w:rFonts w:cs="Calibri"/>
                <w:bCs/>
                <w:color w:val="auto"/>
                <w:sz w:val="12"/>
                <w:szCs w:val="12"/>
              </w:rPr>
              <w:t>Emisja CO</w:t>
            </w:r>
            <w:r w:rsidRPr="00704C24">
              <w:rPr>
                <w:rFonts w:cs="Calibri"/>
                <w:bCs/>
                <w:color w:val="auto"/>
                <w:sz w:val="12"/>
                <w:szCs w:val="12"/>
                <w:vertAlign w:val="subscript"/>
              </w:rPr>
              <w:t>2</w:t>
            </w:r>
            <w:r w:rsidRPr="00704C24">
              <w:rPr>
                <w:rFonts w:cs="Calibri"/>
                <w:bCs/>
                <w:color w:val="auto"/>
                <w:sz w:val="12"/>
                <w:szCs w:val="12"/>
              </w:rPr>
              <w:t xml:space="preserve"> z biomasy </w:t>
            </w:r>
          </w:p>
        </w:tc>
        <w:tc>
          <w:tcPr>
            <w:tcW w:w="757" w:type="dxa"/>
            <w:shd w:val="clear" w:color="auto" w:fill="C5E0B3"/>
          </w:tcPr>
          <w:p w14:paraId="724F0937" w14:textId="77777777" w:rsidR="00704C24" w:rsidRPr="00704C24" w:rsidRDefault="00704C24">
            <w:pPr>
              <w:pStyle w:val="Tabele"/>
              <w:jc w:val="right"/>
              <w:rPr>
                <w:rFonts w:cs="Calibri"/>
                <w:b/>
                <w:bCs/>
                <w:color w:val="auto"/>
                <w:sz w:val="12"/>
                <w:szCs w:val="12"/>
              </w:rPr>
            </w:pPr>
            <w:r w:rsidRPr="00704C24">
              <w:rPr>
                <w:color w:val="auto"/>
                <w:sz w:val="12"/>
                <w:szCs w:val="12"/>
              </w:rPr>
              <w:t>6 813,47</w:t>
            </w:r>
          </w:p>
        </w:tc>
        <w:tc>
          <w:tcPr>
            <w:tcW w:w="800" w:type="dxa"/>
            <w:shd w:val="clear" w:color="auto" w:fill="C5E0B3"/>
          </w:tcPr>
          <w:p w14:paraId="5D217D30" w14:textId="77777777" w:rsidR="00704C24" w:rsidRPr="00704C24" w:rsidRDefault="00704C24">
            <w:pPr>
              <w:pStyle w:val="Tabele"/>
              <w:jc w:val="right"/>
              <w:rPr>
                <w:b/>
                <w:color w:val="auto"/>
                <w:sz w:val="12"/>
                <w:szCs w:val="12"/>
              </w:rPr>
            </w:pPr>
            <w:r w:rsidRPr="00704C24">
              <w:rPr>
                <w:color w:val="auto"/>
                <w:sz w:val="12"/>
                <w:szCs w:val="12"/>
              </w:rPr>
              <w:t>19 802,67</w:t>
            </w:r>
          </w:p>
        </w:tc>
        <w:tc>
          <w:tcPr>
            <w:tcW w:w="794" w:type="dxa"/>
            <w:shd w:val="clear" w:color="auto" w:fill="C5E0B3"/>
          </w:tcPr>
          <w:p w14:paraId="68CC7E2A" w14:textId="77777777" w:rsidR="00704C24" w:rsidRPr="00704C24" w:rsidRDefault="00704C24">
            <w:pPr>
              <w:pStyle w:val="Tabele"/>
              <w:jc w:val="right"/>
              <w:rPr>
                <w:b/>
                <w:color w:val="auto"/>
                <w:sz w:val="12"/>
                <w:szCs w:val="12"/>
              </w:rPr>
            </w:pPr>
            <w:r w:rsidRPr="00704C24">
              <w:rPr>
                <w:color w:val="auto"/>
                <w:sz w:val="12"/>
                <w:szCs w:val="12"/>
              </w:rPr>
              <w:t>30 378,45</w:t>
            </w:r>
          </w:p>
        </w:tc>
        <w:tc>
          <w:tcPr>
            <w:tcW w:w="864" w:type="dxa"/>
            <w:shd w:val="clear" w:color="auto" w:fill="C5E0B3"/>
          </w:tcPr>
          <w:p w14:paraId="08110866" w14:textId="77777777" w:rsidR="00704C24" w:rsidRPr="00704C24" w:rsidRDefault="00704C24">
            <w:pPr>
              <w:pStyle w:val="Tabele"/>
              <w:jc w:val="right"/>
              <w:rPr>
                <w:b/>
                <w:color w:val="auto"/>
                <w:sz w:val="12"/>
                <w:szCs w:val="12"/>
              </w:rPr>
            </w:pPr>
            <w:r w:rsidRPr="00704C24">
              <w:rPr>
                <w:color w:val="auto"/>
                <w:sz w:val="12"/>
                <w:szCs w:val="12"/>
              </w:rPr>
              <w:t>34 917,75</w:t>
            </w:r>
          </w:p>
        </w:tc>
        <w:tc>
          <w:tcPr>
            <w:tcW w:w="903" w:type="dxa"/>
            <w:shd w:val="clear" w:color="auto" w:fill="C5E0B3"/>
          </w:tcPr>
          <w:p w14:paraId="107BDD31" w14:textId="77777777" w:rsidR="00704C24" w:rsidRPr="00704C24" w:rsidRDefault="00704C24">
            <w:pPr>
              <w:pStyle w:val="Tabele"/>
              <w:jc w:val="right"/>
              <w:rPr>
                <w:b/>
                <w:color w:val="auto"/>
                <w:sz w:val="12"/>
                <w:szCs w:val="12"/>
              </w:rPr>
            </w:pPr>
            <w:r w:rsidRPr="00704C24">
              <w:rPr>
                <w:color w:val="auto"/>
                <w:sz w:val="12"/>
                <w:szCs w:val="12"/>
              </w:rPr>
              <w:t>48 967,70</w:t>
            </w:r>
          </w:p>
        </w:tc>
        <w:tc>
          <w:tcPr>
            <w:tcW w:w="904" w:type="dxa"/>
          </w:tcPr>
          <w:p w14:paraId="7AE153C0" w14:textId="77777777" w:rsidR="00704C24" w:rsidRPr="00704C24" w:rsidRDefault="00704C24">
            <w:pPr>
              <w:pStyle w:val="Tabele"/>
              <w:jc w:val="right"/>
              <w:rPr>
                <w:b/>
                <w:bCs/>
                <w:color w:val="auto"/>
                <w:sz w:val="12"/>
                <w:szCs w:val="12"/>
                <w:highlight w:val="yellow"/>
              </w:rPr>
            </w:pPr>
            <w:r w:rsidRPr="00704C24">
              <w:rPr>
                <w:color w:val="auto"/>
                <w:sz w:val="12"/>
                <w:szCs w:val="12"/>
              </w:rPr>
              <w:t>47 231,24</w:t>
            </w:r>
          </w:p>
        </w:tc>
        <w:tc>
          <w:tcPr>
            <w:tcW w:w="928" w:type="dxa"/>
          </w:tcPr>
          <w:p w14:paraId="3156DA5F" w14:textId="77777777" w:rsidR="00704C24" w:rsidRPr="00704C24" w:rsidRDefault="00704C24">
            <w:pPr>
              <w:pStyle w:val="Tabele"/>
              <w:jc w:val="right"/>
              <w:rPr>
                <w:b/>
                <w:bCs/>
                <w:color w:val="auto"/>
                <w:sz w:val="12"/>
                <w:szCs w:val="12"/>
                <w:highlight w:val="yellow"/>
              </w:rPr>
            </w:pPr>
            <w:r w:rsidRPr="00704C24">
              <w:rPr>
                <w:color w:val="auto"/>
                <w:sz w:val="12"/>
                <w:szCs w:val="12"/>
              </w:rPr>
              <w:t>47 450,42</w:t>
            </w:r>
          </w:p>
        </w:tc>
        <w:tc>
          <w:tcPr>
            <w:tcW w:w="890" w:type="dxa"/>
          </w:tcPr>
          <w:p w14:paraId="6C043E75" w14:textId="77777777" w:rsidR="00704C24" w:rsidRPr="00704C24" w:rsidRDefault="00704C24">
            <w:pPr>
              <w:pStyle w:val="Tabele"/>
              <w:jc w:val="right"/>
              <w:rPr>
                <w:b/>
                <w:bCs/>
                <w:color w:val="auto"/>
                <w:sz w:val="12"/>
                <w:szCs w:val="12"/>
                <w:highlight w:val="yellow"/>
              </w:rPr>
            </w:pPr>
            <w:r w:rsidRPr="00704C24">
              <w:rPr>
                <w:color w:val="auto"/>
                <w:sz w:val="12"/>
                <w:szCs w:val="12"/>
              </w:rPr>
              <w:t>42 928,03</w:t>
            </w:r>
          </w:p>
        </w:tc>
        <w:tc>
          <w:tcPr>
            <w:tcW w:w="916" w:type="dxa"/>
          </w:tcPr>
          <w:p w14:paraId="79DD076F" w14:textId="77777777" w:rsidR="00704C24" w:rsidRPr="00704C24" w:rsidRDefault="00704C24">
            <w:pPr>
              <w:pStyle w:val="Tabele"/>
              <w:jc w:val="right"/>
              <w:rPr>
                <w:b/>
                <w:bCs/>
                <w:color w:val="auto"/>
                <w:sz w:val="12"/>
                <w:szCs w:val="12"/>
                <w:highlight w:val="yellow"/>
              </w:rPr>
            </w:pPr>
            <w:r w:rsidRPr="00704C24">
              <w:rPr>
                <w:color w:val="auto"/>
                <w:sz w:val="12"/>
                <w:szCs w:val="12"/>
              </w:rPr>
              <w:t>39 591,88</w:t>
            </w:r>
          </w:p>
        </w:tc>
      </w:tr>
      <w:tr w:rsidR="00704C24" w:rsidRPr="00520300" w14:paraId="1E2DC8F3" w14:textId="77777777" w:rsidTr="00881CAF">
        <w:trPr>
          <w:trHeight w:val="227"/>
        </w:trPr>
        <w:tc>
          <w:tcPr>
            <w:tcW w:w="1306" w:type="dxa"/>
          </w:tcPr>
          <w:p w14:paraId="29C5931F" w14:textId="77777777" w:rsidR="00704C24" w:rsidRPr="00704C24" w:rsidRDefault="00704C24">
            <w:pPr>
              <w:pStyle w:val="Tabele"/>
              <w:rPr>
                <w:b/>
                <w:bCs/>
                <w:color w:val="auto"/>
                <w:sz w:val="12"/>
                <w:szCs w:val="12"/>
              </w:rPr>
            </w:pPr>
            <w:r w:rsidRPr="00704C24">
              <w:rPr>
                <w:rFonts w:cs="Calibri"/>
                <w:b/>
                <w:bCs/>
                <w:color w:val="auto"/>
                <w:sz w:val="12"/>
                <w:szCs w:val="12"/>
              </w:rPr>
              <w:t>Suma (z uwzg. LULUCF)</w:t>
            </w:r>
          </w:p>
        </w:tc>
        <w:tc>
          <w:tcPr>
            <w:tcW w:w="757" w:type="dxa"/>
            <w:shd w:val="clear" w:color="auto" w:fill="C5E0B3"/>
          </w:tcPr>
          <w:p w14:paraId="1BA9E355" w14:textId="77777777" w:rsidR="00704C24" w:rsidRPr="00704C24" w:rsidRDefault="00704C24">
            <w:pPr>
              <w:pStyle w:val="Tabele"/>
              <w:jc w:val="right"/>
              <w:rPr>
                <w:rFonts w:cs="Calibri"/>
                <w:b/>
                <w:bCs/>
                <w:color w:val="auto"/>
                <w:sz w:val="12"/>
                <w:szCs w:val="12"/>
              </w:rPr>
            </w:pPr>
            <w:r w:rsidRPr="00704C24">
              <w:rPr>
                <w:b/>
                <w:color w:val="auto"/>
                <w:sz w:val="12"/>
                <w:szCs w:val="12"/>
              </w:rPr>
              <w:t>346 617,09</w:t>
            </w:r>
          </w:p>
        </w:tc>
        <w:tc>
          <w:tcPr>
            <w:tcW w:w="800" w:type="dxa"/>
            <w:shd w:val="clear" w:color="auto" w:fill="C5E0B3"/>
          </w:tcPr>
          <w:p w14:paraId="5F82E9E7" w14:textId="77777777" w:rsidR="00704C24" w:rsidRPr="00704C24" w:rsidRDefault="00704C24">
            <w:pPr>
              <w:pStyle w:val="Tabele"/>
              <w:jc w:val="right"/>
              <w:rPr>
                <w:b/>
                <w:color w:val="auto"/>
                <w:sz w:val="12"/>
                <w:szCs w:val="12"/>
              </w:rPr>
            </w:pPr>
            <w:r w:rsidRPr="00704C24">
              <w:rPr>
                <w:b/>
                <w:color w:val="auto"/>
                <w:sz w:val="12"/>
                <w:szCs w:val="12"/>
              </w:rPr>
              <w:t>271 553,95</w:t>
            </w:r>
          </w:p>
        </w:tc>
        <w:tc>
          <w:tcPr>
            <w:tcW w:w="794" w:type="dxa"/>
            <w:shd w:val="clear" w:color="auto" w:fill="C5E0B3"/>
          </w:tcPr>
          <w:p w14:paraId="3C541B55" w14:textId="77777777" w:rsidR="00704C24" w:rsidRPr="00704C24" w:rsidRDefault="00704C24">
            <w:pPr>
              <w:pStyle w:val="Tabele"/>
              <w:jc w:val="right"/>
              <w:rPr>
                <w:b/>
                <w:color w:val="auto"/>
                <w:sz w:val="12"/>
                <w:szCs w:val="12"/>
              </w:rPr>
            </w:pPr>
            <w:r w:rsidRPr="00704C24">
              <w:rPr>
                <w:b/>
                <w:color w:val="auto"/>
                <w:sz w:val="12"/>
                <w:szCs w:val="12"/>
              </w:rPr>
              <w:t>297 355,23</w:t>
            </w:r>
          </w:p>
        </w:tc>
        <w:tc>
          <w:tcPr>
            <w:tcW w:w="864" w:type="dxa"/>
            <w:shd w:val="clear" w:color="auto" w:fill="C5E0B3"/>
          </w:tcPr>
          <w:p w14:paraId="01A9729C" w14:textId="77777777" w:rsidR="00704C24" w:rsidRPr="00704C24" w:rsidRDefault="00704C24">
            <w:pPr>
              <w:pStyle w:val="Tabele"/>
              <w:jc w:val="right"/>
              <w:rPr>
                <w:b/>
                <w:color w:val="auto"/>
                <w:sz w:val="12"/>
                <w:szCs w:val="12"/>
              </w:rPr>
            </w:pPr>
            <w:r w:rsidRPr="00704C24">
              <w:rPr>
                <w:b/>
                <w:color w:val="auto"/>
                <w:sz w:val="12"/>
                <w:szCs w:val="12"/>
              </w:rPr>
              <w:t>277 904,16</w:t>
            </w:r>
          </w:p>
        </w:tc>
        <w:tc>
          <w:tcPr>
            <w:tcW w:w="903" w:type="dxa"/>
            <w:shd w:val="clear" w:color="auto" w:fill="C5E0B3"/>
          </w:tcPr>
          <w:p w14:paraId="5C9E7F45" w14:textId="77777777" w:rsidR="00704C24" w:rsidRPr="00704C24" w:rsidRDefault="00704C24">
            <w:pPr>
              <w:pStyle w:val="Tabele"/>
              <w:jc w:val="right"/>
              <w:rPr>
                <w:b/>
                <w:color w:val="auto"/>
                <w:sz w:val="12"/>
                <w:szCs w:val="12"/>
              </w:rPr>
            </w:pPr>
            <w:r w:rsidRPr="00704C24">
              <w:rPr>
                <w:b/>
                <w:color w:val="auto"/>
                <w:sz w:val="12"/>
                <w:szCs w:val="12"/>
              </w:rPr>
              <w:t>277 525,53</w:t>
            </w:r>
          </w:p>
        </w:tc>
        <w:tc>
          <w:tcPr>
            <w:tcW w:w="904" w:type="dxa"/>
          </w:tcPr>
          <w:p w14:paraId="4785678A" w14:textId="77777777" w:rsidR="00704C24" w:rsidRPr="00704C24" w:rsidRDefault="00704C24">
            <w:pPr>
              <w:pStyle w:val="Tabele"/>
              <w:jc w:val="right"/>
              <w:rPr>
                <w:b/>
                <w:bCs/>
                <w:color w:val="auto"/>
                <w:sz w:val="12"/>
                <w:szCs w:val="12"/>
                <w:highlight w:val="yellow"/>
              </w:rPr>
            </w:pPr>
            <w:r w:rsidRPr="00704C24">
              <w:rPr>
                <w:b/>
                <w:color w:val="auto"/>
                <w:sz w:val="12"/>
                <w:szCs w:val="12"/>
              </w:rPr>
              <w:t>218 628,09</w:t>
            </w:r>
          </w:p>
        </w:tc>
        <w:tc>
          <w:tcPr>
            <w:tcW w:w="928" w:type="dxa"/>
          </w:tcPr>
          <w:p w14:paraId="63E1E688" w14:textId="77777777" w:rsidR="00704C24" w:rsidRPr="00704C24" w:rsidRDefault="00704C24">
            <w:pPr>
              <w:pStyle w:val="Tabele"/>
              <w:jc w:val="right"/>
              <w:rPr>
                <w:b/>
                <w:bCs/>
                <w:color w:val="auto"/>
                <w:sz w:val="12"/>
                <w:szCs w:val="12"/>
                <w:highlight w:val="yellow"/>
              </w:rPr>
            </w:pPr>
            <w:r w:rsidRPr="00704C24">
              <w:rPr>
                <w:b/>
                <w:color w:val="auto"/>
                <w:sz w:val="12"/>
                <w:szCs w:val="12"/>
              </w:rPr>
              <w:t>149 700,78</w:t>
            </w:r>
          </w:p>
        </w:tc>
        <w:tc>
          <w:tcPr>
            <w:tcW w:w="890" w:type="dxa"/>
          </w:tcPr>
          <w:p w14:paraId="6C55E198" w14:textId="77777777" w:rsidR="00704C24" w:rsidRPr="00704C24" w:rsidRDefault="00704C24">
            <w:pPr>
              <w:pStyle w:val="Tabele"/>
              <w:jc w:val="right"/>
              <w:rPr>
                <w:b/>
                <w:bCs/>
                <w:color w:val="auto"/>
                <w:sz w:val="12"/>
                <w:szCs w:val="12"/>
                <w:highlight w:val="yellow"/>
              </w:rPr>
            </w:pPr>
            <w:r w:rsidRPr="00704C24">
              <w:rPr>
                <w:b/>
                <w:color w:val="auto"/>
                <w:sz w:val="12"/>
                <w:szCs w:val="12"/>
              </w:rPr>
              <w:t>97 718,74</w:t>
            </w:r>
          </w:p>
        </w:tc>
        <w:tc>
          <w:tcPr>
            <w:tcW w:w="916" w:type="dxa"/>
          </w:tcPr>
          <w:p w14:paraId="35BC7D87" w14:textId="77777777" w:rsidR="00704C24" w:rsidRPr="00704C24" w:rsidRDefault="00704C24">
            <w:pPr>
              <w:pStyle w:val="Tabele"/>
              <w:jc w:val="right"/>
              <w:rPr>
                <w:b/>
                <w:bCs/>
                <w:color w:val="auto"/>
                <w:sz w:val="12"/>
                <w:szCs w:val="12"/>
                <w:highlight w:val="yellow"/>
              </w:rPr>
            </w:pPr>
            <w:r w:rsidRPr="00704C24">
              <w:rPr>
                <w:b/>
                <w:color w:val="auto"/>
                <w:sz w:val="12"/>
                <w:szCs w:val="12"/>
              </w:rPr>
              <w:t>62 947,27</w:t>
            </w:r>
          </w:p>
        </w:tc>
      </w:tr>
      <w:tr w:rsidR="00704C24" w:rsidRPr="00520300" w14:paraId="31C07973" w14:textId="77777777" w:rsidTr="00881CAF">
        <w:trPr>
          <w:trHeight w:val="227"/>
        </w:trPr>
        <w:tc>
          <w:tcPr>
            <w:tcW w:w="1306" w:type="dxa"/>
          </w:tcPr>
          <w:p w14:paraId="5D82C933" w14:textId="77777777" w:rsidR="00704C24" w:rsidRPr="00704C24" w:rsidRDefault="00704C24">
            <w:pPr>
              <w:pStyle w:val="Tabele"/>
              <w:rPr>
                <w:bCs/>
                <w:color w:val="auto"/>
                <w:sz w:val="12"/>
                <w:szCs w:val="12"/>
              </w:rPr>
            </w:pPr>
            <w:r w:rsidRPr="00704C24">
              <w:rPr>
                <w:rFonts w:cs="Calibri"/>
                <w:b/>
                <w:bCs/>
                <w:color w:val="auto"/>
                <w:sz w:val="12"/>
                <w:szCs w:val="12"/>
              </w:rPr>
              <w:t>Suma (bez LULUCF)</w:t>
            </w:r>
          </w:p>
        </w:tc>
        <w:tc>
          <w:tcPr>
            <w:tcW w:w="757" w:type="dxa"/>
            <w:shd w:val="clear" w:color="auto" w:fill="C5E0B3"/>
          </w:tcPr>
          <w:p w14:paraId="7D6D88D5" w14:textId="77777777" w:rsidR="00704C24" w:rsidRPr="00704C24" w:rsidRDefault="00704C24">
            <w:pPr>
              <w:pStyle w:val="Tabele"/>
              <w:jc w:val="right"/>
              <w:rPr>
                <w:rFonts w:cs="Calibri"/>
                <w:b/>
                <w:bCs/>
                <w:color w:val="auto"/>
                <w:sz w:val="12"/>
                <w:szCs w:val="12"/>
              </w:rPr>
            </w:pPr>
            <w:r w:rsidRPr="00704C24">
              <w:rPr>
                <w:b/>
                <w:color w:val="auto"/>
                <w:sz w:val="12"/>
                <w:szCs w:val="12"/>
              </w:rPr>
              <w:t>376 898,38</w:t>
            </w:r>
          </w:p>
        </w:tc>
        <w:tc>
          <w:tcPr>
            <w:tcW w:w="800" w:type="dxa"/>
            <w:shd w:val="clear" w:color="auto" w:fill="C5E0B3"/>
          </w:tcPr>
          <w:p w14:paraId="6E275561" w14:textId="77777777" w:rsidR="00704C24" w:rsidRPr="00704C24" w:rsidRDefault="00704C24">
            <w:pPr>
              <w:pStyle w:val="Tabele"/>
              <w:jc w:val="right"/>
              <w:rPr>
                <w:b/>
                <w:color w:val="auto"/>
                <w:sz w:val="12"/>
                <w:szCs w:val="12"/>
              </w:rPr>
            </w:pPr>
            <w:r w:rsidRPr="00704C24">
              <w:rPr>
                <w:b/>
                <w:color w:val="auto"/>
                <w:sz w:val="12"/>
                <w:szCs w:val="12"/>
              </w:rPr>
              <w:t>323 319,71</w:t>
            </w:r>
          </w:p>
        </w:tc>
        <w:tc>
          <w:tcPr>
            <w:tcW w:w="794" w:type="dxa"/>
            <w:shd w:val="clear" w:color="auto" w:fill="C5E0B3"/>
          </w:tcPr>
          <w:p w14:paraId="760349C5" w14:textId="77777777" w:rsidR="00704C24" w:rsidRPr="00704C24" w:rsidRDefault="00704C24">
            <w:pPr>
              <w:pStyle w:val="Tabele"/>
              <w:jc w:val="right"/>
              <w:rPr>
                <w:b/>
                <w:color w:val="auto"/>
                <w:sz w:val="12"/>
                <w:szCs w:val="12"/>
              </w:rPr>
            </w:pPr>
            <w:r w:rsidRPr="00704C24">
              <w:rPr>
                <w:b/>
                <w:color w:val="auto"/>
                <w:sz w:val="12"/>
                <w:szCs w:val="12"/>
              </w:rPr>
              <w:t>334 767,73</w:t>
            </w:r>
          </w:p>
        </w:tc>
        <w:tc>
          <w:tcPr>
            <w:tcW w:w="864" w:type="dxa"/>
            <w:shd w:val="clear" w:color="auto" w:fill="C5E0B3"/>
          </w:tcPr>
          <w:p w14:paraId="7731FB2E" w14:textId="77777777" w:rsidR="00704C24" w:rsidRPr="00704C24" w:rsidRDefault="00704C24">
            <w:pPr>
              <w:pStyle w:val="Tabele"/>
              <w:jc w:val="right"/>
              <w:rPr>
                <w:b/>
                <w:color w:val="auto"/>
                <w:sz w:val="12"/>
                <w:szCs w:val="12"/>
              </w:rPr>
            </w:pPr>
            <w:r w:rsidRPr="00704C24">
              <w:rPr>
                <w:b/>
                <w:color w:val="auto"/>
                <w:sz w:val="12"/>
                <w:szCs w:val="12"/>
              </w:rPr>
              <w:t>313 278,93</w:t>
            </w:r>
          </w:p>
        </w:tc>
        <w:tc>
          <w:tcPr>
            <w:tcW w:w="903" w:type="dxa"/>
            <w:shd w:val="clear" w:color="auto" w:fill="C5E0B3"/>
          </w:tcPr>
          <w:p w14:paraId="537E1436" w14:textId="77777777" w:rsidR="00704C24" w:rsidRPr="00704C24" w:rsidRDefault="00704C24">
            <w:pPr>
              <w:pStyle w:val="Tabele"/>
              <w:jc w:val="right"/>
              <w:rPr>
                <w:b/>
                <w:color w:val="auto"/>
                <w:sz w:val="12"/>
                <w:szCs w:val="12"/>
              </w:rPr>
            </w:pPr>
            <w:r w:rsidRPr="00704C24">
              <w:rPr>
                <w:b/>
                <w:color w:val="auto"/>
                <w:sz w:val="12"/>
                <w:szCs w:val="12"/>
              </w:rPr>
              <w:t>302 960,38</w:t>
            </w:r>
          </w:p>
        </w:tc>
        <w:tc>
          <w:tcPr>
            <w:tcW w:w="904" w:type="dxa"/>
          </w:tcPr>
          <w:p w14:paraId="26DA493D" w14:textId="77777777" w:rsidR="00704C24" w:rsidRPr="00704C24" w:rsidRDefault="00704C24">
            <w:pPr>
              <w:pStyle w:val="Tabele"/>
              <w:jc w:val="right"/>
              <w:rPr>
                <w:b/>
                <w:bCs/>
                <w:color w:val="auto"/>
                <w:sz w:val="12"/>
                <w:szCs w:val="12"/>
                <w:highlight w:val="yellow"/>
              </w:rPr>
            </w:pPr>
            <w:r w:rsidRPr="00704C24">
              <w:rPr>
                <w:b/>
                <w:color w:val="auto"/>
                <w:sz w:val="12"/>
                <w:szCs w:val="12"/>
              </w:rPr>
              <w:t>270 503,92</w:t>
            </w:r>
          </w:p>
        </w:tc>
        <w:tc>
          <w:tcPr>
            <w:tcW w:w="928" w:type="dxa"/>
          </w:tcPr>
          <w:p w14:paraId="1F387909" w14:textId="77777777" w:rsidR="00704C24" w:rsidRPr="00704C24" w:rsidRDefault="00704C24">
            <w:pPr>
              <w:pStyle w:val="Tabele"/>
              <w:jc w:val="right"/>
              <w:rPr>
                <w:b/>
                <w:bCs/>
                <w:color w:val="auto"/>
                <w:sz w:val="12"/>
                <w:szCs w:val="12"/>
                <w:highlight w:val="yellow"/>
              </w:rPr>
            </w:pPr>
            <w:r w:rsidRPr="00704C24">
              <w:rPr>
                <w:b/>
                <w:color w:val="auto"/>
                <w:sz w:val="12"/>
                <w:szCs w:val="12"/>
              </w:rPr>
              <w:t>198 368,68</w:t>
            </w:r>
          </w:p>
        </w:tc>
        <w:tc>
          <w:tcPr>
            <w:tcW w:w="890" w:type="dxa"/>
          </w:tcPr>
          <w:p w14:paraId="548819DF" w14:textId="77777777" w:rsidR="00704C24" w:rsidRPr="00704C24" w:rsidRDefault="00704C24">
            <w:pPr>
              <w:pStyle w:val="Tabele"/>
              <w:jc w:val="right"/>
              <w:rPr>
                <w:b/>
                <w:bCs/>
                <w:color w:val="auto"/>
                <w:sz w:val="12"/>
                <w:szCs w:val="12"/>
                <w:highlight w:val="yellow"/>
              </w:rPr>
            </w:pPr>
            <w:r w:rsidRPr="00704C24">
              <w:rPr>
                <w:b/>
                <w:color w:val="auto"/>
                <w:sz w:val="12"/>
                <w:szCs w:val="12"/>
              </w:rPr>
              <w:t>140 085,18</w:t>
            </w:r>
          </w:p>
        </w:tc>
        <w:tc>
          <w:tcPr>
            <w:tcW w:w="916" w:type="dxa"/>
          </w:tcPr>
          <w:p w14:paraId="0455646B" w14:textId="77777777" w:rsidR="00704C24" w:rsidRPr="00704C24" w:rsidRDefault="00704C24">
            <w:pPr>
              <w:pStyle w:val="Tabele"/>
              <w:jc w:val="right"/>
              <w:rPr>
                <w:b/>
                <w:bCs/>
                <w:color w:val="auto"/>
                <w:sz w:val="12"/>
                <w:szCs w:val="12"/>
                <w:highlight w:val="yellow"/>
              </w:rPr>
            </w:pPr>
            <w:r w:rsidRPr="00704C24">
              <w:rPr>
                <w:b/>
                <w:color w:val="auto"/>
                <w:sz w:val="12"/>
                <w:szCs w:val="12"/>
              </w:rPr>
              <w:t>99 683,26</w:t>
            </w:r>
          </w:p>
        </w:tc>
      </w:tr>
    </w:tbl>
    <w:p w14:paraId="022B43F5" w14:textId="3FFFFEB4" w:rsidR="005C4144" w:rsidRPr="005525FC" w:rsidRDefault="005C4144" w:rsidP="00704C24">
      <w:pPr>
        <w:pStyle w:val="Legenda"/>
      </w:pPr>
      <w:r w:rsidRPr="00BB1158">
        <w:t>Źródło: Opracowanie własne KOBIZE, IOŚ-PIB</w:t>
      </w:r>
    </w:p>
    <w:p w14:paraId="0AEC608B" w14:textId="0EB9F49C" w:rsidR="007D5D7A" w:rsidRDefault="00EF63BA" w:rsidP="003951DC">
      <w:bookmarkStart w:id="41" w:name="_Ref156464698"/>
      <w:r w:rsidRPr="007018BF">
        <w:rPr>
          <w:b/>
        </w:rPr>
        <w:t>Głównym gazem cieplarnianym emitowanym w Polsce pozostanie CO</w:t>
      </w:r>
      <w:r w:rsidRPr="007018BF">
        <w:rPr>
          <w:b/>
          <w:vertAlign w:val="subscript"/>
        </w:rPr>
        <w:t>2</w:t>
      </w:r>
      <w:r w:rsidRPr="004B071B">
        <w:t xml:space="preserve">. </w:t>
      </w:r>
      <w:r w:rsidRPr="00295F8A">
        <w:t xml:space="preserve">Jego udział w emisji krajowej wyniesie </w:t>
      </w:r>
      <w:r>
        <w:t>78</w:t>
      </w:r>
      <w:r w:rsidRPr="00295F8A">
        <w:t>% w 2030 r.</w:t>
      </w:r>
      <w:r w:rsidR="00327FDB">
        <w:t xml:space="preserve"> i</w:t>
      </w:r>
      <w:r>
        <w:t xml:space="preserve"> 74% w 2040 r. </w:t>
      </w:r>
      <w:r w:rsidRPr="00295F8A">
        <w:t>Prognozowany jest znaczący spadek emisji CO</w:t>
      </w:r>
      <w:r w:rsidRPr="00295F8A">
        <w:rPr>
          <w:vertAlign w:val="subscript"/>
        </w:rPr>
        <w:t>2</w:t>
      </w:r>
      <w:r w:rsidRPr="00295F8A">
        <w:t>: z blisko 377 mln ton CO</w:t>
      </w:r>
      <w:r w:rsidRPr="00295F8A">
        <w:rPr>
          <w:vertAlign w:val="subscript"/>
        </w:rPr>
        <w:t>2</w:t>
      </w:r>
      <w:r w:rsidRPr="00295F8A">
        <w:t xml:space="preserve">eq w 1990 r. do </w:t>
      </w:r>
      <w:r>
        <w:t>198</w:t>
      </w:r>
      <w:r w:rsidRPr="00295F8A">
        <w:t xml:space="preserve"> mln ton CO</w:t>
      </w:r>
      <w:r w:rsidRPr="00295F8A">
        <w:rPr>
          <w:vertAlign w:val="subscript"/>
        </w:rPr>
        <w:t>2</w:t>
      </w:r>
      <w:r>
        <w:t>eq w 2030 r. (spadek o 47</w:t>
      </w:r>
      <w:r w:rsidRPr="00295F8A">
        <w:t>%)</w:t>
      </w:r>
      <w:r w:rsidR="00C34765">
        <w:t xml:space="preserve"> i</w:t>
      </w:r>
      <w:r>
        <w:t xml:space="preserve"> do niespełna 100 </w:t>
      </w:r>
      <w:r w:rsidRPr="00295F8A">
        <w:t>mln ton CO</w:t>
      </w:r>
      <w:r w:rsidRPr="00295F8A">
        <w:rPr>
          <w:vertAlign w:val="subscript"/>
        </w:rPr>
        <w:t>2</w:t>
      </w:r>
      <w:r>
        <w:t xml:space="preserve">eq w 2040 r. (spadek o </w:t>
      </w:r>
      <w:r w:rsidR="00045570">
        <w:t>74</w:t>
      </w:r>
      <w:r>
        <w:t>%)</w:t>
      </w:r>
      <w:r w:rsidR="00327FDB">
        <w:t xml:space="preserve">. </w:t>
      </w:r>
      <w:r w:rsidRPr="00A656A8">
        <w:t>Najistot</w:t>
      </w:r>
      <w:r w:rsidRPr="00295F8A">
        <w:t>niejszy spadek emisji odnotowuje się w sektorze Energia, co jest spowodowane znaczącym spadkiem zużycia paliw w źródłach stacjonarnych i mobilnych.</w:t>
      </w:r>
      <w:r>
        <w:t xml:space="preserve"> W sektorze odpadów całe ich spalanie będzie się odbywało z odzyskiem energii (co jest raportowane w sektorze 1.A),</w:t>
      </w:r>
      <w:r w:rsidR="002A532C">
        <w:t xml:space="preserve"> </w:t>
      </w:r>
      <w:r w:rsidR="00D71179" w:rsidRPr="000328DE">
        <w:t xml:space="preserve">a jednocześnie </w:t>
      </w:r>
      <w:r w:rsidR="00F552CD" w:rsidRPr="000328DE">
        <w:t xml:space="preserve">samo spalanie będzie </w:t>
      </w:r>
      <w:r w:rsidR="002043C9" w:rsidRPr="000328DE">
        <w:t>ulegać zmniejszeniu dzięki przejściu na</w:t>
      </w:r>
      <w:r w:rsidR="00DD211F" w:rsidRPr="00DD211F">
        <w:t xml:space="preserve"> </w:t>
      </w:r>
      <w:r w:rsidR="00DD211F" w:rsidRPr="000328DE">
        <w:t xml:space="preserve">model </w:t>
      </w:r>
      <w:r w:rsidR="00DD211F">
        <w:t>g</w:t>
      </w:r>
      <w:r w:rsidR="00DD211F" w:rsidRPr="000328DE">
        <w:t xml:space="preserve">ospodarki </w:t>
      </w:r>
      <w:r w:rsidR="00DD211F">
        <w:t>o o</w:t>
      </w:r>
      <w:r w:rsidR="00DD211F" w:rsidRPr="000328DE">
        <w:t xml:space="preserve">biegu </w:t>
      </w:r>
      <w:r w:rsidR="00DD211F">
        <w:t>z</w:t>
      </w:r>
      <w:r w:rsidR="00DD211F" w:rsidRPr="000328DE">
        <w:t>amknięt</w:t>
      </w:r>
      <w:r w:rsidR="00DD211F">
        <w:t>ym</w:t>
      </w:r>
      <w:r w:rsidR="000328DE" w:rsidRPr="000328DE">
        <w:t>. S</w:t>
      </w:r>
      <w:r w:rsidRPr="000328DE">
        <w:t>tąd</w:t>
      </w:r>
      <w:r>
        <w:t xml:space="preserve"> emisja w latach prognozowanych wynosi w tym sektorze 0.</w:t>
      </w:r>
      <w:bookmarkStart w:id="42" w:name="_Ref169791714"/>
      <w:bookmarkStart w:id="43" w:name="_Ref195869302"/>
      <w:bookmarkStart w:id="44" w:name="_Toc171587164"/>
      <w:bookmarkStart w:id="45" w:name="_Toc174710948"/>
      <w:bookmarkEnd w:id="41"/>
      <w:r w:rsidR="007D5D7A">
        <w:br w:type="page"/>
      </w:r>
    </w:p>
    <w:p w14:paraId="16D1A0D5" w14:textId="421C85FC" w:rsidR="005C4144" w:rsidRDefault="005C4144" w:rsidP="005C4144">
      <w:pPr>
        <w:pStyle w:val="Legenda"/>
        <w:keepNext/>
      </w:pPr>
      <w:bookmarkStart w:id="46" w:name="_Ref200724017"/>
      <w:bookmarkStart w:id="47" w:name="_Toc202966950"/>
      <w:r>
        <w:lastRenderedPageBreak/>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5</w:t>
      </w:r>
      <w:r w:rsidR="00653D9A">
        <w:rPr>
          <w:noProof/>
        </w:rPr>
        <w:fldChar w:fldCharType="end"/>
      </w:r>
      <w:bookmarkEnd w:id="42"/>
      <w:bookmarkEnd w:id="43"/>
      <w:bookmarkEnd w:id="46"/>
      <w:r>
        <w:t>. Prognozowane emisje N</w:t>
      </w:r>
      <w:r w:rsidRPr="00A86DC8">
        <w:rPr>
          <w:vertAlign w:val="subscript"/>
        </w:rPr>
        <w:t>2</w:t>
      </w:r>
      <w:r>
        <w:t>O, dla scenariusza WAM</w:t>
      </w:r>
      <w:bookmarkEnd w:id="44"/>
      <w:bookmarkEnd w:id="45"/>
      <w:bookmarkEnd w:id="47"/>
    </w:p>
    <w:tbl>
      <w:tblPr>
        <w:tblStyle w:val="KPEiK"/>
        <w:tblW w:w="4950" w:type="pct"/>
        <w:tblLook w:val="04A0" w:firstRow="1" w:lastRow="0" w:firstColumn="1" w:lastColumn="0" w:noHBand="0" w:noVBand="1"/>
      </w:tblPr>
      <w:tblGrid>
        <w:gridCol w:w="1962"/>
        <w:gridCol w:w="720"/>
        <w:gridCol w:w="774"/>
        <w:gridCol w:w="774"/>
        <w:gridCol w:w="774"/>
        <w:gridCol w:w="774"/>
        <w:gridCol w:w="774"/>
        <w:gridCol w:w="774"/>
        <w:gridCol w:w="774"/>
        <w:gridCol w:w="863"/>
        <w:gridCol w:w="8"/>
      </w:tblGrid>
      <w:tr w:rsidR="00386644" w:rsidRPr="00520300" w14:paraId="76C24A2F" w14:textId="77777777" w:rsidTr="00386644">
        <w:trPr>
          <w:cnfStyle w:val="100000000000" w:firstRow="1" w:lastRow="0" w:firstColumn="0" w:lastColumn="0" w:oddVBand="0" w:evenVBand="0" w:oddHBand="0" w:evenHBand="0" w:firstRowFirstColumn="0" w:firstRowLastColumn="0" w:lastRowFirstColumn="0" w:lastRowLastColumn="0"/>
          <w:trHeight w:val="227"/>
          <w:tblHeader/>
        </w:trPr>
        <w:tc>
          <w:tcPr>
            <w:tcW w:w="1963" w:type="dxa"/>
            <w:vMerge w:val="restart"/>
          </w:tcPr>
          <w:p w14:paraId="0313BFFC" w14:textId="77777777" w:rsidR="00386644" w:rsidRPr="00520300" w:rsidRDefault="00386644">
            <w:pPr>
              <w:pStyle w:val="Tabele"/>
              <w:jc w:val="center"/>
              <w:rPr>
                <w:sz w:val="14"/>
                <w:szCs w:val="14"/>
              </w:rPr>
            </w:pPr>
            <w:r w:rsidRPr="00520300">
              <w:rPr>
                <w:sz w:val="14"/>
                <w:szCs w:val="14"/>
              </w:rPr>
              <w:t>Sektor</w:t>
            </w:r>
          </w:p>
        </w:tc>
        <w:tc>
          <w:tcPr>
            <w:tcW w:w="7009" w:type="dxa"/>
            <w:gridSpan w:val="10"/>
          </w:tcPr>
          <w:p w14:paraId="2F5B2C7F" w14:textId="77777777" w:rsidR="00386644" w:rsidRPr="00520300" w:rsidRDefault="00386644">
            <w:pPr>
              <w:pStyle w:val="Tabele"/>
              <w:jc w:val="center"/>
              <w:rPr>
                <w:b w:val="0"/>
                <w:sz w:val="14"/>
                <w:szCs w:val="14"/>
              </w:rPr>
            </w:pPr>
            <w:r w:rsidRPr="00520300">
              <w:rPr>
                <w:sz w:val="14"/>
                <w:szCs w:val="14"/>
              </w:rPr>
              <w:t>Emisje N</w:t>
            </w:r>
            <w:r w:rsidRPr="00520300">
              <w:rPr>
                <w:sz w:val="14"/>
                <w:szCs w:val="14"/>
                <w:vertAlign w:val="subscript"/>
              </w:rPr>
              <w:t>2</w:t>
            </w:r>
            <w:r w:rsidRPr="00520300">
              <w:rPr>
                <w:sz w:val="14"/>
                <w:szCs w:val="14"/>
              </w:rPr>
              <w:t>O [kt]</w:t>
            </w:r>
          </w:p>
        </w:tc>
      </w:tr>
      <w:tr w:rsidR="001734F0" w:rsidRPr="00520300" w14:paraId="29F447D7" w14:textId="77777777" w:rsidTr="00386644">
        <w:trPr>
          <w:gridAfter w:val="1"/>
          <w:cnfStyle w:val="100000000000" w:firstRow="1" w:lastRow="0" w:firstColumn="0" w:lastColumn="0" w:oddVBand="0" w:evenVBand="0" w:oddHBand="0" w:evenHBand="0" w:firstRowFirstColumn="0" w:firstRowLastColumn="0" w:lastRowFirstColumn="0" w:lastRowLastColumn="0"/>
          <w:wAfter w:w="8" w:type="dxa"/>
          <w:trHeight w:val="227"/>
          <w:tblHeader/>
        </w:trPr>
        <w:tc>
          <w:tcPr>
            <w:tcW w:w="1963" w:type="dxa"/>
            <w:vMerge/>
          </w:tcPr>
          <w:p w14:paraId="16A4D7ED" w14:textId="77777777" w:rsidR="00386644" w:rsidRPr="00520300" w:rsidRDefault="00386644">
            <w:pPr>
              <w:pStyle w:val="Tabele"/>
              <w:jc w:val="center"/>
              <w:rPr>
                <w:sz w:val="14"/>
                <w:szCs w:val="14"/>
              </w:rPr>
            </w:pPr>
          </w:p>
        </w:tc>
        <w:tc>
          <w:tcPr>
            <w:tcW w:w="720" w:type="dxa"/>
          </w:tcPr>
          <w:p w14:paraId="4CFC5379" w14:textId="77777777" w:rsidR="00386644" w:rsidRPr="00520300" w:rsidRDefault="00386644">
            <w:pPr>
              <w:pStyle w:val="Tabele"/>
              <w:jc w:val="center"/>
              <w:rPr>
                <w:sz w:val="14"/>
                <w:szCs w:val="14"/>
              </w:rPr>
            </w:pPr>
            <w:r w:rsidRPr="00520300">
              <w:rPr>
                <w:sz w:val="14"/>
                <w:szCs w:val="14"/>
              </w:rPr>
              <w:t>1990</w:t>
            </w:r>
          </w:p>
        </w:tc>
        <w:tc>
          <w:tcPr>
            <w:tcW w:w="774" w:type="dxa"/>
          </w:tcPr>
          <w:p w14:paraId="071B2187" w14:textId="77777777" w:rsidR="00386644" w:rsidRPr="00520300" w:rsidRDefault="00386644">
            <w:pPr>
              <w:pStyle w:val="Tabele"/>
              <w:jc w:val="center"/>
              <w:rPr>
                <w:sz w:val="14"/>
                <w:szCs w:val="14"/>
              </w:rPr>
            </w:pPr>
            <w:r w:rsidRPr="00520300">
              <w:rPr>
                <w:sz w:val="14"/>
                <w:szCs w:val="14"/>
              </w:rPr>
              <w:t>2005</w:t>
            </w:r>
          </w:p>
        </w:tc>
        <w:tc>
          <w:tcPr>
            <w:tcW w:w="774" w:type="dxa"/>
          </w:tcPr>
          <w:p w14:paraId="36E1DFFB" w14:textId="77777777" w:rsidR="00386644" w:rsidRPr="00520300" w:rsidRDefault="00386644">
            <w:pPr>
              <w:pStyle w:val="Tabele"/>
              <w:jc w:val="center"/>
              <w:rPr>
                <w:sz w:val="14"/>
                <w:szCs w:val="14"/>
              </w:rPr>
            </w:pPr>
            <w:r w:rsidRPr="00520300">
              <w:rPr>
                <w:sz w:val="14"/>
                <w:szCs w:val="14"/>
              </w:rPr>
              <w:t>2010</w:t>
            </w:r>
          </w:p>
        </w:tc>
        <w:tc>
          <w:tcPr>
            <w:tcW w:w="774" w:type="dxa"/>
          </w:tcPr>
          <w:p w14:paraId="125A72E8" w14:textId="77777777" w:rsidR="00386644" w:rsidRPr="00520300" w:rsidRDefault="00386644">
            <w:pPr>
              <w:pStyle w:val="Tabele"/>
              <w:jc w:val="center"/>
              <w:rPr>
                <w:sz w:val="14"/>
                <w:szCs w:val="14"/>
              </w:rPr>
            </w:pPr>
            <w:r w:rsidRPr="00520300">
              <w:rPr>
                <w:sz w:val="14"/>
                <w:szCs w:val="14"/>
              </w:rPr>
              <w:t>2015</w:t>
            </w:r>
          </w:p>
        </w:tc>
        <w:tc>
          <w:tcPr>
            <w:tcW w:w="774" w:type="dxa"/>
          </w:tcPr>
          <w:p w14:paraId="32F6F623" w14:textId="77777777" w:rsidR="00386644" w:rsidRPr="00520300" w:rsidRDefault="00386644">
            <w:pPr>
              <w:pStyle w:val="Tabele"/>
              <w:jc w:val="center"/>
              <w:rPr>
                <w:sz w:val="14"/>
                <w:szCs w:val="14"/>
              </w:rPr>
            </w:pPr>
            <w:r w:rsidRPr="00520300">
              <w:rPr>
                <w:sz w:val="14"/>
                <w:szCs w:val="14"/>
              </w:rPr>
              <w:t>2020</w:t>
            </w:r>
          </w:p>
        </w:tc>
        <w:tc>
          <w:tcPr>
            <w:tcW w:w="774" w:type="dxa"/>
          </w:tcPr>
          <w:p w14:paraId="474D7DF9" w14:textId="77777777" w:rsidR="00386644" w:rsidRPr="00520300" w:rsidRDefault="00386644">
            <w:pPr>
              <w:pStyle w:val="Tabele"/>
              <w:jc w:val="center"/>
              <w:rPr>
                <w:sz w:val="14"/>
                <w:szCs w:val="14"/>
              </w:rPr>
            </w:pPr>
            <w:r w:rsidRPr="00520300">
              <w:rPr>
                <w:sz w:val="14"/>
                <w:szCs w:val="14"/>
              </w:rPr>
              <w:t>2025</w:t>
            </w:r>
          </w:p>
        </w:tc>
        <w:tc>
          <w:tcPr>
            <w:tcW w:w="774" w:type="dxa"/>
          </w:tcPr>
          <w:p w14:paraId="02E68A75" w14:textId="77777777" w:rsidR="00386644" w:rsidRPr="00520300" w:rsidRDefault="00386644">
            <w:pPr>
              <w:pStyle w:val="Tabele"/>
              <w:jc w:val="center"/>
              <w:rPr>
                <w:sz w:val="14"/>
                <w:szCs w:val="14"/>
              </w:rPr>
            </w:pPr>
            <w:r w:rsidRPr="00520300">
              <w:rPr>
                <w:sz w:val="14"/>
                <w:szCs w:val="14"/>
              </w:rPr>
              <w:t>2030</w:t>
            </w:r>
          </w:p>
        </w:tc>
        <w:tc>
          <w:tcPr>
            <w:tcW w:w="774" w:type="dxa"/>
          </w:tcPr>
          <w:p w14:paraId="615A6B8A" w14:textId="77777777" w:rsidR="00386644" w:rsidRPr="00520300" w:rsidRDefault="00386644">
            <w:pPr>
              <w:pStyle w:val="Tabele"/>
              <w:jc w:val="center"/>
              <w:rPr>
                <w:sz w:val="14"/>
                <w:szCs w:val="14"/>
              </w:rPr>
            </w:pPr>
            <w:r w:rsidRPr="00520300">
              <w:rPr>
                <w:sz w:val="14"/>
                <w:szCs w:val="14"/>
              </w:rPr>
              <w:t>2035</w:t>
            </w:r>
          </w:p>
        </w:tc>
        <w:tc>
          <w:tcPr>
            <w:tcW w:w="863" w:type="dxa"/>
          </w:tcPr>
          <w:p w14:paraId="64DC8073" w14:textId="77777777" w:rsidR="00386644" w:rsidRPr="00520300" w:rsidRDefault="00386644">
            <w:pPr>
              <w:pStyle w:val="Tabele"/>
              <w:jc w:val="center"/>
              <w:rPr>
                <w:sz w:val="14"/>
                <w:szCs w:val="14"/>
              </w:rPr>
            </w:pPr>
            <w:r w:rsidRPr="00520300">
              <w:rPr>
                <w:sz w:val="14"/>
                <w:szCs w:val="14"/>
              </w:rPr>
              <w:t>2040</w:t>
            </w:r>
          </w:p>
        </w:tc>
      </w:tr>
      <w:tr w:rsidR="00386644" w:rsidRPr="00520300" w14:paraId="2432FE8A" w14:textId="77777777" w:rsidTr="00386644">
        <w:trPr>
          <w:gridAfter w:val="1"/>
          <w:wAfter w:w="8" w:type="dxa"/>
          <w:trHeight w:val="227"/>
        </w:trPr>
        <w:tc>
          <w:tcPr>
            <w:tcW w:w="1963" w:type="dxa"/>
          </w:tcPr>
          <w:p w14:paraId="1B74C6B1" w14:textId="77777777" w:rsidR="00386644" w:rsidRPr="00386644" w:rsidRDefault="00386644">
            <w:pPr>
              <w:pStyle w:val="Tabele"/>
              <w:rPr>
                <w:color w:val="auto"/>
                <w:sz w:val="14"/>
                <w:szCs w:val="14"/>
              </w:rPr>
            </w:pPr>
            <w:r w:rsidRPr="00386644">
              <w:rPr>
                <w:rFonts w:cs="Calibri"/>
                <w:b/>
                <w:bCs/>
                <w:color w:val="auto"/>
                <w:sz w:val="14"/>
                <w:szCs w:val="14"/>
              </w:rPr>
              <w:t xml:space="preserve">1. Energia </w:t>
            </w:r>
          </w:p>
        </w:tc>
        <w:tc>
          <w:tcPr>
            <w:tcW w:w="720" w:type="dxa"/>
            <w:shd w:val="clear" w:color="auto" w:fill="C5E0B3"/>
          </w:tcPr>
          <w:p w14:paraId="69F747FE" w14:textId="77777777" w:rsidR="00386644" w:rsidRPr="00386644" w:rsidRDefault="00386644">
            <w:pPr>
              <w:pStyle w:val="Tabele"/>
              <w:jc w:val="right"/>
              <w:rPr>
                <w:rFonts w:cs="Calibri"/>
                <w:b/>
                <w:bCs/>
                <w:color w:val="auto"/>
                <w:sz w:val="14"/>
                <w:szCs w:val="14"/>
              </w:rPr>
            </w:pPr>
            <w:r w:rsidRPr="00386644">
              <w:rPr>
                <w:b/>
                <w:color w:val="auto"/>
                <w:sz w:val="14"/>
                <w:szCs w:val="14"/>
              </w:rPr>
              <w:t>7,21</w:t>
            </w:r>
          </w:p>
        </w:tc>
        <w:tc>
          <w:tcPr>
            <w:tcW w:w="774" w:type="dxa"/>
            <w:shd w:val="clear" w:color="auto" w:fill="C5E0B3"/>
          </w:tcPr>
          <w:p w14:paraId="4E91D75B" w14:textId="77777777" w:rsidR="00386644" w:rsidRPr="00386644" w:rsidRDefault="00386644">
            <w:pPr>
              <w:pStyle w:val="Tabele"/>
              <w:jc w:val="right"/>
              <w:rPr>
                <w:b/>
                <w:color w:val="auto"/>
                <w:sz w:val="14"/>
                <w:szCs w:val="14"/>
              </w:rPr>
            </w:pPr>
            <w:r w:rsidRPr="00386644">
              <w:rPr>
                <w:b/>
                <w:color w:val="auto"/>
                <w:sz w:val="14"/>
                <w:szCs w:val="14"/>
              </w:rPr>
              <w:t>8,95</w:t>
            </w:r>
          </w:p>
        </w:tc>
        <w:tc>
          <w:tcPr>
            <w:tcW w:w="774" w:type="dxa"/>
            <w:shd w:val="clear" w:color="auto" w:fill="C5E0B3"/>
          </w:tcPr>
          <w:p w14:paraId="4BFF901B" w14:textId="77777777" w:rsidR="00386644" w:rsidRPr="00386644" w:rsidRDefault="00386644">
            <w:pPr>
              <w:pStyle w:val="Tabele"/>
              <w:jc w:val="right"/>
              <w:rPr>
                <w:b/>
                <w:color w:val="auto"/>
                <w:sz w:val="14"/>
                <w:szCs w:val="14"/>
              </w:rPr>
            </w:pPr>
            <w:r w:rsidRPr="00386644">
              <w:rPr>
                <w:b/>
                <w:color w:val="auto"/>
                <w:sz w:val="14"/>
                <w:szCs w:val="14"/>
              </w:rPr>
              <w:t>8,22</w:t>
            </w:r>
          </w:p>
        </w:tc>
        <w:tc>
          <w:tcPr>
            <w:tcW w:w="774" w:type="dxa"/>
            <w:shd w:val="clear" w:color="auto" w:fill="C5E0B3"/>
          </w:tcPr>
          <w:p w14:paraId="264831AE" w14:textId="77777777" w:rsidR="00386644" w:rsidRPr="00386644" w:rsidRDefault="00386644">
            <w:pPr>
              <w:pStyle w:val="Tabele"/>
              <w:jc w:val="right"/>
              <w:rPr>
                <w:b/>
                <w:color w:val="auto"/>
                <w:sz w:val="14"/>
                <w:szCs w:val="14"/>
              </w:rPr>
            </w:pPr>
            <w:r w:rsidRPr="00386644">
              <w:rPr>
                <w:b/>
                <w:color w:val="auto"/>
                <w:sz w:val="14"/>
                <w:szCs w:val="14"/>
              </w:rPr>
              <w:t>7,84</w:t>
            </w:r>
          </w:p>
        </w:tc>
        <w:tc>
          <w:tcPr>
            <w:tcW w:w="774" w:type="dxa"/>
            <w:shd w:val="clear" w:color="auto" w:fill="C5E0B3"/>
          </w:tcPr>
          <w:p w14:paraId="3AA699D5" w14:textId="77777777" w:rsidR="00386644" w:rsidRPr="00386644" w:rsidRDefault="00386644">
            <w:pPr>
              <w:pStyle w:val="Tabele"/>
              <w:jc w:val="right"/>
              <w:rPr>
                <w:b/>
                <w:color w:val="auto"/>
                <w:sz w:val="14"/>
                <w:szCs w:val="14"/>
              </w:rPr>
            </w:pPr>
            <w:r w:rsidRPr="00386644">
              <w:rPr>
                <w:b/>
                <w:color w:val="auto"/>
                <w:sz w:val="14"/>
                <w:szCs w:val="14"/>
              </w:rPr>
              <w:t>9,26</w:t>
            </w:r>
          </w:p>
        </w:tc>
        <w:tc>
          <w:tcPr>
            <w:tcW w:w="774" w:type="dxa"/>
          </w:tcPr>
          <w:p w14:paraId="24684E02" w14:textId="77777777" w:rsidR="00386644" w:rsidRPr="00386644" w:rsidRDefault="00386644">
            <w:pPr>
              <w:pStyle w:val="Tabele"/>
              <w:jc w:val="right"/>
              <w:rPr>
                <w:b/>
                <w:bCs/>
                <w:color w:val="auto"/>
                <w:sz w:val="14"/>
                <w:szCs w:val="14"/>
                <w:highlight w:val="yellow"/>
              </w:rPr>
            </w:pPr>
            <w:r w:rsidRPr="00386644">
              <w:rPr>
                <w:b/>
                <w:color w:val="auto"/>
                <w:sz w:val="14"/>
                <w:szCs w:val="14"/>
              </w:rPr>
              <w:t>8,22</w:t>
            </w:r>
          </w:p>
        </w:tc>
        <w:tc>
          <w:tcPr>
            <w:tcW w:w="774" w:type="dxa"/>
          </w:tcPr>
          <w:p w14:paraId="50855D18" w14:textId="77777777" w:rsidR="00386644" w:rsidRPr="00386644" w:rsidRDefault="00386644">
            <w:pPr>
              <w:pStyle w:val="Tabele"/>
              <w:jc w:val="right"/>
              <w:rPr>
                <w:b/>
                <w:bCs/>
                <w:color w:val="auto"/>
                <w:sz w:val="14"/>
                <w:szCs w:val="14"/>
                <w:highlight w:val="yellow"/>
              </w:rPr>
            </w:pPr>
            <w:r w:rsidRPr="00386644">
              <w:rPr>
                <w:b/>
                <w:color w:val="auto"/>
                <w:sz w:val="14"/>
                <w:szCs w:val="14"/>
              </w:rPr>
              <w:t>7,06</w:t>
            </w:r>
          </w:p>
        </w:tc>
        <w:tc>
          <w:tcPr>
            <w:tcW w:w="774" w:type="dxa"/>
          </w:tcPr>
          <w:p w14:paraId="27514EAB" w14:textId="77777777" w:rsidR="00386644" w:rsidRPr="00386644" w:rsidRDefault="00386644">
            <w:pPr>
              <w:pStyle w:val="Tabele"/>
              <w:jc w:val="right"/>
              <w:rPr>
                <w:b/>
                <w:bCs/>
                <w:color w:val="auto"/>
                <w:sz w:val="14"/>
                <w:szCs w:val="14"/>
                <w:highlight w:val="yellow"/>
              </w:rPr>
            </w:pPr>
            <w:r w:rsidRPr="00386644">
              <w:rPr>
                <w:b/>
                <w:color w:val="auto"/>
                <w:sz w:val="14"/>
                <w:szCs w:val="14"/>
              </w:rPr>
              <w:t>6,05</w:t>
            </w:r>
          </w:p>
        </w:tc>
        <w:tc>
          <w:tcPr>
            <w:tcW w:w="863" w:type="dxa"/>
          </w:tcPr>
          <w:p w14:paraId="7543ADA4" w14:textId="77777777" w:rsidR="00386644" w:rsidRPr="00386644" w:rsidRDefault="00386644">
            <w:pPr>
              <w:pStyle w:val="Tabele"/>
              <w:jc w:val="right"/>
              <w:rPr>
                <w:b/>
                <w:bCs/>
                <w:color w:val="auto"/>
                <w:sz w:val="14"/>
                <w:szCs w:val="14"/>
                <w:highlight w:val="yellow"/>
              </w:rPr>
            </w:pPr>
            <w:r w:rsidRPr="00386644">
              <w:rPr>
                <w:b/>
                <w:color w:val="auto"/>
                <w:sz w:val="14"/>
                <w:szCs w:val="14"/>
              </w:rPr>
              <w:t>5,20</w:t>
            </w:r>
          </w:p>
        </w:tc>
      </w:tr>
      <w:tr w:rsidR="00386644" w:rsidRPr="00520300" w14:paraId="351B6181" w14:textId="77777777" w:rsidTr="00386644">
        <w:trPr>
          <w:gridAfter w:val="1"/>
          <w:wAfter w:w="8" w:type="dxa"/>
          <w:trHeight w:val="227"/>
        </w:trPr>
        <w:tc>
          <w:tcPr>
            <w:tcW w:w="1963" w:type="dxa"/>
          </w:tcPr>
          <w:p w14:paraId="535BC188" w14:textId="77777777" w:rsidR="00386644" w:rsidRPr="00386644" w:rsidRDefault="00386644">
            <w:pPr>
              <w:pStyle w:val="Tabele"/>
              <w:rPr>
                <w:b/>
                <w:color w:val="auto"/>
                <w:sz w:val="14"/>
                <w:szCs w:val="14"/>
              </w:rPr>
            </w:pPr>
            <w:r w:rsidRPr="00386644">
              <w:rPr>
                <w:rFonts w:cs="Calibri"/>
                <w:color w:val="auto"/>
                <w:sz w:val="14"/>
                <w:szCs w:val="14"/>
              </w:rPr>
              <w:t xml:space="preserve">A. Spalanie paliw </w:t>
            </w:r>
          </w:p>
        </w:tc>
        <w:tc>
          <w:tcPr>
            <w:tcW w:w="720" w:type="dxa"/>
            <w:shd w:val="clear" w:color="auto" w:fill="C5E0B3"/>
          </w:tcPr>
          <w:p w14:paraId="021C709A" w14:textId="77777777" w:rsidR="00386644" w:rsidRPr="00386644" w:rsidRDefault="00386644">
            <w:pPr>
              <w:pStyle w:val="Tabele"/>
              <w:jc w:val="right"/>
              <w:rPr>
                <w:rFonts w:cs="Calibri"/>
                <w:color w:val="auto"/>
                <w:sz w:val="14"/>
                <w:szCs w:val="14"/>
              </w:rPr>
            </w:pPr>
            <w:r w:rsidRPr="00386644">
              <w:rPr>
                <w:color w:val="auto"/>
                <w:sz w:val="14"/>
                <w:szCs w:val="14"/>
              </w:rPr>
              <w:t>7,21</w:t>
            </w:r>
          </w:p>
        </w:tc>
        <w:tc>
          <w:tcPr>
            <w:tcW w:w="774" w:type="dxa"/>
            <w:shd w:val="clear" w:color="auto" w:fill="C5E0B3"/>
          </w:tcPr>
          <w:p w14:paraId="18187088" w14:textId="77777777" w:rsidR="00386644" w:rsidRPr="00386644" w:rsidRDefault="00386644">
            <w:pPr>
              <w:pStyle w:val="Tabele"/>
              <w:jc w:val="right"/>
              <w:rPr>
                <w:color w:val="auto"/>
                <w:sz w:val="14"/>
                <w:szCs w:val="14"/>
              </w:rPr>
            </w:pPr>
            <w:r w:rsidRPr="00386644">
              <w:rPr>
                <w:color w:val="auto"/>
                <w:sz w:val="14"/>
                <w:szCs w:val="14"/>
              </w:rPr>
              <w:t>8,95</w:t>
            </w:r>
          </w:p>
        </w:tc>
        <w:tc>
          <w:tcPr>
            <w:tcW w:w="774" w:type="dxa"/>
            <w:shd w:val="clear" w:color="auto" w:fill="C5E0B3"/>
          </w:tcPr>
          <w:p w14:paraId="7CA1C7CE" w14:textId="77777777" w:rsidR="00386644" w:rsidRPr="00386644" w:rsidRDefault="00386644">
            <w:pPr>
              <w:pStyle w:val="Tabele"/>
              <w:jc w:val="right"/>
              <w:rPr>
                <w:color w:val="auto"/>
                <w:sz w:val="14"/>
                <w:szCs w:val="14"/>
              </w:rPr>
            </w:pPr>
            <w:r w:rsidRPr="00386644">
              <w:rPr>
                <w:color w:val="auto"/>
                <w:sz w:val="14"/>
                <w:szCs w:val="14"/>
              </w:rPr>
              <w:t>8,21</w:t>
            </w:r>
          </w:p>
        </w:tc>
        <w:tc>
          <w:tcPr>
            <w:tcW w:w="774" w:type="dxa"/>
            <w:shd w:val="clear" w:color="auto" w:fill="C5E0B3"/>
          </w:tcPr>
          <w:p w14:paraId="657B15BB" w14:textId="77777777" w:rsidR="00386644" w:rsidRPr="00386644" w:rsidRDefault="00386644">
            <w:pPr>
              <w:pStyle w:val="Tabele"/>
              <w:jc w:val="right"/>
              <w:rPr>
                <w:color w:val="auto"/>
                <w:sz w:val="14"/>
                <w:szCs w:val="14"/>
              </w:rPr>
            </w:pPr>
            <w:r w:rsidRPr="00386644">
              <w:rPr>
                <w:color w:val="auto"/>
                <w:sz w:val="14"/>
                <w:szCs w:val="14"/>
              </w:rPr>
              <w:t>7,84</w:t>
            </w:r>
          </w:p>
        </w:tc>
        <w:tc>
          <w:tcPr>
            <w:tcW w:w="774" w:type="dxa"/>
            <w:shd w:val="clear" w:color="auto" w:fill="C5E0B3"/>
          </w:tcPr>
          <w:p w14:paraId="3DFD965A" w14:textId="77777777" w:rsidR="00386644" w:rsidRPr="00386644" w:rsidRDefault="00386644">
            <w:pPr>
              <w:pStyle w:val="Tabele"/>
              <w:jc w:val="right"/>
              <w:rPr>
                <w:color w:val="auto"/>
                <w:sz w:val="14"/>
                <w:szCs w:val="14"/>
              </w:rPr>
            </w:pPr>
            <w:r w:rsidRPr="00386644">
              <w:rPr>
                <w:color w:val="auto"/>
                <w:sz w:val="14"/>
                <w:szCs w:val="14"/>
              </w:rPr>
              <w:t>9,26</w:t>
            </w:r>
          </w:p>
        </w:tc>
        <w:tc>
          <w:tcPr>
            <w:tcW w:w="774" w:type="dxa"/>
          </w:tcPr>
          <w:p w14:paraId="447DD85B" w14:textId="77777777" w:rsidR="00386644" w:rsidRPr="00386644" w:rsidRDefault="00386644">
            <w:pPr>
              <w:pStyle w:val="Tabele"/>
              <w:jc w:val="right"/>
              <w:rPr>
                <w:bCs/>
                <w:color w:val="auto"/>
                <w:sz w:val="14"/>
                <w:szCs w:val="14"/>
                <w:highlight w:val="yellow"/>
              </w:rPr>
            </w:pPr>
            <w:r w:rsidRPr="00386644">
              <w:rPr>
                <w:color w:val="auto"/>
                <w:sz w:val="14"/>
                <w:szCs w:val="14"/>
              </w:rPr>
              <w:t>8,22</w:t>
            </w:r>
          </w:p>
        </w:tc>
        <w:tc>
          <w:tcPr>
            <w:tcW w:w="774" w:type="dxa"/>
          </w:tcPr>
          <w:p w14:paraId="2AE1F6D9" w14:textId="77777777" w:rsidR="00386644" w:rsidRPr="00386644" w:rsidRDefault="00386644">
            <w:pPr>
              <w:pStyle w:val="Tabele"/>
              <w:jc w:val="right"/>
              <w:rPr>
                <w:bCs/>
                <w:color w:val="auto"/>
                <w:sz w:val="14"/>
                <w:szCs w:val="14"/>
                <w:highlight w:val="yellow"/>
              </w:rPr>
            </w:pPr>
            <w:r w:rsidRPr="00386644">
              <w:rPr>
                <w:color w:val="auto"/>
                <w:sz w:val="14"/>
                <w:szCs w:val="14"/>
              </w:rPr>
              <w:t>7,06</w:t>
            </w:r>
          </w:p>
        </w:tc>
        <w:tc>
          <w:tcPr>
            <w:tcW w:w="774" w:type="dxa"/>
          </w:tcPr>
          <w:p w14:paraId="39C7A9DD" w14:textId="77777777" w:rsidR="00386644" w:rsidRPr="00386644" w:rsidRDefault="00386644">
            <w:pPr>
              <w:pStyle w:val="Tabele"/>
              <w:jc w:val="right"/>
              <w:rPr>
                <w:bCs/>
                <w:color w:val="auto"/>
                <w:sz w:val="14"/>
                <w:szCs w:val="14"/>
                <w:highlight w:val="yellow"/>
              </w:rPr>
            </w:pPr>
            <w:r w:rsidRPr="00386644">
              <w:rPr>
                <w:color w:val="auto"/>
                <w:sz w:val="14"/>
                <w:szCs w:val="14"/>
              </w:rPr>
              <w:t>6,05</w:t>
            </w:r>
          </w:p>
        </w:tc>
        <w:tc>
          <w:tcPr>
            <w:tcW w:w="863" w:type="dxa"/>
          </w:tcPr>
          <w:p w14:paraId="3BCC649E" w14:textId="77777777" w:rsidR="00386644" w:rsidRPr="00386644" w:rsidRDefault="00386644">
            <w:pPr>
              <w:pStyle w:val="Tabele"/>
              <w:jc w:val="right"/>
              <w:rPr>
                <w:bCs/>
                <w:color w:val="auto"/>
                <w:sz w:val="14"/>
                <w:szCs w:val="14"/>
                <w:highlight w:val="yellow"/>
              </w:rPr>
            </w:pPr>
            <w:r w:rsidRPr="00386644">
              <w:rPr>
                <w:color w:val="auto"/>
                <w:sz w:val="14"/>
                <w:szCs w:val="14"/>
              </w:rPr>
              <w:t>5,20</w:t>
            </w:r>
          </w:p>
        </w:tc>
      </w:tr>
      <w:tr w:rsidR="00386644" w:rsidRPr="00520300" w14:paraId="0CD91A12" w14:textId="77777777" w:rsidTr="00386644">
        <w:trPr>
          <w:gridAfter w:val="1"/>
          <w:wAfter w:w="8" w:type="dxa"/>
          <w:trHeight w:val="227"/>
        </w:trPr>
        <w:tc>
          <w:tcPr>
            <w:tcW w:w="1963" w:type="dxa"/>
          </w:tcPr>
          <w:p w14:paraId="767856B8" w14:textId="77777777" w:rsidR="00386644" w:rsidRPr="00386644" w:rsidRDefault="00386644">
            <w:pPr>
              <w:pStyle w:val="Tabele"/>
              <w:rPr>
                <w:b/>
                <w:color w:val="auto"/>
                <w:sz w:val="14"/>
                <w:szCs w:val="14"/>
              </w:rPr>
            </w:pPr>
            <w:r w:rsidRPr="00386644">
              <w:rPr>
                <w:rFonts w:cs="Calibri"/>
                <w:color w:val="auto"/>
                <w:sz w:val="14"/>
                <w:szCs w:val="14"/>
              </w:rPr>
              <w:t xml:space="preserve">1. Przemysły energetyczne </w:t>
            </w:r>
          </w:p>
        </w:tc>
        <w:tc>
          <w:tcPr>
            <w:tcW w:w="720" w:type="dxa"/>
            <w:shd w:val="clear" w:color="auto" w:fill="C5E0B3"/>
          </w:tcPr>
          <w:p w14:paraId="01A3CE47" w14:textId="77777777" w:rsidR="00386644" w:rsidRPr="00386644" w:rsidRDefault="00386644">
            <w:pPr>
              <w:pStyle w:val="Tabele"/>
              <w:jc w:val="right"/>
              <w:rPr>
                <w:rFonts w:cs="Calibri"/>
                <w:color w:val="auto"/>
                <w:sz w:val="14"/>
                <w:szCs w:val="14"/>
              </w:rPr>
            </w:pPr>
            <w:r w:rsidRPr="00386644">
              <w:rPr>
                <w:color w:val="auto"/>
                <w:sz w:val="14"/>
                <w:szCs w:val="14"/>
              </w:rPr>
              <w:t>3,42</w:t>
            </w:r>
          </w:p>
        </w:tc>
        <w:tc>
          <w:tcPr>
            <w:tcW w:w="774" w:type="dxa"/>
            <w:shd w:val="clear" w:color="auto" w:fill="C5E0B3"/>
          </w:tcPr>
          <w:p w14:paraId="042D2FF8" w14:textId="77777777" w:rsidR="00386644" w:rsidRPr="00386644" w:rsidRDefault="00386644">
            <w:pPr>
              <w:pStyle w:val="Tabele"/>
              <w:jc w:val="right"/>
              <w:rPr>
                <w:color w:val="auto"/>
                <w:sz w:val="14"/>
                <w:szCs w:val="14"/>
              </w:rPr>
            </w:pPr>
            <w:r w:rsidRPr="00386644">
              <w:rPr>
                <w:color w:val="auto"/>
                <w:sz w:val="14"/>
                <w:szCs w:val="14"/>
              </w:rPr>
              <w:t>2,61</w:t>
            </w:r>
          </w:p>
        </w:tc>
        <w:tc>
          <w:tcPr>
            <w:tcW w:w="774" w:type="dxa"/>
            <w:shd w:val="clear" w:color="auto" w:fill="C5E0B3"/>
          </w:tcPr>
          <w:p w14:paraId="5495FD15" w14:textId="77777777" w:rsidR="00386644" w:rsidRPr="00386644" w:rsidRDefault="00386644">
            <w:pPr>
              <w:pStyle w:val="Tabele"/>
              <w:jc w:val="right"/>
              <w:rPr>
                <w:color w:val="auto"/>
                <w:sz w:val="14"/>
                <w:szCs w:val="14"/>
              </w:rPr>
            </w:pPr>
            <w:r w:rsidRPr="00386644">
              <w:rPr>
                <w:color w:val="auto"/>
                <w:sz w:val="14"/>
                <w:szCs w:val="14"/>
              </w:rPr>
              <w:t>2,69</w:t>
            </w:r>
          </w:p>
        </w:tc>
        <w:tc>
          <w:tcPr>
            <w:tcW w:w="774" w:type="dxa"/>
            <w:shd w:val="clear" w:color="auto" w:fill="C5E0B3"/>
          </w:tcPr>
          <w:p w14:paraId="191AF89D" w14:textId="77777777" w:rsidR="00386644" w:rsidRPr="00386644" w:rsidRDefault="00386644">
            <w:pPr>
              <w:pStyle w:val="Tabele"/>
              <w:jc w:val="right"/>
              <w:rPr>
                <w:color w:val="auto"/>
                <w:sz w:val="14"/>
                <w:szCs w:val="14"/>
              </w:rPr>
            </w:pPr>
            <w:r w:rsidRPr="00386644">
              <w:rPr>
                <w:color w:val="auto"/>
                <w:sz w:val="14"/>
                <w:szCs w:val="14"/>
              </w:rPr>
              <w:t>2,60</w:t>
            </w:r>
          </w:p>
        </w:tc>
        <w:tc>
          <w:tcPr>
            <w:tcW w:w="774" w:type="dxa"/>
            <w:shd w:val="clear" w:color="auto" w:fill="C5E0B3"/>
          </w:tcPr>
          <w:p w14:paraId="3AC05B6E" w14:textId="77777777" w:rsidR="00386644" w:rsidRPr="00386644" w:rsidRDefault="00386644">
            <w:pPr>
              <w:pStyle w:val="Tabele"/>
              <w:jc w:val="right"/>
              <w:rPr>
                <w:color w:val="auto"/>
                <w:sz w:val="14"/>
                <w:szCs w:val="14"/>
              </w:rPr>
            </w:pPr>
            <w:r w:rsidRPr="00386644">
              <w:rPr>
                <w:color w:val="auto"/>
                <w:sz w:val="14"/>
                <w:szCs w:val="14"/>
              </w:rPr>
              <w:t>2,19</w:t>
            </w:r>
          </w:p>
        </w:tc>
        <w:tc>
          <w:tcPr>
            <w:tcW w:w="774" w:type="dxa"/>
          </w:tcPr>
          <w:p w14:paraId="00804DE0" w14:textId="77777777" w:rsidR="00386644" w:rsidRPr="00386644" w:rsidRDefault="00386644">
            <w:pPr>
              <w:pStyle w:val="Tabele"/>
              <w:jc w:val="right"/>
              <w:rPr>
                <w:b/>
                <w:bCs/>
                <w:color w:val="auto"/>
                <w:sz w:val="14"/>
                <w:szCs w:val="14"/>
                <w:highlight w:val="yellow"/>
              </w:rPr>
            </w:pPr>
            <w:r w:rsidRPr="00386644">
              <w:rPr>
                <w:color w:val="auto"/>
                <w:sz w:val="14"/>
                <w:szCs w:val="14"/>
              </w:rPr>
              <w:t>1,84</w:t>
            </w:r>
          </w:p>
        </w:tc>
        <w:tc>
          <w:tcPr>
            <w:tcW w:w="774" w:type="dxa"/>
          </w:tcPr>
          <w:p w14:paraId="553845B8" w14:textId="77777777" w:rsidR="00386644" w:rsidRPr="00386644" w:rsidRDefault="00386644">
            <w:pPr>
              <w:pStyle w:val="Tabele"/>
              <w:jc w:val="right"/>
              <w:rPr>
                <w:b/>
                <w:bCs/>
                <w:color w:val="auto"/>
                <w:sz w:val="14"/>
                <w:szCs w:val="14"/>
                <w:highlight w:val="yellow"/>
              </w:rPr>
            </w:pPr>
            <w:r w:rsidRPr="00386644">
              <w:rPr>
                <w:color w:val="auto"/>
                <w:sz w:val="14"/>
                <w:szCs w:val="14"/>
              </w:rPr>
              <w:t>1,13</w:t>
            </w:r>
          </w:p>
        </w:tc>
        <w:tc>
          <w:tcPr>
            <w:tcW w:w="774" w:type="dxa"/>
          </w:tcPr>
          <w:p w14:paraId="6AD77849" w14:textId="77777777" w:rsidR="00386644" w:rsidRPr="00386644" w:rsidRDefault="00386644">
            <w:pPr>
              <w:pStyle w:val="Tabele"/>
              <w:jc w:val="right"/>
              <w:rPr>
                <w:b/>
                <w:bCs/>
                <w:color w:val="auto"/>
                <w:sz w:val="14"/>
                <w:szCs w:val="14"/>
                <w:highlight w:val="yellow"/>
              </w:rPr>
            </w:pPr>
            <w:r w:rsidRPr="00386644">
              <w:rPr>
                <w:color w:val="auto"/>
                <w:sz w:val="14"/>
                <w:szCs w:val="14"/>
              </w:rPr>
              <w:t>0,63</w:t>
            </w:r>
          </w:p>
        </w:tc>
        <w:tc>
          <w:tcPr>
            <w:tcW w:w="863" w:type="dxa"/>
          </w:tcPr>
          <w:p w14:paraId="672E8905" w14:textId="77777777" w:rsidR="00386644" w:rsidRPr="00386644" w:rsidRDefault="00386644">
            <w:pPr>
              <w:pStyle w:val="Tabele"/>
              <w:jc w:val="right"/>
              <w:rPr>
                <w:b/>
                <w:bCs/>
                <w:color w:val="auto"/>
                <w:sz w:val="14"/>
                <w:szCs w:val="14"/>
                <w:highlight w:val="yellow"/>
              </w:rPr>
            </w:pPr>
            <w:r w:rsidRPr="00386644">
              <w:rPr>
                <w:color w:val="auto"/>
                <w:sz w:val="14"/>
                <w:szCs w:val="14"/>
              </w:rPr>
              <w:t>0,33</w:t>
            </w:r>
          </w:p>
        </w:tc>
      </w:tr>
      <w:tr w:rsidR="00386644" w:rsidRPr="00520300" w14:paraId="04FEFEB1" w14:textId="77777777" w:rsidTr="00386644">
        <w:trPr>
          <w:gridAfter w:val="1"/>
          <w:wAfter w:w="8" w:type="dxa"/>
          <w:trHeight w:val="227"/>
        </w:trPr>
        <w:tc>
          <w:tcPr>
            <w:tcW w:w="1963" w:type="dxa"/>
          </w:tcPr>
          <w:p w14:paraId="7FC9CA26" w14:textId="77777777" w:rsidR="00386644" w:rsidRPr="00386644" w:rsidRDefault="00386644">
            <w:pPr>
              <w:pStyle w:val="Tabele"/>
              <w:rPr>
                <w:b/>
                <w:color w:val="auto"/>
                <w:sz w:val="14"/>
                <w:szCs w:val="14"/>
              </w:rPr>
            </w:pPr>
            <w:r w:rsidRPr="00386644">
              <w:rPr>
                <w:rFonts w:cs="Calibri"/>
                <w:color w:val="auto"/>
                <w:sz w:val="14"/>
                <w:szCs w:val="14"/>
              </w:rPr>
              <w:t xml:space="preserve">2. Przemysł wytwórczy i budownictwo </w:t>
            </w:r>
          </w:p>
        </w:tc>
        <w:tc>
          <w:tcPr>
            <w:tcW w:w="720" w:type="dxa"/>
            <w:shd w:val="clear" w:color="auto" w:fill="C5E0B3"/>
          </w:tcPr>
          <w:p w14:paraId="7B5D1B0C" w14:textId="77777777" w:rsidR="00386644" w:rsidRPr="00386644" w:rsidRDefault="00386644">
            <w:pPr>
              <w:pStyle w:val="Tabele"/>
              <w:jc w:val="right"/>
              <w:rPr>
                <w:rFonts w:cs="Calibri"/>
                <w:color w:val="auto"/>
                <w:sz w:val="14"/>
                <w:szCs w:val="14"/>
              </w:rPr>
            </w:pPr>
            <w:r w:rsidRPr="00386644">
              <w:rPr>
                <w:color w:val="auto"/>
                <w:sz w:val="14"/>
                <w:szCs w:val="14"/>
              </w:rPr>
              <w:t>0,46</w:t>
            </w:r>
          </w:p>
        </w:tc>
        <w:tc>
          <w:tcPr>
            <w:tcW w:w="774" w:type="dxa"/>
            <w:shd w:val="clear" w:color="auto" w:fill="C5E0B3"/>
          </w:tcPr>
          <w:p w14:paraId="3DE39651" w14:textId="77777777" w:rsidR="00386644" w:rsidRPr="00386644" w:rsidRDefault="00386644">
            <w:pPr>
              <w:pStyle w:val="Tabele"/>
              <w:jc w:val="right"/>
              <w:rPr>
                <w:color w:val="auto"/>
                <w:sz w:val="14"/>
                <w:szCs w:val="14"/>
              </w:rPr>
            </w:pPr>
            <w:r w:rsidRPr="00386644">
              <w:rPr>
                <w:color w:val="auto"/>
                <w:sz w:val="14"/>
                <w:szCs w:val="14"/>
              </w:rPr>
              <w:t>0,44</w:t>
            </w:r>
          </w:p>
        </w:tc>
        <w:tc>
          <w:tcPr>
            <w:tcW w:w="774" w:type="dxa"/>
            <w:shd w:val="clear" w:color="auto" w:fill="C5E0B3"/>
          </w:tcPr>
          <w:p w14:paraId="5F0A7E1C" w14:textId="77777777" w:rsidR="00386644" w:rsidRPr="00386644" w:rsidRDefault="00386644">
            <w:pPr>
              <w:pStyle w:val="Tabele"/>
              <w:jc w:val="right"/>
              <w:rPr>
                <w:color w:val="auto"/>
                <w:sz w:val="14"/>
                <w:szCs w:val="14"/>
              </w:rPr>
            </w:pPr>
            <w:r w:rsidRPr="00386644">
              <w:rPr>
                <w:color w:val="auto"/>
                <w:sz w:val="14"/>
                <w:szCs w:val="14"/>
              </w:rPr>
              <w:t>0,46</w:t>
            </w:r>
          </w:p>
        </w:tc>
        <w:tc>
          <w:tcPr>
            <w:tcW w:w="774" w:type="dxa"/>
            <w:shd w:val="clear" w:color="auto" w:fill="C5E0B3"/>
          </w:tcPr>
          <w:p w14:paraId="3094EC76" w14:textId="77777777" w:rsidR="00386644" w:rsidRPr="00386644" w:rsidRDefault="00386644">
            <w:pPr>
              <w:pStyle w:val="Tabele"/>
              <w:jc w:val="right"/>
              <w:rPr>
                <w:color w:val="auto"/>
                <w:sz w:val="14"/>
                <w:szCs w:val="14"/>
              </w:rPr>
            </w:pPr>
            <w:r w:rsidRPr="00386644">
              <w:rPr>
                <w:color w:val="auto"/>
                <w:sz w:val="14"/>
                <w:szCs w:val="14"/>
              </w:rPr>
              <w:t>0,54</w:t>
            </w:r>
          </w:p>
        </w:tc>
        <w:tc>
          <w:tcPr>
            <w:tcW w:w="774" w:type="dxa"/>
            <w:shd w:val="clear" w:color="auto" w:fill="C5E0B3"/>
          </w:tcPr>
          <w:p w14:paraId="5C40411C" w14:textId="77777777" w:rsidR="00386644" w:rsidRPr="00386644" w:rsidRDefault="00386644">
            <w:pPr>
              <w:pStyle w:val="Tabele"/>
              <w:jc w:val="right"/>
              <w:rPr>
                <w:color w:val="auto"/>
                <w:sz w:val="14"/>
                <w:szCs w:val="14"/>
              </w:rPr>
            </w:pPr>
            <w:r w:rsidRPr="00386644">
              <w:rPr>
                <w:color w:val="auto"/>
                <w:sz w:val="14"/>
                <w:szCs w:val="14"/>
              </w:rPr>
              <w:t>0,66</w:t>
            </w:r>
          </w:p>
        </w:tc>
        <w:tc>
          <w:tcPr>
            <w:tcW w:w="774" w:type="dxa"/>
          </w:tcPr>
          <w:p w14:paraId="280EABA3" w14:textId="77777777" w:rsidR="00386644" w:rsidRPr="00386644" w:rsidRDefault="00386644">
            <w:pPr>
              <w:pStyle w:val="Tabele"/>
              <w:jc w:val="right"/>
              <w:rPr>
                <w:b/>
                <w:bCs/>
                <w:color w:val="auto"/>
                <w:sz w:val="14"/>
                <w:szCs w:val="14"/>
                <w:highlight w:val="yellow"/>
              </w:rPr>
            </w:pPr>
            <w:r w:rsidRPr="00386644">
              <w:rPr>
                <w:color w:val="auto"/>
                <w:sz w:val="14"/>
                <w:szCs w:val="14"/>
              </w:rPr>
              <w:t>0,65</w:t>
            </w:r>
          </w:p>
        </w:tc>
        <w:tc>
          <w:tcPr>
            <w:tcW w:w="774" w:type="dxa"/>
          </w:tcPr>
          <w:p w14:paraId="55DB453C" w14:textId="77777777" w:rsidR="00386644" w:rsidRPr="00386644" w:rsidRDefault="00386644">
            <w:pPr>
              <w:pStyle w:val="Tabele"/>
              <w:jc w:val="right"/>
              <w:rPr>
                <w:b/>
                <w:bCs/>
                <w:color w:val="auto"/>
                <w:sz w:val="14"/>
                <w:szCs w:val="14"/>
                <w:highlight w:val="yellow"/>
              </w:rPr>
            </w:pPr>
            <w:r w:rsidRPr="00386644">
              <w:rPr>
                <w:color w:val="auto"/>
                <w:sz w:val="14"/>
                <w:szCs w:val="14"/>
              </w:rPr>
              <w:t>0,58</w:t>
            </w:r>
          </w:p>
        </w:tc>
        <w:tc>
          <w:tcPr>
            <w:tcW w:w="774" w:type="dxa"/>
          </w:tcPr>
          <w:p w14:paraId="57FBF167" w14:textId="77777777" w:rsidR="00386644" w:rsidRPr="00386644" w:rsidRDefault="00386644">
            <w:pPr>
              <w:pStyle w:val="Tabele"/>
              <w:jc w:val="right"/>
              <w:rPr>
                <w:b/>
                <w:bCs/>
                <w:color w:val="auto"/>
                <w:sz w:val="14"/>
                <w:szCs w:val="14"/>
                <w:highlight w:val="yellow"/>
              </w:rPr>
            </w:pPr>
            <w:r w:rsidRPr="00386644">
              <w:rPr>
                <w:color w:val="auto"/>
                <w:sz w:val="14"/>
                <w:szCs w:val="14"/>
              </w:rPr>
              <w:t>0,55</w:t>
            </w:r>
          </w:p>
        </w:tc>
        <w:tc>
          <w:tcPr>
            <w:tcW w:w="863" w:type="dxa"/>
          </w:tcPr>
          <w:p w14:paraId="7768D7C1" w14:textId="77777777" w:rsidR="00386644" w:rsidRPr="00386644" w:rsidRDefault="00386644">
            <w:pPr>
              <w:pStyle w:val="Tabele"/>
              <w:jc w:val="right"/>
              <w:rPr>
                <w:b/>
                <w:bCs/>
                <w:color w:val="auto"/>
                <w:sz w:val="14"/>
                <w:szCs w:val="14"/>
                <w:highlight w:val="yellow"/>
              </w:rPr>
            </w:pPr>
            <w:r w:rsidRPr="00386644">
              <w:rPr>
                <w:color w:val="auto"/>
                <w:sz w:val="14"/>
                <w:szCs w:val="14"/>
              </w:rPr>
              <w:t>0,54</w:t>
            </w:r>
          </w:p>
        </w:tc>
      </w:tr>
      <w:tr w:rsidR="00386644" w:rsidRPr="00520300" w14:paraId="5DDAF55F" w14:textId="77777777" w:rsidTr="00386644">
        <w:trPr>
          <w:gridAfter w:val="1"/>
          <w:wAfter w:w="8" w:type="dxa"/>
          <w:trHeight w:val="227"/>
        </w:trPr>
        <w:tc>
          <w:tcPr>
            <w:tcW w:w="1963" w:type="dxa"/>
          </w:tcPr>
          <w:p w14:paraId="457D6FBE" w14:textId="77777777" w:rsidR="00386644" w:rsidRPr="00386644" w:rsidRDefault="00386644">
            <w:pPr>
              <w:pStyle w:val="Tabele"/>
              <w:rPr>
                <w:b/>
                <w:color w:val="auto"/>
                <w:sz w:val="14"/>
                <w:szCs w:val="14"/>
              </w:rPr>
            </w:pPr>
            <w:r w:rsidRPr="00386644">
              <w:rPr>
                <w:rFonts w:cs="Calibri"/>
                <w:color w:val="auto"/>
                <w:sz w:val="14"/>
                <w:szCs w:val="14"/>
              </w:rPr>
              <w:t xml:space="preserve">3. Transport </w:t>
            </w:r>
          </w:p>
        </w:tc>
        <w:tc>
          <w:tcPr>
            <w:tcW w:w="720" w:type="dxa"/>
            <w:shd w:val="clear" w:color="auto" w:fill="C5E0B3"/>
          </w:tcPr>
          <w:p w14:paraId="7834A2A3" w14:textId="77777777" w:rsidR="00386644" w:rsidRPr="00386644" w:rsidRDefault="00386644">
            <w:pPr>
              <w:pStyle w:val="Tabele"/>
              <w:jc w:val="right"/>
              <w:rPr>
                <w:rFonts w:cs="Calibri"/>
                <w:color w:val="auto"/>
                <w:sz w:val="14"/>
                <w:szCs w:val="14"/>
              </w:rPr>
            </w:pPr>
            <w:r w:rsidRPr="00386644">
              <w:rPr>
                <w:color w:val="auto"/>
                <w:sz w:val="14"/>
                <w:szCs w:val="14"/>
              </w:rPr>
              <w:t>1,07</w:t>
            </w:r>
          </w:p>
        </w:tc>
        <w:tc>
          <w:tcPr>
            <w:tcW w:w="774" w:type="dxa"/>
            <w:shd w:val="clear" w:color="auto" w:fill="C5E0B3"/>
          </w:tcPr>
          <w:p w14:paraId="16504685" w14:textId="77777777" w:rsidR="00386644" w:rsidRPr="00386644" w:rsidRDefault="00386644">
            <w:pPr>
              <w:pStyle w:val="Tabele"/>
              <w:jc w:val="right"/>
              <w:rPr>
                <w:color w:val="auto"/>
                <w:sz w:val="14"/>
                <w:szCs w:val="14"/>
              </w:rPr>
            </w:pPr>
            <w:r w:rsidRPr="00386644">
              <w:rPr>
                <w:color w:val="auto"/>
                <w:sz w:val="14"/>
                <w:szCs w:val="14"/>
              </w:rPr>
              <w:t>1,75</w:t>
            </w:r>
          </w:p>
        </w:tc>
        <w:tc>
          <w:tcPr>
            <w:tcW w:w="774" w:type="dxa"/>
            <w:shd w:val="clear" w:color="auto" w:fill="C5E0B3"/>
          </w:tcPr>
          <w:p w14:paraId="20AE272C" w14:textId="77777777" w:rsidR="00386644" w:rsidRPr="00386644" w:rsidRDefault="00386644">
            <w:pPr>
              <w:pStyle w:val="Tabele"/>
              <w:jc w:val="right"/>
              <w:rPr>
                <w:color w:val="auto"/>
                <w:sz w:val="14"/>
                <w:szCs w:val="14"/>
              </w:rPr>
            </w:pPr>
            <w:r w:rsidRPr="00386644">
              <w:rPr>
                <w:color w:val="auto"/>
                <w:sz w:val="14"/>
                <w:szCs w:val="14"/>
              </w:rPr>
              <w:t>1,76</w:t>
            </w:r>
          </w:p>
        </w:tc>
        <w:tc>
          <w:tcPr>
            <w:tcW w:w="774" w:type="dxa"/>
            <w:shd w:val="clear" w:color="auto" w:fill="C5E0B3"/>
          </w:tcPr>
          <w:p w14:paraId="54218811" w14:textId="77777777" w:rsidR="00386644" w:rsidRPr="00386644" w:rsidRDefault="00386644">
            <w:pPr>
              <w:pStyle w:val="Tabele"/>
              <w:jc w:val="right"/>
              <w:rPr>
                <w:color w:val="auto"/>
                <w:sz w:val="14"/>
                <w:szCs w:val="14"/>
              </w:rPr>
            </w:pPr>
            <w:r w:rsidRPr="00386644">
              <w:rPr>
                <w:color w:val="auto"/>
                <w:sz w:val="14"/>
                <w:szCs w:val="14"/>
              </w:rPr>
              <w:t>1,68</w:t>
            </w:r>
          </w:p>
        </w:tc>
        <w:tc>
          <w:tcPr>
            <w:tcW w:w="774" w:type="dxa"/>
            <w:shd w:val="clear" w:color="auto" w:fill="C5E0B3"/>
          </w:tcPr>
          <w:p w14:paraId="256DE026" w14:textId="77777777" w:rsidR="00386644" w:rsidRPr="00386644" w:rsidRDefault="00386644">
            <w:pPr>
              <w:pStyle w:val="Tabele"/>
              <w:jc w:val="right"/>
              <w:rPr>
                <w:color w:val="auto"/>
                <w:sz w:val="14"/>
                <w:szCs w:val="14"/>
              </w:rPr>
            </w:pPr>
            <w:r w:rsidRPr="00386644">
              <w:rPr>
                <w:color w:val="auto"/>
                <w:sz w:val="14"/>
                <w:szCs w:val="14"/>
              </w:rPr>
              <w:t>2,30</w:t>
            </w:r>
          </w:p>
        </w:tc>
        <w:tc>
          <w:tcPr>
            <w:tcW w:w="774" w:type="dxa"/>
          </w:tcPr>
          <w:p w14:paraId="033CE1D5" w14:textId="77777777" w:rsidR="00386644" w:rsidRPr="00386644" w:rsidRDefault="00386644">
            <w:pPr>
              <w:pStyle w:val="Tabele"/>
              <w:jc w:val="right"/>
              <w:rPr>
                <w:b/>
                <w:bCs/>
                <w:color w:val="auto"/>
                <w:sz w:val="14"/>
                <w:szCs w:val="14"/>
                <w:highlight w:val="yellow"/>
              </w:rPr>
            </w:pPr>
            <w:r w:rsidRPr="00386644">
              <w:rPr>
                <w:color w:val="auto"/>
                <w:sz w:val="14"/>
                <w:szCs w:val="14"/>
              </w:rPr>
              <w:t>2,25</w:t>
            </w:r>
          </w:p>
        </w:tc>
        <w:tc>
          <w:tcPr>
            <w:tcW w:w="774" w:type="dxa"/>
          </w:tcPr>
          <w:p w14:paraId="51B05B8E" w14:textId="77777777" w:rsidR="00386644" w:rsidRPr="00386644" w:rsidRDefault="00386644">
            <w:pPr>
              <w:pStyle w:val="Tabele"/>
              <w:jc w:val="right"/>
              <w:rPr>
                <w:b/>
                <w:bCs/>
                <w:color w:val="auto"/>
                <w:sz w:val="14"/>
                <w:szCs w:val="14"/>
                <w:highlight w:val="yellow"/>
              </w:rPr>
            </w:pPr>
            <w:r w:rsidRPr="00386644">
              <w:rPr>
                <w:color w:val="auto"/>
                <w:sz w:val="14"/>
                <w:szCs w:val="14"/>
              </w:rPr>
              <w:t>2,15</w:t>
            </w:r>
          </w:p>
        </w:tc>
        <w:tc>
          <w:tcPr>
            <w:tcW w:w="774" w:type="dxa"/>
          </w:tcPr>
          <w:p w14:paraId="75B532BF" w14:textId="77777777" w:rsidR="00386644" w:rsidRPr="00386644" w:rsidRDefault="00386644">
            <w:pPr>
              <w:pStyle w:val="Tabele"/>
              <w:jc w:val="right"/>
              <w:rPr>
                <w:b/>
                <w:bCs/>
                <w:color w:val="auto"/>
                <w:sz w:val="14"/>
                <w:szCs w:val="14"/>
                <w:highlight w:val="yellow"/>
              </w:rPr>
            </w:pPr>
            <w:r w:rsidRPr="00386644">
              <w:rPr>
                <w:color w:val="auto"/>
                <w:sz w:val="14"/>
                <w:szCs w:val="14"/>
              </w:rPr>
              <w:t>1,99</w:t>
            </w:r>
          </w:p>
        </w:tc>
        <w:tc>
          <w:tcPr>
            <w:tcW w:w="863" w:type="dxa"/>
          </w:tcPr>
          <w:p w14:paraId="4368CA43" w14:textId="77777777" w:rsidR="00386644" w:rsidRPr="00386644" w:rsidRDefault="00386644">
            <w:pPr>
              <w:pStyle w:val="Tabele"/>
              <w:jc w:val="right"/>
              <w:rPr>
                <w:b/>
                <w:bCs/>
                <w:color w:val="auto"/>
                <w:sz w:val="14"/>
                <w:szCs w:val="14"/>
                <w:highlight w:val="yellow"/>
              </w:rPr>
            </w:pPr>
            <w:r w:rsidRPr="00386644">
              <w:rPr>
                <w:color w:val="auto"/>
                <w:sz w:val="14"/>
                <w:szCs w:val="14"/>
              </w:rPr>
              <w:t>1,71</w:t>
            </w:r>
          </w:p>
        </w:tc>
      </w:tr>
      <w:tr w:rsidR="00386644" w:rsidRPr="00520300" w14:paraId="4C7E6F02" w14:textId="77777777" w:rsidTr="00386644">
        <w:trPr>
          <w:gridAfter w:val="1"/>
          <w:wAfter w:w="8" w:type="dxa"/>
          <w:trHeight w:val="227"/>
        </w:trPr>
        <w:tc>
          <w:tcPr>
            <w:tcW w:w="1963" w:type="dxa"/>
          </w:tcPr>
          <w:p w14:paraId="3404364C" w14:textId="77777777" w:rsidR="00386644" w:rsidRPr="00386644" w:rsidRDefault="00386644">
            <w:pPr>
              <w:pStyle w:val="Tabele"/>
              <w:rPr>
                <w:b/>
                <w:color w:val="auto"/>
                <w:sz w:val="14"/>
                <w:szCs w:val="14"/>
              </w:rPr>
            </w:pPr>
            <w:r w:rsidRPr="00386644">
              <w:rPr>
                <w:rFonts w:cs="Calibri"/>
                <w:color w:val="auto"/>
                <w:sz w:val="14"/>
                <w:szCs w:val="14"/>
              </w:rPr>
              <w:t xml:space="preserve">4. Inne sektory </w:t>
            </w:r>
          </w:p>
        </w:tc>
        <w:tc>
          <w:tcPr>
            <w:tcW w:w="720" w:type="dxa"/>
            <w:shd w:val="clear" w:color="auto" w:fill="C5E0B3"/>
          </w:tcPr>
          <w:p w14:paraId="20A3D3F5" w14:textId="77777777" w:rsidR="00386644" w:rsidRPr="00386644" w:rsidRDefault="00386644">
            <w:pPr>
              <w:pStyle w:val="Tabele"/>
              <w:jc w:val="right"/>
              <w:rPr>
                <w:rFonts w:cs="Calibri"/>
                <w:color w:val="auto"/>
                <w:sz w:val="14"/>
                <w:szCs w:val="14"/>
              </w:rPr>
            </w:pPr>
            <w:r w:rsidRPr="00386644">
              <w:rPr>
                <w:color w:val="auto"/>
                <w:sz w:val="14"/>
                <w:szCs w:val="14"/>
              </w:rPr>
              <w:t>2,27</w:t>
            </w:r>
          </w:p>
        </w:tc>
        <w:tc>
          <w:tcPr>
            <w:tcW w:w="774" w:type="dxa"/>
            <w:shd w:val="clear" w:color="auto" w:fill="C5E0B3"/>
          </w:tcPr>
          <w:p w14:paraId="48072962" w14:textId="77777777" w:rsidR="00386644" w:rsidRPr="00386644" w:rsidRDefault="00386644">
            <w:pPr>
              <w:pStyle w:val="Tabele"/>
              <w:jc w:val="right"/>
              <w:rPr>
                <w:color w:val="auto"/>
                <w:sz w:val="14"/>
                <w:szCs w:val="14"/>
              </w:rPr>
            </w:pPr>
            <w:r w:rsidRPr="00386644">
              <w:rPr>
                <w:color w:val="auto"/>
                <w:sz w:val="14"/>
                <w:szCs w:val="14"/>
              </w:rPr>
              <w:t>4,14</w:t>
            </w:r>
          </w:p>
        </w:tc>
        <w:tc>
          <w:tcPr>
            <w:tcW w:w="774" w:type="dxa"/>
            <w:shd w:val="clear" w:color="auto" w:fill="C5E0B3"/>
          </w:tcPr>
          <w:p w14:paraId="55CB6419" w14:textId="77777777" w:rsidR="00386644" w:rsidRPr="00386644" w:rsidRDefault="00386644">
            <w:pPr>
              <w:pStyle w:val="Tabele"/>
              <w:jc w:val="right"/>
              <w:rPr>
                <w:color w:val="auto"/>
                <w:sz w:val="14"/>
                <w:szCs w:val="14"/>
              </w:rPr>
            </w:pPr>
            <w:r w:rsidRPr="00386644">
              <w:rPr>
                <w:color w:val="auto"/>
                <w:sz w:val="14"/>
                <w:szCs w:val="14"/>
              </w:rPr>
              <w:t>3,31</w:t>
            </w:r>
          </w:p>
        </w:tc>
        <w:tc>
          <w:tcPr>
            <w:tcW w:w="774" w:type="dxa"/>
            <w:shd w:val="clear" w:color="auto" w:fill="C5E0B3"/>
          </w:tcPr>
          <w:p w14:paraId="76CC0891" w14:textId="77777777" w:rsidR="00386644" w:rsidRPr="00386644" w:rsidRDefault="00386644">
            <w:pPr>
              <w:pStyle w:val="Tabele"/>
              <w:jc w:val="right"/>
              <w:rPr>
                <w:color w:val="auto"/>
                <w:sz w:val="14"/>
                <w:szCs w:val="14"/>
              </w:rPr>
            </w:pPr>
            <w:r w:rsidRPr="00386644">
              <w:rPr>
                <w:color w:val="auto"/>
                <w:sz w:val="14"/>
                <w:szCs w:val="14"/>
              </w:rPr>
              <w:t>3,02</w:t>
            </w:r>
          </w:p>
        </w:tc>
        <w:tc>
          <w:tcPr>
            <w:tcW w:w="774" w:type="dxa"/>
            <w:shd w:val="clear" w:color="auto" w:fill="C5E0B3"/>
          </w:tcPr>
          <w:p w14:paraId="0C719BB0" w14:textId="77777777" w:rsidR="00386644" w:rsidRPr="00386644" w:rsidRDefault="00386644">
            <w:pPr>
              <w:pStyle w:val="Tabele"/>
              <w:jc w:val="right"/>
              <w:rPr>
                <w:color w:val="auto"/>
                <w:sz w:val="14"/>
                <w:szCs w:val="14"/>
              </w:rPr>
            </w:pPr>
            <w:r w:rsidRPr="00386644">
              <w:rPr>
                <w:color w:val="auto"/>
                <w:sz w:val="14"/>
                <w:szCs w:val="14"/>
              </w:rPr>
              <w:t>4,11</w:t>
            </w:r>
          </w:p>
        </w:tc>
        <w:tc>
          <w:tcPr>
            <w:tcW w:w="774" w:type="dxa"/>
          </w:tcPr>
          <w:p w14:paraId="7D6E6FE6" w14:textId="77777777" w:rsidR="00386644" w:rsidRPr="00386644" w:rsidRDefault="00386644">
            <w:pPr>
              <w:pStyle w:val="Tabele"/>
              <w:jc w:val="right"/>
              <w:rPr>
                <w:b/>
                <w:bCs/>
                <w:color w:val="auto"/>
                <w:sz w:val="14"/>
                <w:szCs w:val="14"/>
                <w:highlight w:val="yellow"/>
              </w:rPr>
            </w:pPr>
            <w:r w:rsidRPr="00386644">
              <w:rPr>
                <w:color w:val="auto"/>
                <w:sz w:val="14"/>
                <w:szCs w:val="14"/>
              </w:rPr>
              <w:t>3,47</w:t>
            </w:r>
          </w:p>
        </w:tc>
        <w:tc>
          <w:tcPr>
            <w:tcW w:w="774" w:type="dxa"/>
          </w:tcPr>
          <w:p w14:paraId="10C7B6E7" w14:textId="77777777" w:rsidR="00386644" w:rsidRPr="00386644" w:rsidRDefault="00386644">
            <w:pPr>
              <w:pStyle w:val="Tabele"/>
              <w:jc w:val="right"/>
              <w:rPr>
                <w:b/>
                <w:bCs/>
                <w:color w:val="auto"/>
                <w:sz w:val="14"/>
                <w:szCs w:val="14"/>
                <w:highlight w:val="yellow"/>
              </w:rPr>
            </w:pPr>
            <w:r w:rsidRPr="00386644">
              <w:rPr>
                <w:color w:val="auto"/>
                <w:sz w:val="14"/>
                <w:szCs w:val="14"/>
              </w:rPr>
              <w:t>3,19</w:t>
            </w:r>
          </w:p>
        </w:tc>
        <w:tc>
          <w:tcPr>
            <w:tcW w:w="774" w:type="dxa"/>
          </w:tcPr>
          <w:p w14:paraId="58C08892" w14:textId="77777777" w:rsidR="00386644" w:rsidRPr="00386644" w:rsidRDefault="00386644">
            <w:pPr>
              <w:pStyle w:val="Tabele"/>
              <w:jc w:val="right"/>
              <w:rPr>
                <w:b/>
                <w:bCs/>
                <w:color w:val="auto"/>
                <w:sz w:val="14"/>
                <w:szCs w:val="14"/>
                <w:highlight w:val="yellow"/>
              </w:rPr>
            </w:pPr>
            <w:r w:rsidRPr="00386644">
              <w:rPr>
                <w:color w:val="auto"/>
                <w:sz w:val="14"/>
                <w:szCs w:val="14"/>
              </w:rPr>
              <w:t>2,88</w:t>
            </w:r>
          </w:p>
        </w:tc>
        <w:tc>
          <w:tcPr>
            <w:tcW w:w="863" w:type="dxa"/>
          </w:tcPr>
          <w:p w14:paraId="6D441BE8" w14:textId="77777777" w:rsidR="00386644" w:rsidRPr="00386644" w:rsidRDefault="00386644">
            <w:pPr>
              <w:pStyle w:val="Tabele"/>
              <w:jc w:val="right"/>
              <w:rPr>
                <w:b/>
                <w:bCs/>
                <w:color w:val="auto"/>
                <w:sz w:val="14"/>
                <w:szCs w:val="14"/>
                <w:highlight w:val="yellow"/>
              </w:rPr>
            </w:pPr>
            <w:r w:rsidRPr="00386644">
              <w:rPr>
                <w:color w:val="auto"/>
                <w:sz w:val="14"/>
                <w:szCs w:val="14"/>
              </w:rPr>
              <w:t>2,61</w:t>
            </w:r>
          </w:p>
        </w:tc>
      </w:tr>
      <w:tr w:rsidR="00386644" w:rsidRPr="00520300" w14:paraId="3D392C96" w14:textId="77777777" w:rsidTr="00386644">
        <w:trPr>
          <w:gridAfter w:val="1"/>
          <w:wAfter w:w="8" w:type="dxa"/>
          <w:trHeight w:val="227"/>
        </w:trPr>
        <w:tc>
          <w:tcPr>
            <w:tcW w:w="1963" w:type="dxa"/>
          </w:tcPr>
          <w:p w14:paraId="29757BF7" w14:textId="77777777" w:rsidR="00386644" w:rsidRPr="00386644" w:rsidRDefault="00386644">
            <w:pPr>
              <w:pStyle w:val="Tabele"/>
              <w:rPr>
                <w:b/>
                <w:color w:val="auto"/>
                <w:sz w:val="14"/>
                <w:szCs w:val="14"/>
              </w:rPr>
            </w:pPr>
            <w:r w:rsidRPr="00386644">
              <w:rPr>
                <w:rFonts w:cs="Calibri"/>
                <w:color w:val="auto"/>
                <w:sz w:val="14"/>
                <w:szCs w:val="14"/>
              </w:rPr>
              <w:t xml:space="preserve">B. Emisja lotna z paliw </w:t>
            </w:r>
          </w:p>
        </w:tc>
        <w:tc>
          <w:tcPr>
            <w:tcW w:w="720" w:type="dxa"/>
            <w:shd w:val="clear" w:color="auto" w:fill="C5E0B3"/>
          </w:tcPr>
          <w:p w14:paraId="1B217D36" w14:textId="77777777" w:rsidR="00386644" w:rsidRPr="00386644" w:rsidRDefault="00386644">
            <w:pPr>
              <w:pStyle w:val="Tabele"/>
              <w:jc w:val="right"/>
              <w:rPr>
                <w:rFonts w:cs="Calibri"/>
                <w:color w:val="auto"/>
                <w:sz w:val="14"/>
                <w:szCs w:val="14"/>
              </w:rPr>
            </w:pPr>
            <w:r w:rsidRPr="00386644">
              <w:rPr>
                <w:color w:val="auto"/>
                <w:sz w:val="14"/>
                <w:szCs w:val="14"/>
              </w:rPr>
              <w:t>0,00</w:t>
            </w:r>
          </w:p>
        </w:tc>
        <w:tc>
          <w:tcPr>
            <w:tcW w:w="774" w:type="dxa"/>
            <w:shd w:val="clear" w:color="auto" w:fill="C5E0B3"/>
          </w:tcPr>
          <w:p w14:paraId="6ECD4938" w14:textId="77777777" w:rsidR="00386644" w:rsidRPr="00386644" w:rsidRDefault="00386644">
            <w:pPr>
              <w:pStyle w:val="Tabele"/>
              <w:jc w:val="right"/>
              <w:rPr>
                <w:color w:val="auto"/>
                <w:sz w:val="14"/>
                <w:szCs w:val="14"/>
              </w:rPr>
            </w:pPr>
            <w:r w:rsidRPr="00386644">
              <w:rPr>
                <w:color w:val="auto"/>
                <w:sz w:val="14"/>
                <w:szCs w:val="14"/>
              </w:rPr>
              <w:t>0,00</w:t>
            </w:r>
          </w:p>
        </w:tc>
        <w:tc>
          <w:tcPr>
            <w:tcW w:w="774" w:type="dxa"/>
            <w:shd w:val="clear" w:color="auto" w:fill="C5E0B3"/>
          </w:tcPr>
          <w:p w14:paraId="547EE9EB" w14:textId="77777777" w:rsidR="00386644" w:rsidRPr="00386644" w:rsidRDefault="00386644">
            <w:pPr>
              <w:pStyle w:val="Tabele"/>
              <w:jc w:val="right"/>
              <w:rPr>
                <w:color w:val="auto"/>
                <w:sz w:val="14"/>
                <w:szCs w:val="14"/>
              </w:rPr>
            </w:pPr>
            <w:r w:rsidRPr="00386644">
              <w:rPr>
                <w:color w:val="auto"/>
                <w:sz w:val="14"/>
                <w:szCs w:val="14"/>
              </w:rPr>
              <w:t>0,00</w:t>
            </w:r>
          </w:p>
        </w:tc>
        <w:tc>
          <w:tcPr>
            <w:tcW w:w="774" w:type="dxa"/>
            <w:shd w:val="clear" w:color="auto" w:fill="C5E0B3"/>
          </w:tcPr>
          <w:p w14:paraId="23E0D0E3" w14:textId="77777777" w:rsidR="00386644" w:rsidRPr="00386644" w:rsidRDefault="00386644">
            <w:pPr>
              <w:pStyle w:val="Tabele"/>
              <w:jc w:val="right"/>
              <w:rPr>
                <w:color w:val="auto"/>
                <w:sz w:val="14"/>
                <w:szCs w:val="14"/>
              </w:rPr>
            </w:pPr>
            <w:r w:rsidRPr="00386644">
              <w:rPr>
                <w:color w:val="auto"/>
                <w:sz w:val="14"/>
                <w:szCs w:val="14"/>
              </w:rPr>
              <w:t>0,00</w:t>
            </w:r>
          </w:p>
        </w:tc>
        <w:tc>
          <w:tcPr>
            <w:tcW w:w="774" w:type="dxa"/>
            <w:shd w:val="clear" w:color="auto" w:fill="C5E0B3"/>
          </w:tcPr>
          <w:p w14:paraId="02BA5941" w14:textId="77777777" w:rsidR="00386644" w:rsidRPr="00386644" w:rsidRDefault="00386644">
            <w:pPr>
              <w:pStyle w:val="Tabele"/>
              <w:jc w:val="right"/>
              <w:rPr>
                <w:color w:val="auto"/>
                <w:sz w:val="14"/>
                <w:szCs w:val="14"/>
              </w:rPr>
            </w:pPr>
            <w:r w:rsidRPr="00386644">
              <w:rPr>
                <w:color w:val="auto"/>
                <w:sz w:val="14"/>
                <w:szCs w:val="14"/>
              </w:rPr>
              <w:t>0,00</w:t>
            </w:r>
          </w:p>
        </w:tc>
        <w:tc>
          <w:tcPr>
            <w:tcW w:w="774" w:type="dxa"/>
          </w:tcPr>
          <w:p w14:paraId="41FEBC59" w14:textId="77777777" w:rsidR="00386644" w:rsidRPr="00386644" w:rsidRDefault="00386644">
            <w:pPr>
              <w:pStyle w:val="Tabele"/>
              <w:jc w:val="right"/>
              <w:rPr>
                <w:b/>
                <w:bCs/>
                <w:color w:val="auto"/>
                <w:sz w:val="14"/>
                <w:szCs w:val="14"/>
                <w:highlight w:val="yellow"/>
              </w:rPr>
            </w:pPr>
            <w:r w:rsidRPr="00386644">
              <w:rPr>
                <w:color w:val="auto"/>
                <w:sz w:val="14"/>
                <w:szCs w:val="14"/>
              </w:rPr>
              <w:t>0,00</w:t>
            </w:r>
          </w:p>
        </w:tc>
        <w:tc>
          <w:tcPr>
            <w:tcW w:w="774" w:type="dxa"/>
          </w:tcPr>
          <w:p w14:paraId="648C82D7" w14:textId="77777777" w:rsidR="00386644" w:rsidRPr="00386644" w:rsidRDefault="00386644">
            <w:pPr>
              <w:pStyle w:val="Tabele"/>
              <w:jc w:val="right"/>
              <w:rPr>
                <w:b/>
                <w:bCs/>
                <w:color w:val="auto"/>
                <w:sz w:val="14"/>
                <w:szCs w:val="14"/>
                <w:highlight w:val="yellow"/>
              </w:rPr>
            </w:pPr>
            <w:r w:rsidRPr="00386644">
              <w:rPr>
                <w:color w:val="auto"/>
                <w:sz w:val="14"/>
                <w:szCs w:val="14"/>
              </w:rPr>
              <w:t>0,00</w:t>
            </w:r>
          </w:p>
        </w:tc>
        <w:tc>
          <w:tcPr>
            <w:tcW w:w="774" w:type="dxa"/>
          </w:tcPr>
          <w:p w14:paraId="7D846125" w14:textId="77777777" w:rsidR="00386644" w:rsidRPr="00386644" w:rsidRDefault="00386644">
            <w:pPr>
              <w:pStyle w:val="Tabele"/>
              <w:jc w:val="right"/>
              <w:rPr>
                <w:b/>
                <w:bCs/>
                <w:color w:val="auto"/>
                <w:sz w:val="14"/>
                <w:szCs w:val="14"/>
                <w:highlight w:val="yellow"/>
              </w:rPr>
            </w:pPr>
            <w:r w:rsidRPr="00386644">
              <w:rPr>
                <w:color w:val="auto"/>
                <w:sz w:val="14"/>
                <w:szCs w:val="14"/>
              </w:rPr>
              <w:t>0,00</w:t>
            </w:r>
          </w:p>
        </w:tc>
        <w:tc>
          <w:tcPr>
            <w:tcW w:w="863" w:type="dxa"/>
          </w:tcPr>
          <w:p w14:paraId="5A8FCFFC" w14:textId="77777777" w:rsidR="00386644" w:rsidRPr="00386644" w:rsidRDefault="00386644">
            <w:pPr>
              <w:pStyle w:val="Tabele"/>
              <w:jc w:val="right"/>
              <w:rPr>
                <w:b/>
                <w:bCs/>
                <w:color w:val="auto"/>
                <w:sz w:val="14"/>
                <w:szCs w:val="14"/>
                <w:highlight w:val="yellow"/>
              </w:rPr>
            </w:pPr>
            <w:r w:rsidRPr="00386644">
              <w:rPr>
                <w:color w:val="auto"/>
                <w:sz w:val="14"/>
                <w:szCs w:val="14"/>
              </w:rPr>
              <w:t>0,00</w:t>
            </w:r>
          </w:p>
        </w:tc>
      </w:tr>
      <w:tr w:rsidR="00386644" w:rsidRPr="00520300" w14:paraId="55936D62" w14:textId="77777777" w:rsidTr="00386644">
        <w:trPr>
          <w:gridAfter w:val="1"/>
          <w:wAfter w:w="8" w:type="dxa"/>
          <w:trHeight w:val="227"/>
        </w:trPr>
        <w:tc>
          <w:tcPr>
            <w:tcW w:w="1963" w:type="dxa"/>
          </w:tcPr>
          <w:p w14:paraId="557042C5" w14:textId="77777777" w:rsidR="00386644" w:rsidRPr="00386644" w:rsidRDefault="00386644">
            <w:pPr>
              <w:pStyle w:val="Tabele"/>
              <w:rPr>
                <w:b/>
                <w:color w:val="auto"/>
                <w:sz w:val="14"/>
                <w:szCs w:val="14"/>
              </w:rPr>
            </w:pPr>
            <w:r w:rsidRPr="00386644">
              <w:rPr>
                <w:rFonts w:cs="Calibri"/>
                <w:color w:val="auto"/>
                <w:sz w:val="14"/>
                <w:szCs w:val="14"/>
              </w:rPr>
              <w:t xml:space="preserve">2. Ropa naftowa i gaz ziemny </w:t>
            </w:r>
          </w:p>
        </w:tc>
        <w:tc>
          <w:tcPr>
            <w:tcW w:w="720" w:type="dxa"/>
            <w:shd w:val="clear" w:color="auto" w:fill="C5E0B3"/>
          </w:tcPr>
          <w:p w14:paraId="4EBE55F5" w14:textId="77777777" w:rsidR="00386644" w:rsidRPr="00386644" w:rsidRDefault="00386644">
            <w:pPr>
              <w:pStyle w:val="Tabele"/>
              <w:jc w:val="right"/>
              <w:rPr>
                <w:rFonts w:cs="Calibri"/>
                <w:color w:val="auto"/>
                <w:sz w:val="14"/>
                <w:szCs w:val="14"/>
              </w:rPr>
            </w:pPr>
            <w:r w:rsidRPr="00386644">
              <w:rPr>
                <w:color w:val="auto"/>
                <w:sz w:val="14"/>
                <w:szCs w:val="14"/>
              </w:rPr>
              <w:t>0,00</w:t>
            </w:r>
          </w:p>
        </w:tc>
        <w:tc>
          <w:tcPr>
            <w:tcW w:w="774" w:type="dxa"/>
            <w:shd w:val="clear" w:color="auto" w:fill="C5E0B3"/>
          </w:tcPr>
          <w:p w14:paraId="76F48266" w14:textId="77777777" w:rsidR="00386644" w:rsidRPr="00386644" w:rsidRDefault="00386644">
            <w:pPr>
              <w:pStyle w:val="Tabele"/>
              <w:jc w:val="right"/>
              <w:rPr>
                <w:b/>
                <w:color w:val="auto"/>
                <w:sz w:val="14"/>
                <w:szCs w:val="14"/>
              </w:rPr>
            </w:pPr>
            <w:r w:rsidRPr="00386644">
              <w:rPr>
                <w:color w:val="auto"/>
                <w:sz w:val="14"/>
                <w:szCs w:val="14"/>
              </w:rPr>
              <w:t>0,00</w:t>
            </w:r>
          </w:p>
        </w:tc>
        <w:tc>
          <w:tcPr>
            <w:tcW w:w="774" w:type="dxa"/>
            <w:shd w:val="clear" w:color="auto" w:fill="C5E0B3"/>
          </w:tcPr>
          <w:p w14:paraId="1D3B8090" w14:textId="77777777" w:rsidR="00386644" w:rsidRPr="00386644" w:rsidRDefault="00386644">
            <w:pPr>
              <w:pStyle w:val="Tabele"/>
              <w:jc w:val="right"/>
              <w:rPr>
                <w:b/>
                <w:color w:val="auto"/>
                <w:sz w:val="14"/>
                <w:szCs w:val="14"/>
              </w:rPr>
            </w:pPr>
            <w:r w:rsidRPr="00386644">
              <w:rPr>
                <w:color w:val="auto"/>
                <w:sz w:val="14"/>
                <w:szCs w:val="14"/>
              </w:rPr>
              <w:t>0,00</w:t>
            </w:r>
          </w:p>
        </w:tc>
        <w:tc>
          <w:tcPr>
            <w:tcW w:w="774" w:type="dxa"/>
            <w:shd w:val="clear" w:color="auto" w:fill="C5E0B3"/>
          </w:tcPr>
          <w:p w14:paraId="0EBFD162" w14:textId="77777777" w:rsidR="00386644" w:rsidRPr="00386644" w:rsidRDefault="00386644">
            <w:pPr>
              <w:pStyle w:val="Tabele"/>
              <w:jc w:val="right"/>
              <w:rPr>
                <w:b/>
                <w:color w:val="auto"/>
                <w:sz w:val="14"/>
                <w:szCs w:val="14"/>
              </w:rPr>
            </w:pPr>
            <w:r w:rsidRPr="00386644">
              <w:rPr>
                <w:color w:val="auto"/>
                <w:sz w:val="14"/>
                <w:szCs w:val="14"/>
              </w:rPr>
              <w:t>0,00</w:t>
            </w:r>
          </w:p>
        </w:tc>
        <w:tc>
          <w:tcPr>
            <w:tcW w:w="774" w:type="dxa"/>
            <w:shd w:val="clear" w:color="auto" w:fill="C5E0B3"/>
          </w:tcPr>
          <w:p w14:paraId="6FD05180" w14:textId="77777777" w:rsidR="00386644" w:rsidRPr="00386644" w:rsidRDefault="00386644">
            <w:pPr>
              <w:pStyle w:val="Tabele"/>
              <w:jc w:val="right"/>
              <w:rPr>
                <w:b/>
                <w:color w:val="auto"/>
                <w:sz w:val="14"/>
                <w:szCs w:val="14"/>
              </w:rPr>
            </w:pPr>
            <w:r w:rsidRPr="00386644">
              <w:rPr>
                <w:color w:val="auto"/>
                <w:sz w:val="14"/>
                <w:szCs w:val="14"/>
              </w:rPr>
              <w:t>0,00</w:t>
            </w:r>
          </w:p>
        </w:tc>
        <w:tc>
          <w:tcPr>
            <w:tcW w:w="774" w:type="dxa"/>
          </w:tcPr>
          <w:p w14:paraId="25D37E7B" w14:textId="77777777" w:rsidR="00386644" w:rsidRPr="00386644" w:rsidRDefault="00386644">
            <w:pPr>
              <w:pStyle w:val="Tabele"/>
              <w:jc w:val="right"/>
              <w:rPr>
                <w:b/>
                <w:bCs/>
                <w:color w:val="auto"/>
                <w:sz w:val="14"/>
                <w:szCs w:val="14"/>
                <w:highlight w:val="yellow"/>
              </w:rPr>
            </w:pPr>
            <w:r w:rsidRPr="00386644">
              <w:rPr>
                <w:color w:val="auto"/>
                <w:sz w:val="14"/>
                <w:szCs w:val="14"/>
              </w:rPr>
              <w:t>0,00</w:t>
            </w:r>
          </w:p>
        </w:tc>
        <w:tc>
          <w:tcPr>
            <w:tcW w:w="774" w:type="dxa"/>
          </w:tcPr>
          <w:p w14:paraId="3DA80C93" w14:textId="77777777" w:rsidR="00386644" w:rsidRPr="00386644" w:rsidRDefault="00386644">
            <w:pPr>
              <w:pStyle w:val="Tabele"/>
              <w:jc w:val="right"/>
              <w:rPr>
                <w:b/>
                <w:bCs/>
                <w:color w:val="auto"/>
                <w:sz w:val="14"/>
                <w:szCs w:val="14"/>
                <w:highlight w:val="yellow"/>
              </w:rPr>
            </w:pPr>
            <w:r w:rsidRPr="00386644">
              <w:rPr>
                <w:color w:val="auto"/>
                <w:sz w:val="14"/>
                <w:szCs w:val="14"/>
              </w:rPr>
              <w:t>0,00</w:t>
            </w:r>
          </w:p>
        </w:tc>
        <w:tc>
          <w:tcPr>
            <w:tcW w:w="774" w:type="dxa"/>
          </w:tcPr>
          <w:p w14:paraId="72F73FB6" w14:textId="77777777" w:rsidR="00386644" w:rsidRPr="00386644" w:rsidRDefault="00386644">
            <w:pPr>
              <w:pStyle w:val="Tabele"/>
              <w:jc w:val="right"/>
              <w:rPr>
                <w:b/>
                <w:bCs/>
                <w:color w:val="auto"/>
                <w:sz w:val="14"/>
                <w:szCs w:val="14"/>
                <w:highlight w:val="yellow"/>
              </w:rPr>
            </w:pPr>
            <w:r w:rsidRPr="00386644">
              <w:rPr>
                <w:color w:val="auto"/>
                <w:sz w:val="14"/>
                <w:szCs w:val="14"/>
              </w:rPr>
              <w:t>0,00</w:t>
            </w:r>
          </w:p>
        </w:tc>
        <w:tc>
          <w:tcPr>
            <w:tcW w:w="863" w:type="dxa"/>
          </w:tcPr>
          <w:p w14:paraId="125420EE" w14:textId="77777777" w:rsidR="00386644" w:rsidRPr="00386644" w:rsidRDefault="00386644">
            <w:pPr>
              <w:pStyle w:val="Tabele"/>
              <w:jc w:val="right"/>
              <w:rPr>
                <w:b/>
                <w:bCs/>
                <w:color w:val="auto"/>
                <w:sz w:val="14"/>
                <w:szCs w:val="14"/>
                <w:highlight w:val="yellow"/>
              </w:rPr>
            </w:pPr>
            <w:r w:rsidRPr="00386644">
              <w:rPr>
                <w:color w:val="auto"/>
                <w:sz w:val="14"/>
                <w:szCs w:val="14"/>
              </w:rPr>
              <w:t>0,00</w:t>
            </w:r>
          </w:p>
        </w:tc>
      </w:tr>
      <w:tr w:rsidR="00386644" w:rsidRPr="00520300" w14:paraId="69D59FE8" w14:textId="77777777" w:rsidTr="00386644">
        <w:trPr>
          <w:gridAfter w:val="1"/>
          <w:wAfter w:w="8" w:type="dxa"/>
          <w:trHeight w:val="227"/>
        </w:trPr>
        <w:tc>
          <w:tcPr>
            <w:tcW w:w="1963" w:type="dxa"/>
          </w:tcPr>
          <w:p w14:paraId="13D81F85" w14:textId="77777777" w:rsidR="00386644" w:rsidRPr="00386644" w:rsidRDefault="00386644">
            <w:pPr>
              <w:pStyle w:val="Tabele"/>
              <w:rPr>
                <w:color w:val="auto"/>
                <w:sz w:val="14"/>
                <w:szCs w:val="14"/>
              </w:rPr>
            </w:pPr>
            <w:r w:rsidRPr="00386644">
              <w:rPr>
                <w:rFonts w:cs="Calibri"/>
                <w:b/>
                <w:bCs/>
                <w:color w:val="auto"/>
                <w:sz w:val="14"/>
                <w:szCs w:val="14"/>
              </w:rPr>
              <w:t>2. Procesy przemysłowe</w:t>
            </w:r>
          </w:p>
        </w:tc>
        <w:tc>
          <w:tcPr>
            <w:tcW w:w="720" w:type="dxa"/>
            <w:shd w:val="clear" w:color="auto" w:fill="C5E0B3"/>
          </w:tcPr>
          <w:p w14:paraId="653DFFC4" w14:textId="77777777" w:rsidR="00386644" w:rsidRPr="00386644" w:rsidRDefault="00386644">
            <w:pPr>
              <w:pStyle w:val="Tabele"/>
              <w:jc w:val="right"/>
              <w:rPr>
                <w:rFonts w:cs="Calibri"/>
                <w:b/>
                <w:bCs/>
                <w:color w:val="auto"/>
                <w:sz w:val="14"/>
                <w:szCs w:val="14"/>
              </w:rPr>
            </w:pPr>
            <w:r w:rsidRPr="00386644">
              <w:rPr>
                <w:b/>
                <w:color w:val="auto"/>
                <w:sz w:val="14"/>
                <w:szCs w:val="14"/>
              </w:rPr>
              <w:t>12,27</w:t>
            </w:r>
          </w:p>
        </w:tc>
        <w:tc>
          <w:tcPr>
            <w:tcW w:w="774" w:type="dxa"/>
            <w:shd w:val="clear" w:color="auto" w:fill="C5E0B3"/>
          </w:tcPr>
          <w:p w14:paraId="1689E2DD" w14:textId="77777777" w:rsidR="00386644" w:rsidRPr="00386644" w:rsidRDefault="00386644">
            <w:pPr>
              <w:pStyle w:val="Tabele"/>
              <w:jc w:val="right"/>
              <w:rPr>
                <w:b/>
                <w:color w:val="auto"/>
                <w:sz w:val="14"/>
                <w:szCs w:val="14"/>
              </w:rPr>
            </w:pPr>
            <w:r w:rsidRPr="00386644">
              <w:rPr>
                <w:b/>
                <w:color w:val="auto"/>
                <w:sz w:val="14"/>
                <w:szCs w:val="14"/>
              </w:rPr>
              <w:t>15,29</w:t>
            </w:r>
          </w:p>
        </w:tc>
        <w:tc>
          <w:tcPr>
            <w:tcW w:w="774" w:type="dxa"/>
            <w:shd w:val="clear" w:color="auto" w:fill="C5E0B3"/>
          </w:tcPr>
          <w:p w14:paraId="42D0F7E6" w14:textId="77777777" w:rsidR="00386644" w:rsidRPr="00386644" w:rsidRDefault="00386644">
            <w:pPr>
              <w:pStyle w:val="Tabele"/>
              <w:jc w:val="right"/>
              <w:rPr>
                <w:b/>
                <w:color w:val="auto"/>
                <w:sz w:val="14"/>
                <w:szCs w:val="14"/>
              </w:rPr>
            </w:pPr>
            <w:r w:rsidRPr="00386644">
              <w:rPr>
                <w:b/>
                <w:color w:val="auto"/>
                <w:sz w:val="14"/>
                <w:szCs w:val="14"/>
              </w:rPr>
              <w:t>4,15</w:t>
            </w:r>
          </w:p>
        </w:tc>
        <w:tc>
          <w:tcPr>
            <w:tcW w:w="774" w:type="dxa"/>
            <w:shd w:val="clear" w:color="auto" w:fill="C5E0B3"/>
          </w:tcPr>
          <w:p w14:paraId="65C3148F" w14:textId="77777777" w:rsidR="00386644" w:rsidRPr="00386644" w:rsidRDefault="00386644">
            <w:pPr>
              <w:pStyle w:val="Tabele"/>
              <w:jc w:val="right"/>
              <w:rPr>
                <w:b/>
                <w:color w:val="auto"/>
                <w:sz w:val="14"/>
                <w:szCs w:val="14"/>
              </w:rPr>
            </w:pPr>
            <w:r w:rsidRPr="00386644">
              <w:rPr>
                <w:b/>
                <w:color w:val="auto"/>
                <w:sz w:val="14"/>
                <w:szCs w:val="14"/>
              </w:rPr>
              <w:t>2,62</w:t>
            </w:r>
          </w:p>
        </w:tc>
        <w:tc>
          <w:tcPr>
            <w:tcW w:w="774" w:type="dxa"/>
            <w:shd w:val="clear" w:color="auto" w:fill="C5E0B3"/>
          </w:tcPr>
          <w:p w14:paraId="07F8A245" w14:textId="77777777" w:rsidR="00386644" w:rsidRPr="00386644" w:rsidRDefault="00386644">
            <w:pPr>
              <w:pStyle w:val="Tabele"/>
              <w:jc w:val="right"/>
              <w:rPr>
                <w:b/>
                <w:color w:val="auto"/>
                <w:sz w:val="14"/>
                <w:szCs w:val="14"/>
              </w:rPr>
            </w:pPr>
            <w:r w:rsidRPr="00386644">
              <w:rPr>
                <w:b/>
                <w:color w:val="auto"/>
                <w:sz w:val="14"/>
                <w:szCs w:val="14"/>
              </w:rPr>
              <w:t>1,84</w:t>
            </w:r>
          </w:p>
        </w:tc>
        <w:tc>
          <w:tcPr>
            <w:tcW w:w="774" w:type="dxa"/>
          </w:tcPr>
          <w:p w14:paraId="6875EF41" w14:textId="77777777" w:rsidR="00386644" w:rsidRPr="00386644" w:rsidRDefault="00386644">
            <w:pPr>
              <w:pStyle w:val="Tabele"/>
              <w:jc w:val="right"/>
              <w:rPr>
                <w:b/>
                <w:bCs/>
                <w:color w:val="auto"/>
                <w:sz w:val="14"/>
                <w:szCs w:val="14"/>
                <w:highlight w:val="yellow"/>
              </w:rPr>
            </w:pPr>
            <w:r w:rsidRPr="00386644">
              <w:rPr>
                <w:b/>
                <w:color w:val="auto"/>
                <w:sz w:val="14"/>
                <w:szCs w:val="14"/>
              </w:rPr>
              <w:t>2,44</w:t>
            </w:r>
          </w:p>
        </w:tc>
        <w:tc>
          <w:tcPr>
            <w:tcW w:w="774" w:type="dxa"/>
          </w:tcPr>
          <w:p w14:paraId="0F6887AD" w14:textId="77777777" w:rsidR="00386644" w:rsidRPr="00386644" w:rsidRDefault="00386644">
            <w:pPr>
              <w:pStyle w:val="Tabele"/>
              <w:jc w:val="right"/>
              <w:rPr>
                <w:b/>
                <w:bCs/>
                <w:color w:val="auto"/>
                <w:sz w:val="14"/>
                <w:szCs w:val="14"/>
                <w:highlight w:val="yellow"/>
              </w:rPr>
            </w:pPr>
            <w:r w:rsidRPr="00386644">
              <w:rPr>
                <w:b/>
                <w:color w:val="auto"/>
                <w:sz w:val="14"/>
                <w:szCs w:val="14"/>
              </w:rPr>
              <w:t>2,46</w:t>
            </w:r>
          </w:p>
        </w:tc>
        <w:tc>
          <w:tcPr>
            <w:tcW w:w="774" w:type="dxa"/>
          </w:tcPr>
          <w:p w14:paraId="3829C360" w14:textId="77777777" w:rsidR="00386644" w:rsidRPr="00386644" w:rsidRDefault="00386644">
            <w:pPr>
              <w:pStyle w:val="Tabele"/>
              <w:jc w:val="right"/>
              <w:rPr>
                <w:b/>
                <w:bCs/>
                <w:color w:val="auto"/>
                <w:sz w:val="14"/>
                <w:szCs w:val="14"/>
                <w:highlight w:val="yellow"/>
              </w:rPr>
            </w:pPr>
            <w:r w:rsidRPr="00386644">
              <w:rPr>
                <w:b/>
                <w:color w:val="auto"/>
                <w:sz w:val="14"/>
                <w:szCs w:val="14"/>
              </w:rPr>
              <w:t>2,48</w:t>
            </w:r>
          </w:p>
        </w:tc>
        <w:tc>
          <w:tcPr>
            <w:tcW w:w="863" w:type="dxa"/>
          </w:tcPr>
          <w:p w14:paraId="35391750" w14:textId="77777777" w:rsidR="00386644" w:rsidRPr="00386644" w:rsidRDefault="00386644">
            <w:pPr>
              <w:pStyle w:val="Tabele"/>
              <w:jc w:val="right"/>
              <w:rPr>
                <w:b/>
                <w:bCs/>
                <w:color w:val="auto"/>
                <w:sz w:val="14"/>
                <w:szCs w:val="14"/>
                <w:highlight w:val="yellow"/>
              </w:rPr>
            </w:pPr>
            <w:r w:rsidRPr="00386644">
              <w:rPr>
                <w:b/>
                <w:color w:val="auto"/>
                <w:sz w:val="14"/>
                <w:szCs w:val="14"/>
              </w:rPr>
              <w:t>2,49</w:t>
            </w:r>
          </w:p>
        </w:tc>
      </w:tr>
      <w:tr w:rsidR="00386644" w:rsidRPr="00520300" w14:paraId="20F7858E" w14:textId="77777777" w:rsidTr="00386644">
        <w:trPr>
          <w:gridAfter w:val="1"/>
          <w:wAfter w:w="8" w:type="dxa"/>
          <w:trHeight w:val="227"/>
        </w:trPr>
        <w:tc>
          <w:tcPr>
            <w:tcW w:w="1963" w:type="dxa"/>
          </w:tcPr>
          <w:p w14:paraId="436469D0" w14:textId="77777777" w:rsidR="00386644" w:rsidRPr="00386644" w:rsidRDefault="00386644">
            <w:pPr>
              <w:pStyle w:val="Tabele"/>
              <w:rPr>
                <w:b/>
                <w:color w:val="auto"/>
                <w:sz w:val="14"/>
                <w:szCs w:val="14"/>
              </w:rPr>
            </w:pPr>
            <w:r w:rsidRPr="00386644">
              <w:rPr>
                <w:rFonts w:cs="Calibri"/>
                <w:color w:val="auto"/>
                <w:sz w:val="14"/>
                <w:szCs w:val="14"/>
              </w:rPr>
              <w:t xml:space="preserve">B. Przemysł chemiczny </w:t>
            </w:r>
          </w:p>
        </w:tc>
        <w:tc>
          <w:tcPr>
            <w:tcW w:w="720" w:type="dxa"/>
            <w:shd w:val="clear" w:color="auto" w:fill="C5E0B3"/>
          </w:tcPr>
          <w:p w14:paraId="7E3C24EE" w14:textId="77777777" w:rsidR="00386644" w:rsidRPr="00386644" w:rsidRDefault="00386644">
            <w:pPr>
              <w:pStyle w:val="Tabele"/>
              <w:jc w:val="right"/>
              <w:rPr>
                <w:rFonts w:cs="Calibri"/>
                <w:color w:val="auto"/>
                <w:sz w:val="14"/>
                <w:szCs w:val="14"/>
              </w:rPr>
            </w:pPr>
            <w:r w:rsidRPr="00386644">
              <w:rPr>
                <w:color w:val="auto"/>
                <w:sz w:val="14"/>
                <w:szCs w:val="14"/>
              </w:rPr>
              <w:t>11,87</w:t>
            </w:r>
          </w:p>
        </w:tc>
        <w:tc>
          <w:tcPr>
            <w:tcW w:w="774" w:type="dxa"/>
            <w:shd w:val="clear" w:color="auto" w:fill="C5E0B3"/>
          </w:tcPr>
          <w:p w14:paraId="6461AC87" w14:textId="77777777" w:rsidR="00386644" w:rsidRPr="00386644" w:rsidRDefault="00386644">
            <w:pPr>
              <w:pStyle w:val="Tabele"/>
              <w:jc w:val="right"/>
              <w:rPr>
                <w:color w:val="auto"/>
                <w:sz w:val="14"/>
                <w:szCs w:val="14"/>
              </w:rPr>
            </w:pPr>
            <w:r w:rsidRPr="00386644">
              <w:rPr>
                <w:color w:val="auto"/>
                <w:sz w:val="14"/>
                <w:szCs w:val="14"/>
              </w:rPr>
              <w:t>14,87</w:t>
            </w:r>
          </w:p>
        </w:tc>
        <w:tc>
          <w:tcPr>
            <w:tcW w:w="774" w:type="dxa"/>
            <w:shd w:val="clear" w:color="auto" w:fill="C5E0B3"/>
          </w:tcPr>
          <w:p w14:paraId="1224B0CE" w14:textId="77777777" w:rsidR="00386644" w:rsidRPr="00386644" w:rsidRDefault="00386644">
            <w:pPr>
              <w:pStyle w:val="Tabele"/>
              <w:jc w:val="right"/>
              <w:rPr>
                <w:color w:val="auto"/>
                <w:sz w:val="14"/>
                <w:szCs w:val="14"/>
              </w:rPr>
            </w:pPr>
            <w:r w:rsidRPr="00386644">
              <w:rPr>
                <w:color w:val="auto"/>
                <w:sz w:val="14"/>
                <w:szCs w:val="14"/>
              </w:rPr>
              <w:t>3,71</w:t>
            </w:r>
          </w:p>
        </w:tc>
        <w:tc>
          <w:tcPr>
            <w:tcW w:w="774" w:type="dxa"/>
            <w:shd w:val="clear" w:color="auto" w:fill="C5E0B3"/>
          </w:tcPr>
          <w:p w14:paraId="249F88AF" w14:textId="77777777" w:rsidR="00386644" w:rsidRPr="00386644" w:rsidRDefault="00386644">
            <w:pPr>
              <w:pStyle w:val="Tabele"/>
              <w:jc w:val="right"/>
              <w:rPr>
                <w:color w:val="auto"/>
                <w:sz w:val="14"/>
                <w:szCs w:val="14"/>
              </w:rPr>
            </w:pPr>
            <w:r w:rsidRPr="00386644">
              <w:rPr>
                <w:color w:val="auto"/>
                <w:sz w:val="14"/>
                <w:szCs w:val="14"/>
              </w:rPr>
              <w:t>2,18</w:t>
            </w:r>
          </w:p>
        </w:tc>
        <w:tc>
          <w:tcPr>
            <w:tcW w:w="774" w:type="dxa"/>
            <w:shd w:val="clear" w:color="auto" w:fill="C5E0B3"/>
          </w:tcPr>
          <w:p w14:paraId="174B5DBF" w14:textId="77777777" w:rsidR="00386644" w:rsidRPr="00386644" w:rsidRDefault="00386644">
            <w:pPr>
              <w:pStyle w:val="Tabele"/>
              <w:jc w:val="right"/>
              <w:rPr>
                <w:color w:val="auto"/>
                <w:sz w:val="14"/>
                <w:szCs w:val="14"/>
              </w:rPr>
            </w:pPr>
            <w:r w:rsidRPr="00386644">
              <w:rPr>
                <w:color w:val="auto"/>
                <w:sz w:val="14"/>
                <w:szCs w:val="14"/>
              </w:rPr>
              <w:t>1,39</w:t>
            </w:r>
          </w:p>
        </w:tc>
        <w:tc>
          <w:tcPr>
            <w:tcW w:w="774" w:type="dxa"/>
          </w:tcPr>
          <w:p w14:paraId="41581665" w14:textId="77777777" w:rsidR="00386644" w:rsidRPr="00386644" w:rsidRDefault="00386644">
            <w:pPr>
              <w:pStyle w:val="Tabele"/>
              <w:jc w:val="right"/>
              <w:rPr>
                <w:b/>
                <w:bCs/>
                <w:color w:val="auto"/>
                <w:sz w:val="14"/>
                <w:szCs w:val="14"/>
                <w:highlight w:val="yellow"/>
              </w:rPr>
            </w:pPr>
            <w:r w:rsidRPr="00386644">
              <w:rPr>
                <w:color w:val="auto"/>
                <w:sz w:val="14"/>
                <w:szCs w:val="14"/>
              </w:rPr>
              <w:t>1,98</w:t>
            </w:r>
          </w:p>
        </w:tc>
        <w:tc>
          <w:tcPr>
            <w:tcW w:w="774" w:type="dxa"/>
          </w:tcPr>
          <w:p w14:paraId="6B5FE865" w14:textId="77777777" w:rsidR="00386644" w:rsidRPr="00386644" w:rsidRDefault="00386644">
            <w:pPr>
              <w:pStyle w:val="Tabele"/>
              <w:jc w:val="right"/>
              <w:rPr>
                <w:b/>
                <w:bCs/>
                <w:color w:val="auto"/>
                <w:sz w:val="14"/>
                <w:szCs w:val="14"/>
                <w:highlight w:val="yellow"/>
              </w:rPr>
            </w:pPr>
            <w:r w:rsidRPr="00386644">
              <w:rPr>
                <w:color w:val="auto"/>
                <w:sz w:val="14"/>
                <w:szCs w:val="14"/>
              </w:rPr>
              <w:t>1,99</w:t>
            </w:r>
          </w:p>
        </w:tc>
        <w:tc>
          <w:tcPr>
            <w:tcW w:w="774" w:type="dxa"/>
          </w:tcPr>
          <w:p w14:paraId="59636460" w14:textId="77777777" w:rsidR="00386644" w:rsidRPr="00386644" w:rsidRDefault="00386644">
            <w:pPr>
              <w:pStyle w:val="Tabele"/>
              <w:jc w:val="right"/>
              <w:rPr>
                <w:b/>
                <w:bCs/>
                <w:color w:val="auto"/>
                <w:sz w:val="14"/>
                <w:szCs w:val="14"/>
                <w:highlight w:val="yellow"/>
              </w:rPr>
            </w:pPr>
            <w:r w:rsidRPr="00386644">
              <w:rPr>
                <w:color w:val="auto"/>
                <w:sz w:val="14"/>
                <w:szCs w:val="14"/>
              </w:rPr>
              <w:t>2,00</w:t>
            </w:r>
          </w:p>
        </w:tc>
        <w:tc>
          <w:tcPr>
            <w:tcW w:w="863" w:type="dxa"/>
          </w:tcPr>
          <w:p w14:paraId="550E901D" w14:textId="77777777" w:rsidR="00386644" w:rsidRPr="00386644" w:rsidRDefault="00386644">
            <w:pPr>
              <w:pStyle w:val="Tabele"/>
              <w:jc w:val="right"/>
              <w:rPr>
                <w:b/>
                <w:bCs/>
                <w:color w:val="auto"/>
                <w:sz w:val="14"/>
                <w:szCs w:val="14"/>
                <w:highlight w:val="yellow"/>
              </w:rPr>
            </w:pPr>
            <w:r w:rsidRPr="00386644">
              <w:rPr>
                <w:color w:val="auto"/>
                <w:sz w:val="14"/>
                <w:szCs w:val="14"/>
              </w:rPr>
              <w:t>2,00</w:t>
            </w:r>
          </w:p>
        </w:tc>
      </w:tr>
      <w:tr w:rsidR="00386644" w:rsidRPr="00520300" w14:paraId="23D6700A" w14:textId="77777777" w:rsidTr="00386644">
        <w:trPr>
          <w:gridAfter w:val="1"/>
          <w:wAfter w:w="8" w:type="dxa"/>
          <w:trHeight w:val="227"/>
        </w:trPr>
        <w:tc>
          <w:tcPr>
            <w:tcW w:w="1963" w:type="dxa"/>
          </w:tcPr>
          <w:p w14:paraId="52CB5A26" w14:textId="77777777" w:rsidR="00386644" w:rsidRPr="00386644" w:rsidRDefault="00386644">
            <w:pPr>
              <w:pStyle w:val="Tabele"/>
              <w:rPr>
                <w:b/>
                <w:color w:val="auto"/>
                <w:sz w:val="14"/>
                <w:szCs w:val="14"/>
              </w:rPr>
            </w:pPr>
            <w:r w:rsidRPr="00386644">
              <w:rPr>
                <w:rFonts w:cs="Calibri"/>
                <w:color w:val="auto"/>
                <w:sz w:val="14"/>
                <w:szCs w:val="14"/>
              </w:rPr>
              <w:t xml:space="preserve">G. Produkcja i użytkowanie innych wyrobów </w:t>
            </w:r>
          </w:p>
        </w:tc>
        <w:tc>
          <w:tcPr>
            <w:tcW w:w="720" w:type="dxa"/>
            <w:shd w:val="clear" w:color="auto" w:fill="C5E0B3"/>
          </w:tcPr>
          <w:p w14:paraId="5E4E3B2B" w14:textId="77777777" w:rsidR="00386644" w:rsidRPr="00386644" w:rsidRDefault="00386644">
            <w:pPr>
              <w:pStyle w:val="Tabele"/>
              <w:jc w:val="right"/>
              <w:rPr>
                <w:rFonts w:cs="Calibri"/>
                <w:color w:val="auto"/>
                <w:sz w:val="14"/>
                <w:szCs w:val="14"/>
              </w:rPr>
            </w:pPr>
            <w:r w:rsidRPr="00386644">
              <w:rPr>
                <w:color w:val="auto"/>
                <w:sz w:val="14"/>
                <w:szCs w:val="14"/>
              </w:rPr>
              <w:t>0,40</w:t>
            </w:r>
          </w:p>
        </w:tc>
        <w:tc>
          <w:tcPr>
            <w:tcW w:w="774" w:type="dxa"/>
            <w:shd w:val="clear" w:color="auto" w:fill="C5E0B3"/>
          </w:tcPr>
          <w:p w14:paraId="7A40D8E1" w14:textId="77777777" w:rsidR="00386644" w:rsidRPr="00386644" w:rsidRDefault="00386644">
            <w:pPr>
              <w:pStyle w:val="Tabele"/>
              <w:jc w:val="right"/>
              <w:rPr>
                <w:color w:val="auto"/>
                <w:sz w:val="14"/>
                <w:szCs w:val="14"/>
              </w:rPr>
            </w:pPr>
            <w:r w:rsidRPr="00386644">
              <w:rPr>
                <w:color w:val="auto"/>
                <w:sz w:val="14"/>
                <w:szCs w:val="14"/>
              </w:rPr>
              <w:t>0,43</w:t>
            </w:r>
          </w:p>
        </w:tc>
        <w:tc>
          <w:tcPr>
            <w:tcW w:w="774" w:type="dxa"/>
            <w:shd w:val="clear" w:color="auto" w:fill="C5E0B3"/>
          </w:tcPr>
          <w:p w14:paraId="24CD1E09" w14:textId="77777777" w:rsidR="00386644" w:rsidRPr="00386644" w:rsidRDefault="00386644">
            <w:pPr>
              <w:pStyle w:val="Tabele"/>
              <w:jc w:val="right"/>
              <w:rPr>
                <w:color w:val="auto"/>
                <w:sz w:val="14"/>
                <w:szCs w:val="14"/>
              </w:rPr>
            </w:pPr>
            <w:r w:rsidRPr="00386644">
              <w:rPr>
                <w:color w:val="auto"/>
                <w:sz w:val="14"/>
                <w:szCs w:val="14"/>
              </w:rPr>
              <w:t>0,44</w:t>
            </w:r>
          </w:p>
        </w:tc>
        <w:tc>
          <w:tcPr>
            <w:tcW w:w="774" w:type="dxa"/>
            <w:shd w:val="clear" w:color="auto" w:fill="C5E0B3"/>
          </w:tcPr>
          <w:p w14:paraId="6C060121" w14:textId="77777777" w:rsidR="00386644" w:rsidRPr="00386644" w:rsidRDefault="00386644">
            <w:pPr>
              <w:pStyle w:val="Tabele"/>
              <w:jc w:val="right"/>
              <w:rPr>
                <w:color w:val="auto"/>
                <w:sz w:val="14"/>
                <w:szCs w:val="14"/>
              </w:rPr>
            </w:pPr>
            <w:r w:rsidRPr="00386644">
              <w:rPr>
                <w:color w:val="auto"/>
                <w:sz w:val="14"/>
                <w:szCs w:val="14"/>
              </w:rPr>
              <w:t>0,44</w:t>
            </w:r>
          </w:p>
        </w:tc>
        <w:tc>
          <w:tcPr>
            <w:tcW w:w="774" w:type="dxa"/>
            <w:shd w:val="clear" w:color="auto" w:fill="C5E0B3"/>
          </w:tcPr>
          <w:p w14:paraId="3D66423A" w14:textId="77777777" w:rsidR="00386644" w:rsidRPr="00386644" w:rsidRDefault="00386644">
            <w:pPr>
              <w:pStyle w:val="Tabele"/>
              <w:jc w:val="right"/>
              <w:rPr>
                <w:color w:val="auto"/>
                <w:sz w:val="14"/>
                <w:szCs w:val="14"/>
              </w:rPr>
            </w:pPr>
            <w:r w:rsidRPr="00386644">
              <w:rPr>
                <w:color w:val="auto"/>
                <w:sz w:val="14"/>
                <w:szCs w:val="14"/>
              </w:rPr>
              <w:t>0,45</w:t>
            </w:r>
          </w:p>
        </w:tc>
        <w:tc>
          <w:tcPr>
            <w:tcW w:w="774" w:type="dxa"/>
          </w:tcPr>
          <w:p w14:paraId="17079300" w14:textId="77777777" w:rsidR="00386644" w:rsidRPr="00386644" w:rsidRDefault="00386644">
            <w:pPr>
              <w:pStyle w:val="Tabele"/>
              <w:jc w:val="right"/>
              <w:rPr>
                <w:b/>
                <w:bCs/>
                <w:color w:val="auto"/>
                <w:sz w:val="14"/>
                <w:szCs w:val="14"/>
                <w:highlight w:val="yellow"/>
              </w:rPr>
            </w:pPr>
            <w:r w:rsidRPr="00386644">
              <w:rPr>
                <w:color w:val="auto"/>
                <w:sz w:val="14"/>
                <w:szCs w:val="14"/>
              </w:rPr>
              <w:t>0,46</w:t>
            </w:r>
          </w:p>
        </w:tc>
        <w:tc>
          <w:tcPr>
            <w:tcW w:w="774" w:type="dxa"/>
          </w:tcPr>
          <w:p w14:paraId="189F1801" w14:textId="77777777" w:rsidR="00386644" w:rsidRPr="00386644" w:rsidRDefault="00386644">
            <w:pPr>
              <w:pStyle w:val="Tabele"/>
              <w:jc w:val="right"/>
              <w:rPr>
                <w:b/>
                <w:bCs/>
                <w:color w:val="auto"/>
                <w:sz w:val="14"/>
                <w:szCs w:val="14"/>
                <w:highlight w:val="yellow"/>
              </w:rPr>
            </w:pPr>
            <w:r w:rsidRPr="00386644">
              <w:rPr>
                <w:color w:val="auto"/>
                <w:sz w:val="14"/>
                <w:szCs w:val="14"/>
              </w:rPr>
              <w:t>0,47</w:t>
            </w:r>
          </w:p>
        </w:tc>
        <w:tc>
          <w:tcPr>
            <w:tcW w:w="774" w:type="dxa"/>
          </w:tcPr>
          <w:p w14:paraId="2A68B043" w14:textId="77777777" w:rsidR="00386644" w:rsidRPr="00386644" w:rsidRDefault="00386644">
            <w:pPr>
              <w:pStyle w:val="Tabele"/>
              <w:jc w:val="right"/>
              <w:rPr>
                <w:b/>
                <w:bCs/>
                <w:color w:val="auto"/>
                <w:sz w:val="14"/>
                <w:szCs w:val="14"/>
                <w:highlight w:val="yellow"/>
              </w:rPr>
            </w:pPr>
            <w:r w:rsidRPr="00386644">
              <w:rPr>
                <w:color w:val="auto"/>
                <w:sz w:val="14"/>
                <w:szCs w:val="14"/>
              </w:rPr>
              <w:t>0,48</w:t>
            </w:r>
          </w:p>
        </w:tc>
        <w:tc>
          <w:tcPr>
            <w:tcW w:w="863" w:type="dxa"/>
          </w:tcPr>
          <w:p w14:paraId="0D3EC246" w14:textId="77777777" w:rsidR="00386644" w:rsidRPr="00386644" w:rsidRDefault="00386644">
            <w:pPr>
              <w:pStyle w:val="Tabele"/>
              <w:jc w:val="right"/>
              <w:rPr>
                <w:b/>
                <w:bCs/>
                <w:color w:val="auto"/>
                <w:sz w:val="14"/>
                <w:szCs w:val="14"/>
                <w:highlight w:val="yellow"/>
              </w:rPr>
            </w:pPr>
            <w:r w:rsidRPr="00386644">
              <w:rPr>
                <w:color w:val="auto"/>
                <w:sz w:val="14"/>
                <w:szCs w:val="14"/>
              </w:rPr>
              <w:t>0,49</w:t>
            </w:r>
          </w:p>
        </w:tc>
      </w:tr>
      <w:tr w:rsidR="00386644" w:rsidRPr="00520300" w14:paraId="43A99144" w14:textId="77777777" w:rsidTr="00386644">
        <w:trPr>
          <w:gridAfter w:val="1"/>
          <w:wAfter w:w="8" w:type="dxa"/>
          <w:trHeight w:val="227"/>
        </w:trPr>
        <w:tc>
          <w:tcPr>
            <w:tcW w:w="1963" w:type="dxa"/>
          </w:tcPr>
          <w:p w14:paraId="7494F90F" w14:textId="77777777" w:rsidR="00386644" w:rsidRPr="00386644" w:rsidRDefault="00386644">
            <w:pPr>
              <w:pStyle w:val="Tabele"/>
              <w:rPr>
                <w:color w:val="auto"/>
                <w:sz w:val="14"/>
                <w:szCs w:val="14"/>
              </w:rPr>
            </w:pPr>
            <w:r w:rsidRPr="00386644">
              <w:rPr>
                <w:rFonts w:cs="Calibri"/>
                <w:b/>
                <w:bCs/>
                <w:color w:val="auto"/>
                <w:sz w:val="14"/>
                <w:szCs w:val="14"/>
              </w:rPr>
              <w:t xml:space="preserve">3. Rolnictwo </w:t>
            </w:r>
          </w:p>
        </w:tc>
        <w:tc>
          <w:tcPr>
            <w:tcW w:w="720" w:type="dxa"/>
            <w:shd w:val="clear" w:color="auto" w:fill="C5E0B3"/>
          </w:tcPr>
          <w:p w14:paraId="1223B4F4" w14:textId="77777777" w:rsidR="00386644" w:rsidRPr="00386644" w:rsidRDefault="00386644">
            <w:pPr>
              <w:pStyle w:val="Tabele"/>
              <w:jc w:val="right"/>
              <w:rPr>
                <w:rFonts w:cs="Calibri"/>
                <w:b/>
                <w:bCs/>
                <w:color w:val="auto"/>
                <w:sz w:val="14"/>
                <w:szCs w:val="14"/>
              </w:rPr>
            </w:pPr>
            <w:r w:rsidRPr="00386644">
              <w:rPr>
                <w:color w:val="auto"/>
                <w:sz w:val="14"/>
                <w:szCs w:val="14"/>
              </w:rPr>
              <w:t>83,08</w:t>
            </w:r>
          </w:p>
        </w:tc>
        <w:tc>
          <w:tcPr>
            <w:tcW w:w="774" w:type="dxa"/>
            <w:shd w:val="clear" w:color="auto" w:fill="C5E0B3"/>
          </w:tcPr>
          <w:p w14:paraId="7EE1BBE5" w14:textId="77777777" w:rsidR="00386644" w:rsidRPr="00386644" w:rsidRDefault="00386644">
            <w:pPr>
              <w:pStyle w:val="Tabele"/>
              <w:jc w:val="right"/>
              <w:rPr>
                <w:b/>
                <w:color w:val="auto"/>
                <w:sz w:val="14"/>
                <w:szCs w:val="14"/>
              </w:rPr>
            </w:pPr>
            <w:r w:rsidRPr="00386644">
              <w:rPr>
                <w:color w:val="auto"/>
                <w:sz w:val="14"/>
                <w:szCs w:val="14"/>
              </w:rPr>
              <w:t>57,01</w:t>
            </w:r>
          </w:p>
        </w:tc>
        <w:tc>
          <w:tcPr>
            <w:tcW w:w="774" w:type="dxa"/>
            <w:shd w:val="clear" w:color="auto" w:fill="C5E0B3"/>
          </w:tcPr>
          <w:p w14:paraId="34F2366E" w14:textId="77777777" w:rsidR="00386644" w:rsidRPr="00386644" w:rsidRDefault="00386644">
            <w:pPr>
              <w:pStyle w:val="Tabele"/>
              <w:jc w:val="right"/>
              <w:rPr>
                <w:b/>
                <w:color w:val="auto"/>
                <w:sz w:val="14"/>
                <w:szCs w:val="14"/>
              </w:rPr>
            </w:pPr>
            <w:r w:rsidRPr="00386644">
              <w:rPr>
                <w:color w:val="auto"/>
                <w:sz w:val="14"/>
                <w:szCs w:val="14"/>
              </w:rPr>
              <w:t>58,94</w:t>
            </w:r>
          </w:p>
        </w:tc>
        <w:tc>
          <w:tcPr>
            <w:tcW w:w="774" w:type="dxa"/>
            <w:shd w:val="clear" w:color="auto" w:fill="C5E0B3"/>
          </w:tcPr>
          <w:p w14:paraId="4B1EE5B7" w14:textId="77777777" w:rsidR="00386644" w:rsidRPr="00386644" w:rsidRDefault="00386644">
            <w:pPr>
              <w:pStyle w:val="Tabele"/>
              <w:jc w:val="right"/>
              <w:rPr>
                <w:b/>
                <w:color w:val="auto"/>
                <w:sz w:val="14"/>
                <w:szCs w:val="14"/>
              </w:rPr>
            </w:pPr>
            <w:r w:rsidRPr="00386644">
              <w:rPr>
                <w:color w:val="auto"/>
                <w:sz w:val="14"/>
                <w:szCs w:val="14"/>
              </w:rPr>
              <w:t>58,32</w:t>
            </w:r>
          </w:p>
        </w:tc>
        <w:tc>
          <w:tcPr>
            <w:tcW w:w="774" w:type="dxa"/>
            <w:shd w:val="clear" w:color="auto" w:fill="C5E0B3"/>
          </w:tcPr>
          <w:p w14:paraId="7B5F6974" w14:textId="77777777" w:rsidR="00386644" w:rsidRPr="00386644" w:rsidRDefault="00386644">
            <w:pPr>
              <w:pStyle w:val="Tabele"/>
              <w:jc w:val="right"/>
              <w:rPr>
                <w:b/>
                <w:color w:val="auto"/>
                <w:sz w:val="14"/>
                <w:szCs w:val="14"/>
              </w:rPr>
            </w:pPr>
            <w:r w:rsidRPr="00386644">
              <w:rPr>
                <w:color w:val="auto"/>
                <w:sz w:val="14"/>
                <w:szCs w:val="14"/>
              </w:rPr>
              <w:t>62,51</w:t>
            </w:r>
          </w:p>
        </w:tc>
        <w:tc>
          <w:tcPr>
            <w:tcW w:w="774" w:type="dxa"/>
          </w:tcPr>
          <w:p w14:paraId="165D8E64" w14:textId="77777777" w:rsidR="00386644" w:rsidRPr="00386644" w:rsidRDefault="00386644">
            <w:pPr>
              <w:pStyle w:val="Tabele"/>
              <w:jc w:val="right"/>
              <w:rPr>
                <w:b/>
                <w:bCs/>
                <w:color w:val="auto"/>
                <w:sz w:val="14"/>
                <w:szCs w:val="14"/>
                <w:highlight w:val="yellow"/>
              </w:rPr>
            </w:pPr>
            <w:r w:rsidRPr="00386644">
              <w:rPr>
                <w:color w:val="auto"/>
                <w:sz w:val="14"/>
                <w:szCs w:val="14"/>
              </w:rPr>
              <w:t>59,82</w:t>
            </w:r>
          </w:p>
        </w:tc>
        <w:tc>
          <w:tcPr>
            <w:tcW w:w="774" w:type="dxa"/>
          </w:tcPr>
          <w:p w14:paraId="1E2C4090" w14:textId="77777777" w:rsidR="00386644" w:rsidRPr="00386644" w:rsidRDefault="00386644">
            <w:pPr>
              <w:pStyle w:val="Tabele"/>
              <w:jc w:val="right"/>
              <w:rPr>
                <w:b/>
                <w:bCs/>
                <w:color w:val="auto"/>
                <w:sz w:val="14"/>
                <w:szCs w:val="14"/>
                <w:highlight w:val="yellow"/>
              </w:rPr>
            </w:pPr>
            <w:r w:rsidRPr="00386644">
              <w:rPr>
                <w:color w:val="auto"/>
                <w:sz w:val="14"/>
                <w:szCs w:val="14"/>
              </w:rPr>
              <w:t>56,66</w:t>
            </w:r>
          </w:p>
        </w:tc>
        <w:tc>
          <w:tcPr>
            <w:tcW w:w="774" w:type="dxa"/>
          </w:tcPr>
          <w:p w14:paraId="22B58A90" w14:textId="77777777" w:rsidR="00386644" w:rsidRPr="00386644" w:rsidRDefault="00386644">
            <w:pPr>
              <w:pStyle w:val="Tabele"/>
              <w:jc w:val="right"/>
              <w:rPr>
                <w:b/>
                <w:bCs/>
                <w:color w:val="auto"/>
                <w:sz w:val="14"/>
                <w:szCs w:val="14"/>
                <w:highlight w:val="yellow"/>
              </w:rPr>
            </w:pPr>
            <w:r w:rsidRPr="00386644">
              <w:rPr>
                <w:color w:val="auto"/>
                <w:sz w:val="14"/>
                <w:szCs w:val="14"/>
              </w:rPr>
              <w:t>55,71</w:t>
            </w:r>
          </w:p>
        </w:tc>
        <w:tc>
          <w:tcPr>
            <w:tcW w:w="863" w:type="dxa"/>
          </w:tcPr>
          <w:p w14:paraId="29917D45" w14:textId="77777777" w:rsidR="00386644" w:rsidRPr="00386644" w:rsidRDefault="00386644">
            <w:pPr>
              <w:pStyle w:val="Tabele"/>
              <w:jc w:val="right"/>
              <w:rPr>
                <w:b/>
                <w:bCs/>
                <w:color w:val="auto"/>
                <w:sz w:val="14"/>
                <w:szCs w:val="14"/>
                <w:highlight w:val="yellow"/>
              </w:rPr>
            </w:pPr>
            <w:r w:rsidRPr="00386644">
              <w:rPr>
                <w:color w:val="auto"/>
                <w:sz w:val="14"/>
                <w:szCs w:val="14"/>
              </w:rPr>
              <w:t>53,12</w:t>
            </w:r>
          </w:p>
        </w:tc>
      </w:tr>
      <w:tr w:rsidR="00386644" w:rsidRPr="00520300" w14:paraId="6B604413" w14:textId="77777777" w:rsidTr="00386644">
        <w:trPr>
          <w:gridAfter w:val="1"/>
          <w:wAfter w:w="8" w:type="dxa"/>
          <w:trHeight w:val="227"/>
        </w:trPr>
        <w:tc>
          <w:tcPr>
            <w:tcW w:w="1963" w:type="dxa"/>
          </w:tcPr>
          <w:p w14:paraId="5B36AE8D" w14:textId="77777777" w:rsidR="00386644" w:rsidRPr="00386644" w:rsidRDefault="00386644">
            <w:pPr>
              <w:pStyle w:val="Tabele"/>
              <w:rPr>
                <w:b/>
                <w:color w:val="auto"/>
                <w:sz w:val="14"/>
                <w:szCs w:val="14"/>
              </w:rPr>
            </w:pPr>
            <w:r w:rsidRPr="00386644">
              <w:rPr>
                <w:rFonts w:cs="Calibri"/>
                <w:color w:val="auto"/>
                <w:sz w:val="14"/>
                <w:szCs w:val="14"/>
              </w:rPr>
              <w:t xml:space="preserve">B. Odchody zwierzęce </w:t>
            </w:r>
          </w:p>
        </w:tc>
        <w:tc>
          <w:tcPr>
            <w:tcW w:w="720" w:type="dxa"/>
            <w:shd w:val="clear" w:color="auto" w:fill="C5E0B3"/>
          </w:tcPr>
          <w:p w14:paraId="5BD330B0" w14:textId="77777777" w:rsidR="00386644" w:rsidRPr="00386644" w:rsidRDefault="00386644">
            <w:pPr>
              <w:pStyle w:val="Tabele"/>
              <w:jc w:val="right"/>
              <w:rPr>
                <w:rFonts w:cs="Calibri"/>
                <w:color w:val="auto"/>
                <w:sz w:val="14"/>
                <w:szCs w:val="14"/>
              </w:rPr>
            </w:pPr>
            <w:r w:rsidRPr="00386644">
              <w:rPr>
                <w:color w:val="auto"/>
                <w:sz w:val="14"/>
                <w:szCs w:val="14"/>
              </w:rPr>
              <w:t>13,68</w:t>
            </w:r>
          </w:p>
        </w:tc>
        <w:tc>
          <w:tcPr>
            <w:tcW w:w="774" w:type="dxa"/>
            <w:shd w:val="clear" w:color="auto" w:fill="C5E0B3"/>
          </w:tcPr>
          <w:p w14:paraId="4FFFA521" w14:textId="77777777" w:rsidR="00386644" w:rsidRPr="00386644" w:rsidRDefault="00386644">
            <w:pPr>
              <w:pStyle w:val="Tabele"/>
              <w:jc w:val="right"/>
              <w:rPr>
                <w:color w:val="auto"/>
                <w:sz w:val="14"/>
                <w:szCs w:val="14"/>
              </w:rPr>
            </w:pPr>
            <w:r w:rsidRPr="00386644">
              <w:rPr>
                <w:color w:val="auto"/>
                <w:sz w:val="14"/>
                <w:szCs w:val="14"/>
              </w:rPr>
              <w:t>8,90</w:t>
            </w:r>
          </w:p>
        </w:tc>
        <w:tc>
          <w:tcPr>
            <w:tcW w:w="774" w:type="dxa"/>
            <w:shd w:val="clear" w:color="auto" w:fill="C5E0B3"/>
          </w:tcPr>
          <w:p w14:paraId="1D6ED0FC" w14:textId="77777777" w:rsidR="00386644" w:rsidRPr="00386644" w:rsidRDefault="00386644">
            <w:pPr>
              <w:pStyle w:val="Tabele"/>
              <w:jc w:val="right"/>
              <w:rPr>
                <w:color w:val="auto"/>
                <w:sz w:val="14"/>
                <w:szCs w:val="14"/>
              </w:rPr>
            </w:pPr>
            <w:r w:rsidRPr="00386644">
              <w:rPr>
                <w:color w:val="auto"/>
                <w:sz w:val="14"/>
                <w:szCs w:val="14"/>
              </w:rPr>
              <w:t>8,75</w:t>
            </w:r>
          </w:p>
        </w:tc>
        <w:tc>
          <w:tcPr>
            <w:tcW w:w="774" w:type="dxa"/>
            <w:shd w:val="clear" w:color="auto" w:fill="C5E0B3"/>
          </w:tcPr>
          <w:p w14:paraId="3F541FE6" w14:textId="77777777" w:rsidR="00386644" w:rsidRPr="00386644" w:rsidRDefault="00386644">
            <w:pPr>
              <w:pStyle w:val="Tabele"/>
              <w:jc w:val="right"/>
              <w:rPr>
                <w:color w:val="auto"/>
                <w:sz w:val="14"/>
                <w:szCs w:val="14"/>
              </w:rPr>
            </w:pPr>
            <w:r w:rsidRPr="00386644">
              <w:rPr>
                <w:color w:val="auto"/>
                <w:sz w:val="14"/>
                <w:szCs w:val="14"/>
              </w:rPr>
              <w:t>8,57</w:t>
            </w:r>
          </w:p>
        </w:tc>
        <w:tc>
          <w:tcPr>
            <w:tcW w:w="774" w:type="dxa"/>
            <w:shd w:val="clear" w:color="auto" w:fill="C5E0B3"/>
          </w:tcPr>
          <w:p w14:paraId="195897EB" w14:textId="77777777" w:rsidR="00386644" w:rsidRPr="00386644" w:rsidRDefault="00386644">
            <w:pPr>
              <w:pStyle w:val="Tabele"/>
              <w:jc w:val="right"/>
              <w:rPr>
                <w:color w:val="auto"/>
                <w:sz w:val="14"/>
                <w:szCs w:val="14"/>
              </w:rPr>
            </w:pPr>
            <w:r w:rsidRPr="00386644">
              <w:rPr>
                <w:color w:val="auto"/>
                <w:sz w:val="14"/>
                <w:szCs w:val="14"/>
              </w:rPr>
              <w:t>9,66</w:t>
            </w:r>
          </w:p>
        </w:tc>
        <w:tc>
          <w:tcPr>
            <w:tcW w:w="774" w:type="dxa"/>
          </w:tcPr>
          <w:p w14:paraId="76C8D248" w14:textId="77777777" w:rsidR="00386644" w:rsidRPr="00386644" w:rsidRDefault="00386644">
            <w:pPr>
              <w:pStyle w:val="Tabele"/>
              <w:jc w:val="right"/>
              <w:rPr>
                <w:b/>
                <w:bCs/>
                <w:color w:val="auto"/>
                <w:sz w:val="14"/>
                <w:szCs w:val="14"/>
                <w:highlight w:val="yellow"/>
              </w:rPr>
            </w:pPr>
            <w:r w:rsidRPr="00386644">
              <w:rPr>
                <w:color w:val="auto"/>
                <w:sz w:val="14"/>
                <w:szCs w:val="14"/>
              </w:rPr>
              <w:t>9,51</w:t>
            </w:r>
          </w:p>
        </w:tc>
        <w:tc>
          <w:tcPr>
            <w:tcW w:w="774" w:type="dxa"/>
          </w:tcPr>
          <w:p w14:paraId="1138120A" w14:textId="77777777" w:rsidR="00386644" w:rsidRPr="00386644" w:rsidRDefault="00386644">
            <w:pPr>
              <w:pStyle w:val="Tabele"/>
              <w:jc w:val="right"/>
              <w:rPr>
                <w:b/>
                <w:bCs/>
                <w:color w:val="auto"/>
                <w:sz w:val="14"/>
                <w:szCs w:val="14"/>
                <w:highlight w:val="yellow"/>
              </w:rPr>
            </w:pPr>
            <w:r w:rsidRPr="00386644">
              <w:rPr>
                <w:color w:val="auto"/>
                <w:sz w:val="14"/>
                <w:szCs w:val="14"/>
              </w:rPr>
              <w:t>9,27</w:t>
            </w:r>
          </w:p>
        </w:tc>
        <w:tc>
          <w:tcPr>
            <w:tcW w:w="774" w:type="dxa"/>
          </w:tcPr>
          <w:p w14:paraId="2F18C31B" w14:textId="77777777" w:rsidR="00386644" w:rsidRPr="00386644" w:rsidRDefault="00386644">
            <w:pPr>
              <w:pStyle w:val="Tabele"/>
              <w:jc w:val="right"/>
              <w:rPr>
                <w:b/>
                <w:bCs/>
                <w:color w:val="auto"/>
                <w:sz w:val="14"/>
                <w:szCs w:val="14"/>
                <w:highlight w:val="yellow"/>
              </w:rPr>
            </w:pPr>
            <w:r w:rsidRPr="00386644">
              <w:rPr>
                <w:color w:val="auto"/>
                <w:sz w:val="14"/>
                <w:szCs w:val="14"/>
              </w:rPr>
              <w:t>9,54</w:t>
            </w:r>
          </w:p>
        </w:tc>
        <w:tc>
          <w:tcPr>
            <w:tcW w:w="863" w:type="dxa"/>
          </w:tcPr>
          <w:p w14:paraId="6401A27F" w14:textId="77777777" w:rsidR="00386644" w:rsidRPr="00386644" w:rsidRDefault="00386644">
            <w:pPr>
              <w:pStyle w:val="Tabele"/>
              <w:jc w:val="right"/>
              <w:rPr>
                <w:b/>
                <w:bCs/>
                <w:color w:val="auto"/>
                <w:sz w:val="14"/>
                <w:szCs w:val="14"/>
                <w:highlight w:val="yellow"/>
              </w:rPr>
            </w:pPr>
            <w:r w:rsidRPr="00386644">
              <w:rPr>
                <w:color w:val="auto"/>
                <w:sz w:val="14"/>
                <w:szCs w:val="14"/>
              </w:rPr>
              <w:t>9,41</w:t>
            </w:r>
          </w:p>
        </w:tc>
      </w:tr>
      <w:tr w:rsidR="00386644" w:rsidRPr="00520300" w14:paraId="4A8F4788" w14:textId="77777777" w:rsidTr="00386644">
        <w:trPr>
          <w:gridAfter w:val="1"/>
          <w:wAfter w:w="8" w:type="dxa"/>
          <w:trHeight w:val="227"/>
        </w:trPr>
        <w:tc>
          <w:tcPr>
            <w:tcW w:w="1963" w:type="dxa"/>
          </w:tcPr>
          <w:p w14:paraId="67208071" w14:textId="77777777" w:rsidR="00386644" w:rsidRPr="00386644" w:rsidRDefault="00386644">
            <w:pPr>
              <w:pStyle w:val="Tabele"/>
              <w:rPr>
                <w:b/>
                <w:color w:val="auto"/>
                <w:sz w:val="14"/>
                <w:szCs w:val="14"/>
              </w:rPr>
            </w:pPr>
            <w:r w:rsidRPr="00386644">
              <w:rPr>
                <w:rFonts w:cs="Calibri"/>
                <w:color w:val="auto"/>
                <w:sz w:val="14"/>
                <w:szCs w:val="14"/>
              </w:rPr>
              <w:t xml:space="preserve">D. Gleby rolne </w:t>
            </w:r>
          </w:p>
        </w:tc>
        <w:tc>
          <w:tcPr>
            <w:tcW w:w="720" w:type="dxa"/>
            <w:shd w:val="clear" w:color="auto" w:fill="C5E0B3"/>
          </w:tcPr>
          <w:p w14:paraId="64EC4C7C" w14:textId="77777777" w:rsidR="00386644" w:rsidRPr="00386644" w:rsidRDefault="00386644">
            <w:pPr>
              <w:pStyle w:val="Tabele"/>
              <w:jc w:val="right"/>
              <w:rPr>
                <w:rFonts w:cs="Calibri"/>
                <w:color w:val="auto"/>
                <w:sz w:val="14"/>
                <w:szCs w:val="14"/>
              </w:rPr>
            </w:pPr>
            <w:r w:rsidRPr="00386644">
              <w:rPr>
                <w:color w:val="auto"/>
                <w:sz w:val="14"/>
                <w:szCs w:val="14"/>
              </w:rPr>
              <w:t>69,37</w:t>
            </w:r>
          </w:p>
        </w:tc>
        <w:tc>
          <w:tcPr>
            <w:tcW w:w="774" w:type="dxa"/>
            <w:shd w:val="clear" w:color="auto" w:fill="C5E0B3"/>
          </w:tcPr>
          <w:p w14:paraId="583F1E4B" w14:textId="77777777" w:rsidR="00386644" w:rsidRPr="00386644" w:rsidRDefault="00386644">
            <w:pPr>
              <w:pStyle w:val="Tabele"/>
              <w:jc w:val="right"/>
              <w:rPr>
                <w:color w:val="auto"/>
                <w:sz w:val="14"/>
                <w:szCs w:val="14"/>
              </w:rPr>
            </w:pPr>
            <w:r w:rsidRPr="00386644">
              <w:rPr>
                <w:color w:val="auto"/>
                <w:sz w:val="14"/>
                <w:szCs w:val="14"/>
              </w:rPr>
              <w:t>48,08</w:t>
            </w:r>
          </w:p>
        </w:tc>
        <w:tc>
          <w:tcPr>
            <w:tcW w:w="774" w:type="dxa"/>
            <w:shd w:val="clear" w:color="auto" w:fill="C5E0B3"/>
          </w:tcPr>
          <w:p w14:paraId="0879F6A5" w14:textId="77777777" w:rsidR="00386644" w:rsidRPr="00386644" w:rsidRDefault="00386644">
            <w:pPr>
              <w:pStyle w:val="Tabele"/>
              <w:jc w:val="right"/>
              <w:rPr>
                <w:color w:val="auto"/>
                <w:sz w:val="14"/>
                <w:szCs w:val="14"/>
              </w:rPr>
            </w:pPr>
            <w:r w:rsidRPr="00386644">
              <w:rPr>
                <w:color w:val="auto"/>
                <w:sz w:val="14"/>
                <w:szCs w:val="14"/>
              </w:rPr>
              <w:t>50,16</w:t>
            </w:r>
          </w:p>
        </w:tc>
        <w:tc>
          <w:tcPr>
            <w:tcW w:w="774" w:type="dxa"/>
            <w:shd w:val="clear" w:color="auto" w:fill="C5E0B3"/>
          </w:tcPr>
          <w:p w14:paraId="49F7D1C9" w14:textId="77777777" w:rsidR="00386644" w:rsidRPr="00386644" w:rsidRDefault="00386644">
            <w:pPr>
              <w:pStyle w:val="Tabele"/>
              <w:jc w:val="right"/>
              <w:rPr>
                <w:color w:val="auto"/>
                <w:sz w:val="14"/>
                <w:szCs w:val="14"/>
              </w:rPr>
            </w:pPr>
            <w:r w:rsidRPr="00386644">
              <w:rPr>
                <w:color w:val="auto"/>
                <w:sz w:val="14"/>
                <w:szCs w:val="14"/>
              </w:rPr>
              <w:t>49,72</w:t>
            </w:r>
          </w:p>
        </w:tc>
        <w:tc>
          <w:tcPr>
            <w:tcW w:w="774" w:type="dxa"/>
            <w:shd w:val="clear" w:color="auto" w:fill="C5E0B3"/>
          </w:tcPr>
          <w:p w14:paraId="4337EE8D" w14:textId="77777777" w:rsidR="00386644" w:rsidRPr="00386644" w:rsidRDefault="00386644">
            <w:pPr>
              <w:pStyle w:val="Tabele"/>
              <w:jc w:val="right"/>
              <w:rPr>
                <w:color w:val="auto"/>
                <w:sz w:val="14"/>
                <w:szCs w:val="14"/>
              </w:rPr>
            </w:pPr>
            <w:r w:rsidRPr="00386644">
              <w:rPr>
                <w:color w:val="auto"/>
                <w:sz w:val="14"/>
                <w:szCs w:val="14"/>
              </w:rPr>
              <w:t>52,81</w:t>
            </w:r>
          </w:p>
        </w:tc>
        <w:tc>
          <w:tcPr>
            <w:tcW w:w="774" w:type="dxa"/>
          </w:tcPr>
          <w:p w14:paraId="53C76B97" w14:textId="77777777" w:rsidR="00386644" w:rsidRPr="00386644" w:rsidRDefault="00386644">
            <w:pPr>
              <w:pStyle w:val="Tabele"/>
              <w:jc w:val="right"/>
              <w:rPr>
                <w:b/>
                <w:bCs/>
                <w:color w:val="auto"/>
                <w:sz w:val="14"/>
                <w:szCs w:val="14"/>
                <w:highlight w:val="yellow"/>
              </w:rPr>
            </w:pPr>
            <w:r w:rsidRPr="00386644">
              <w:rPr>
                <w:color w:val="auto"/>
                <w:sz w:val="14"/>
                <w:szCs w:val="14"/>
              </w:rPr>
              <w:t>50,27</w:t>
            </w:r>
          </w:p>
        </w:tc>
        <w:tc>
          <w:tcPr>
            <w:tcW w:w="774" w:type="dxa"/>
          </w:tcPr>
          <w:p w14:paraId="24776DED" w14:textId="77777777" w:rsidR="00386644" w:rsidRPr="00386644" w:rsidRDefault="00386644">
            <w:pPr>
              <w:pStyle w:val="Tabele"/>
              <w:jc w:val="right"/>
              <w:rPr>
                <w:b/>
                <w:bCs/>
                <w:color w:val="auto"/>
                <w:sz w:val="14"/>
                <w:szCs w:val="14"/>
                <w:highlight w:val="yellow"/>
              </w:rPr>
            </w:pPr>
            <w:r w:rsidRPr="00386644">
              <w:rPr>
                <w:color w:val="auto"/>
                <w:sz w:val="14"/>
                <w:szCs w:val="14"/>
              </w:rPr>
              <w:t>47,34</w:t>
            </w:r>
          </w:p>
        </w:tc>
        <w:tc>
          <w:tcPr>
            <w:tcW w:w="774" w:type="dxa"/>
          </w:tcPr>
          <w:p w14:paraId="14C0F06C" w14:textId="77777777" w:rsidR="00386644" w:rsidRPr="00386644" w:rsidRDefault="00386644">
            <w:pPr>
              <w:pStyle w:val="Tabele"/>
              <w:jc w:val="right"/>
              <w:rPr>
                <w:b/>
                <w:bCs/>
                <w:color w:val="auto"/>
                <w:sz w:val="14"/>
                <w:szCs w:val="14"/>
                <w:highlight w:val="yellow"/>
              </w:rPr>
            </w:pPr>
            <w:r w:rsidRPr="00386644">
              <w:rPr>
                <w:color w:val="auto"/>
                <w:sz w:val="14"/>
                <w:szCs w:val="14"/>
              </w:rPr>
              <w:t>46,13</w:t>
            </w:r>
          </w:p>
        </w:tc>
        <w:tc>
          <w:tcPr>
            <w:tcW w:w="863" w:type="dxa"/>
          </w:tcPr>
          <w:p w14:paraId="48D4121C" w14:textId="77777777" w:rsidR="00386644" w:rsidRPr="00386644" w:rsidRDefault="00386644">
            <w:pPr>
              <w:pStyle w:val="Tabele"/>
              <w:jc w:val="right"/>
              <w:rPr>
                <w:b/>
                <w:bCs/>
                <w:color w:val="auto"/>
                <w:sz w:val="14"/>
                <w:szCs w:val="14"/>
                <w:highlight w:val="yellow"/>
              </w:rPr>
            </w:pPr>
            <w:r w:rsidRPr="00386644">
              <w:rPr>
                <w:color w:val="auto"/>
                <w:sz w:val="14"/>
                <w:szCs w:val="14"/>
              </w:rPr>
              <w:t>43,67</w:t>
            </w:r>
          </w:p>
        </w:tc>
      </w:tr>
      <w:tr w:rsidR="00386644" w:rsidRPr="00520300" w14:paraId="336537F8" w14:textId="77777777" w:rsidTr="00386644">
        <w:trPr>
          <w:gridAfter w:val="1"/>
          <w:wAfter w:w="8" w:type="dxa"/>
          <w:trHeight w:val="227"/>
        </w:trPr>
        <w:tc>
          <w:tcPr>
            <w:tcW w:w="1963" w:type="dxa"/>
          </w:tcPr>
          <w:p w14:paraId="75B81454" w14:textId="77777777" w:rsidR="00386644" w:rsidRPr="00386644" w:rsidRDefault="00386644">
            <w:pPr>
              <w:pStyle w:val="Tabele"/>
              <w:rPr>
                <w:b/>
                <w:color w:val="auto"/>
                <w:sz w:val="14"/>
                <w:szCs w:val="14"/>
              </w:rPr>
            </w:pPr>
            <w:r w:rsidRPr="00386644">
              <w:rPr>
                <w:rFonts w:cs="Calibri"/>
                <w:color w:val="auto"/>
                <w:sz w:val="14"/>
                <w:szCs w:val="14"/>
              </w:rPr>
              <w:t xml:space="preserve">F. Spalanie odpadów roślinnych </w:t>
            </w:r>
          </w:p>
        </w:tc>
        <w:tc>
          <w:tcPr>
            <w:tcW w:w="720" w:type="dxa"/>
            <w:shd w:val="clear" w:color="auto" w:fill="C5E0B3"/>
          </w:tcPr>
          <w:p w14:paraId="31F0D83F" w14:textId="77777777" w:rsidR="00386644" w:rsidRPr="00386644" w:rsidRDefault="00386644">
            <w:pPr>
              <w:pStyle w:val="Tabele"/>
              <w:jc w:val="right"/>
              <w:rPr>
                <w:rFonts w:cs="Calibri"/>
                <w:color w:val="auto"/>
                <w:sz w:val="14"/>
                <w:szCs w:val="14"/>
              </w:rPr>
            </w:pPr>
            <w:r w:rsidRPr="00386644">
              <w:rPr>
                <w:color w:val="auto"/>
                <w:sz w:val="14"/>
                <w:szCs w:val="14"/>
              </w:rPr>
              <w:t>0,04</w:t>
            </w:r>
          </w:p>
        </w:tc>
        <w:tc>
          <w:tcPr>
            <w:tcW w:w="774" w:type="dxa"/>
            <w:shd w:val="clear" w:color="auto" w:fill="C5E0B3"/>
          </w:tcPr>
          <w:p w14:paraId="7FA4BAEE" w14:textId="77777777" w:rsidR="00386644" w:rsidRPr="00386644" w:rsidRDefault="00386644">
            <w:pPr>
              <w:pStyle w:val="Tabele"/>
              <w:jc w:val="right"/>
              <w:rPr>
                <w:color w:val="auto"/>
                <w:sz w:val="14"/>
                <w:szCs w:val="14"/>
              </w:rPr>
            </w:pPr>
            <w:r w:rsidRPr="00386644">
              <w:rPr>
                <w:color w:val="auto"/>
                <w:sz w:val="14"/>
                <w:szCs w:val="14"/>
              </w:rPr>
              <w:t>0,03</w:t>
            </w:r>
          </w:p>
        </w:tc>
        <w:tc>
          <w:tcPr>
            <w:tcW w:w="774" w:type="dxa"/>
            <w:shd w:val="clear" w:color="auto" w:fill="C5E0B3"/>
          </w:tcPr>
          <w:p w14:paraId="6DA438B1" w14:textId="77777777" w:rsidR="00386644" w:rsidRPr="00386644" w:rsidRDefault="00386644">
            <w:pPr>
              <w:pStyle w:val="Tabele"/>
              <w:jc w:val="right"/>
              <w:rPr>
                <w:color w:val="auto"/>
                <w:sz w:val="14"/>
                <w:szCs w:val="14"/>
              </w:rPr>
            </w:pPr>
            <w:r w:rsidRPr="00386644">
              <w:rPr>
                <w:color w:val="auto"/>
                <w:sz w:val="14"/>
                <w:szCs w:val="14"/>
              </w:rPr>
              <w:t>0,03</w:t>
            </w:r>
          </w:p>
        </w:tc>
        <w:tc>
          <w:tcPr>
            <w:tcW w:w="774" w:type="dxa"/>
            <w:shd w:val="clear" w:color="auto" w:fill="C5E0B3"/>
          </w:tcPr>
          <w:p w14:paraId="501FBE6F" w14:textId="77777777" w:rsidR="00386644" w:rsidRPr="00386644" w:rsidRDefault="00386644">
            <w:pPr>
              <w:pStyle w:val="Tabele"/>
              <w:jc w:val="right"/>
              <w:rPr>
                <w:color w:val="auto"/>
                <w:sz w:val="14"/>
                <w:szCs w:val="14"/>
              </w:rPr>
            </w:pPr>
            <w:r w:rsidRPr="00386644">
              <w:rPr>
                <w:color w:val="auto"/>
                <w:sz w:val="14"/>
                <w:szCs w:val="14"/>
              </w:rPr>
              <w:t>0,04</w:t>
            </w:r>
          </w:p>
        </w:tc>
        <w:tc>
          <w:tcPr>
            <w:tcW w:w="774" w:type="dxa"/>
            <w:shd w:val="clear" w:color="auto" w:fill="C5E0B3"/>
          </w:tcPr>
          <w:p w14:paraId="6CD983F6" w14:textId="77777777" w:rsidR="00386644" w:rsidRPr="00386644" w:rsidRDefault="00386644">
            <w:pPr>
              <w:pStyle w:val="Tabele"/>
              <w:jc w:val="right"/>
              <w:rPr>
                <w:color w:val="auto"/>
                <w:sz w:val="14"/>
                <w:szCs w:val="14"/>
              </w:rPr>
            </w:pPr>
            <w:r w:rsidRPr="00386644">
              <w:rPr>
                <w:color w:val="auto"/>
                <w:sz w:val="14"/>
                <w:szCs w:val="14"/>
              </w:rPr>
              <w:t>0,04</w:t>
            </w:r>
          </w:p>
        </w:tc>
        <w:tc>
          <w:tcPr>
            <w:tcW w:w="774" w:type="dxa"/>
          </w:tcPr>
          <w:p w14:paraId="6FA853D3" w14:textId="77777777" w:rsidR="00386644" w:rsidRPr="00386644" w:rsidRDefault="00386644">
            <w:pPr>
              <w:pStyle w:val="Tabele"/>
              <w:jc w:val="right"/>
              <w:rPr>
                <w:b/>
                <w:bCs/>
                <w:color w:val="auto"/>
                <w:sz w:val="14"/>
                <w:szCs w:val="14"/>
                <w:highlight w:val="yellow"/>
              </w:rPr>
            </w:pPr>
            <w:r w:rsidRPr="00386644">
              <w:rPr>
                <w:color w:val="auto"/>
                <w:sz w:val="14"/>
                <w:szCs w:val="14"/>
              </w:rPr>
              <w:t>0,04</w:t>
            </w:r>
          </w:p>
        </w:tc>
        <w:tc>
          <w:tcPr>
            <w:tcW w:w="774" w:type="dxa"/>
          </w:tcPr>
          <w:p w14:paraId="27A4AF61" w14:textId="77777777" w:rsidR="00386644" w:rsidRPr="00386644" w:rsidRDefault="00386644">
            <w:pPr>
              <w:pStyle w:val="Tabele"/>
              <w:jc w:val="right"/>
              <w:rPr>
                <w:b/>
                <w:bCs/>
                <w:color w:val="auto"/>
                <w:sz w:val="14"/>
                <w:szCs w:val="14"/>
                <w:highlight w:val="yellow"/>
              </w:rPr>
            </w:pPr>
            <w:r w:rsidRPr="00386644">
              <w:rPr>
                <w:color w:val="auto"/>
                <w:sz w:val="14"/>
                <w:szCs w:val="14"/>
              </w:rPr>
              <w:t>0,04</w:t>
            </w:r>
          </w:p>
        </w:tc>
        <w:tc>
          <w:tcPr>
            <w:tcW w:w="774" w:type="dxa"/>
          </w:tcPr>
          <w:p w14:paraId="73E8DB1A" w14:textId="77777777" w:rsidR="00386644" w:rsidRPr="00386644" w:rsidRDefault="00386644">
            <w:pPr>
              <w:pStyle w:val="Tabele"/>
              <w:jc w:val="right"/>
              <w:rPr>
                <w:b/>
                <w:bCs/>
                <w:color w:val="auto"/>
                <w:sz w:val="14"/>
                <w:szCs w:val="14"/>
                <w:highlight w:val="yellow"/>
              </w:rPr>
            </w:pPr>
            <w:r w:rsidRPr="00386644">
              <w:rPr>
                <w:color w:val="auto"/>
                <w:sz w:val="14"/>
                <w:szCs w:val="14"/>
              </w:rPr>
              <w:t>0,04</w:t>
            </w:r>
          </w:p>
        </w:tc>
        <w:tc>
          <w:tcPr>
            <w:tcW w:w="863" w:type="dxa"/>
          </w:tcPr>
          <w:p w14:paraId="472A5D7F" w14:textId="77777777" w:rsidR="00386644" w:rsidRPr="00386644" w:rsidRDefault="00386644">
            <w:pPr>
              <w:pStyle w:val="Tabele"/>
              <w:jc w:val="right"/>
              <w:rPr>
                <w:b/>
                <w:bCs/>
                <w:color w:val="auto"/>
                <w:sz w:val="14"/>
                <w:szCs w:val="14"/>
                <w:highlight w:val="yellow"/>
              </w:rPr>
            </w:pPr>
            <w:r w:rsidRPr="00386644">
              <w:rPr>
                <w:color w:val="auto"/>
                <w:sz w:val="14"/>
                <w:szCs w:val="14"/>
              </w:rPr>
              <w:t>0,04</w:t>
            </w:r>
          </w:p>
        </w:tc>
      </w:tr>
      <w:tr w:rsidR="00386644" w:rsidRPr="00520300" w14:paraId="19CCA19B" w14:textId="77777777" w:rsidTr="00386644">
        <w:trPr>
          <w:gridAfter w:val="1"/>
          <w:wAfter w:w="8" w:type="dxa"/>
          <w:trHeight w:val="227"/>
        </w:trPr>
        <w:tc>
          <w:tcPr>
            <w:tcW w:w="1963" w:type="dxa"/>
          </w:tcPr>
          <w:p w14:paraId="4D20FF9B" w14:textId="77777777" w:rsidR="00386644" w:rsidRPr="00386644" w:rsidRDefault="00386644">
            <w:pPr>
              <w:pStyle w:val="Tabele"/>
              <w:rPr>
                <w:color w:val="auto"/>
                <w:sz w:val="14"/>
                <w:szCs w:val="14"/>
              </w:rPr>
            </w:pPr>
            <w:r w:rsidRPr="00386644">
              <w:rPr>
                <w:rFonts w:cs="Calibri"/>
                <w:b/>
                <w:bCs/>
                <w:color w:val="auto"/>
                <w:sz w:val="14"/>
                <w:szCs w:val="14"/>
              </w:rPr>
              <w:t xml:space="preserve">4. Użytkowanie gruntów, zmiany użytkowania gruntów i leśnictwo (LULUCF) </w:t>
            </w:r>
          </w:p>
        </w:tc>
        <w:tc>
          <w:tcPr>
            <w:tcW w:w="720" w:type="dxa"/>
            <w:shd w:val="clear" w:color="auto" w:fill="C5E0B3"/>
          </w:tcPr>
          <w:p w14:paraId="05FAC756" w14:textId="77777777" w:rsidR="00386644" w:rsidRPr="00386644" w:rsidRDefault="00386644">
            <w:pPr>
              <w:pStyle w:val="Tabele"/>
              <w:jc w:val="right"/>
              <w:rPr>
                <w:rFonts w:cs="Calibri"/>
                <w:b/>
                <w:bCs/>
                <w:color w:val="auto"/>
                <w:sz w:val="14"/>
                <w:szCs w:val="14"/>
              </w:rPr>
            </w:pPr>
            <w:r w:rsidRPr="00386644">
              <w:rPr>
                <w:b/>
                <w:color w:val="auto"/>
                <w:sz w:val="14"/>
                <w:szCs w:val="14"/>
              </w:rPr>
              <w:t>7,13</w:t>
            </w:r>
          </w:p>
        </w:tc>
        <w:tc>
          <w:tcPr>
            <w:tcW w:w="774" w:type="dxa"/>
            <w:shd w:val="clear" w:color="auto" w:fill="C5E0B3"/>
          </w:tcPr>
          <w:p w14:paraId="00BDE28C" w14:textId="77777777" w:rsidR="00386644" w:rsidRPr="00386644" w:rsidRDefault="00386644">
            <w:pPr>
              <w:pStyle w:val="Tabele"/>
              <w:jc w:val="right"/>
              <w:rPr>
                <w:b/>
                <w:color w:val="auto"/>
                <w:sz w:val="14"/>
                <w:szCs w:val="14"/>
              </w:rPr>
            </w:pPr>
            <w:r w:rsidRPr="00386644">
              <w:rPr>
                <w:b/>
                <w:color w:val="auto"/>
                <w:sz w:val="14"/>
                <w:szCs w:val="14"/>
              </w:rPr>
              <w:t>4,35</w:t>
            </w:r>
          </w:p>
        </w:tc>
        <w:tc>
          <w:tcPr>
            <w:tcW w:w="774" w:type="dxa"/>
            <w:shd w:val="clear" w:color="auto" w:fill="C5E0B3"/>
          </w:tcPr>
          <w:p w14:paraId="0FA8C019" w14:textId="77777777" w:rsidR="00386644" w:rsidRPr="00386644" w:rsidRDefault="00386644">
            <w:pPr>
              <w:pStyle w:val="Tabele"/>
              <w:jc w:val="right"/>
              <w:rPr>
                <w:b/>
                <w:color w:val="auto"/>
                <w:sz w:val="14"/>
                <w:szCs w:val="14"/>
              </w:rPr>
            </w:pPr>
            <w:r w:rsidRPr="00386644">
              <w:rPr>
                <w:b/>
                <w:color w:val="auto"/>
                <w:sz w:val="14"/>
                <w:szCs w:val="14"/>
              </w:rPr>
              <w:t>4,01</w:t>
            </w:r>
          </w:p>
        </w:tc>
        <w:tc>
          <w:tcPr>
            <w:tcW w:w="774" w:type="dxa"/>
            <w:shd w:val="clear" w:color="auto" w:fill="C5E0B3"/>
          </w:tcPr>
          <w:p w14:paraId="57DE2B24" w14:textId="77777777" w:rsidR="00386644" w:rsidRPr="00386644" w:rsidRDefault="00386644">
            <w:pPr>
              <w:pStyle w:val="Tabele"/>
              <w:jc w:val="right"/>
              <w:rPr>
                <w:b/>
                <w:color w:val="auto"/>
                <w:sz w:val="14"/>
                <w:szCs w:val="14"/>
              </w:rPr>
            </w:pPr>
            <w:r w:rsidRPr="00386644">
              <w:rPr>
                <w:b/>
                <w:color w:val="auto"/>
                <w:sz w:val="14"/>
                <w:szCs w:val="14"/>
              </w:rPr>
              <w:t>4,67</w:t>
            </w:r>
          </w:p>
        </w:tc>
        <w:tc>
          <w:tcPr>
            <w:tcW w:w="774" w:type="dxa"/>
            <w:shd w:val="clear" w:color="auto" w:fill="C5E0B3"/>
          </w:tcPr>
          <w:p w14:paraId="0129E1EE" w14:textId="77777777" w:rsidR="00386644" w:rsidRPr="00386644" w:rsidRDefault="00386644">
            <w:pPr>
              <w:pStyle w:val="Tabele"/>
              <w:jc w:val="right"/>
              <w:rPr>
                <w:b/>
                <w:color w:val="auto"/>
                <w:sz w:val="14"/>
                <w:szCs w:val="14"/>
              </w:rPr>
            </w:pPr>
            <w:r w:rsidRPr="00386644">
              <w:rPr>
                <w:b/>
                <w:color w:val="auto"/>
                <w:sz w:val="14"/>
                <w:szCs w:val="14"/>
              </w:rPr>
              <w:t>7,72</w:t>
            </w:r>
          </w:p>
        </w:tc>
        <w:tc>
          <w:tcPr>
            <w:tcW w:w="774" w:type="dxa"/>
          </w:tcPr>
          <w:p w14:paraId="3ECD1B29" w14:textId="77777777" w:rsidR="00386644" w:rsidRPr="00386644" w:rsidRDefault="00386644">
            <w:pPr>
              <w:pStyle w:val="Tabele"/>
              <w:jc w:val="right"/>
              <w:rPr>
                <w:b/>
                <w:bCs/>
                <w:color w:val="auto"/>
                <w:sz w:val="14"/>
                <w:szCs w:val="14"/>
                <w:highlight w:val="yellow"/>
              </w:rPr>
            </w:pPr>
            <w:r w:rsidRPr="00386644">
              <w:rPr>
                <w:b/>
                <w:color w:val="auto"/>
                <w:sz w:val="14"/>
                <w:szCs w:val="14"/>
              </w:rPr>
              <w:t>7,96</w:t>
            </w:r>
          </w:p>
        </w:tc>
        <w:tc>
          <w:tcPr>
            <w:tcW w:w="774" w:type="dxa"/>
          </w:tcPr>
          <w:p w14:paraId="5D97DA79" w14:textId="77777777" w:rsidR="00386644" w:rsidRPr="00386644" w:rsidRDefault="00386644">
            <w:pPr>
              <w:pStyle w:val="Tabele"/>
              <w:jc w:val="right"/>
              <w:rPr>
                <w:b/>
                <w:bCs/>
                <w:color w:val="auto"/>
                <w:sz w:val="14"/>
                <w:szCs w:val="14"/>
                <w:highlight w:val="yellow"/>
              </w:rPr>
            </w:pPr>
            <w:r w:rsidRPr="00386644">
              <w:rPr>
                <w:b/>
                <w:color w:val="auto"/>
                <w:sz w:val="14"/>
                <w:szCs w:val="14"/>
              </w:rPr>
              <w:t>8,11</w:t>
            </w:r>
          </w:p>
        </w:tc>
        <w:tc>
          <w:tcPr>
            <w:tcW w:w="774" w:type="dxa"/>
          </w:tcPr>
          <w:p w14:paraId="25A52C73" w14:textId="77777777" w:rsidR="00386644" w:rsidRPr="00386644" w:rsidRDefault="00386644">
            <w:pPr>
              <w:pStyle w:val="Tabele"/>
              <w:jc w:val="right"/>
              <w:rPr>
                <w:b/>
                <w:bCs/>
                <w:color w:val="auto"/>
                <w:sz w:val="14"/>
                <w:szCs w:val="14"/>
                <w:highlight w:val="yellow"/>
              </w:rPr>
            </w:pPr>
            <w:r w:rsidRPr="00386644">
              <w:rPr>
                <w:b/>
                <w:color w:val="auto"/>
                <w:sz w:val="14"/>
                <w:szCs w:val="14"/>
              </w:rPr>
              <w:t>7,73</w:t>
            </w:r>
          </w:p>
        </w:tc>
        <w:tc>
          <w:tcPr>
            <w:tcW w:w="863" w:type="dxa"/>
          </w:tcPr>
          <w:p w14:paraId="4CA6FF1C" w14:textId="77777777" w:rsidR="00386644" w:rsidRPr="00386644" w:rsidRDefault="00386644">
            <w:pPr>
              <w:pStyle w:val="Tabele"/>
              <w:jc w:val="right"/>
              <w:rPr>
                <w:b/>
                <w:bCs/>
                <w:color w:val="auto"/>
                <w:sz w:val="14"/>
                <w:szCs w:val="14"/>
                <w:highlight w:val="yellow"/>
              </w:rPr>
            </w:pPr>
            <w:r w:rsidRPr="00386644">
              <w:rPr>
                <w:b/>
                <w:color w:val="auto"/>
                <w:sz w:val="14"/>
                <w:szCs w:val="14"/>
              </w:rPr>
              <w:t>5,19</w:t>
            </w:r>
          </w:p>
        </w:tc>
      </w:tr>
      <w:tr w:rsidR="00386644" w:rsidRPr="00520300" w14:paraId="403B04F5" w14:textId="77777777" w:rsidTr="00386644">
        <w:trPr>
          <w:gridAfter w:val="1"/>
          <w:wAfter w:w="8" w:type="dxa"/>
          <w:trHeight w:val="227"/>
        </w:trPr>
        <w:tc>
          <w:tcPr>
            <w:tcW w:w="1963" w:type="dxa"/>
          </w:tcPr>
          <w:p w14:paraId="5A60768C" w14:textId="77777777" w:rsidR="00386644" w:rsidRPr="00386644" w:rsidRDefault="00386644">
            <w:pPr>
              <w:pStyle w:val="Tabele"/>
              <w:rPr>
                <w:color w:val="auto"/>
                <w:sz w:val="14"/>
                <w:szCs w:val="14"/>
              </w:rPr>
            </w:pPr>
            <w:r w:rsidRPr="00386644">
              <w:rPr>
                <w:rFonts w:cs="Calibri"/>
                <w:b/>
                <w:bCs/>
                <w:color w:val="auto"/>
                <w:sz w:val="14"/>
                <w:szCs w:val="14"/>
              </w:rPr>
              <w:t xml:space="preserve">5. Odpady </w:t>
            </w:r>
          </w:p>
        </w:tc>
        <w:tc>
          <w:tcPr>
            <w:tcW w:w="720" w:type="dxa"/>
            <w:shd w:val="clear" w:color="auto" w:fill="C5E0B3"/>
          </w:tcPr>
          <w:p w14:paraId="41B0BE63" w14:textId="77777777" w:rsidR="00386644" w:rsidRPr="00386644" w:rsidRDefault="00386644">
            <w:pPr>
              <w:pStyle w:val="Tabele"/>
              <w:jc w:val="right"/>
              <w:rPr>
                <w:rFonts w:cs="Calibri"/>
                <w:b/>
                <w:bCs/>
                <w:color w:val="auto"/>
                <w:sz w:val="14"/>
                <w:szCs w:val="14"/>
              </w:rPr>
            </w:pPr>
            <w:r w:rsidRPr="00386644">
              <w:rPr>
                <w:b/>
                <w:color w:val="auto"/>
                <w:sz w:val="14"/>
                <w:szCs w:val="14"/>
              </w:rPr>
              <w:t>2,48</w:t>
            </w:r>
          </w:p>
        </w:tc>
        <w:tc>
          <w:tcPr>
            <w:tcW w:w="774" w:type="dxa"/>
            <w:shd w:val="clear" w:color="auto" w:fill="C5E0B3"/>
          </w:tcPr>
          <w:p w14:paraId="3484BA86" w14:textId="77777777" w:rsidR="00386644" w:rsidRPr="00386644" w:rsidRDefault="00386644">
            <w:pPr>
              <w:pStyle w:val="Tabele"/>
              <w:jc w:val="right"/>
              <w:rPr>
                <w:b/>
                <w:color w:val="auto"/>
                <w:sz w:val="14"/>
                <w:szCs w:val="14"/>
              </w:rPr>
            </w:pPr>
            <w:r w:rsidRPr="00386644">
              <w:rPr>
                <w:b/>
                <w:color w:val="auto"/>
                <w:sz w:val="14"/>
                <w:szCs w:val="14"/>
              </w:rPr>
              <w:t>2,58</w:t>
            </w:r>
          </w:p>
        </w:tc>
        <w:tc>
          <w:tcPr>
            <w:tcW w:w="774" w:type="dxa"/>
            <w:shd w:val="clear" w:color="auto" w:fill="C5E0B3"/>
          </w:tcPr>
          <w:p w14:paraId="62F4895C" w14:textId="77777777" w:rsidR="00386644" w:rsidRPr="00386644" w:rsidRDefault="00386644">
            <w:pPr>
              <w:pStyle w:val="Tabele"/>
              <w:jc w:val="right"/>
              <w:rPr>
                <w:b/>
                <w:color w:val="auto"/>
                <w:sz w:val="14"/>
                <w:szCs w:val="14"/>
              </w:rPr>
            </w:pPr>
            <w:r w:rsidRPr="00386644">
              <w:rPr>
                <w:b/>
                <w:color w:val="auto"/>
                <w:sz w:val="14"/>
                <w:szCs w:val="14"/>
              </w:rPr>
              <w:t>2,67</w:t>
            </w:r>
          </w:p>
        </w:tc>
        <w:tc>
          <w:tcPr>
            <w:tcW w:w="774" w:type="dxa"/>
            <w:shd w:val="clear" w:color="auto" w:fill="C5E0B3"/>
          </w:tcPr>
          <w:p w14:paraId="5A4670BA" w14:textId="77777777" w:rsidR="00386644" w:rsidRPr="00386644" w:rsidRDefault="00386644">
            <w:pPr>
              <w:pStyle w:val="Tabele"/>
              <w:jc w:val="right"/>
              <w:rPr>
                <w:b/>
                <w:color w:val="auto"/>
                <w:sz w:val="14"/>
                <w:szCs w:val="14"/>
              </w:rPr>
            </w:pPr>
            <w:r w:rsidRPr="00386644">
              <w:rPr>
                <w:b/>
                <w:color w:val="auto"/>
                <w:sz w:val="14"/>
                <w:szCs w:val="14"/>
              </w:rPr>
              <w:t>2,95</w:t>
            </w:r>
          </w:p>
        </w:tc>
        <w:tc>
          <w:tcPr>
            <w:tcW w:w="774" w:type="dxa"/>
            <w:shd w:val="clear" w:color="auto" w:fill="C5E0B3"/>
          </w:tcPr>
          <w:p w14:paraId="5B5F7566" w14:textId="77777777" w:rsidR="00386644" w:rsidRPr="00386644" w:rsidRDefault="00386644">
            <w:pPr>
              <w:pStyle w:val="Tabele"/>
              <w:jc w:val="right"/>
              <w:rPr>
                <w:b/>
                <w:color w:val="auto"/>
                <w:sz w:val="14"/>
                <w:szCs w:val="14"/>
              </w:rPr>
            </w:pPr>
            <w:r w:rsidRPr="00386644">
              <w:rPr>
                <w:b/>
                <w:color w:val="auto"/>
                <w:sz w:val="14"/>
                <w:szCs w:val="14"/>
              </w:rPr>
              <w:t>3,18</w:t>
            </w:r>
          </w:p>
        </w:tc>
        <w:tc>
          <w:tcPr>
            <w:tcW w:w="774" w:type="dxa"/>
          </w:tcPr>
          <w:p w14:paraId="78279E1F" w14:textId="77777777" w:rsidR="00386644" w:rsidRPr="00386644" w:rsidRDefault="00386644">
            <w:pPr>
              <w:pStyle w:val="Tabele"/>
              <w:jc w:val="right"/>
              <w:rPr>
                <w:b/>
                <w:bCs/>
                <w:color w:val="auto"/>
                <w:sz w:val="14"/>
                <w:szCs w:val="14"/>
                <w:highlight w:val="yellow"/>
              </w:rPr>
            </w:pPr>
            <w:r w:rsidRPr="00386644">
              <w:rPr>
                <w:b/>
                <w:color w:val="auto"/>
                <w:sz w:val="14"/>
                <w:szCs w:val="14"/>
              </w:rPr>
              <w:t>3,47</w:t>
            </w:r>
          </w:p>
        </w:tc>
        <w:tc>
          <w:tcPr>
            <w:tcW w:w="774" w:type="dxa"/>
          </w:tcPr>
          <w:p w14:paraId="22EA03D3" w14:textId="77777777" w:rsidR="00386644" w:rsidRPr="00386644" w:rsidRDefault="00386644">
            <w:pPr>
              <w:pStyle w:val="Tabele"/>
              <w:jc w:val="right"/>
              <w:rPr>
                <w:b/>
                <w:bCs/>
                <w:color w:val="auto"/>
                <w:sz w:val="14"/>
                <w:szCs w:val="14"/>
                <w:highlight w:val="yellow"/>
              </w:rPr>
            </w:pPr>
            <w:r w:rsidRPr="00386644">
              <w:rPr>
                <w:b/>
                <w:color w:val="auto"/>
                <w:sz w:val="14"/>
                <w:szCs w:val="14"/>
              </w:rPr>
              <w:t>3,73</w:t>
            </w:r>
          </w:p>
        </w:tc>
        <w:tc>
          <w:tcPr>
            <w:tcW w:w="774" w:type="dxa"/>
          </w:tcPr>
          <w:p w14:paraId="06A1732C" w14:textId="77777777" w:rsidR="00386644" w:rsidRPr="00386644" w:rsidRDefault="00386644">
            <w:pPr>
              <w:pStyle w:val="Tabele"/>
              <w:jc w:val="right"/>
              <w:rPr>
                <w:b/>
                <w:bCs/>
                <w:color w:val="auto"/>
                <w:sz w:val="14"/>
                <w:szCs w:val="14"/>
                <w:highlight w:val="yellow"/>
              </w:rPr>
            </w:pPr>
            <w:r w:rsidRPr="00386644">
              <w:rPr>
                <w:b/>
                <w:color w:val="auto"/>
                <w:sz w:val="14"/>
                <w:szCs w:val="14"/>
              </w:rPr>
              <w:t>3,96</w:t>
            </w:r>
          </w:p>
        </w:tc>
        <w:tc>
          <w:tcPr>
            <w:tcW w:w="863" w:type="dxa"/>
          </w:tcPr>
          <w:p w14:paraId="7ACC1754" w14:textId="77777777" w:rsidR="00386644" w:rsidRPr="00386644" w:rsidRDefault="00386644">
            <w:pPr>
              <w:pStyle w:val="Tabele"/>
              <w:jc w:val="right"/>
              <w:rPr>
                <w:b/>
                <w:bCs/>
                <w:color w:val="auto"/>
                <w:sz w:val="14"/>
                <w:szCs w:val="14"/>
                <w:highlight w:val="yellow"/>
              </w:rPr>
            </w:pPr>
            <w:r w:rsidRPr="00386644">
              <w:rPr>
                <w:b/>
                <w:color w:val="auto"/>
                <w:sz w:val="14"/>
                <w:szCs w:val="14"/>
              </w:rPr>
              <w:t>3,86</w:t>
            </w:r>
          </w:p>
        </w:tc>
      </w:tr>
      <w:tr w:rsidR="00386644" w:rsidRPr="00520300" w14:paraId="2B7B4163" w14:textId="77777777" w:rsidTr="00386644">
        <w:trPr>
          <w:gridAfter w:val="1"/>
          <w:wAfter w:w="8" w:type="dxa"/>
          <w:trHeight w:val="227"/>
        </w:trPr>
        <w:tc>
          <w:tcPr>
            <w:tcW w:w="1963" w:type="dxa"/>
          </w:tcPr>
          <w:p w14:paraId="333A0AFD" w14:textId="77777777" w:rsidR="00386644" w:rsidRPr="00386644" w:rsidRDefault="00386644">
            <w:pPr>
              <w:pStyle w:val="Tabele"/>
              <w:rPr>
                <w:b/>
                <w:color w:val="auto"/>
                <w:sz w:val="14"/>
                <w:szCs w:val="14"/>
              </w:rPr>
            </w:pPr>
            <w:r w:rsidRPr="00386644">
              <w:rPr>
                <w:rFonts w:cs="Calibri"/>
                <w:color w:val="auto"/>
                <w:sz w:val="14"/>
                <w:szCs w:val="14"/>
              </w:rPr>
              <w:t xml:space="preserve">B. Biologiczne unieszkodliwianie odpadów stałych </w:t>
            </w:r>
          </w:p>
        </w:tc>
        <w:tc>
          <w:tcPr>
            <w:tcW w:w="720" w:type="dxa"/>
            <w:shd w:val="clear" w:color="auto" w:fill="C5E0B3"/>
          </w:tcPr>
          <w:p w14:paraId="54C45989" w14:textId="77777777" w:rsidR="00386644" w:rsidRPr="00386644" w:rsidRDefault="00386644">
            <w:pPr>
              <w:pStyle w:val="Tabele"/>
              <w:jc w:val="right"/>
              <w:rPr>
                <w:rFonts w:cs="Calibri"/>
                <w:color w:val="auto"/>
                <w:sz w:val="14"/>
                <w:szCs w:val="14"/>
              </w:rPr>
            </w:pPr>
            <w:r w:rsidRPr="00386644">
              <w:rPr>
                <w:color w:val="auto"/>
                <w:sz w:val="14"/>
                <w:szCs w:val="14"/>
              </w:rPr>
              <w:t>0,03</w:t>
            </w:r>
          </w:p>
        </w:tc>
        <w:tc>
          <w:tcPr>
            <w:tcW w:w="774" w:type="dxa"/>
            <w:shd w:val="clear" w:color="auto" w:fill="C5E0B3"/>
          </w:tcPr>
          <w:p w14:paraId="0BABBD81" w14:textId="77777777" w:rsidR="00386644" w:rsidRPr="00386644" w:rsidRDefault="00386644">
            <w:pPr>
              <w:pStyle w:val="Tabele"/>
              <w:jc w:val="right"/>
              <w:rPr>
                <w:color w:val="auto"/>
                <w:sz w:val="14"/>
                <w:szCs w:val="14"/>
              </w:rPr>
            </w:pPr>
            <w:r w:rsidRPr="00386644">
              <w:rPr>
                <w:color w:val="auto"/>
                <w:sz w:val="14"/>
                <w:szCs w:val="14"/>
              </w:rPr>
              <w:t>0,13</w:t>
            </w:r>
          </w:p>
        </w:tc>
        <w:tc>
          <w:tcPr>
            <w:tcW w:w="774" w:type="dxa"/>
            <w:shd w:val="clear" w:color="auto" w:fill="C5E0B3"/>
          </w:tcPr>
          <w:p w14:paraId="5691C472" w14:textId="77777777" w:rsidR="00386644" w:rsidRPr="00386644" w:rsidRDefault="00386644">
            <w:pPr>
              <w:pStyle w:val="Tabele"/>
              <w:jc w:val="right"/>
              <w:rPr>
                <w:color w:val="auto"/>
                <w:sz w:val="14"/>
                <w:szCs w:val="14"/>
              </w:rPr>
            </w:pPr>
            <w:r w:rsidRPr="00386644">
              <w:rPr>
                <w:color w:val="auto"/>
                <w:sz w:val="14"/>
                <w:szCs w:val="14"/>
              </w:rPr>
              <w:t>0,12</w:t>
            </w:r>
          </w:p>
        </w:tc>
        <w:tc>
          <w:tcPr>
            <w:tcW w:w="774" w:type="dxa"/>
            <w:shd w:val="clear" w:color="auto" w:fill="C5E0B3"/>
          </w:tcPr>
          <w:p w14:paraId="312A274D" w14:textId="77777777" w:rsidR="00386644" w:rsidRPr="00386644" w:rsidRDefault="00386644">
            <w:pPr>
              <w:pStyle w:val="Tabele"/>
              <w:jc w:val="right"/>
              <w:rPr>
                <w:color w:val="auto"/>
                <w:sz w:val="14"/>
                <w:szCs w:val="14"/>
              </w:rPr>
            </w:pPr>
            <w:r w:rsidRPr="00386644">
              <w:rPr>
                <w:color w:val="auto"/>
                <w:sz w:val="14"/>
                <w:szCs w:val="14"/>
              </w:rPr>
              <w:t>0,39</w:t>
            </w:r>
          </w:p>
        </w:tc>
        <w:tc>
          <w:tcPr>
            <w:tcW w:w="774" w:type="dxa"/>
            <w:shd w:val="clear" w:color="auto" w:fill="C5E0B3"/>
          </w:tcPr>
          <w:p w14:paraId="39327F4D" w14:textId="77777777" w:rsidR="00386644" w:rsidRPr="00386644" w:rsidRDefault="00386644">
            <w:pPr>
              <w:pStyle w:val="Tabele"/>
              <w:jc w:val="right"/>
              <w:rPr>
                <w:color w:val="auto"/>
                <w:sz w:val="14"/>
                <w:szCs w:val="14"/>
              </w:rPr>
            </w:pPr>
            <w:r w:rsidRPr="00386644">
              <w:rPr>
                <w:color w:val="auto"/>
                <w:sz w:val="14"/>
                <w:szCs w:val="14"/>
              </w:rPr>
              <w:t>0,42</w:t>
            </w:r>
          </w:p>
        </w:tc>
        <w:tc>
          <w:tcPr>
            <w:tcW w:w="774" w:type="dxa"/>
          </w:tcPr>
          <w:p w14:paraId="614A8E01" w14:textId="77777777" w:rsidR="00386644" w:rsidRPr="00386644" w:rsidRDefault="00386644">
            <w:pPr>
              <w:pStyle w:val="Tabele"/>
              <w:jc w:val="right"/>
              <w:rPr>
                <w:b/>
                <w:bCs/>
                <w:color w:val="auto"/>
                <w:sz w:val="14"/>
                <w:szCs w:val="14"/>
                <w:highlight w:val="yellow"/>
              </w:rPr>
            </w:pPr>
            <w:r w:rsidRPr="00386644">
              <w:rPr>
                <w:color w:val="auto"/>
                <w:sz w:val="14"/>
                <w:szCs w:val="14"/>
              </w:rPr>
              <w:t>0,77</w:t>
            </w:r>
          </w:p>
        </w:tc>
        <w:tc>
          <w:tcPr>
            <w:tcW w:w="774" w:type="dxa"/>
          </w:tcPr>
          <w:p w14:paraId="04369ED3" w14:textId="77777777" w:rsidR="00386644" w:rsidRPr="00386644" w:rsidRDefault="00386644">
            <w:pPr>
              <w:pStyle w:val="Tabele"/>
              <w:jc w:val="right"/>
              <w:rPr>
                <w:b/>
                <w:bCs/>
                <w:color w:val="auto"/>
                <w:sz w:val="14"/>
                <w:szCs w:val="14"/>
                <w:highlight w:val="yellow"/>
              </w:rPr>
            </w:pPr>
            <w:r w:rsidRPr="00386644">
              <w:rPr>
                <w:color w:val="auto"/>
                <w:sz w:val="14"/>
                <w:szCs w:val="14"/>
              </w:rPr>
              <w:t>1,07</w:t>
            </w:r>
          </w:p>
        </w:tc>
        <w:tc>
          <w:tcPr>
            <w:tcW w:w="774" w:type="dxa"/>
          </w:tcPr>
          <w:p w14:paraId="3E77ABB1" w14:textId="77777777" w:rsidR="00386644" w:rsidRPr="00386644" w:rsidRDefault="00386644">
            <w:pPr>
              <w:pStyle w:val="Tabele"/>
              <w:jc w:val="right"/>
              <w:rPr>
                <w:b/>
                <w:bCs/>
                <w:color w:val="auto"/>
                <w:sz w:val="14"/>
                <w:szCs w:val="14"/>
                <w:highlight w:val="yellow"/>
              </w:rPr>
            </w:pPr>
            <w:r w:rsidRPr="00386644">
              <w:rPr>
                <w:color w:val="auto"/>
                <w:sz w:val="14"/>
                <w:szCs w:val="14"/>
              </w:rPr>
              <w:t>1,35</w:t>
            </w:r>
          </w:p>
        </w:tc>
        <w:tc>
          <w:tcPr>
            <w:tcW w:w="863" w:type="dxa"/>
          </w:tcPr>
          <w:p w14:paraId="10027122" w14:textId="77777777" w:rsidR="00386644" w:rsidRPr="00386644" w:rsidRDefault="00386644">
            <w:pPr>
              <w:pStyle w:val="Tabele"/>
              <w:jc w:val="right"/>
              <w:rPr>
                <w:b/>
                <w:bCs/>
                <w:color w:val="auto"/>
                <w:sz w:val="14"/>
                <w:szCs w:val="14"/>
                <w:highlight w:val="yellow"/>
              </w:rPr>
            </w:pPr>
            <w:r w:rsidRPr="00386644">
              <w:rPr>
                <w:color w:val="auto"/>
                <w:sz w:val="14"/>
                <w:szCs w:val="14"/>
              </w:rPr>
              <w:t>1,32</w:t>
            </w:r>
          </w:p>
        </w:tc>
      </w:tr>
      <w:tr w:rsidR="00386644" w:rsidRPr="00520300" w14:paraId="7BCAF3D3" w14:textId="77777777" w:rsidTr="00386644">
        <w:trPr>
          <w:gridAfter w:val="1"/>
          <w:wAfter w:w="8" w:type="dxa"/>
          <w:trHeight w:val="227"/>
        </w:trPr>
        <w:tc>
          <w:tcPr>
            <w:tcW w:w="1963" w:type="dxa"/>
          </w:tcPr>
          <w:p w14:paraId="32884516" w14:textId="77777777" w:rsidR="00386644" w:rsidRPr="00386644" w:rsidRDefault="00386644">
            <w:pPr>
              <w:pStyle w:val="Tabele"/>
              <w:rPr>
                <w:b/>
                <w:color w:val="auto"/>
                <w:sz w:val="14"/>
                <w:szCs w:val="14"/>
              </w:rPr>
            </w:pPr>
            <w:r w:rsidRPr="00386644">
              <w:rPr>
                <w:rFonts w:cs="Calibri"/>
                <w:color w:val="auto"/>
                <w:sz w:val="14"/>
                <w:szCs w:val="14"/>
              </w:rPr>
              <w:t xml:space="preserve">C. Spalanie odpadów </w:t>
            </w:r>
          </w:p>
        </w:tc>
        <w:tc>
          <w:tcPr>
            <w:tcW w:w="720" w:type="dxa"/>
            <w:shd w:val="clear" w:color="auto" w:fill="C5E0B3"/>
          </w:tcPr>
          <w:p w14:paraId="30CF39D4" w14:textId="77777777" w:rsidR="00386644" w:rsidRPr="00386644" w:rsidRDefault="00386644">
            <w:pPr>
              <w:pStyle w:val="Tabele"/>
              <w:jc w:val="right"/>
              <w:rPr>
                <w:rFonts w:cs="Calibri"/>
                <w:color w:val="auto"/>
                <w:sz w:val="14"/>
                <w:szCs w:val="14"/>
              </w:rPr>
            </w:pPr>
            <w:r w:rsidRPr="00386644">
              <w:rPr>
                <w:color w:val="auto"/>
                <w:sz w:val="14"/>
                <w:szCs w:val="14"/>
              </w:rPr>
              <w:t>0,03</w:t>
            </w:r>
          </w:p>
        </w:tc>
        <w:tc>
          <w:tcPr>
            <w:tcW w:w="774" w:type="dxa"/>
            <w:shd w:val="clear" w:color="auto" w:fill="C5E0B3"/>
          </w:tcPr>
          <w:p w14:paraId="18EA55E1" w14:textId="77777777" w:rsidR="00386644" w:rsidRPr="00386644" w:rsidRDefault="00386644">
            <w:pPr>
              <w:pStyle w:val="Tabele"/>
              <w:jc w:val="right"/>
              <w:rPr>
                <w:color w:val="auto"/>
                <w:sz w:val="14"/>
                <w:szCs w:val="14"/>
              </w:rPr>
            </w:pPr>
            <w:r w:rsidRPr="00386644">
              <w:rPr>
                <w:color w:val="auto"/>
                <w:sz w:val="14"/>
                <w:szCs w:val="14"/>
              </w:rPr>
              <w:t>0,02</w:t>
            </w:r>
          </w:p>
        </w:tc>
        <w:tc>
          <w:tcPr>
            <w:tcW w:w="774" w:type="dxa"/>
            <w:shd w:val="clear" w:color="auto" w:fill="C5E0B3"/>
          </w:tcPr>
          <w:p w14:paraId="70ED66BC" w14:textId="77777777" w:rsidR="00386644" w:rsidRPr="00386644" w:rsidRDefault="00386644">
            <w:pPr>
              <w:pStyle w:val="Tabele"/>
              <w:jc w:val="right"/>
              <w:rPr>
                <w:color w:val="auto"/>
                <w:sz w:val="14"/>
                <w:szCs w:val="14"/>
              </w:rPr>
            </w:pPr>
            <w:r w:rsidRPr="00386644">
              <w:rPr>
                <w:color w:val="auto"/>
                <w:sz w:val="14"/>
                <w:szCs w:val="14"/>
              </w:rPr>
              <w:t>0,01</w:t>
            </w:r>
          </w:p>
        </w:tc>
        <w:tc>
          <w:tcPr>
            <w:tcW w:w="774" w:type="dxa"/>
            <w:shd w:val="clear" w:color="auto" w:fill="C5E0B3"/>
          </w:tcPr>
          <w:p w14:paraId="5E8B3DDF" w14:textId="77777777" w:rsidR="00386644" w:rsidRPr="00386644" w:rsidRDefault="00386644">
            <w:pPr>
              <w:pStyle w:val="Tabele"/>
              <w:jc w:val="right"/>
              <w:rPr>
                <w:color w:val="auto"/>
                <w:sz w:val="14"/>
                <w:szCs w:val="14"/>
              </w:rPr>
            </w:pPr>
            <w:r w:rsidRPr="00386644">
              <w:rPr>
                <w:color w:val="auto"/>
                <w:sz w:val="14"/>
                <w:szCs w:val="14"/>
              </w:rPr>
              <w:t>0,02</w:t>
            </w:r>
          </w:p>
        </w:tc>
        <w:tc>
          <w:tcPr>
            <w:tcW w:w="774" w:type="dxa"/>
            <w:shd w:val="clear" w:color="auto" w:fill="C5E0B3"/>
          </w:tcPr>
          <w:p w14:paraId="1ED16C5B" w14:textId="77777777" w:rsidR="00386644" w:rsidRPr="00386644" w:rsidRDefault="00386644">
            <w:pPr>
              <w:pStyle w:val="Tabele"/>
              <w:jc w:val="right"/>
              <w:rPr>
                <w:color w:val="auto"/>
                <w:sz w:val="14"/>
                <w:szCs w:val="14"/>
              </w:rPr>
            </w:pPr>
            <w:r w:rsidRPr="00386644">
              <w:rPr>
                <w:color w:val="auto"/>
                <w:sz w:val="14"/>
                <w:szCs w:val="14"/>
              </w:rPr>
              <w:t>0,02</w:t>
            </w:r>
          </w:p>
        </w:tc>
        <w:tc>
          <w:tcPr>
            <w:tcW w:w="774" w:type="dxa"/>
          </w:tcPr>
          <w:p w14:paraId="63369874" w14:textId="77777777" w:rsidR="00386644" w:rsidRPr="00386644" w:rsidRDefault="00386644">
            <w:pPr>
              <w:pStyle w:val="Tabele"/>
              <w:jc w:val="right"/>
              <w:rPr>
                <w:b/>
                <w:bCs/>
                <w:color w:val="auto"/>
                <w:sz w:val="14"/>
                <w:szCs w:val="14"/>
                <w:highlight w:val="yellow"/>
              </w:rPr>
            </w:pPr>
            <w:r w:rsidRPr="00386644">
              <w:rPr>
                <w:color w:val="auto"/>
                <w:sz w:val="14"/>
                <w:szCs w:val="14"/>
              </w:rPr>
              <w:t>0,00</w:t>
            </w:r>
          </w:p>
        </w:tc>
        <w:tc>
          <w:tcPr>
            <w:tcW w:w="774" w:type="dxa"/>
          </w:tcPr>
          <w:p w14:paraId="4083793A" w14:textId="77777777" w:rsidR="00386644" w:rsidRPr="00386644" w:rsidRDefault="00386644">
            <w:pPr>
              <w:pStyle w:val="Tabele"/>
              <w:jc w:val="right"/>
              <w:rPr>
                <w:b/>
                <w:bCs/>
                <w:color w:val="auto"/>
                <w:sz w:val="14"/>
                <w:szCs w:val="14"/>
                <w:highlight w:val="yellow"/>
              </w:rPr>
            </w:pPr>
            <w:r w:rsidRPr="00386644">
              <w:rPr>
                <w:color w:val="auto"/>
                <w:sz w:val="14"/>
                <w:szCs w:val="14"/>
              </w:rPr>
              <w:t>0,00</w:t>
            </w:r>
          </w:p>
        </w:tc>
        <w:tc>
          <w:tcPr>
            <w:tcW w:w="774" w:type="dxa"/>
          </w:tcPr>
          <w:p w14:paraId="0ECE6CCE" w14:textId="77777777" w:rsidR="00386644" w:rsidRPr="00386644" w:rsidRDefault="00386644">
            <w:pPr>
              <w:pStyle w:val="Tabele"/>
              <w:jc w:val="right"/>
              <w:rPr>
                <w:b/>
                <w:bCs/>
                <w:color w:val="auto"/>
                <w:sz w:val="14"/>
                <w:szCs w:val="14"/>
                <w:highlight w:val="yellow"/>
              </w:rPr>
            </w:pPr>
            <w:r w:rsidRPr="00386644">
              <w:rPr>
                <w:color w:val="auto"/>
                <w:sz w:val="14"/>
                <w:szCs w:val="14"/>
              </w:rPr>
              <w:t>0,00</w:t>
            </w:r>
          </w:p>
        </w:tc>
        <w:tc>
          <w:tcPr>
            <w:tcW w:w="863" w:type="dxa"/>
          </w:tcPr>
          <w:p w14:paraId="2030E04C" w14:textId="77777777" w:rsidR="00386644" w:rsidRPr="00386644" w:rsidRDefault="00386644">
            <w:pPr>
              <w:pStyle w:val="Tabele"/>
              <w:jc w:val="right"/>
              <w:rPr>
                <w:b/>
                <w:bCs/>
                <w:color w:val="auto"/>
                <w:sz w:val="14"/>
                <w:szCs w:val="14"/>
                <w:highlight w:val="yellow"/>
              </w:rPr>
            </w:pPr>
            <w:r w:rsidRPr="00386644">
              <w:rPr>
                <w:color w:val="auto"/>
                <w:sz w:val="14"/>
                <w:szCs w:val="14"/>
              </w:rPr>
              <w:t>0,00</w:t>
            </w:r>
          </w:p>
        </w:tc>
      </w:tr>
      <w:tr w:rsidR="00386644" w:rsidRPr="00520300" w14:paraId="1EADBE91" w14:textId="77777777" w:rsidTr="00386644">
        <w:trPr>
          <w:gridAfter w:val="1"/>
          <w:wAfter w:w="8" w:type="dxa"/>
          <w:trHeight w:val="227"/>
        </w:trPr>
        <w:tc>
          <w:tcPr>
            <w:tcW w:w="1963" w:type="dxa"/>
          </w:tcPr>
          <w:p w14:paraId="33F8D692" w14:textId="77777777" w:rsidR="00386644" w:rsidRPr="00386644" w:rsidRDefault="00386644">
            <w:pPr>
              <w:pStyle w:val="Tabele"/>
              <w:rPr>
                <w:b/>
                <w:color w:val="auto"/>
                <w:sz w:val="14"/>
                <w:szCs w:val="14"/>
              </w:rPr>
            </w:pPr>
            <w:r w:rsidRPr="00386644">
              <w:rPr>
                <w:rFonts w:cs="Calibri"/>
                <w:color w:val="auto"/>
                <w:sz w:val="14"/>
                <w:szCs w:val="14"/>
              </w:rPr>
              <w:t xml:space="preserve">D. Gospodarka ściekami </w:t>
            </w:r>
          </w:p>
        </w:tc>
        <w:tc>
          <w:tcPr>
            <w:tcW w:w="720" w:type="dxa"/>
            <w:shd w:val="clear" w:color="auto" w:fill="C5E0B3"/>
          </w:tcPr>
          <w:p w14:paraId="6C4C6EAF" w14:textId="77777777" w:rsidR="00386644" w:rsidRPr="00386644" w:rsidRDefault="00386644">
            <w:pPr>
              <w:pStyle w:val="Tabele"/>
              <w:jc w:val="right"/>
              <w:rPr>
                <w:rFonts w:cs="Calibri"/>
                <w:color w:val="auto"/>
                <w:sz w:val="14"/>
                <w:szCs w:val="14"/>
              </w:rPr>
            </w:pPr>
            <w:r w:rsidRPr="00386644">
              <w:rPr>
                <w:color w:val="auto"/>
                <w:sz w:val="14"/>
                <w:szCs w:val="14"/>
              </w:rPr>
              <w:t>2,43</w:t>
            </w:r>
          </w:p>
        </w:tc>
        <w:tc>
          <w:tcPr>
            <w:tcW w:w="774" w:type="dxa"/>
            <w:shd w:val="clear" w:color="auto" w:fill="C5E0B3"/>
          </w:tcPr>
          <w:p w14:paraId="4B3F3300" w14:textId="77777777" w:rsidR="00386644" w:rsidRPr="00386644" w:rsidRDefault="00386644">
            <w:pPr>
              <w:pStyle w:val="Tabele"/>
              <w:jc w:val="right"/>
              <w:rPr>
                <w:color w:val="auto"/>
                <w:sz w:val="14"/>
                <w:szCs w:val="14"/>
              </w:rPr>
            </w:pPr>
            <w:r w:rsidRPr="00386644">
              <w:rPr>
                <w:color w:val="auto"/>
                <w:sz w:val="14"/>
                <w:szCs w:val="14"/>
              </w:rPr>
              <w:t>2,43</w:t>
            </w:r>
          </w:p>
        </w:tc>
        <w:tc>
          <w:tcPr>
            <w:tcW w:w="774" w:type="dxa"/>
            <w:shd w:val="clear" w:color="auto" w:fill="C5E0B3"/>
          </w:tcPr>
          <w:p w14:paraId="5294518E" w14:textId="77777777" w:rsidR="00386644" w:rsidRPr="00386644" w:rsidRDefault="00386644">
            <w:pPr>
              <w:pStyle w:val="Tabele"/>
              <w:jc w:val="right"/>
              <w:rPr>
                <w:color w:val="auto"/>
                <w:sz w:val="14"/>
                <w:szCs w:val="14"/>
              </w:rPr>
            </w:pPr>
            <w:r w:rsidRPr="00386644">
              <w:rPr>
                <w:color w:val="auto"/>
                <w:sz w:val="14"/>
                <w:szCs w:val="14"/>
              </w:rPr>
              <w:t>2,54</w:t>
            </w:r>
          </w:p>
        </w:tc>
        <w:tc>
          <w:tcPr>
            <w:tcW w:w="774" w:type="dxa"/>
            <w:shd w:val="clear" w:color="auto" w:fill="C5E0B3"/>
          </w:tcPr>
          <w:p w14:paraId="1F09842A" w14:textId="77777777" w:rsidR="00386644" w:rsidRPr="00386644" w:rsidRDefault="00386644">
            <w:pPr>
              <w:pStyle w:val="Tabele"/>
              <w:jc w:val="right"/>
              <w:rPr>
                <w:color w:val="auto"/>
                <w:sz w:val="14"/>
                <w:szCs w:val="14"/>
              </w:rPr>
            </w:pPr>
            <w:r w:rsidRPr="00386644">
              <w:rPr>
                <w:color w:val="auto"/>
                <w:sz w:val="14"/>
                <w:szCs w:val="14"/>
              </w:rPr>
              <w:t>2,54</w:t>
            </w:r>
          </w:p>
        </w:tc>
        <w:tc>
          <w:tcPr>
            <w:tcW w:w="774" w:type="dxa"/>
            <w:shd w:val="clear" w:color="auto" w:fill="C5E0B3"/>
          </w:tcPr>
          <w:p w14:paraId="4B1FEEFD" w14:textId="77777777" w:rsidR="00386644" w:rsidRPr="00386644" w:rsidRDefault="00386644">
            <w:pPr>
              <w:pStyle w:val="Tabele"/>
              <w:jc w:val="right"/>
              <w:rPr>
                <w:color w:val="auto"/>
                <w:sz w:val="14"/>
                <w:szCs w:val="14"/>
              </w:rPr>
            </w:pPr>
            <w:r w:rsidRPr="00386644">
              <w:rPr>
                <w:color w:val="auto"/>
                <w:sz w:val="14"/>
                <w:szCs w:val="14"/>
              </w:rPr>
              <w:t>2,74</w:t>
            </w:r>
          </w:p>
        </w:tc>
        <w:tc>
          <w:tcPr>
            <w:tcW w:w="774" w:type="dxa"/>
          </w:tcPr>
          <w:p w14:paraId="23202E70" w14:textId="77777777" w:rsidR="00386644" w:rsidRPr="00386644" w:rsidRDefault="00386644">
            <w:pPr>
              <w:pStyle w:val="Tabele"/>
              <w:jc w:val="right"/>
              <w:rPr>
                <w:b/>
                <w:bCs/>
                <w:color w:val="auto"/>
                <w:sz w:val="14"/>
                <w:szCs w:val="14"/>
                <w:highlight w:val="yellow"/>
              </w:rPr>
            </w:pPr>
            <w:r w:rsidRPr="00386644">
              <w:rPr>
                <w:color w:val="auto"/>
                <w:sz w:val="14"/>
                <w:szCs w:val="14"/>
              </w:rPr>
              <w:t>2,69</w:t>
            </w:r>
          </w:p>
        </w:tc>
        <w:tc>
          <w:tcPr>
            <w:tcW w:w="774" w:type="dxa"/>
          </w:tcPr>
          <w:p w14:paraId="24A23FF4" w14:textId="77777777" w:rsidR="00386644" w:rsidRPr="00386644" w:rsidRDefault="00386644">
            <w:pPr>
              <w:pStyle w:val="Tabele"/>
              <w:jc w:val="right"/>
              <w:rPr>
                <w:b/>
                <w:bCs/>
                <w:color w:val="auto"/>
                <w:sz w:val="14"/>
                <w:szCs w:val="14"/>
                <w:highlight w:val="yellow"/>
              </w:rPr>
            </w:pPr>
            <w:r w:rsidRPr="00386644">
              <w:rPr>
                <w:color w:val="auto"/>
                <w:sz w:val="14"/>
                <w:szCs w:val="14"/>
              </w:rPr>
              <w:t>2,67</w:t>
            </w:r>
          </w:p>
        </w:tc>
        <w:tc>
          <w:tcPr>
            <w:tcW w:w="774" w:type="dxa"/>
          </w:tcPr>
          <w:p w14:paraId="7F7C2F21" w14:textId="77777777" w:rsidR="00386644" w:rsidRPr="00386644" w:rsidRDefault="00386644">
            <w:pPr>
              <w:pStyle w:val="Tabele"/>
              <w:jc w:val="right"/>
              <w:rPr>
                <w:b/>
                <w:bCs/>
                <w:color w:val="auto"/>
                <w:sz w:val="14"/>
                <w:szCs w:val="14"/>
                <w:highlight w:val="yellow"/>
              </w:rPr>
            </w:pPr>
            <w:r w:rsidRPr="00386644">
              <w:rPr>
                <w:color w:val="auto"/>
                <w:sz w:val="14"/>
                <w:szCs w:val="14"/>
              </w:rPr>
              <w:t>2,61</w:t>
            </w:r>
          </w:p>
        </w:tc>
        <w:tc>
          <w:tcPr>
            <w:tcW w:w="863" w:type="dxa"/>
          </w:tcPr>
          <w:p w14:paraId="5A290DBB" w14:textId="77777777" w:rsidR="00386644" w:rsidRPr="00386644" w:rsidRDefault="00386644">
            <w:pPr>
              <w:pStyle w:val="Tabele"/>
              <w:jc w:val="right"/>
              <w:rPr>
                <w:b/>
                <w:bCs/>
                <w:color w:val="auto"/>
                <w:sz w:val="14"/>
                <w:szCs w:val="14"/>
                <w:highlight w:val="yellow"/>
              </w:rPr>
            </w:pPr>
            <w:r w:rsidRPr="00386644">
              <w:rPr>
                <w:color w:val="auto"/>
                <w:sz w:val="14"/>
                <w:szCs w:val="14"/>
              </w:rPr>
              <w:t>2,54</w:t>
            </w:r>
          </w:p>
        </w:tc>
      </w:tr>
      <w:tr w:rsidR="00386644" w:rsidRPr="00520300" w14:paraId="4B66B888" w14:textId="77777777" w:rsidTr="00386644">
        <w:trPr>
          <w:gridAfter w:val="1"/>
          <w:wAfter w:w="8" w:type="dxa"/>
          <w:trHeight w:val="227"/>
        </w:trPr>
        <w:tc>
          <w:tcPr>
            <w:tcW w:w="1963" w:type="dxa"/>
          </w:tcPr>
          <w:p w14:paraId="0A747AF9" w14:textId="77777777" w:rsidR="00386644" w:rsidRPr="00386644" w:rsidRDefault="00386644">
            <w:pPr>
              <w:pStyle w:val="Tabele"/>
              <w:rPr>
                <w:color w:val="auto"/>
                <w:sz w:val="14"/>
                <w:szCs w:val="14"/>
              </w:rPr>
            </w:pPr>
            <w:r w:rsidRPr="00386644">
              <w:rPr>
                <w:rFonts w:cs="Calibri"/>
                <w:b/>
                <w:bCs/>
                <w:color w:val="auto"/>
                <w:sz w:val="14"/>
                <w:szCs w:val="14"/>
              </w:rPr>
              <w:t>Suma (z uwzg. LULUCF)</w:t>
            </w:r>
          </w:p>
        </w:tc>
        <w:tc>
          <w:tcPr>
            <w:tcW w:w="720" w:type="dxa"/>
            <w:shd w:val="clear" w:color="auto" w:fill="C5E0B3"/>
          </w:tcPr>
          <w:p w14:paraId="319E6213" w14:textId="77777777" w:rsidR="00386644" w:rsidRPr="00386644" w:rsidRDefault="00386644">
            <w:pPr>
              <w:pStyle w:val="Tabele"/>
              <w:jc w:val="right"/>
              <w:rPr>
                <w:rFonts w:cs="Calibri"/>
                <w:b/>
                <w:bCs/>
                <w:color w:val="auto"/>
                <w:sz w:val="14"/>
                <w:szCs w:val="14"/>
              </w:rPr>
            </w:pPr>
            <w:r w:rsidRPr="00386644">
              <w:rPr>
                <w:b/>
                <w:color w:val="auto"/>
                <w:sz w:val="14"/>
                <w:szCs w:val="14"/>
              </w:rPr>
              <w:t>112,17</w:t>
            </w:r>
          </w:p>
        </w:tc>
        <w:tc>
          <w:tcPr>
            <w:tcW w:w="774" w:type="dxa"/>
            <w:shd w:val="clear" w:color="auto" w:fill="C5E0B3"/>
          </w:tcPr>
          <w:p w14:paraId="24252E8C" w14:textId="77777777" w:rsidR="00386644" w:rsidRPr="00386644" w:rsidRDefault="00386644">
            <w:pPr>
              <w:pStyle w:val="Tabele"/>
              <w:jc w:val="right"/>
              <w:rPr>
                <w:b/>
                <w:color w:val="auto"/>
                <w:sz w:val="14"/>
                <w:szCs w:val="14"/>
              </w:rPr>
            </w:pPr>
            <w:r w:rsidRPr="00386644">
              <w:rPr>
                <w:b/>
                <w:color w:val="auto"/>
                <w:sz w:val="14"/>
                <w:szCs w:val="14"/>
              </w:rPr>
              <w:t>88,19</w:t>
            </w:r>
          </w:p>
        </w:tc>
        <w:tc>
          <w:tcPr>
            <w:tcW w:w="774" w:type="dxa"/>
            <w:shd w:val="clear" w:color="auto" w:fill="C5E0B3"/>
          </w:tcPr>
          <w:p w14:paraId="41777AD0" w14:textId="77777777" w:rsidR="00386644" w:rsidRPr="00386644" w:rsidRDefault="00386644">
            <w:pPr>
              <w:pStyle w:val="Tabele"/>
              <w:jc w:val="right"/>
              <w:rPr>
                <w:b/>
                <w:color w:val="auto"/>
                <w:sz w:val="14"/>
                <w:szCs w:val="14"/>
              </w:rPr>
            </w:pPr>
            <w:r w:rsidRPr="00386644">
              <w:rPr>
                <w:b/>
                <w:color w:val="auto"/>
                <w:sz w:val="14"/>
                <w:szCs w:val="14"/>
              </w:rPr>
              <w:t>77,99</w:t>
            </w:r>
          </w:p>
        </w:tc>
        <w:tc>
          <w:tcPr>
            <w:tcW w:w="774" w:type="dxa"/>
            <w:shd w:val="clear" w:color="auto" w:fill="C5E0B3"/>
          </w:tcPr>
          <w:p w14:paraId="1FAF621E" w14:textId="77777777" w:rsidR="00386644" w:rsidRPr="00386644" w:rsidRDefault="00386644">
            <w:pPr>
              <w:pStyle w:val="Tabele"/>
              <w:jc w:val="right"/>
              <w:rPr>
                <w:b/>
                <w:color w:val="auto"/>
                <w:sz w:val="14"/>
                <w:szCs w:val="14"/>
              </w:rPr>
            </w:pPr>
            <w:r w:rsidRPr="00386644">
              <w:rPr>
                <w:b/>
                <w:color w:val="auto"/>
                <w:sz w:val="14"/>
                <w:szCs w:val="14"/>
              </w:rPr>
              <w:t>76,40</w:t>
            </w:r>
          </w:p>
        </w:tc>
        <w:tc>
          <w:tcPr>
            <w:tcW w:w="774" w:type="dxa"/>
            <w:shd w:val="clear" w:color="auto" w:fill="C5E0B3"/>
          </w:tcPr>
          <w:p w14:paraId="2653E999" w14:textId="77777777" w:rsidR="00386644" w:rsidRPr="00386644" w:rsidRDefault="00386644">
            <w:pPr>
              <w:pStyle w:val="Tabele"/>
              <w:jc w:val="right"/>
              <w:rPr>
                <w:b/>
                <w:color w:val="auto"/>
                <w:sz w:val="14"/>
                <w:szCs w:val="14"/>
              </w:rPr>
            </w:pPr>
            <w:r w:rsidRPr="00386644">
              <w:rPr>
                <w:b/>
                <w:color w:val="auto"/>
                <w:sz w:val="14"/>
                <w:szCs w:val="14"/>
              </w:rPr>
              <w:t>84,51</w:t>
            </w:r>
          </w:p>
        </w:tc>
        <w:tc>
          <w:tcPr>
            <w:tcW w:w="774" w:type="dxa"/>
          </w:tcPr>
          <w:p w14:paraId="7C355E1B" w14:textId="77777777" w:rsidR="00386644" w:rsidRPr="00386644" w:rsidRDefault="00386644">
            <w:pPr>
              <w:pStyle w:val="Tabele"/>
              <w:jc w:val="right"/>
              <w:rPr>
                <w:b/>
                <w:bCs/>
                <w:color w:val="auto"/>
                <w:sz w:val="14"/>
                <w:szCs w:val="14"/>
                <w:highlight w:val="yellow"/>
              </w:rPr>
            </w:pPr>
            <w:r w:rsidRPr="00386644">
              <w:rPr>
                <w:b/>
                <w:color w:val="auto"/>
                <w:sz w:val="14"/>
                <w:szCs w:val="14"/>
              </w:rPr>
              <w:t>81,91</w:t>
            </w:r>
          </w:p>
        </w:tc>
        <w:tc>
          <w:tcPr>
            <w:tcW w:w="774" w:type="dxa"/>
          </w:tcPr>
          <w:p w14:paraId="2668359C" w14:textId="77777777" w:rsidR="00386644" w:rsidRPr="00386644" w:rsidRDefault="00386644">
            <w:pPr>
              <w:pStyle w:val="Tabele"/>
              <w:jc w:val="right"/>
              <w:rPr>
                <w:b/>
                <w:bCs/>
                <w:color w:val="auto"/>
                <w:sz w:val="14"/>
                <w:szCs w:val="14"/>
                <w:highlight w:val="yellow"/>
              </w:rPr>
            </w:pPr>
            <w:r w:rsidRPr="00386644">
              <w:rPr>
                <w:b/>
                <w:color w:val="auto"/>
                <w:sz w:val="14"/>
                <w:szCs w:val="14"/>
              </w:rPr>
              <w:t>78,02</w:t>
            </w:r>
          </w:p>
        </w:tc>
        <w:tc>
          <w:tcPr>
            <w:tcW w:w="774" w:type="dxa"/>
          </w:tcPr>
          <w:p w14:paraId="06DD68A2" w14:textId="77777777" w:rsidR="00386644" w:rsidRPr="00386644" w:rsidRDefault="00386644">
            <w:pPr>
              <w:pStyle w:val="Tabele"/>
              <w:jc w:val="right"/>
              <w:rPr>
                <w:b/>
                <w:bCs/>
                <w:color w:val="auto"/>
                <w:sz w:val="14"/>
                <w:szCs w:val="14"/>
                <w:highlight w:val="yellow"/>
              </w:rPr>
            </w:pPr>
            <w:r w:rsidRPr="00386644">
              <w:rPr>
                <w:b/>
                <w:color w:val="auto"/>
                <w:sz w:val="14"/>
                <w:szCs w:val="14"/>
              </w:rPr>
              <w:t>75,92</w:t>
            </w:r>
          </w:p>
        </w:tc>
        <w:tc>
          <w:tcPr>
            <w:tcW w:w="863" w:type="dxa"/>
          </w:tcPr>
          <w:p w14:paraId="7703C2D9" w14:textId="77777777" w:rsidR="00386644" w:rsidRPr="00386644" w:rsidRDefault="00386644">
            <w:pPr>
              <w:pStyle w:val="Tabele"/>
              <w:jc w:val="right"/>
              <w:rPr>
                <w:b/>
                <w:bCs/>
                <w:color w:val="auto"/>
                <w:sz w:val="14"/>
                <w:szCs w:val="14"/>
                <w:highlight w:val="yellow"/>
              </w:rPr>
            </w:pPr>
            <w:r w:rsidRPr="00386644">
              <w:rPr>
                <w:b/>
                <w:color w:val="auto"/>
                <w:sz w:val="14"/>
                <w:szCs w:val="14"/>
              </w:rPr>
              <w:t>69,87</w:t>
            </w:r>
          </w:p>
        </w:tc>
      </w:tr>
      <w:tr w:rsidR="00386644" w:rsidRPr="00520300" w14:paraId="77FB7885" w14:textId="77777777" w:rsidTr="00386644">
        <w:trPr>
          <w:gridAfter w:val="1"/>
          <w:wAfter w:w="8" w:type="dxa"/>
          <w:trHeight w:val="227"/>
        </w:trPr>
        <w:tc>
          <w:tcPr>
            <w:tcW w:w="1963" w:type="dxa"/>
          </w:tcPr>
          <w:p w14:paraId="3EC20EC0" w14:textId="77777777" w:rsidR="00386644" w:rsidRPr="00386644" w:rsidRDefault="00386644">
            <w:pPr>
              <w:pStyle w:val="Tabele"/>
              <w:rPr>
                <w:color w:val="auto"/>
                <w:sz w:val="14"/>
                <w:szCs w:val="14"/>
              </w:rPr>
            </w:pPr>
            <w:r w:rsidRPr="00386644">
              <w:rPr>
                <w:rFonts w:cs="Calibri"/>
                <w:b/>
                <w:bCs/>
                <w:color w:val="auto"/>
                <w:sz w:val="14"/>
                <w:szCs w:val="14"/>
              </w:rPr>
              <w:t>Suma (bez LULUCF)</w:t>
            </w:r>
          </w:p>
        </w:tc>
        <w:tc>
          <w:tcPr>
            <w:tcW w:w="720" w:type="dxa"/>
            <w:shd w:val="clear" w:color="auto" w:fill="C5E0B3"/>
          </w:tcPr>
          <w:p w14:paraId="35BCB152" w14:textId="77777777" w:rsidR="00386644" w:rsidRPr="00386644" w:rsidRDefault="00386644">
            <w:pPr>
              <w:pStyle w:val="Tabele"/>
              <w:jc w:val="right"/>
              <w:rPr>
                <w:rFonts w:cs="Calibri"/>
                <w:b/>
                <w:bCs/>
                <w:color w:val="auto"/>
                <w:sz w:val="14"/>
                <w:szCs w:val="14"/>
              </w:rPr>
            </w:pPr>
            <w:r w:rsidRPr="00386644">
              <w:rPr>
                <w:b/>
                <w:color w:val="auto"/>
                <w:sz w:val="14"/>
                <w:szCs w:val="14"/>
              </w:rPr>
              <w:t>105,04</w:t>
            </w:r>
          </w:p>
        </w:tc>
        <w:tc>
          <w:tcPr>
            <w:tcW w:w="774" w:type="dxa"/>
            <w:shd w:val="clear" w:color="auto" w:fill="C5E0B3"/>
          </w:tcPr>
          <w:p w14:paraId="22EB5AE7" w14:textId="77777777" w:rsidR="00386644" w:rsidRPr="00386644" w:rsidRDefault="00386644">
            <w:pPr>
              <w:pStyle w:val="Tabele"/>
              <w:jc w:val="right"/>
              <w:rPr>
                <w:b/>
                <w:color w:val="auto"/>
                <w:sz w:val="14"/>
                <w:szCs w:val="14"/>
              </w:rPr>
            </w:pPr>
            <w:r w:rsidRPr="00386644">
              <w:rPr>
                <w:b/>
                <w:color w:val="auto"/>
                <w:sz w:val="14"/>
                <w:szCs w:val="14"/>
              </w:rPr>
              <w:t>83,83</w:t>
            </w:r>
          </w:p>
        </w:tc>
        <w:tc>
          <w:tcPr>
            <w:tcW w:w="774" w:type="dxa"/>
            <w:shd w:val="clear" w:color="auto" w:fill="C5E0B3"/>
          </w:tcPr>
          <w:p w14:paraId="3A0B07AA" w14:textId="77777777" w:rsidR="00386644" w:rsidRPr="00386644" w:rsidRDefault="00386644">
            <w:pPr>
              <w:pStyle w:val="Tabele"/>
              <w:jc w:val="right"/>
              <w:rPr>
                <w:b/>
                <w:color w:val="auto"/>
                <w:sz w:val="14"/>
                <w:szCs w:val="14"/>
              </w:rPr>
            </w:pPr>
            <w:r w:rsidRPr="00386644">
              <w:rPr>
                <w:b/>
                <w:color w:val="auto"/>
                <w:sz w:val="14"/>
                <w:szCs w:val="14"/>
              </w:rPr>
              <w:t>73,98</w:t>
            </w:r>
          </w:p>
        </w:tc>
        <w:tc>
          <w:tcPr>
            <w:tcW w:w="774" w:type="dxa"/>
            <w:shd w:val="clear" w:color="auto" w:fill="C5E0B3"/>
          </w:tcPr>
          <w:p w14:paraId="5431E3FE" w14:textId="77777777" w:rsidR="00386644" w:rsidRPr="00386644" w:rsidRDefault="00386644">
            <w:pPr>
              <w:pStyle w:val="Tabele"/>
              <w:jc w:val="right"/>
              <w:rPr>
                <w:b/>
                <w:color w:val="auto"/>
                <w:sz w:val="14"/>
                <w:szCs w:val="14"/>
              </w:rPr>
            </w:pPr>
            <w:r w:rsidRPr="00386644">
              <w:rPr>
                <w:b/>
                <w:color w:val="auto"/>
                <w:sz w:val="14"/>
                <w:szCs w:val="14"/>
              </w:rPr>
              <w:t>71,73</w:t>
            </w:r>
          </w:p>
        </w:tc>
        <w:tc>
          <w:tcPr>
            <w:tcW w:w="774" w:type="dxa"/>
            <w:shd w:val="clear" w:color="auto" w:fill="C5E0B3"/>
          </w:tcPr>
          <w:p w14:paraId="19045BF2" w14:textId="77777777" w:rsidR="00386644" w:rsidRPr="00386644" w:rsidRDefault="00386644">
            <w:pPr>
              <w:pStyle w:val="Tabele"/>
              <w:jc w:val="right"/>
              <w:rPr>
                <w:b/>
                <w:color w:val="auto"/>
                <w:sz w:val="14"/>
                <w:szCs w:val="14"/>
              </w:rPr>
            </w:pPr>
            <w:r w:rsidRPr="00386644">
              <w:rPr>
                <w:b/>
                <w:color w:val="auto"/>
                <w:sz w:val="14"/>
                <w:szCs w:val="14"/>
              </w:rPr>
              <w:t>76,79</w:t>
            </w:r>
          </w:p>
        </w:tc>
        <w:tc>
          <w:tcPr>
            <w:tcW w:w="774" w:type="dxa"/>
          </w:tcPr>
          <w:p w14:paraId="57481021" w14:textId="77777777" w:rsidR="00386644" w:rsidRPr="00386644" w:rsidRDefault="00386644">
            <w:pPr>
              <w:pStyle w:val="Tabele"/>
              <w:jc w:val="right"/>
              <w:rPr>
                <w:b/>
                <w:bCs/>
                <w:color w:val="auto"/>
                <w:sz w:val="14"/>
                <w:szCs w:val="14"/>
                <w:highlight w:val="yellow"/>
              </w:rPr>
            </w:pPr>
            <w:r w:rsidRPr="00386644">
              <w:rPr>
                <w:b/>
                <w:color w:val="auto"/>
                <w:sz w:val="14"/>
                <w:szCs w:val="14"/>
              </w:rPr>
              <w:t>73,95</w:t>
            </w:r>
          </w:p>
        </w:tc>
        <w:tc>
          <w:tcPr>
            <w:tcW w:w="774" w:type="dxa"/>
          </w:tcPr>
          <w:p w14:paraId="029FAB31" w14:textId="77777777" w:rsidR="00386644" w:rsidRPr="00386644" w:rsidRDefault="00386644">
            <w:pPr>
              <w:pStyle w:val="Tabele"/>
              <w:jc w:val="right"/>
              <w:rPr>
                <w:b/>
                <w:bCs/>
                <w:color w:val="auto"/>
                <w:sz w:val="14"/>
                <w:szCs w:val="14"/>
                <w:highlight w:val="yellow"/>
              </w:rPr>
            </w:pPr>
            <w:r w:rsidRPr="00386644">
              <w:rPr>
                <w:b/>
                <w:color w:val="auto"/>
                <w:sz w:val="14"/>
                <w:szCs w:val="14"/>
              </w:rPr>
              <w:t>69,91</w:t>
            </w:r>
          </w:p>
        </w:tc>
        <w:tc>
          <w:tcPr>
            <w:tcW w:w="774" w:type="dxa"/>
          </w:tcPr>
          <w:p w14:paraId="42772B2D" w14:textId="77777777" w:rsidR="00386644" w:rsidRPr="00386644" w:rsidRDefault="00386644">
            <w:pPr>
              <w:pStyle w:val="Tabele"/>
              <w:jc w:val="right"/>
              <w:rPr>
                <w:b/>
                <w:bCs/>
                <w:color w:val="auto"/>
                <w:sz w:val="14"/>
                <w:szCs w:val="14"/>
                <w:highlight w:val="yellow"/>
              </w:rPr>
            </w:pPr>
            <w:r w:rsidRPr="00386644">
              <w:rPr>
                <w:b/>
                <w:color w:val="auto"/>
                <w:sz w:val="14"/>
                <w:szCs w:val="14"/>
              </w:rPr>
              <w:t>68,20</w:t>
            </w:r>
          </w:p>
        </w:tc>
        <w:tc>
          <w:tcPr>
            <w:tcW w:w="863" w:type="dxa"/>
          </w:tcPr>
          <w:p w14:paraId="70C035EA" w14:textId="77777777" w:rsidR="00386644" w:rsidRPr="00386644" w:rsidRDefault="00386644">
            <w:pPr>
              <w:pStyle w:val="Tabele"/>
              <w:jc w:val="right"/>
              <w:rPr>
                <w:b/>
                <w:bCs/>
                <w:color w:val="auto"/>
                <w:sz w:val="14"/>
                <w:szCs w:val="14"/>
                <w:highlight w:val="yellow"/>
              </w:rPr>
            </w:pPr>
            <w:r w:rsidRPr="00386644">
              <w:rPr>
                <w:b/>
                <w:color w:val="auto"/>
                <w:sz w:val="14"/>
                <w:szCs w:val="14"/>
              </w:rPr>
              <w:t>64,68</w:t>
            </w:r>
          </w:p>
        </w:tc>
      </w:tr>
    </w:tbl>
    <w:p w14:paraId="4EA30017" w14:textId="054B8DDE" w:rsidR="005C4144" w:rsidRPr="005525FC" w:rsidRDefault="005C4144" w:rsidP="00386644">
      <w:pPr>
        <w:pStyle w:val="Legenda"/>
        <w:keepNext/>
      </w:pPr>
      <w:r w:rsidRPr="00BB1158">
        <w:t>Źródło: Opracowanie własne KOBIZE, IOŚ-PIB</w:t>
      </w:r>
    </w:p>
    <w:p w14:paraId="117C8DC9" w14:textId="700ED818" w:rsidR="00F75ACF" w:rsidRPr="00B87AAE" w:rsidRDefault="00F75ACF" w:rsidP="00F75ACF">
      <w:bookmarkStart w:id="48" w:name="_Hlk175694330"/>
      <w:r w:rsidRPr="00B87323">
        <w:rPr>
          <w:b/>
        </w:rPr>
        <w:t>W przypadku N</w:t>
      </w:r>
      <w:r w:rsidRPr="00B87323">
        <w:rPr>
          <w:b/>
          <w:vertAlign w:val="subscript"/>
        </w:rPr>
        <w:t>2</w:t>
      </w:r>
      <w:r w:rsidRPr="00B87323">
        <w:rPr>
          <w:b/>
        </w:rPr>
        <w:t>O prognozowana emisja</w:t>
      </w:r>
      <w:r w:rsidRPr="00295F8A">
        <w:t xml:space="preserve"> (bez LULUCF) </w:t>
      </w:r>
      <w:r w:rsidRPr="00B87323">
        <w:rPr>
          <w:b/>
        </w:rPr>
        <w:t>zmniejszy się</w:t>
      </w:r>
      <w:r w:rsidRPr="00295F8A">
        <w:t xml:space="preserve"> ze 105 kt w 1990 r. do </w:t>
      </w:r>
      <w:r>
        <w:t>niespełna</w:t>
      </w:r>
      <w:r w:rsidRPr="00295F8A">
        <w:t xml:space="preserve"> </w:t>
      </w:r>
      <w:r>
        <w:t>70 kt (spadek o 33</w:t>
      </w:r>
      <w:r w:rsidRPr="00295F8A">
        <w:t>%) w 2030 r.</w:t>
      </w:r>
      <w:r w:rsidR="00327FDB">
        <w:t xml:space="preserve"> i </w:t>
      </w:r>
      <w:r>
        <w:t xml:space="preserve">65 kt w 2040 r. (spadek o </w:t>
      </w:r>
      <w:r w:rsidR="00045570">
        <w:t>38</w:t>
      </w:r>
      <w:r>
        <w:t>%)</w:t>
      </w:r>
      <w:r w:rsidR="00327FDB">
        <w:t xml:space="preserve">. </w:t>
      </w:r>
      <w:r w:rsidRPr="00295F8A">
        <w:t>Największą redukcję emisji N</w:t>
      </w:r>
      <w:r w:rsidRPr="00295F8A">
        <w:rPr>
          <w:vertAlign w:val="subscript"/>
        </w:rPr>
        <w:t>2</w:t>
      </w:r>
      <w:r w:rsidRPr="00295F8A">
        <w:t>O w latach 1990-20</w:t>
      </w:r>
      <w:r w:rsidR="00327FDB">
        <w:t>40</w:t>
      </w:r>
      <w:r w:rsidRPr="00295F8A">
        <w:t xml:space="preserve"> odnotowano w sektorze Procesów przemysłowych i użytkowania produktów (głównie w przemyśle chemicznym) o </w:t>
      </w:r>
      <w:r w:rsidR="005203F1">
        <w:t>80</w:t>
      </w:r>
      <w:r w:rsidRPr="00295F8A">
        <w:t>%.</w:t>
      </w:r>
      <w:r w:rsidRPr="00A656A8">
        <w:t xml:space="preserve"> Z kolei w sektorze Rolnictwa emisja N</w:t>
      </w:r>
      <w:r w:rsidRPr="00A656A8">
        <w:rPr>
          <w:vertAlign w:val="subscript"/>
        </w:rPr>
        <w:t>2</w:t>
      </w:r>
      <w:r w:rsidRPr="00A656A8">
        <w:t xml:space="preserve">O zmniejszyła się </w:t>
      </w:r>
      <w:r>
        <w:t xml:space="preserve">od 1990 r. </w:t>
      </w:r>
      <w:r w:rsidRPr="00A656A8">
        <w:t>o</w:t>
      </w:r>
      <w:r>
        <w:t> </w:t>
      </w:r>
      <w:r w:rsidRPr="00A656A8">
        <w:t>32% do 2030 r.</w:t>
      </w:r>
      <w:r w:rsidR="001100DF">
        <w:t xml:space="preserve"> i</w:t>
      </w:r>
      <w:r>
        <w:t xml:space="preserve"> o </w:t>
      </w:r>
      <w:r w:rsidR="00C6132B">
        <w:t>36</w:t>
      </w:r>
      <w:r>
        <w:t>% w 2040 r</w:t>
      </w:r>
      <w:r w:rsidRPr="00A656A8">
        <w:t>. Rolnictwo to najistotniejsze źródło emisji N</w:t>
      </w:r>
      <w:r w:rsidRPr="00A656A8">
        <w:rPr>
          <w:vertAlign w:val="subscript"/>
        </w:rPr>
        <w:t>2</w:t>
      </w:r>
      <w:r w:rsidRPr="00A656A8">
        <w:t>O w Polsce, a w szczególności gleby rolne.</w:t>
      </w:r>
      <w:r>
        <w:t xml:space="preserve"> Największy wpływ na spadek emisji N</w:t>
      </w:r>
      <w:r w:rsidRPr="00295F8A">
        <w:rPr>
          <w:vertAlign w:val="subscript"/>
        </w:rPr>
        <w:t>2</w:t>
      </w:r>
      <w:r>
        <w:t>O w tej kategorii miało prognozowane zmniejszenie emisji ze zużycia nawozów mineralnych. Z kolei w sektorze Odpadów prognozuje się wzrost emisji N</w:t>
      </w:r>
      <w:r w:rsidRPr="00927697">
        <w:rPr>
          <w:vertAlign w:val="subscript"/>
        </w:rPr>
        <w:t>2</w:t>
      </w:r>
      <w:r>
        <w:t>O o </w:t>
      </w:r>
      <w:r w:rsidR="00C6132B">
        <w:t>56</w:t>
      </w:r>
      <w:r w:rsidRPr="005937BA">
        <w:t>% w latach 1990–2</w:t>
      </w:r>
      <w:r w:rsidR="005937BA" w:rsidRPr="005937BA">
        <w:t>04</w:t>
      </w:r>
      <w:r w:rsidRPr="005937BA">
        <w:t>0</w:t>
      </w:r>
      <w:r w:rsidRPr="008E1882">
        <w:t xml:space="preserve">, </w:t>
      </w:r>
      <w:r w:rsidRPr="008214D4">
        <w:t>który jest spowodowany prognozowanym wzrostem ilości odpadów przetwarzanych w kompostowniach.</w:t>
      </w:r>
      <w:r w:rsidRPr="00B87AAE">
        <w:t xml:space="preserve"> W sektorze odpadów całe ich spalanie będzie się odbywało z odzyskiem energii (co jest raportowane w sektorze 1.A), stąd emisja w latach prognozowanych wynosi w tym sektorze 0.</w:t>
      </w:r>
    </w:p>
    <w:p w14:paraId="725816E2" w14:textId="5AAFB6C6" w:rsidR="00F75ACF" w:rsidRPr="000433A7" w:rsidRDefault="00F75ACF" w:rsidP="00F75ACF">
      <w:r w:rsidRPr="00295F8A">
        <w:t>Udział podtlenku azotu w emisji krajowej wzrośnie z 7% w 2030 r.</w:t>
      </w:r>
      <w:r w:rsidR="00C92094">
        <w:t xml:space="preserve"> i</w:t>
      </w:r>
      <w:r>
        <w:t xml:space="preserve"> do 10% w 2040 </w:t>
      </w:r>
      <w:r w:rsidR="00EF5A24">
        <w:t>r</w:t>
      </w:r>
      <w:r w:rsidR="00EF5A24" w:rsidRPr="00295F8A">
        <w:t>.</w:t>
      </w:r>
    </w:p>
    <w:p w14:paraId="670A5AF3" w14:textId="77777777" w:rsidR="007D5D7A" w:rsidRDefault="007D5D7A" w:rsidP="005C4144">
      <w:pPr>
        <w:pStyle w:val="Legenda"/>
        <w:keepNext/>
      </w:pPr>
      <w:bookmarkStart w:id="49" w:name="_Ref160799844"/>
      <w:bookmarkStart w:id="50" w:name="_Ref195869317"/>
      <w:bookmarkStart w:id="51" w:name="_Toc167442084"/>
      <w:bookmarkStart w:id="52" w:name="_Toc171587165"/>
      <w:bookmarkStart w:id="53" w:name="_Toc174710949"/>
      <w:bookmarkEnd w:id="48"/>
      <w:r>
        <w:br w:type="page"/>
      </w:r>
    </w:p>
    <w:p w14:paraId="69FC54CF" w14:textId="79ED530D" w:rsidR="005C4144" w:rsidRPr="002E7BD7" w:rsidRDefault="005C4144" w:rsidP="005C4144">
      <w:pPr>
        <w:pStyle w:val="Legenda"/>
        <w:keepNext/>
      </w:pPr>
      <w:bookmarkStart w:id="54" w:name="_Ref200724787"/>
      <w:bookmarkStart w:id="55" w:name="_Toc202966951"/>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6</w:t>
      </w:r>
      <w:r w:rsidR="00653D9A">
        <w:rPr>
          <w:noProof/>
        </w:rPr>
        <w:fldChar w:fldCharType="end"/>
      </w:r>
      <w:bookmarkEnd w:id="49"/>
      <w:bookmarkEnd w:id="50"/>
      <w:bookmarkEnd w:id="54"/>
      <w:r>
        <w:t>. Prognozowane emisje CH</w:t>
      </w:r>
      <w:r w:rsidRPr="00A86DC8">
        <w:rPr>
          <w:vertAlign w:val="subscript"/>
        </w:rPr>
        <w:t>4</w:t>
      </w:r>
      <w:r>
        <w:t>, dla scenariusza WAM</w:t>
      </w:r>
      <w:bookmarkEnd w:id="51"/>
      <w:bookmarkEnd w:id="52"/>
      <w:bookmarkEnd w:id="53"/>
      <w:bookmarkEnd w:id="55"/>
    </w:p>
    <w:tbl>
      <w:tblPr>
        <w:tblStyle w:val="KPEiK"/>
        <w:tblW w:w="4926" w:type="pct"/>
        <w:tblLook w:val="04A0" w:firstRow="1" w:lastRow="0" w:firstColumn="1" w:lastColumn="0" w:noHBand="0" w:noVBand="1"/>
      </w:tblPr>
      <w:tblGrid>
        <w:gridCol w:w="1919"/>
        <w:gridCol w:w="821"/>
        <w:gridCol w:w="773"/>
        <w:gridCol w:w="772"/>
        <w:gridCol w:w="773"/>
        <w:gridCol w:w="772"/>
        <w:gridCol w:w="773"/>
        <w:gridCol w:w="772"/>
        <w:gridCol w:w="772"/>
        <w:gridCol w:w="773"/>
        <w:gridCol w:w="8"/>
      </w:tblGrid>
      <w:tr w:rsidR="005B65D1" w:rsidRPr="00520300" w14:paraId="144D1DDA" w14:textId="77777777" w:rsidTr="00D562EA">
        <w:trPr>
          <w:cnfStyle w:val="100000000000" w:firstRow="1" w:lastRow="0" w:firstColumn="0" w:lastColumn="0" w:oddVBand="0" w:evenVBand="0" w:oddHBand="0" w:evenHBand="0" w:firstRowFirstColumn="0" w:firstRowLastColumn="0" w:lastRowFirstColumn="0" w:lastRowLastColumn="0"/>
          <w:trHeight w:val="231"/>
          <w:tblHeader/>
        </w:trPr>
        <w:tc>
          <w:tcPr>
            <w:tcW w:w="1919" w:type="dxa"/>
            <w:vMerge w:val="restart"/>
          </w:tcPr>
          <w:p w14:paraId="104E7FBD" w14:textId="77777777" w:rsidR="005B65D1" w:rsidRPr="00520300" w:rsidRDefault="005B65D1">
            <w:pPr>
              <w:pStyle w:val="Tabele"/>
              <w:jc w:val="center"/>
              <w:rPr>
                <w:sz w:val="12"/>
                <w:szCs w:val="12"/>
              </w:rPr>
            </w:pPr>
            <w:r w:rsidRPr="00520300">
              <w:rPr>
                <w:sz w:val="12"/>
                <w:szCs w:val="12"/>
              </w:rPr>
              <w:t>Sektor</w:t>
            </w:r>
          </w:p>
        </w:tc>
        <w:tc>
          <w:tcPr>
            <w:tcW w:w="7009" w:type="dxa"/>
            <w:gridSpan w:val="10"/>
          </w:tcPr>
          <w:p w14:paraId="518F3640" w14:textId="77777777" w:rsidR="00D562EA" w:rsidRPr="00520300" w:rsidRDefault="00D562EA">
            <w:pPr>
              <w:pStyle w:val="Tabele"/>
              <w:jc w:val="center"/>
              <w:rPr>
                <w:sz w:val="12"/>
                <w:szCs w:val="12"/>
              </w:rPr>
            </w:pPr>
            <w:r w:rsidRPr="00520300">
              <w:rPr>
                <w:sz w:val="12"/>
                <w:szCs w:val="12"/>
              </w:rPr>
              <w:t>Emisje CH</w:t>
            </w:r>
            <w:r w:rsidRPr="00520300">
              <w:rPr>
                <w:sz w:val="12"/>
                <w:szCs w:val="12"/>
                <w:vertAlign w:val="subscript"/>
              </w:rPr>
              <w:t>4</w:t>
            </w:r>
            <w:r w:rsidRPr="00520300">
              <w:rPr>
                <w:sz w:val="12"/>
                <w:szCs w:val="12"/>
              </w:rPr>
              <w:t xml:space="preserve"> [kt]</w:t>
            </w:r>
          </w:p>
        </w:tc>
      </w:tr>
      <w:tr w:rsidR="001734F0" w:rsidRPr="00520300" w14:paraId="572CCCA4" w14:textId="77777777" w:rsidTr="00D562EA">
        <w:trPr>
          <w:gridAfter w:val="1"/>
          <w:cnfStyle w:val="100000000000" w:firstRow="1" w:lastRow="0" w:firstColumn="0" w:lastColumn="0" w:oddVBand="0" w:evenVBand="0" w:oddHBand="0" w:evenHBand="0" w:firstRowFirstColumn="0" w:firstRowLastColumn="0" w:lastRowFirstColumn="0" w:lastRowLastColumn="0"/>
          <w:wAfter w:w="8" w:type="dxa"/>
          <w:trHeight w:val="231"/>
          <w:tblHeader/>
        </w:trPr>
        <w:tc>
          <w:tcPr>
            <w:tcW w:w="1919" w:type="dxa"/>
            <w:vMerge/>
          </w:tcPr>
          <w:p w14:paraId="6D7EF874" w14:textId="77777777" w:rsidR="005B65D1" w:rsidRPr="00520300" w:rsidRDefault="005B65D1">
            <w:pPr>
              <w:pStyle w:val="Tabele"/>
              <w:jc w:val="center"/>
              <w:rPr>
                <w:sz w:val="12"/>
                <w:szCs w:val="12"/>
              </w:rPr>
            </w:pPr>
          </w:p>
        </w:tc>
        <w:tc>
          <w:tcPr>
            <w:tcW w:w="821" w:type="dxa"/>
          </w:tcPr>
          <w:p w14:paraId="3B0E6630" w14:textId="77777777" w:rsidR="005B65D1" w:rsidRPr="00520300" w:rsidRDefault="005B65D1">
            <w:pPr>
              <w:pStyle w:val="Tabele"/>
              <w:jc w:val="center"/>
              <w:rPr>
                <w:sz w:val="12"/>
                <w:szCs w:val="12"/>
              </w:rPr>
            </w:pPr>
            <w:r w:rsidRPr="00520300">
              <w:rPr>
                <w:sz w:val="12"/>
                <w:szCs w:val="12"/>
              </w:rPr>
              <w:t>1990</w:t>
            </w:r>
          </w:p>
        </w:tc>
        <w:tc>
          <w:tcPr>
            <w:tcW w:w="773" w:type="dxa"/>
          </w:tcPr>
          <w:p w14:paraId="32731695" w14:textId="77777777" w:rsidR="005B65D1" w:rsidRPr="00520300" w:rsidRDefault="005B65D1">
            <w:pPr>
              <w:pStyle w:val="Tabele"/>
              <w:jc w:val="center"/>
              <w:rPr>
                <w:sz w:val="12"/>
                <w:szCs w:val="12"/>
              </w:rPr>
            </w:pPr>
            <w:r w:rsidRPr="00520300">
              <w:rPr>
                <w:sz w:val="12"/>
                <w:szCs w:val="12"/>
              </w:rPr>
              <w:t>2005</w:t>
            </w:r>
          </w:p>
        </w:tc>
        <w:tc>
          <w:tcPr>
            <w:tcW w:w="772" w:type="dxa"/>
          </w:tcPr>
          <w:p w14:paraId="04360F20" w14:textId="77777777" w:rsidR="005B65D1" w:rsidRPr="00520300" w:rsidRDefault="005B65D1">
            <w:pPr>
              <w:pStyle w:val="Tabele"/>
              <w:jc w:val="center"/>
              <w:rPr>
                <w:sz w:val="12"/>
                <w:szCs w:val="12"/>
              </w:rPr>
            </w:pPr>
            <w:r w:rsidRPr="00520300">
              <w:rPr>
                <w:sz w:val="12"/>
                <w:szCs w:val="12"/>
              </w:rPr>
              <w:t>2010</w:t>
            </w:r>
          </w:p>
        </w:tc>
        <w:tc>
          <w:tcPr>
            <w:tcW w:w="773" w:type="dxa"/>
          </w:tcPr>
          <w:p w14:paraId="28EEEC8F" w14:textId="77777777" w:rsidR="005B65D1" w:rsidRPr="00520300" w:rsidRDefault="005B65D1">
            <w:pPr>
              <w:pStyle w:val="Tabele"/>
              <w:jc w:val="center"/>
              <w:rPr>
                <w:sz w:val="12"/>
                <w:szCs w:val="12"/>
              </w:rPr>
            </w:pPr>
            <w:r w:rsidRPr="00520300">
              <w:rPr>
                <w:sz w:val="12"/>
                <w:szCs w:val="12"/>
              </w:rPr>
              <w:t>2015</w:t>
            </w:r>
          </w:p>
        </w:tc>
        <w:tc>
          <w:tcPr>
            <w:tcW w:w="772" w:type="dxa"/>
          </w:tcPr>
          <w:p w14:paraId="70F5EAAF" w14:textId="77777777" w:rsidR="005B65D1" w:rsidRPr="00520300" w:rsidRDefault="005B65D1">
            <w:pPr>
              <w:pStyle w:val="Tabele"/>
              <w:jc w:val="center"/>
              <w:rPr>
                <w:sz w:val="12"/>
                <w:szCs w:val="12"/>
              </w:rPr>
            </w:pPr>
            <w:r w:rsidRPr="00520300">
              <w:rPr>
                <w:sz w:val="12"/>
                <w:szCs w:val="12"/>
              </w:rPr>
              <w:t>2020</w:t>
            </w:r>
          </w:p>
        </w:tc>
        <w:tc>
          <w:tcPr>
            <w:tcW w:w="773" w:type="dxa"/>
          </w:tcPr>
          <w:p w14:paraId="25393961" w14:textId="77777777" w:rsidR="005B65D1" w:rsidRPr="00520300" w:rsidRDefault="005B65D1">
            <w:pPr>
              <w:pStyle w:val="Tabele"/>
              <w:jc w:val="center"/>
              <w:rPr>
                <w:sz w:val="12"/>
                <w:szCs w:val="12"/>
              </w:rPr>
            </w:pPr>
            <w:r w:rsidRPr="00520300">
              <w:rPr>
                <w:sz w:val="12"/>
                <w:szCs w:val="12"/>
              </w:rPr>
              <w:t>2025</w:t>
            </w:r>
          </w:p>
        </w:tc>
        <w:tc>
          <w:tcPr>
            <w:tcW w:w="772" w:type="dxa"/>
          </w:tcPr>
          <w:p w14:paraId="1F5B172E" w14:textId="77777777" w:rsidR="005B65D1" w:rsidRPr="00520300" w:rsidRDefault="005B65D1">
            <w:pPr>
              <w:pStyle w:val="Tabele"/>
              <w:jc w:val="center"/>
              <w:rPr>
                <w:sz w:val="12"/>
                <w:szCs w:val="12"/>
              </w:rPr>
            </w:pPr>
            <w:r w:rsidRPr="00520300">
              <w:rPr>
                <w:sz w:val="12"/>
                <w:szCs w:val="12"/>
              </w:rPr>
              <w:t>2030</w:t>
            </w:r>
          </w:p>
        </w:tc>
        <w:tc>
          <w:tcPr>
            <w:tcW w:w="772" w:type="dxa"/>
          </w:tcPr>
          <w:p w14:paraId="04950A7E" w14:textId="77777777" w:rsidR="005B65D1" w:rsidRPr="00520300" w:rsidRDefault="005B65D1">
            <w:pPr>
              <w:pStyle w:val="Tabele"/>
              <w:jc w:val="center"/>
              <w:rPr>
                <w:sz w:val="12"/>
                <w:szCs w:val="12"/>
              </w:rPr>
            </w:pPr>
            <w:r w:rsidRPr="00520300">
              <w:rPr>
                <w:sz w:val="12"/>
                <w:szCs w:val="12"/>
              </w:rPr>
              <w:t>2035</w:t>
            </w:r>
          </w:p>
        </w:tc>
        <w:tc>
          <w:tcPr>
            <w:tcW w:w="773" w:type="dxa"/>
          </w:tcPr>
          <w:p w14:paraId="64C041E3" w14:textId="77777777" w:rsidR="005B65D1" w:rsidRPr="00520300" w:rsidRDefault="005B65D1">
            <w:pPr>
              <w:pStyle w:val="Tabele"/>
              <w:jc w:val="center"/>
              <w:rPr>
                <w:sz w:val="12"/>
                <w:szCs w:val="12"/>
              </w:rPr>
            </w:pPr>
            <w:r w:rsidRPr="00520300">
              <w:rPr>
                <w:sz w:val="12"/>
                <w:szCs w:val="12"/>
              </w:rPr>
              <w:t>2040</w:t>
            </w:r>
          </w:p>
        </w:tc>
      </w:tr>
      <w:tr w:rsidR="005B65D1" w:rsidRPr="00520300" w14:paraId="5A9E7C52" w14:textId="77777777" w:rsidTr="00D562EA">
        <w:trPr>
          <w:gridAfter w:val="1"/>
          <w:wAfter w:w="8" w:type="dxa"/>
          <w:trHeight w:val="231"/>
        </w:trPr>
        <w:tc>
          <w:tcPr>
            <w:tcW w:w="1919" w:type="dxa"/>
          </w:tcPr>
          <w:p w14:paraId="6CB3A07E" w14:textId="77777777" w:rsidR="005B65D1" w:rsidRPr="00520300" w:rsidRDefault="005B65D1">
            <w:pPr>
              <w:pStyle w:val="Tabele"/>
              <w:rPr>
                <w:sz w:val="12"/>
                <w:szCs w:val="12"/>
              </w:rPr>
            </w:pPr>
            <w:r w:rsidRPr="00520300">
              <w:rPr>
                <w:rFonts w:cs="Calibri"/>
                <w:b/>
                <w:bCs/>
                <w:color w:val="000000"/>
                <w:sz w:val="12"/>
                <w:szCs w:val="12"/>
              </w:rPr>
              <w:t xml:space="preserve">1. Energia </w:t>
            </w:r>
          </w:p>
        </w:tc>
        <w:tc>
          <w:tcPr>
            <w:tcW w:w="821" w:type="dxa"/>
            <w:shd w:val="clear" w:color="auto" w:fill="C5E0B3"/>
          </w:tcPr>
          <w:p w14:paraId="4220F7B6" w14:textId="77777777" w:rsidR="005B65D1" w:rsidRPr="00D562EA" w:rsidRDefault="005B65D1">
            <w:pPr>
              <w:pStyle w:val="Tabele"/>
              <w:jc w:val="right"/>
              <w:rPr>
                <w:rFonts w:cs="Calibri"/>
                <w:b/>
                <w:color w:val="auto"/>
                <w:sz w:val="12"/>
                <w:szCs w:val="12"/>
              </w:rPr>
            </w:pPr>
            <w:r w:rsidRPr="00D562EA">
              <w:rPr>
                <w:b/>
                <w:color w:val="auto"/>
                <w:sz w:val="12"/>
                <w:szCs w:val="12"/>
              </w:rPr>
              <w:t>1 013,10</w:t>
            </w:r>
          </w:p>
        </w:tc>
        <w:tc>
          <w:tcPr>
            <w:tcW w:w="773" w:type="dxa"/>
            <w:shd w:val="clear" w:color="auto" w:fill="C5E0B3"/>
          </w:tcPr>
          <w:p w14:paraId="05CBD75D" w14:textId="77777777" w:rsidR="005B65D1" w:rsidRPr="00D562EA" w:rsidRDefault="005B65D1">
            <w:pPr>
              <w:pStyle w:val="Tabele"/>
              <w:jc w:val="right"/>
              <w:rPr>
                <w:b/>
                <w:color w:val="auto"/>
                <w:sz w:val="12"/>
                <w:szCs w:val="12"/>
              </w:rPr>
            </w:pPr>
            <w:r w:rsidRPr="00D562EA">
              <w:rPr>
                <w:b/>
                <w:color w:val="auto"/>
                <w:sz w:val="12"/>
                <w:szCs w:val="12"/>
              </w:rPr>
              <w:t>952,26</w:t>
            </w:r>
          </w:p>
        </w:tc>
        <w:tc>
          <w:tcPr>
            <w:tcW w:w="772" w:type="dxa"/>
            <w:shd w:val="clear" w:color="auto" w:fill="C5E0B3"/>
          </w:tcPr>
          <w:p w14:paraId="7811C0E1" w14:textId="77777777" w:rsidR="005B65D1" w:rsidRPr="00D562EA" w:rsidRDefault="005B65D1">
            <w:pPr>
              <w:pStyle w:val="Tabele"/>
              <w:jc w:val="right"/>
              <w:rPr>
                <w:b/>
                <w:color w:val="auto"/>
                <w:sz w:val="12"/>
                <w:szCs w:val="12"/>
              </w:rPr>
            </w:pPr>
            <w:r w:rsidRPr="00D562EA">
              <w:rPr>
                <w:b/>
                <w:color w:val="auto"/>
                <w:sz w:val="12"/>
                <w:szCs w:val="12"/>
              </w:rPr>
              <w:t>907,05</w:t>
            </w:r>
          </w:p>
        </w:tc>
        <w:tc>
          <w:tcPr>
            <w:tcW w:w="773" w:type="dxa"/>
            <w:shd w:val="clear" w:color="auto" w:fill="C5E0B3"/>
          </w:tcPr>
          <w:p w14:paraId="5C217D7C" w14:textId="77777777" w:rsidR="005B65D1" w:rsidRPr="00D562EA" w:rsidRDefault="005B65D1">
            <w:pPr>
              <w:pStyle w:val="Tabele"/>
              <w:jc w:val="right"/>
              <w:rPr>
                <w:b/>
                <w:color w:val="auto"/>
                <w:sz w:val="12"/>
                <w:szCs w:val="12"/>
              </w:rPr>
            </w:pPr>
            <w:r w:rsidRPr="00D562EA">
              <w:rPr>
                <w:b/>
                <w:color w:val="auto"/>
                <w:sz w:val="12"/>
                <w:szCs w:val="12"/>
              </w:rPr>
              <w:t>932,67</w:t>
            </w:r>
          </w:p>
        </w:tc>
        <w:tc>
          <w:tcPr>
            <w:tcW w:w="772" w:type="dxa"/>
            <w:shd w:val="clear" w:color="auto" w:fill="C5E0B3"/>
          </w:tcPr>
          <w:p w14:paraId="0BD7E0BB" w14:textId="77777777" w:rsidR="005B65D1" w:rsidRPr="00D562EA" w:rsidRDefault="005B65D1">
            <w:pPr>
              <w:pStyle w:val="Tabele"/>
              <w:jc w:val="right"/>
              <w:rPr>
                <w:b/>
                <w:color w:val="auto"/>
                <w:sz w:val="12"/>
                <w:szCs w:val="12"/>
              </w:rPr>
            </w:pPr>
            <w:r w:rsidRPr="00D562EA">
              <w:rPr>
                <w:b/>
                <w:color w:val="auto"/>
                <w:sz w:val="12"/>
                <w:szCs w:val="12"/>
              </w:rPr>
              <w:t>841,53</w:t>
            </w:r>
          </w:p>
        </w:tc>
        <w:tc>
          <w:tcPr>
            <w:tcW w:w="773" w:type="dxa"/>
          </w:tcPr>
          <w:p w14:paraId="73D521E0" w14:textId="77777777" w:rsidR="005B65D1" w:rsidRPr="00D562EA" w:rsidRDefault="005B65D1">
            <w:pPr>
              <w:pStyle w:val="Tabele"/>
              <w:jc w:val="right"/>
              <w:rPr>
                <w:b/>
                <w:color w:val="auto"/>
                <w:sz w:val="12"/>
                <w:szCs w:val="12"/>
                <w:highlight w:val="yellow"/>
              </w:rPr>
            </w:pPr>
            <w:r w:rsidRPr="00D562EA">
              <w:rPr>
                <w:b/>
                <w:color w:val="auto"/>
                <w:sz w:val="12"/>
                <w:szCs w:val="12"/>
              </w:rPr>
              <w:t>729,18</w:t>
            </w:r>
          </w:p>
        </w:tc>
        <w:tc>
          <w:tcPr>
            <w:tcW w:w="772" w:type="dxa"/>
          </w:tcPr>
          <w:p w14:paraId="52817434" w14:textId="77777777" w:rsidR="005B65D1" w:rsidRPr="00D562EA" w:rsidRDefault="005B65D1">
            <w:pPr>
              <w:pStyle w:val="Tabele"/>
              <w:jc w:val="right"/>
              <w:rPr>
                <w:b/>
                <w:color w:val="auto"/>
                <w:sz w:val="12"/>
                <w:szCs w:val="12"/>
                <w:highlight w:val="yellow"/>
              </w:rPr>
            </w:pPr>
            <w:r w:rsidRPr="00D562EA">
              <w:rPr>
                <w:b/>
                <w:color w:val="auto"/>
                <w:sz w:val="12"/>
                <w:szCs w:val="12"/>
              </w:rPr>
              <w:t>551,55</w:t>
            </w:r>
          </w:p>
        </w:tc>
        <w:tc>
          <w:tcPr>
            <w:tcW w:w="772" w:type="dxa"/>
          </w:tcPr>
          <w:p w14:paraId="4B53C309" w14:textId="77777777" w:rsidR="005B65D1" w:rsidRPr="00D562EA" w:rsidRDefault="005B65D1">
            <w:pPr>
              <w:pStyle w:val="Tabele"/>
              <w:jc w:val="right"/>
              <w:rPr>
                <w:b/>
                <w:color w:val="auto"/>
                <w:sz w:val="12"/>
                <w:szCs w:val="12"/>
                <w:highlight w:val="yellow"/>
              </w:rPr>
            </w:pPr>
            <w:r w:rsidRPr="00D562EA">
              <w:rPr>
                <w:b/>
                <w:color w:val="auto"/>
                <w:sz w:val="12"/>
                <w:szCs w:val="12"/>
              </w:rPr>
              <w:t>422,96</w:t>
            </w:r>
          </w:p>
        </w:tc>
        <w:tc>
          <w:tcPr>
            <w:tcW w:w="773" w:type="dxa"/>
          </w:tcPr>
          <w:p w14:paraId="676E096F" w14:textId="77777777" w:rsidR="005B65D1" w:rsidRPr="00D562EA" w:rsidRDefault="005B65D1">
            <w:pPr>
              <w:pStyle w:val="Tabele"/>
              <w:jc w:val="right"/>
              <w:rPr>
                <w:b/>
                <w:color w:val="auto"/>
                <w:sz w:val="12"/>
                <w:szCs w:val="12"/>
                <w:highlight w:val="yellow"/>
              </w:rPr>
            </w:pPr>
            <w:r w:rsidRPr="00D562EA">
              <w:rPr>
                <w:b/>
                <w:color w:val="auto"/>
                <w:sz w:val="12"/>
                <w:szCs w:val="12"/>
              </w:rPr>
              <w:t>314,58</w:t>
            </w:r>
          </w:p>
        </w:tc>
      </w:tr>
      <w:tr w:rsidR="005B65D1" w:rsidRPr="00520300" w14:paraId="32621FC9" w14:textId="77777777" w:rsidTr="00D562EA">
        <w:trPr>
          <w:gridAfter w:val="1"/>
          <w:wAfter w:w="8" w:type="dxa"/>
          <w:trHeight w:val="231"/>
        </w:trPr>
        <w:tc>
          <w:tcPr>
            <w:tcW w:w="1919" w:type="dxa"/>
          </w:tcPr>
          <w:p w14:paraId="0D144151" w14:textId="77777777" w:rsidR="005B65D1" w:rsidRPr="00520300" w:rsidRDefault="005B65D1">
            <w:pPr>
              <w:pStyle w:val="Tabele"/>
              <w:rPr>
                <w:b/>
                <w:sz w:val="12"/>
                <w:szCs w:val="12"/>
              </w:rPr>
            </w:pPr>
            <w:r w:rsidRPr="00520300">
              <w:rPr>
                <w:rFonts w:cs="Calibri"/>
                <w:color w:val="000000"/>
                <w:sz w:val="12"/>
                <w:szCs w:val="12"/>
              </w:rPr>
              <w:t xml:space="preserve">A. Spalanie paliw </w:t>
            </w:r>
          </w:p>
        </w:tc>
        <w:tc>
          <w:tcPr>
            <w:tcW w:w="821" w:type="dxa"/>
            <w:shd w:val="clear" w:color="auto" w:fill="C5E0B3"/>
          </w:tcPr>
          <w:p w14:paraId="5D1A66A3" w14:textId="77777777" w:rsidR="005B65D1" w:rsidRPr="00D562EA" w:rsidRDefault="005B65D1">
            <w:pPr>
              <w:pStyle w:val="Tabele"/>
              <w:jc w:val="right"/>
              <w:rPr>
                <w:rFonts w:cs="Calibri"/>
                <w:color w:val="auto"/>
                <w:sz w:val="12"/>
                <w:szCs w:val="12"/>
              </w:rPr>
            </w:pPr>
            <w:r w:rsidRPr="00D562EA">
              <w:rPr>
                <w:color w:val="auto"/>
                <w:sz w:val="12"/>
                <w:szCs w:val="12"/>
              </w:rPr>
              <w:t>122,86</w:t>
            </w:r>
          </w:p>
        </w:tc>
        <w:tc>
          <w:tcPr>
            <w:tcW w:w="773" w:type="dxa"/>
            <w:shd w:val="clear" w:color="auto" w:fill="C5E0B3"/>
          </w:tcPr>
          <w:p w14:paraId="58E06D7B" w14:textId="77777777" w:rsidR="005B65D1" w:rsidRPr="00D562EA" w:rsidRDefault="005B65D1">
            <w:pPr>
              <w:pStyle w:val="Tabele"/>
              <w:jc w:val="right"/>
              <w:rPr>
                <w:color w:val="auto"/>
                <w:sz w:val="12"/>
                <w:szCs w:val="12"/>
              </w:rPr>
            </w:pPr>
            <w:r w:rsidRPr="00D562EA">
              <w:rPr>
                <w:color w:val="auto"/>
                <w:sz w:val="12"/>
                <w:szCs w:val="12"/>
              </w:rPr>
              <w:t>137,84</w:t>
            </w:r>
          </w:p>
        </w:tc>
        <w:tc>
          <w:tcPr>
            <w:tcW w:w="772" w:type="dxa"/>
            <w:shd w:val="clear" w:color="auto" w:fill="C5E0B3"/>
          </w:tcPr>
          <w:p w14:paraId="34D4E199" w14:textId="77777777" w:rsidR="005B65D1" w:rsidRPr="00D562EA" w:rsidRDefault="005B65D1">
            <w:pPr>
              <w:pStyle w:val="Tabele"/>
              <w:jc w:val="right"/>
              <w:rPr>
                <w:color w:val="auto"/>
                <w:sz w:val="12"/>
                <w:szCs w:val="12"/>
              </w:rPr>
            </w:pPr>
            <w:r w:rsidRPr="00D562EA">
              <w:rPr>
                <w:color w:val="auto"/>
                <w:sz w:val="12"/>
                <w:szCs w:val="12"/>
              </w:rPr>
              <w:t>168,11</w:t>
            </w:r>
          </w:p>
        </w:tc>
        <w:tc>
          <w:tcPr>
            <w:tcW w:w="773" w:type="dxa"/>
            <w:shd w:val="clear" w:color="auto" w:fill="C5E0B3"/>
          </w:tcPr>
          <w:p w14:paraId="65DF8338" w14:textId="77777777" w:rsidR="005B65D1" w:rsidRPr="00D562EA" w:rsidRDefault="005B65D1">
            <w:pPr>
              <w:pStyle w:val="Tabele"/>
              <w:jc w:val="right"/>
              <w:rPr>
                <w:color w:val="auto"/>
                <w:sz w:val="12"/>
                <w:szCs w:val="12"/>
              </w:rPr>
            </w:pPr>
            <w:r w:rsidRPr="00D562EA">
              <w:rPr>
                <w:color w:val="auto"/>
                <w:sz w:val="12"/>
                <w:szCs w:val="12"/>
              </w:rPr>
              <w:t>140,60</w:t>
            </w:r>
          </w:p>
        </w:tc>
        <w:tc>
          <w:tcPr>
            <w:tcW w:w="772" w:type="dxa"/>
            <w:shd w:val="clear" w:color="auto" w:fill="C5E0B3"/>
          </w:tcPr>
          <w:p w14:paraId="4AB9F6FA" w14:textId="77777777" w:rsidR="005B65D1" w:rsidRPr="00D562EA" w:rsidRDefault="005B65D1">
            <w:pPr>
              <w:pStyle w:val="Tabele"/>
              <w:jc w:val="right"/>
              <w:rPr>
                <w:color w:val="auto"/>
                <w:sz w:val="12"/>
                <w:szCs w:val="12"/>
              </w:rPr>
            </w:pPr>
            <w:r w:rsidRPr="00D562EA">
              <w:rPr>
                <w:color w:val="auto"/>
                <w:sz w:val="12"/>
                <w:szCs w:val="12"/>
              </w:rPr>
              <w:t>155,71</w:t>
            </w:r>
          </w:p>
        </w:tc>
        <w:tc>
          <w:tcPr>
            <w:tcW w:w="773" w:type="dxa"/>
          </w:tcPr>
          <w:p w14:paraId="5B44A36B" w14:textId="77777777" w:rsidR="005B65D1" w:rsidRPr="00D562EA" w:rsidRDefault="005B65D1">
            <w:pPr>
              <w:pStyle w:val="Tabele"/>
              <w:jc w:val="right"/>
              <w:rPr>
                <w:color w:val="auto"/>
                <w:sz w:val="12"/>
                <w:szCs w:val="12"/>
                <w:highlight w:val="yellow"/>
              </w:rPr>
            </w:pPr>
            <w:r w:rsidRPr="00D562EA">
              <w:rPr>
                <w:color w:val="auto"/>
                <w:sz w:val="12"/>
                <w:szCs w:val="12"/>
              </w:rPr>
              <w:t>114,21</w:t>
            </w:r>
          </w:p>
        </w:tc>
        <w:tc>
          <w:tcPr>
            <w:tcW w:w="772" w:type="dxa"/>
          </w:tcPr>
          <w:p w14:paraId="733E2E76" w14:textId="77777777" w:rsidR="005B65D1" w:rsidRPr="00D562EA" w:rsidRDefault="005B65D1">
            <w:pPr>
              <w:pStyle w:val="Tabele"/>
              <w:jc w:val="right"/>
              <w:rPr>
                <w:color w:val="auto"/>
                <w:sz w:val="12"/>
                <w:szCs w:val="12"/>
                <w:highlight w:val="yellow"/>
              </w:rPr>
            </w:pPr>
            <w:r w:rsidRPr="00D562EA">
              <w:rPr>
                <w:color w:val="auto"/>
                <w:sz w:val="12"/>
                <w:szCs w:val="12"/>
              </w:rPr>
              <w:t>89,09</w:t>
            </w:r>
          </w:p>
        </w:tc>
        <w:tc>
          <w:tcPr>
            <w:tcW w:w="772" w:type="dxa"/>
          </w:tcPr>
          <w:p w14:paraId="338968F8" w14:textId="77777777" w:rsidR="005B65D1" w:rsidRPr="00D562EA" w:rsidRDefault="005B65D1">
            <w:pPr>
              <w:pStyle w:val="Tabele"/>
              <w:jc w:val="right"/>
              <w:rPr>
                <w:color w:val="auto"/>
                <w:sz w:val="12"/>
                <w:szCs w:val="12"/>
                <w:highlight w:val="yellow"/>
              </w:rPr>
            </w:pPr>
            <w:r w:rsidRPr="00D562EA">
              <w:rPr>
                <w:color w:val="auto"/>
                <w:sz w:val="12"/>
                <w:szCs w:val="12"/>
              </w:rPr>
              <w:t>67,99</w:t>
            </w:r>
          </w:p>
        </w:tc>
        <w:tc>
          <w:tcPr>
            <w:tcW w:w="773" w:type="dxa"/>
          </w:tcPr>
          <w:p w14:paraId="398CAE90" w14:textId="77777777" w:rsidR="005B65D1" w:rsidRPr="00D562EA" w:rsidRDefault="005B65D1">
            <w:pPr>
              <w:pStyle w:val="Tabele"/>
              <w:jc w:val="right"/>
              <w:rPr>
                <w:color w:val="auto"/>
                <w:sz w:val="12"/>
                <w:szCs w:val="12"/>
                <w:highlight w:val="yellow"/>
              </w:rPr>
            </w:pPr>
            <w:r w:rsidRPr="00D562EA">
              <w:rPr>
                <w:color w:val="auto"/>
                <w:sz w:val="12"/>
                <w:szCs w:val="12"/>
              </w:rPr>
              <w:t>52,92</w:t>
            </w:r>
          </w:p>
        </w:tc>
      </w:tr>
      <w:tr w:rsidR="005B65D1" w:rsidRPr="00520300" w14:paraId="736F725D" w14:textId="77777777" w:rsidTr="00D562EA">
        <w:trPr>
          <w:gridAfter w:val="1"/>
          <w:wAfter w:w="8" w:type="dxa"/>
          <w:trHeight w:val="231"/>
        </w:trPr>
        <w:tc>
          <w:tcPr>
            <w:tcW w:w="1919" w:type="dxa"/>
          </w:tcPr>
          <w:p w14:paraId="796A2D2B" w14:textId="77777777" w:rsidR="005B65D1" w:rsidRPr="00520300" w:rsidRDefault="005B65D1">
            <w:pPr>
              <w:pStyle w:val="Tabele"/>
              <w:rPr>
                <w:b/>
                <w:sz w:val="12"/>
                <w:szCs w:val="12"/>
              </w:rPr>
            </w:pPr>
            <w:r w:rsidRPr="00520300">
              <w:rPr>
                <w:rFonts w:cs="Calibri"/>
                <w:color w:val="000000"/>
                <w:sz w:val="12"/>
                <w:szCs w:val="12"/>
              </w:rPr>
              <w:t xml:space="preserve">1. Przemysły energetyczne </w:t>
            </w:r>
          </w:p>
        </w:tc>
        <w:tc>
          <w:tcPr>
            <w:tcW w:w="821" w:type="dxa"/>
            <w:shd w:val="clear" w:color="auto" w:fill="C5E0B3"/>
          </w:tcPr>
          <w:p w14:paraId="7953D1F0" w14:textId="77777777" w:rsidR="005B65D1" w:rsidRPr="00D562EA" w:rsidRDefault="005B65D1">
            <w:pPr>
              <w:pStyle w:val="Tabele"/>
              <w:jc w:val="right"/>
              <w:rPr>
                <w:rFonts w:cs="Calibri"/>
                <w:color w:val="auto"/>
                <w:sz w:val="12"/>
                <w:szCs w:val="12"/>
              </w:rPr>
            </w:pPr>
            <w:r w:rsidRPr="00D562EA">
              <w:rPr>
                <w:color w:val="auto"/>
                <w:sz w:val="12"/>
                <w:szCs w:val="12"/>
              </w:rPr>
              <w:t>1,06</w:t>
            </w:r>
          </w:p>
        </w:tc>
        <w:tc>
          <w:tcPr>
            <w:tcW w:w="773" w:type="dxa"/>
            <w:shd w:val="clear" w:color="auto" w:fill="C5E0B3"/>
          </w:tcPr>
          <w:p w14:paraId="1FA9E631" w14:textId="77777777" w:rsidR="005B65D1" w:rsidRPr="00D562EA" w:rsidRDefault="005B65D1">
            <w:pPr>
              <w:pStyle w:val="Tabele"/>
              <w:jc w:val="right"/>
              <w:rPr>
                <w:color w:val="auto"/>
                <w:sz w:val="12"/>
                <w:szCs w:val="12"/>
              </w:rPr>
            </w:pPr>
            <w:r w:rsidRPr="00D562EA">
              <w:rPr>
                <w:color w:val="auto"/>
                <w:sz w:val="12"/>
                <w:szCs w:val="12"/>
              </w:rPr>
              <w:t>0,65</w:t>
            </w:r>
          </w:p>
        </w:tc>
        <w:tc>
          <w:tcPr>
            <w:tcW w:w="772" w:type="dxa"/>
            <w:shd w:val="clear" w:color="auto" w:fill="C5E0B3"/>
          </w:tcPr>
          <w:p w14:paraId="53F09EF8" w14:textId="77777777" w:rsidR="005B65D1" w:rsidRPr="00D562EA" w:rsidRDefault="005B65D1">
            <w:pPr>
              <w:pStyle w:val="Tabele"/>
              <w:jc w:val="right"/>
              <w:rPr>
                <w:color w:val="auto"/>
                <w:sz w:val="12"/>
                <w:szCs w:val="12"/>
              </w:rPr>
            </w:pPr>
            <w:r w:rsidRPr="00D562EA">
              <w:rPr>
                <w:color w:val="auto"/>
                <w:sz w:val="12"/>
                <w:szCs w:val="12"/>
              </w:rPr>
              <w:t>0,70</w:t>
            </w:r>
          </w:p>
        </w:tc>
        <w:tc>
          <w:tcPr>
            <w:tcW w:w="773" w:type="dxa"/>
            <w:shd w:val="clear" w:color="auto" w:fill="C5E0B3"/>
          </w:tcPr>
          <w:p w14:paraId="510F80A3" w14:textId="77777777" w:rsidR="005B65D1" w:rsidRPr="00D562EA" w:rsidRDefault="005B65D1">
            <w:pPr>
              <w:pStyle w:val="Tabele"/>
              <w:jc w:val="right"/>
              <w:rPr>
                <w:color w:val="auto"/>
                <w:sz w:val="12"/>
                <w:szCs w:val="12"/>
              </w:rPr>
            </w:pPr>
            <w:r w:rsidRPr="00D562EA">
              <w:rPr>
                <w:color w:val="auto"/>
                <w:sz w:val="12"/>
                <w:szCs w:val="12"/>
              </w:rPr>
              <w:t>0,73</w:t>
            </w:r>
          </w:p>
        </w:tc>
        <w:tc>
          <w:tcPr>
            <w:tcW w:w="772" w:type="dxa"/>
            <w:shd w:val="clear" w:color="auto" w:fill="C5E0B3"/>
          </w:tcPr>
          <w:p w14:paraId="5AC6C04F" w14:textId="77777777" w:rsidR="005B65D1" w:rsidRPr="00D562EA" w:rsidRDefault="005B65D1">
            <w:pPr>
              <w:pStyle w:val="Tabele"/>
              <w:jc w:val="right"/>
              <w:rPr>
                <w:color w:val="auto"/>
                <w:sz w:val="12"/>
                <w:szCs w:val="12"/>
              </w:rPr>
            </w:pPr>
            <w:r w:rsidRPr="00D562EA">
              <w:rPr>
                <w:color w:val="auto"/>
                <w:sz w:val="12"/>
                <w:szCs w:val="12"/>
              </w:rPr>
              <w:t>1,06</w:t>
            </w:r>
          </w:p>
        </w:tc>
        <w:tc>
          <w:tcPr>
            <w:tcW w:w="773" w:type="dxa"/>
          </w:tcPr>
          <w:p w14:paraId="15CC8166" w14:textId="77777777" w:rsidR="005B65D1" w:rsidRPr="00D562EA" w:rsidRDefault="005B65D1">
            <w:pPr>
              <w:pStyle w:val="Tabele"/>
              <w:jc w:val="right"/>
              <w:rPr>
                <w:b/>
                <w:color w:val="auto"/>
                <w:sz w:val="12"/>
                <w:szCs w:val="12"/>
                <w:highlight w:val="yellow"/>
              </w:rPr>
            </w:pPr>
            <w:r w:rsidRPr="00D562EA">
              <w:rPr>
                <w:color w:val="auto"/>
                <w:sz w:val="12"/>
                <w:szCs w:val="12"/>
              </w:rPr>
              <w:t>1,25</w:t>
            </w:r>
          </w:p>
        </w:tc>
        <w:tc>
          <w:tcPr>
            <w:tcW w:w="772" w:type="dxa"/>
          </w:tcPr>
          <w:p w14:paraId="618CF2B4" w14:textId="77777777" w:rsidR="005B65D1" w:rsidRPr="00D562EA" w:rsidRDefault="005B65D1">
            <w:pPr>
              <w:pStyle w:val="Tabele"/>
              <w:jc w:val="right"/>
              <w:rPr>
                <w:b/>
                <w:color w:val="auto"/>
                <w:sz w:val="12"/>
                <w:szCs w:val="12"/>
                <w:highlight w:val="yellow"/>
              </w:rPr>
            </w:pPr>
            <w:r w:rsidRPr="00D562EA">
              <w:rPr>
                <w:color w:val="auto"/>
                <w:sz w:val="12"/>
                <w:szCs w:val="12"/>
              </w:rPr>
              <w:t>1,35</w:t>
            </w:r>
          </w:p>
        </w:tc>
        <w:tc>
          <w:tcPr>
            <w:tcW w:w="772" w:type="dxa"/>
          </w:tcPr>
          <w:p w14:paraId="7747DC9F" w14:textId="77777777" w:rsidR="005B65D1" w:rsidRPr="00D562EA" w:rsidRDefault="005B65D1">
            <w:pPr>
              <w:pStyle w:val="Tabele"/>
              <w:jc w:val="right"/>
              <w:rPr>
                <w:b/>
                <w:color w:val="auto"/>
                <w:sz w:val="12"/>
                <w:szCs w:val="12"/>
                <w:highlight w:val="yellow"/>
              </w:rPr>
            </w:pPr>
            <w:r w:rsidRPr="00D562EA">
              <w:rPr>
                <w:color w:val="auto"/>
                <w:sz w:val="12"/>
                <w:szCs w:val="12"/>
              </w:rPr>
              <w:t>1,16</w:t>
            </w:r>
          </w:p>
        </w:tc>
        <w:tc>
          <w:tcPr>
            <w:tcW w:w="773" w:type="dxa"/>
          </w:tcPr>
          <w:p w14:paraId="1AE7BBEC" w14:textId="77777777" w:rsidR="005B65D1" w:rsidRPr="00D562EA" w:rsidRDefault="005B65D1">
            <w:pPr>
              <w:pStyle w:val="Tabele"/>
              <w:jc w:val="right"/>
              <w:rPr>
                <w:b/>
                <w:color w:val="auto"/>
                <w:sz w:val="12"/>
                <w:szCs w:val="12"/>
                <w:highlight w:val="yellow"/>
              </w:rPr>
            </w:pPr>
            <w:r w:rsidRPr="00D562EA">
              <w:rPr>
                <w:color w:val="auto"/>
                <w:sz w:val="12"/>
                <w:szCs w:val="12"/>
              </w:rPr>
              <w:t>0,87</w:t>
            </w:r>
          </w:p>
        </w:tc>
      </w:tr>
      <w:tr w:rsidR="005B65D1" w:rsidRPr="00520300" w14:paraId="2BF920F4" w14:textId="77777777" w:rsidTr="00D562EA">
        <w:trPr>
          <w:gridAfter w:val="1"/>
          <w:wAfter w:w="8" w:type="dxa"/>
          <w:trHeight w:val="231"/>
        </w:trPr>
        <w:tc>
          <w:tcPr>
            <w:tcW w:w="1919" w:type="dxa"/>
          </w:tcPr>
          <w:p w14:paraId="15834AA1" w14:textId="77777777" w:rsidR="005B65D1" w:rsidRPr="005B65D1" w:rsidRDefault="005B65D1">
            <w:pPr>
              <w:pStyle w:val="Tabele"/>
              <w:rPr>
                <w:b/>
                <w:color w:val="auto"/>
                <w:sz w:val="12"/>
                <w:szCs w:val="12"/>
              </w:rPr>
            </w:pPr>
            <w:r w:rsidRPr="005B65D1">
              <w:rPr>
                <w:rFonts w:cs="Calibri"/>
                <w:color w:val="auto"/>
                <w:sz w:val="12"/>
                <w:szCs w:val="12"/>
              </w:rPr>
              <w:t xml:space="preserve">2. Przemysł wytwórczy i budownictwo </w:t>
            </w:r>
          </w:p>
        </w:tc>
        <w:tc>
          <w:tcPr>
            <w:tcW w:w="821" w:type="dxa"/>
            <w:shd w:val="clear" w:color="auto" w:fill="C5E0B3"/>
          </w:tcPr>
          <w:p w14:paraId="68D2CB3E" w14:textId="77777777" w:rsidR="005B65D1" w:rsidRPr="005B65D1" w:rsidRDefault="005B65D1">
            <w:pPr>
              <w:pStyle w:val="Tabele"/>
              <w:jc w:val="right"/>
              <w:rPr>
                <w:rFonts w:cs="Calibri"/>
                <w:color w:val="auto"/>
                <w:sz w:val="12"/>
                <w:szCs w:val="12"/>
              </w:rPr>
            </w:pPr>
            <w:r w:rsidRPr="005B65D1">
              <w:rPr>
                <w:color w:val="auto"/>
                <w:sz w:val="12"/>
                <w:szCs w:val="12"/>
              </w:rPr>
              <w:t>3,16</w:t>
            </w:r>
          </w:p>
        </w:tc>
        <w:tc>
          <w:tcPr>
            <w:tcW w:w="773" w:type="dxa"/>
            <w:shd w:val="clear" w:color="auto" w:fill="C5E0B3"/>
          </w:tcPr>
          <w:p w14:paraId="79CBF1AC" w14:textId="77777777" w:rsidR="005B65D1" w:rsidRPr="005B65D1" w:rsidRDefault="005B65D1">
            <w:pPr>
              <w:pStyle w:val="Tabele"/>
              <w:jc w:val="right"/>
              <w:rPr>
                <w:color w:val="auto"/>
                <w:sz w:val="12"/>
                <w:szCs w:val="12"/>
              </w:rPr>
            </w:pPr>
            <w:r w:rsidRPr="005B65D1">
              <w:rPr>
                <w:color w:val="auto"/>
                <w:sz w:val="12"/>
                <w:szCs w:val="12"/>
              </w:rPr>
              <w:t>3,07</w:t>
            </w:r>
          </w:p>
        </w:tc>
        <w:tc>
          <w:tcPr>
            <w:tcW w:w="772" w:type="dxa"/>
            <w:shd w:val="clear" w:color="auto" w:fill="C5E0B3"/>
          </w:tcPr>
          <w:p w14:paraId="20033FC2" w14:textId="77777777" w:rsidR="005B65D1" w:rsidRPr="005B65D1" w:rsidRDefault="005B65D1">
            <w:pPr>
              <w:pStyle w:val="Tabele"/>
              <w:jc w:val="right"/>
              <w:rPr>
                <w:color w:val="auto"/>
                <w:sz w:val="12"/>
                <w:szCs w:val="12"/>
              </w:rPr>
            </w:pPr>
            <w:r w:rsidRPr="005B65D1">
              <w:rPr>
                <w:color w:val="auto"/>
                <w:sz w:val="12"/>
                <w:szCs w:val="12"/>
              </w:rPr>
              <w:t>3,27</w:t>
            </w:r>
          </w:p>
        </w:tc>
        <w:tc>
          <w:tcPr>
            <w:tcW w:w="773" w:type="dxa"/>
            <w:shd w:val="clear" w:color="auto" w:fill="C5E0B3"/>
          </w:tcPr>
          <w:p w14:paraId="37B1BB16" w14:textId="77777777" w:rsidR="005B65D1" w:rsidRPr="005B65D1" w:rsidRDefault="005B65D1">
            <w:pPr>
              <w:pStyle w:val="Tabele"/>
              <w:jc w:val="right"/>
              <w:rPr>
                <w:color w:val="auto"/>
                <w:sz w:val="12"/>
                <w:szCs w:val="12"/>
              </w:rPr>
            </w:pPr>
            <w:r w:rsidRPr="005B65D1">
              <w:rPr>
                <w:color w:val="auto"/>
                <w:sz w:val="12"/>
                <w:szCs w:val="12"/>
              </w:rPr>
              <w:t>3,87</w:t>
            </w:r>
          </w:p>
        </w:tc>
        <w:tc>
          <w:tcPr>
            <w:tcW w:w="772" w:type="dxa"/>
            <w:shd w:val="clear" w:color="auto" w:fill="C5E0B3"/>
          </w:tcPr>
          <w:p w14:paraId="38630B04" w14:textId="77777777" w:rsidR="005B65D1" w:rsidRPr="005B65D1" w:rsidRDefault="005B65D1">
            <w:pPr>
              <w:pStyle w:val="Tabele"/>
              <w:jc w:val="right"/>
              <w:rPr>
                <w:color w:val="auto"/>
                <w:sz w:val="12"/>
                <w:szCs w:val="12"/>
              </w:rPr>
            </w:pPr>
            <w:r w:rsidRPr="005B65D1">
              <w:rPr>
                <w:color w:val="auto"/>
                <w:sz w:val="12"/>
                <w:szCs w:val="12"/>
              </w:rPr>
              <w:t>4,84</w:t>
            </w:r>
          </w:p>
        </w:tc>
        <w:tc>
          <w:tcPr>
            <w:tcW w:w="773" w:type="dxa"/>
          </w:tcPr>
          <w:p w14:paraId="4AAA71FE" w14:textId="77777777" w:rsidR="005B65D1" w:rsidRPr="005B65D1" w:rsidRDefault="005B65D1">
            <w:pPr>
              <w:pStyle w:val="Tabele"/>
              <w:jc w:val="right"/>
              <w:rPr>
                <w:b/>
                <w:bCs/>
                <w:color w:val="auto"/>
                <w:sz w:val="12"/>
                <w:szCs w:val="12"/>
                <w:highlight w:val="yellow"/>
              </w:rPr>
            </w:pPr>
            <w:r w:rsidRPr="005B65D1">
              <w:rPr>
                <w:color w:val="auto"/>
                <w:sz w:val="12"/>
                <w:szCs w:val="12"/>
              </w:rPr>
              <w:t>4,77</w:t>
            </w:r>
          </w:p>
        </w:tc>
        <w:tc>
          <w:tcPr>
            <w:tcW w:w="772" w:type="dxa"/>
          </w:tcPr>
          <w:p w14:paraId="07E3F970" w14:textId="77777777" w:rsidR="005B65D1" w:rsidRPr="005B65D1" w:rsidRDefault="005B65D1">
            <w:pPr>
              <w:pStyle w:val="Tabele"/>
              <w:jc w:val="right"/>
              <w:rPr>
                <w:b/>
                <w:bCs/>
                <w:color w:val="auto"/>
                <w:sz w:val="12"/>
                <w:szCs w:val="12"/>
                <w:highlight w:val="yellow"/>
              </w:rPr>
            </w:pPr>
            <w:r w:rsidRPr="005B65D1">
              <w:rPr>
                <w:color w:val="auto"/>
                <w:sz w:val="12"/>
                <w:szCs w:val="12"/>
              </w:rPr>
              <w:t>4,29</w:t>
            </w:r>
          </w:p>
        </w:tc>
        <w:tc>
          <w:tcPr>
            <w:tcW w:w="772" w:type="dxa"/>
          </w:tcPr>
          <w:p w14:paraId="4FE50132" w14:textId="77777777" w:rsidR="005B65D1" w:rsidRPr="005B65D1" w:rsidRDefault="005B65D1">
            <w:pPr>
              <w:pStyle w:val="Tabele"/>
              <w:jc w:val="right"/>
              <w:rPr>
                <w:b/>
                <w:bCs/>
                <w:color w:val="auto"/>
                <w:sz w:val="12"/>
                <w:szCs w:val="12"/>
                <w:highlight w:val="yellow"/>
              </w:rPr>
            </w:pPr>
            <w:r w:rsidRPr="005B65D1">
              <w:rPr>
                <w:color w:val="auto"/>
                <w:sz w:val="12"/>
                <w:szCs w:val="12"/>
              </w:rPr>
              <w:t>4,08</w:t>
            </w:r>
          </w:p>
        </w:tc>
        <w:tc>
          <w:tcPr>
            <w:tcW w:w="773" w:type="dxa"/>
          </w:tcPr>
          <w:p w14:paraId="1F6BCE42" w14:textId="77777777" w:rsidR="005B65D1" w:rsidRPr="005B65D1" w:rsidRDefault="005B65D1">
            <w:pPr>
              <w:pStyle w:val="Tabele"/>
              <w:jc w:val="right"/>
              <w:rPr>
                <w:b/>
                <w:bCs/>
                <w:color w:val="auto"/>
                <w:sz w:val="12"/>
                <w:szCs w:val="12"/>
                <w:highlight w:val="yellow"/>
              </w:rPr>
            </w:pPr>
            <w:r w:rsidRPr="005B65D1">
              <w:rPr>
                <w:color w:val="auto"/>
                <w:sz w:val="12"/>
                <w:szCs w:val="12"/>
              </w:rPr>
              <w:t>4,01</w:t>
            </w:r>
          </w:p>
        </w:tc>
      </w:tr>
      <w:tr w:rsidR="005B65D1" w:rsidRPr="00520300" w14:paraId="068D9E96" w14:textId="77777777" w:rsidTr="00D562EA">
        <w:trPr>
          <w:gridAfter w:val="1"/>
          <w:wAfter w:w="8" w:type="dxa"/>
          <w:trHeight w:val="231"/>
        </w:trPr>
        <w:tc>
          <w:tcPr>
            <w:tcW w:w="1919" w:type="dxa"/>
          </w:tcPr>
          <w:p w14:paraId="0F71FEDE" w14:textId="77777777" w:rsidR="005B65D1" w:rsidRPr="005B65D1" w:rsidRDefault="005B65D1">
            <w:pPr>
              <w:pStyle w:val="Tabele"/>
              <w:rPr>
                <w:b/>
                <w:color w:val="auto"/>
                <w:sz w:val="12"/>
                <w:szCs w:val="12"/>
              </w:rPr>
            </w:pPr>
            <w:r w:rsidRPr="005B65D1">
              <w:rPr>
                <w:rFonts w:cs="Calibri"/>
                <w:color w:val="auto"/>
                <w:sz w:val="12"/>
                <w:szCs w:val="12"/>
              </w:rPr>
              <w:t xml:space="preserve">3. Transport </w:t>
            </w:r>
          </w:p>
        </w:tc>
        <w:tc>
          <w:tcPr>
            <w:tcW w:w="821" w:type="dxa"/>
            <w:shd w:val="clear" w:color="auto" w:fill="C5E0B3"/>
          </w:tcPr>
          <w:p w14:paraId="234B5667" w14:textId="77777777" w:rsidR="005B65D1" w:rsidRPr="005B65D1" w:rsidRDefault="005B65D1">
            <w:pPr>
              <w:pStyle w:val="Tabele"/>
              <w:jc w:val="right"/>
              <w:rPr>
                <w:rFonts w:cs="Calibri"/>
                <w:color w:val="auto"/>
                <w:sz w:val="12"/>
                <w:szCs w:val="12"/>
              </w:rPr>
            </w:pPr>
            <w:r w:rsidRPr="005B65D1">
              <w:rPr>
                <w:color w:val="auto"/>
                <w:sz w:val="12"/>
                <w:szCs w:val="12"/>
              </w:rPr>
              <w:t>6,42</w:t>
            </w:r>
          </w:p>
        </w:tc>
        <w:tc>
          <w:tcPr>
            <w:tcW w:w="773" w:type="dxa"/>
            <w:shd w:val="clear" w:color="auto" w:fill="C5E0B3"/>
          </w:tcPr>
          <w:p w14:paraId="1C3E7966" w14:textId="77777777" w:rsidR="005B65D1" w:rsidRPr="005B65D1" w:rsidRDefault="005B65D1">
            <w:pPr>
              <w:pStyle w:val="Tabele"/>
              <w:jc w:val="right"/>
              <w:rPr>
                <w:color w:val="auto"/>
                <w:sz w:val="12"/>
                <w:szCs w:val="12"/>
              </w:rPr>
            </w:pPr>
            <w:r w:rsidRPr="005B65D1">
              <w:rPr>
                <w:color w:val="auto"/>
                <w:sz w:val="12"/>
                <w:szCs w:val="12"/>
              </w:rPr>
              <w:t>5,81</w:t>
            </w:r>
          </w:p>
        </w:tc>
        <w:tc>
          <w:tcPr>
            <w:tcW w:w="772" w:type="dxa"/>
            <w:shd w:val="clear" w:color="auto" w:fill="C5E0B3"/>
          </w:tcPr>
          <w:p w14:paraId="23C3F893" w14:textId="77777777" w:rsidR="005B65D1" w:rsidRPr="005B65D1" w:rsidRDefault="005B65D1">
            <w:pPr>
              <w:pStyle w:val="Tabele"/>
              <w:jc w:val="right"/>
              <w:rPr>
                <w:color w:val="auto"/>
                <w:sz w:val="12"/>
                <w:szCs w:val="12"/>
              </w:rPr>
            </w:pPr>
            <w:r w:rsidRPr="005B65D1">
              <w:rPr>
                <w:color w:val="auto"/>
                <w:sz w:val="12"/>
                <w:szCs w:val="12"/>
              </w:rPr>
              <w:t>5,18</w:t>
            </w:r>
          </w:p>
        </w:tc>
        <w:tc>
          <w:tcPr>
            <w:tcW w:w="773" w:type="dxa"/>
            <w:shd w:val="clear" w:color="auto" w:fill="C5E0B3"/>
          </w:tcPr>
          <w:p w14:paraId="3023F3EC" w14:textId="77777777" w:rsidR="005B65D1" w:rsidRPr="005B65D1" w:rsidRDefault="005B65D1">
            <w:pPr>
              <w:pStyle w:val="Tabele"/>
              <w:jc w:val="right"/>
              <w:rPr>
                <w:color w:val="auto"/>
                <w:sz w:val="12"/>
                <w:szCs w:val="12"/>
              </w:rPr>
            </w:pPr>
            <w:r w:rsidRPr="005B65D1">
              <w:rPr>
                <w:color w:val="auto"/>
                <w:sz w:val="12"/>
                <w:szCs w:val="12"/>
              </w:rPr>
              <w:t>3,75</w:t>
            </w:r>
          </w:p>
        </w:tc>
        <w:tc>
          <w:tcPr>
            <w:tcW w:w="772" w:type="dxa"/>
            <w:shd w:val="clear" w:color="auto" w:fill="C5E0B3"/>
          </w:tcPr>
          <w:p w14:paraId="6E517A60" w14:textId="77777777" w:rsidR="005B65D1" w:rsidRPr="005B65D1" w:rsidRDefault="005B65D1">
            <w:pPr>
              <w:pStyle w:val="Tabele"/>
              <w:jc w:val="right"/>
              <w:rPr>
                <w:color w:val="auto"/>
                <w:sz w:val="12"/>
                <w:szCs w:val="12"/>
              </w:rPr>
            </w:pPr>
            <w:r w:rsidRPr="005B65D1">
              <w:rPr>
                <w:color w:val="auto"/>
                <w:sz w:val="12"/>
                <w:szCs w:val="12"/>
              </w:rPr>
              <w:t>3,60</w:t>
            </w:r>
          </w:p>
        </w:tc>
        <w:tc>
          <w:tcPr>
            <w:tcW w:w="773" w:type="dxa"/>
          </w:tcPr>
          <w:p w14:paraId="46D0A651" w14:textId="77777777" w:rsidR="005B65D1" w:rsidRPr="005B65D1" w:rsidRDefault="005B65D1">
            <w:pPr>
              <w:pStyle w:val="Tabele"/>
              <w:jc w:val="right"/>
              <w:rPr>
                <w:b/>
                <w:bCs/>
                <w:color w:val="auto"/>
                <w:sz w:val="12"/>
                <w:szCs w:val="12"/>
                <w:highlight w:val="yellow"/>
              </w:rPr>
            </w:pPr>
            <w:r w:rsidRPr="005B65D1">
              <w:rPr>
                <w:color w:val="auto"/>
                <w:sz w:val="12"/>
                <w:szCs w:val="12"/>
              </w:rPr>
              <w:t>3,56</w:t>
            </w:r>
          </w:p>
        </w:tc>
        <w:tc>
          <w:tcPr>
            <w:tcW w:w="772" w:type="dxa"/>
          </w:tcPr>
          <w:p w14:paraId="4D894B90" w14:textId="77777777" w:rsidR="005B65D1" w:rsidRPr="005B65D1" w:rsidRDefault="005B65D1">
            <w:pPr>
              <w:pStyle w:val="Tabele"/>
              <w:jc w:val="right"/>
              <w:rPr>
                <w:b/>
                <w:bCs/>
                <w:color w:val="auto"/>
                <w:sz w:val="12"/>
                <w:szCs w:val="12"/>
                <w:highlight w:val="yellow"/>
              </w:rPr>
            </w:pPr>
            <w:r w:rsidRPr="005B65D1">
              <w:rPr>
                <w:color w:val="auto"/>
                <w:sz w:val="12"/>
                <w:szCs w:val="12"/>
              </w:rPr>
              <w:t>3,10</w:t>
            </w:r>
          </w:p>
        </w:tc>
        <w:tc>
          <w:tcPr>
            <w:tcW w:w="772" w:type="dxa"/>
          </w:tcPr>
          <w:p w14:paraId="2724C0DC" w14:textId="77777777" w:rsidR="005B65D1" w:rsidRPr="005B65D1" w:rsidRDefault="005B65D1">
            <w:pPr>
              <w:pStyle w:val="Tabele"/>
              <w:jc w:val="right"/>
              <w:rPr>
                <w:b/>
                <w:bCs/>
                <w:color w:val="auto"/>
                <w:sz w:val="12"/>
                <w:szCs w:val="12"/>
                <w:highlight w:val="yellow"/>
              </w:rPr>
            </w:pPr>
            <w:r w:rsidRPr="005B65D1">
              <w:rPr>
                <w:color w:val="auto"/>
                <w:sz w:val="12"/>
                <w:szCs w:val="12"/>
              </w:rPr>
              <w:t>2,81</w:t>
            </w:r>
          </w:p>
        </w:tc>
        <w:tc>
          <w:tcPr>
            <w:tcW w:w="773" w:type="dxa"/>
          </w:tcPr>
          <w:p w14:paraId="480780D4" w14:textId="77777777" w:rsidR="005B65D1" w:rsidRPr="005B65D1" w:rsidRDefault="005B65D1">
            <w:pPr>
              <w:pStyle w:val="Tabele"/>
              <w:jc w:val="right"/>
              <w:rPr>
                <w:b/>
                <w:bCs/>
                <w:color w:val="auto"/>
                <w:sz w:val="12"/>
                <w:szCs w:val="12"/>
                <w:highlight w:val="yellow"/>
              </w:rPr>
            </w:pPr>
            <w:r w:rsidRPr="005B65D1">
              <w:rPr>
                <w:color w:val="auto"/>
                <w:sz w:val="12"/>
                <w:szCs w:val="12"/>
              </w:rPr>
              <w:t>2,40</w:t>
            </w:r>
          </w:p>
        </w:tc>
      </w:tr>
      <w:tr w:rsidR="005B65D1" w:rsidRPr="00520300" w14:paraId="78E57D75" w14:textId="77777777" w:rsidTr="00D562EA">
        <w:trPr>
          <w:gridAfter w:val="1"/>
          <w:wAfter w:w="8" w:type="dxa"/>
          <w:trHeight w:val="231"/>
        </w:trPr>
        <w:tc>
          <w:tcPr>
            <w:tcW w:w="1919" w:type="dxa"/>
          </w:tcPr>
          <w:p w14:paraId="0209A282" w14:textId="77777777" w:rsidR="005B65D1" w:rsidRPr="005B65D1" w:rsidRDefault="005B65D1">
            <w:pPr>
              <w:pStyle w:val="Tabele"/>
              <w:rPr>
                <w:b/>
                <w:color w:val="auto"/>
                <w:sz w:val="12"/>
                <w:szCs w:val="12"/>
              </w:rPr>
            </w:pPr>
            <w:r w:rsidRPr="005B65D1">
              <w:rPr>
                <w:rFonts w:cs="Calibri"/>
                <w:color w:val="auto"/>
                <w:sz w:val="12"/>
                <w:szCs w:val="12"/>
              </w:rPr>
              <w:t xml:space="preserve">4. Inne sektory </w:t>
            </w:r>
          </w:p>
        </w:tc>
        <w:tc>
          <w:tcPr>
            <w:tcW w:w="821" w:type="dxa"/>
            <w:shd w:val="clear" w:color="auto" w:fill="C5E0B3"/>
          </w:tcPr>
          <w:p w14:paraId="46AC09AD" w14:textId="77777777" w:rsidR="005B65D1" w:rsidRPr="005B65D1" w:rsidRDefault="005B65D1">
            <w:pPr>
              <w:pStyle w:val="Tabele"/>
              <w:jc w:val="right"/>
              <w:rPr>
                <w:rFonts w:cs="Calibri"/>
                <w:color w:val="auto"/>
                <w:sz w:val="12"/>
                <w:szCs w:val="12"/>
              </w:rPr>
            </w:pPr>
            <w:r w:rsidRPr="005B65D1">
              <w:rPr>
                <w:color w:val="auto"/>
                <w:sz w:val="12"/>
                <w:szCs w:val="12"/>
              </w:rPr>
              <w:t>112,22</w:t>
            </w:r>
          </w:p>
        </w:tc>
        <w:tc>
          <w:tcPr>
            <w:tcW w:w="773" w:type="dxa"/>
            <w:shd w:val="clear" w:color="auto" w:fill="C5E0B3"/>
          </w:tcPr>
          <w:p w14:paraId="50FC1162" w14:textId="77777777" w:rsidR="005B65D1" w:rsidRPr="005B65D1" w:rsidRDefault="005B65D1">
            <w:pPr>
              <w:pStyle w:val="Tabele"/>
              <w:jc w:val="right"/>
              <w:rPr>
                <w:color w:val="auto"/>
                <w:sz w:val="12"/>
                <w:szCs w:val="12"/>
              </w:rPr>
            </w:pPr>
            <w:r w:rsidRPr="005B65D1">
              <w:rPr>
                <w:color w:val="auto"/>
                <w:sz w:val="12"/>
                <w:szCs w:val="12"/>
              </w:rPr>
              <w:t>128,31</w:t>
            </w:r>
          </w:p>
        </w:tc>
        <w:tc>
          <w:tcPr>
            <w:tcW w:w="772" w:type="dxa"/>
            <w:shd w:val="clear" w:color="auto" w:fill="C5E0B3"/>
          </w:tcPr>
          <w:p w14:paraId="7133BDC8" w14:textId="77777777" w:rsidR="005B65D1" w:rsidRPr="005B65D1" w:rsidRDefault="005B65D1">
            <w:pPr>
              <w:pStyle w:val="Tabele"/>
              <w:jc w:val="right"/>
              <w:rPr>
                <w:color w:val="auto"/>
                <w:sz w:val="12"/>
                <w:szCs w:val="12"/>
              </w:rPr>
            </w:pPr>
            <w:r w:rsidRPr="005B65D1">
              <w:rPr>
                <w:color w:val="auto"/>
                <w:sz w:val="12"/>
                <w:szCs w:val="12"/>
              </w:rPr>
              <w:t>158,96</w:t>
            </w:r>
          </w:p>
        </w:tc>
        <w:tc>
          <w:tcPr>
            <w:tcW w:w="773" w:type="dxa"/>
            <w:shd w:val="clear" w:color="auto" w:fill="C5E0B3"/>
          </w:tcPr>
          <w:p w14:paraId="6904920C" w14:textId="77777777" w:rsidR="005B65D1" w:rsidRPr="005B65D1" w:rsidRDefault="005B65D1">
            <w:pPr>
              <w:pStyle w:val="Tabele"/>
              <w:jc w:val="right"/>
              <w:rPr>
                <w:color w:val="auto"/>
                <w:sz w:val="12"/>
                <w:szCs w:val="12"/>
              </w:rPr>
            </w:pPr>
            <w:r w:rsidRPr="005B65D1">
              <w:rPr>
                <w:color w:val="auto"/>
                <w:sz w:val="12"/>
                <w:szCs w:val="12"/>
              </w:rPr>
              <w:t>132,25</w:t>
            </w:r>
          </w:p>
        </w:tc>
        <w:tc>
          <w:tcPr>
            <w:tcW w:w="772" w:type="dxa"/>
            <w:shd w:val="clear" w:color="auto" w:fill="C5E0B3"/>
          </w:tcPr>
          <w:p w14:paraId="6F63C1E1" w14:textId="77777777" w:rsidR="005B65D1" w:rsidRPr="005B65D1" w:rsidRDefault="005B65D1">
            <w:pPr>
              <w:pStyle w:val="Tabele"/>
              <w:jc w:val="right"/>
              <w:rPr>
                <w:color w:val="auto"/>
                <w:sz w:val="12"/>
                <w:szCs w:val="12"/>
              </w:rPr>
            </w:pPr>
            <w:r w:rsidRPr="005B65D1">
              <w:rPr>
                <w:color w:val="auto"/>
                <w:sz w:val="12"/>
                <w:szCs w:val="12"/>
              </w:rPr>
              <w:t>146,22</w:t>
            </w:r>
          </w:p>
        </w:tc>
        <w:tc>
          <w:tcPr>
            <w:tcW w:w="773" w:type="dxa"/>
          </w:tcPr>
          <w:p w14:paraId="6111C7AD" w14:textId="77777777" w:rsidR="005B65D1" w:rsidRPr="005B65D1" w:rsidRDefault="005B65D1">
            <w:pPr>
              <w:pStyle w:val="Tabele"/>
              <w:jc w:val="right"/>
              <w:rPr>
                <w:b/>
                <w:bCs/>
                <w:color w:val="auto"/>
                <w:sz w:val="12"/>
                <w:szCs w:val="12"/>
                <w:highlight w:val="yellow"/>
              </w:rPr>
            </w:pPr>
            <w:r w:rsidRPr="005B65D1">
              <w:rPr>
                <w:color w:val="auto"/>
                <w:sz w:val="12"/>
                <w:szCs w:val="12"/>
              </w:rPr>
              <w:t>104,63</w:t>
            </w:r>
          </w:p>
        </w:tc>
        <w:tc>
          <w:tcPr>
            <w:tcW w:w="772" w:type="dxa"/>
          </w:tcPr>
          <w:p w14:paraId="02262A44" w14:textId="77777777" w:rsidR="005B65D1" w:rsidRPr="005B65D1" w:rsidRDefault="005B65D1">
            <w:pPr>
              <w:pStyle w:val="Tabele"/>
              <w:jc w:val="right"/>
              <w:rPr>
                <w:b/>
                <w:bCs/>
                <w:color w:val="auto"/>
                <w:sz w:val="12"/>
                <w:szCs w:val="12"/>
                <w:highlight w:val="yellow"/>
              </w:rPr>
            </w:pPr>
            <w:r w:rsidRPr="005B65D1">
              <w:rPr>
                <w:color w:val="auto"/>
                <w:sz w:val="12"/>
                <w:szCs w:val="12"/>
              </w:rPr>
              <w:t>80,35</w:t>
            </w:r>
          </w:p>
        </w:tc>
        <w:tc>
          <w:tcPr>
            <w:tcW w:w="772" w:type="dxa"/>
          </w:tcPr>
          <w:p w14:paraId="0D303432" w14:textId="77777777" w:rsidR="005B65D1" w:rsidRPr="005B65D1" w:rsidRDefault="005B65D1">
            <w:pPr>
              <w:pStyle w:val="Tabele"/>
              <w:jc w:val="right"/>
              <w:rPr>
                <w:b/>
                <w:bCs/>
                <w:color w:val="auto"/>
                <w:sz w:val="12"/>
                <w:szCs w:val="12"/>
                <w:highlight w:val="yellow"/>
              </w:rPr>
            </w:pPr>
            <w:r w:rsidRPr="005B65D1">
              <w:rPr>
                <w:color w:val="auto"/>
                <w:sz w:val="12"/>
                <w:szCs w:val="12"/>
              </w:rPr>
              <w:t>59,94</w:t>
            </w:r>
          </w:p>
        </w:tc>
        <w:tc>
          <w:tcPr>
            <w:tcW w:w="773" w:type="dxa"/>
          </w:tcPr>
          <w:p w14:paraId="0D4F0C34" w14:textId="77777777" w:rsidR="005B65D1" w:rsidRPr="005B65D1" w:rsidRDefault="005B65D1">
            <w:pPr>
              <w:pStyle w:val="Tabele"/>
              <w:jc w:val="right"/>
              <w:rPr>
                <w:b/>
                <w:bCs/>
                <w:color w:val="auto"/>
                <w:sz w:val="12"/>
                <w:szCs w:val="12"/>
                <w:highlight w:val="yellow"/>
              </w:rPr>
            </w:pPr>
            <w:r w:rsidRPr="005B65D1">
              <w:rPr>
                <w:color w:val="auto"/>
                <w:sz w:val="12"/>
                <w:szCs w:val="12"/>
              </w:rPr>
              <w:t>45,65</w:t>
            </w:r>
          </w:p>
        </w:tc>
      </w:tr>
      <w:tr w:rsidR="005B65D1" w:rsidRPr="00520300" w14:paraId="76554345" w14:textId="77777777" w:rsidTr="00D562EA">
        <w:trPr>
          <w:gridAfter w:val="1"/>
          <w:wAfter w:w="8" w:type="dxa"/>
          <w:trHeight w:val="231"/>
        </w:trPr>
        <w:tc>
          <w:tcPr>
            <w:tcW w:w="1919" w:type="dxa"/>
          </w:tcPr>
          <w:p w14:paraId="170AF54E" w14:textId="77777777" w:rsidR="005B65D1" w:rsidRPr="005B65D1" w:rsidRDefault="005B65D1">
            <w:pPr>
              <w:pStyle w:val="Tabele"/>
              <w:rPr>
                <w:b/>
                <w:color w:val="auto"/>
                <w:sz w:val="12"/>
                <w:szCs w:val="12"/>
              </w:rPr>
            </w:pPr>
            <w:r w:rsidRPr="005B65D1">
              <w:rPr>
                <w:rFonts w:cs="Calibri"/>
                <w:color w:val="auto"/>
                <w:sz w:val="12"/>
                <w:szCs w:val="12"/>
              </w:rPr>
              <w:t xml:space="preserve">B. Emisja lotna z paliw </w:t>
            </w:r>
          </w:p>
        </w:tc>
        <w:tc>
          <w:tcPr>
            <w:tcW w:w="821" w:type="dxa"/>
            <w:shd w:val="clear" w:color="auto" w:fill="C5E0B3"/>
          </w:tcPr>
          <w:p w14:paraId="1A71784C" w14:textId="77777777" w:rsidR="005B65D1" w:rsidRPr="005B65D1" w:rsidRDefault="005B65D1">
            <w:pPr>
              <w:pStyle w:val="Tabele"/>
              <w:jc w:val="right"/>
              <w:rPr>
                <w:rFonts w:cs="Calibri"/>
                <w:color w:val="auto"/>
                <w:sz w:val="12"/>
                <w:szCs w:val="12"/>
              </w:rPr>
            </w:pPr>
            <w:r w:rsidRPr="005B65D1">
              <w:rPr>
                <w:color w:val="auto"/>
                <w:sz w:val="12"/>
                <w:szCs w:val="12"/>
              </w:rPr>
              <w:t>890,24</w:t>
            </w:r>
          </w:p>
        </w:tc>
        <w:tc>
          <w:tcPr>
            <w:tcW w:w="773" w:type="dxa"/>
            <w:shd w:val="clear" w:color="auto" w:fill="C5E0B3"/>
          </w:tcPr>
          <w:p w14:paraId="0E20AF9D" w14:textId="77777777" w:rsidR="005B65D1" w:rsidRPr="005B65D1" w:rsidRDefault="005B65D1">
            <w:pPr>
              <w:pStyle w:val="Tabele"/>
              <w:jc w:val="right"/>
              <w:rPr>
                <w:color w:val="auto"/>
                <w:sz w:val="12"/>
                <w:szCs w:val="12"/>
              </w:rPr>
            </w:pPr>
            <w:r w:rsidRPr="005B65D1">
              <w:rPr>
                <w:color w:val="auto"/>
                <w:sz w:val="12"/>
                <w:szCs w:val="12"/>
              </w:rPr>
              <w:t>814,42</w:t>
            </w:r>
          </w:p>
        </w:tc>
        <w:tc>
          <w:tcPr>
            <w:tcW w:w="772" w:type="dxa"/>
            <w:shd w:val="clear" w:color="auto" w:fill="C5E0B3"/>
          </w:tcPr>
          <w:p w14:paraId="16FDCFC3" w14:textId="77777777" w:rsidR="005B65D1" w:rsidRPr="005B65D1" w:rsidRDefault="005B65D1">
            <w:pPr>
              <w:pStyle w:val="Tabele"/>
              <w:jc w:val="right"/>
              <w:rPr>
                <w:color w:val="auto"/>
                <w:sz w:val="12"/>
                <w:szCs w:val="12"/>
              </w:rPr>
            </w:pPr>
            <w:r w:rsidRPr="005B65D1">
              <w:rPr>
                <w:color w:val="auto"/>
                <w:sz w:val="12"/>
                <w:szCs w:val="12"/>
              </w:rPr>
              <w:t>738,94</w:t>
            </w:r>
          </w:p>
        </w:tc>
        <w:tc>
          <w:tcPr>
            <w:tcW w:w="773" w:type="dxa"/>
            <w:shd w:val="clear" w:color="auto" w:fill="C5E0B3"/>
          </w:tcPr>
          <w:p w14:paraId="22182862" w14:textId="77777777" w:rsidR="005B65D1" w:rsidRPr="005B65D1" w:rsidRDefault="005B65D1">
            <w:pPr>
              <w:pStyle w:val="Tabele"/>
              <w:jc w:val="right"/>
              <w:rPr>
                <w:color w:val="auto"/>
                <w:sz w:val="12"/>
                <w:szCs w:val="12"/>
              </w:rPr>
            </w:pPr>
            <w:r w:rsidRPr="005B65D1">
              <w:rPr>
                <w:color w:val="auto"/>
                <w:sz w:val="12"/>
                <w:szCs w:val="12"/>
              </w:rPr>
              <w:t>792,07</w:t>
            </w:r>
          </w:p>
        </w:tc>
        <w:tc>
          <w:tcPr>
            <w:tcW w:w="772" w:type="dxa"/>
            <w:shd w:val="clear" w:color="auto" w:fill="C5E0B3"/>
          </w:tcPr>
          <w:p w14:paraId="13D20874" w14:textId="77777777" w:rsidR="005B65D1" w:rsidRPr="005B65D1" w:rsidRDefault="005B65D1">
            <w:pPr>
              <w:pStyle w:val="Tabele"/>
              <w:jc w:val="right"/>
              <w:rPr>
                <w:color w:val="auto"/>
                <w:sz w:val="12"/>
                <w:szCs w:val="12"/>
              </w:rPr>
            </w:pPr>
            <w:r w:rsidRPr="005B65D1">
              <w:rPr>
                <w:color w:val="auto"/>
                <w:sz w:val="12"/>
                <w:szCs w:val="12"/>
              </w:rPr>
              <w:t>685,82</w:t>
            </w:r>
          </w:p>
        </w:tc>
        <w:tc>
          <w:tcPr>
            <w:tcW w:w="773" w:type="dxa"/>
          </w:tcPr>
          <w:p w14:paraId="7B9AFD3D" w14:textId="77777777" w:rsidR="005B65D1" w:rsidRPr="005B65D1" w:rsidRDefault="005B65D1">
            <w:pPr>
              <w:pStyle w:val="Tabele"/>
              <w:jc w:val="right"/>
              <w:rPr>
                <w:b/>
                <w:bCs/>
                <w:color w:val="auto"/>
                <w:sz w:val="12"/>
                <w:szCs w:val="12"/>
                <w:highlight w:val="yellow"/>
              </w:rPr>
            </w:pPr>
            <w:r w:rsidRPr="005B65D1">
              <w:rPr>
                <w:color w:val="auto"/>
                <w:sz w:val="12"/>
                <w:szCs w:val="12"/>
              </w:rPr>
              <w:t>614,97</w:t>
            </w:r>
          </w:p>
        </w:tc>
        <w:tc>
          <w:tcPr>
            <w:tcW w:w="772" w:type="dxa"/>
          </w:tcPr>
          <w:p w14:paraId="03F208B9" w14:textId="77777777" w:rsidR="005B65D1" w:rsidRPr="005B65D1" w:rsidRDefault="005B65D1">
            <w:pPr>
              <w:pStyle w:val="Tabele"/>
              <w:jc w:val="right"/>
              <w:rPr>
                <w:b/>
                <w:bCs/>
                <w:color w:val="auto"/>
                <w:sz w:val="12"/>
                <w:szCs w:val="12"/>
                <w:highlight w:val="yellow"/>
              </w:rPr>
            </w:pPr>
            <w:r w:rsidRPr="005B65D1">
              <w:rPr>
                <w:color w:val="auto"/>
                <w:sz w:val="12"/>
                <w:szCs w:val="12"/>
              </w:rPr>
              <w:t>462,46</w:t>
            </w:r>
          </w:p>
        </w:tc>
        <w:tc>
          <w:tcPr>
            <w:tcW w:w="772" w:type="dxa"/>
          </w:tcPr>
          <w:p w14:paraId="7745428C" w14:textId="77777777" w:rsidR="005B65D1" w:rsidRPr="005B65D1" w:rsidRDefault="005B65D1">
            <w:pPr>
              <w:pStyle w:val="Tabele"/>
              <w:jc w:val="right"/>
              <w:rPr>
                <w:b/>
                <w:bCs/>
                <w:color w:val="auto"/>
                <w:sz w:val="12"/>
                <w:szCs w:val="12"/>
                <w:highlight w:val="yellow"/>
              </w:rPr>
            </w:pPr>
            <w:r w:rsidRPr="005B65D1">
              <w:rPr>
                <w:color w:val="auto"/>
                <w:sz w:val="12"/>
                <w:szCs w:val="12"/>
              </w:rPr>
              <w:t>354,97</w:t>
            </w:r>
          </w:p>
        </w:tc>
        <w:tc>
          <w:tcPr>
            <w:tcW w:w="773" w:type="dxa"/>
          </w:tcPr>
          <w:p w14:paraId="3716EE8B" w14:textId="77777777" w:rsidR="005B65D1" w:rsidRPr="005B65D1" w:rsidRDefault="005B65D1">
            <w:pPr>
              <w:pStyle w:val="Tabele"/>
              <w:jc w:val="right"/>
              <w:rPr>
                <w:b/>
                <w:bCs/>
                <w:color w:val="auto"/>
                <w:sz w:val="12"/>
                <w:szCs w:val="12"/>
                <w:highlight w:val="yellow"/>
              </w:rPr>
            </w:pPr>
            <w:r w:rsidRPr="005B65D1">
              <w:rPr>
                <w:color w:val="auto"/>
                <w:sz w:val="12"/>
                <w:szCs w:val="12"/>
              </w:rPr>
              <w:t>261,66</w:t>
            </w:r>
          </w:p>
        </w:tc>
      </w:tr>
      <w:tr w:rsidR="005B65D1" w:rsidRPr="00520300" w14:paraId="55428B3A" w14:textId="77777777" w:rsidTr="00D562EA">
        <w:trPr>
          <w:gridAfter w:val="1"/>
          <w:wAfter w:w="8" w:type="dxa"/>
          <w:trHeight w:val="231"/>
        </w:trPr>
        <w:tc>
          <w:tcPr>
            <w:tcW w:w="1919" w:type="dxa"/>
          </w:tcPr>
          <w:p w14:paraId="40029FA8" w14:textId="77777777" w:rsidR="005B65D1" w:rsidRPr="005B65D1" w:rsidRDefault="005B65D1">
            <w:pPr>
              <w:pStyle w:val="Tabele"/>
              <w:rPr>
                <w:b/>
                <w:color w:val="auto"/>
                <w:sz w:val="12"/>
                <w:szCs w:val="12"/>
              </w:rPr>
            </w:pPr>
            <w:r w:rsidRPr="005B65D1">
              <w:rPr>
                <w:rFonts w:cs="Calibri"/>
                <w:color w:val="auto"/>
                <w:sz w:val="12"/>
                <w:szCs w:val="12"/>
              </w:rPr>
              <w:t xml:space="preserve">1. Paliwa stałe </w:t>
            </w:r>
          </w:p>
        </w:tc>
        <w:tc>
          <w:tcPr>
            <w:tcW w:w="821" w:type="dxa"/>
            <w:shd w:val="clear" w:color="auto" w:fill="C5E0B3"/>
          </w:tcPr>
          <w:p w14:paraId="3FB3D7F5" w14:textId="77777777" w:rsidR="005B65D1" w:rsidRPr="005B65D1" w:rsidRDefault="005B65D1">
            <w:pPr>
              <w:pStyle w:val="Tabele"/>
              <w:jc w:val="right"/>
              <w:rPr>
                <w:rFonts w:cs="Calibri"/>
                <w:color w:val="auto"/>
                <w:sz w:val="12"/>
                <w:szCs w:val="12"/>
              </w:rPr>
            </w:pPr>
            <w:r w:rsidRPr="005B65D1">
              <w:rPr>
                <w:color w:val="auto"/>
                <w:sz w:val="12"/>
                <w:szCs w:val="12"/>
              </w:rPr>
              <w:t>846,70</w:t>
            </w:r>
          </w:p>
        </w:tc>
        <w:tc>
          <w:tcPr>
            <w:tcW w:w="773" w:type="dxa"/>
            <w:shd w:val="clear" w:color="auto" w:fill="C5E0B3"/>
          </w:tcPr>
          <w:p w14:paraId="7170A95E" w14:textId="77777777" w:rsidR="005B65D1" w:rsidRPr="005B65D1" w:rsidRDefault="005B65D1">
            <w:pPr>
              <w:pStyle w:val="Tabele"/>
              <w:jc w:val="right"/>
              <w:rPr>
                <w:b/>
                <w:color w:val="auto"/>
                <w:sz w:val="12"/>
                <w:szCs w:val="12"/>
              </w:rPr>
            </w:pPr>
            <w:r w:rsidRPr="005B65D1">
              <w:rPr>
                <w:color w:val="auto"/>
                <w:sz w:val="12"/>
                <w:szCs w:val="12"/>
              </w:rPr>
              <w:t>719,82</w:t>
            </w:r>
          </w:p>
        </w:tc>
        <w:tc>
          <w:tcPr>
            <w:tcW w:w="772" w:type="dxa"/>
            <w:shd w:val="clear" w:color="auto" w:fill="C5E0B3"/>
          </w:tcPr>
          <w:p w14:paraId="0A1E7369" w14:textId="77777777" w:rsidR="005B65D1" w:rsidRPr="005B65D1" w:rsidRDefault="005B65D1">
            <w:pPr>
              <w:pStyle w:val="Tabele"/>
              <w:jc w:val="right"/>
              <w:rPr>
                <w:b/>
                <w:color w:val="auto"/>
                <w:sz w:val="12"/>
                <w:szCs w:val="12"/>
              </w:rPr>
            </w:pPr>
            <w:r w:rsidRPr="005B65D1">
              <w:rPr>
                <w:color w:val="auto"/>
                <w:sz w:val="12"/>
                <w:szCs w:val="12"/>
              </w:rPr>
              <w:t>651,44</w:t>
            </w:r>
          </w:p>
        </w:tc>
        <w:tc>
          <w:tcPr>
            <w:tcW w:w="773" w:type="dxa"/>
            <w:shd w:val="clear" w:color="auto" w:fill="C5E0B3"/>
          </w:tcPr>
          <w:p w14:paraId="4D3E4B26" w14:textId="77777777" w:rsidR="005B65D1" w:rsidRPr="005B65D1" w:rsidRDefault="005B65D1">
            <w:pPr>
              <w:pStyle w:val="Tabele"/>
              <w:jc w:val="right"/>
              <w:rPr>
                <w:b/>
                <w:color w:val="auto"/>
                <w:sz w:val="12"/>
                <w:szCs w:val="12"/>
              </w:rPr>
            </w:pPr>
            <w:r w:rsidRPr="005B65D1">
              <w:rPr>
                <w:color w:val="auto"/>
                <w:sz w:val="12"/>
                <w:szCs w:val="12"/>
              </w:rPr>
              <w:t>690,01</w:t>
            </w:r>
          </w:p>
        </w:tc>
        <w:tc>
          <w:tcPr>
            <w:tcW w:w="772" w:type="dxa"/>
            <w:shd w:val="clear" w:color="auto" w:fill="C5E0B3"/>
          </w:tcPr>
          <w:p w14:paraId="69D5DFFF" w14:textId="77777777" w:rsidR="005B65D1" w:rsidRPr="005B65D1" w:rsidRDefault="005B65D1">
            <w:pPr>
              <w:pStyle w:val="Tabele"/>
              <w:jc w:val="right"/>
              <w:rPr>
                <w:b/>
                <w:color w:val="auto"/>
                <w:sz w:val="12"/>
                <w:szCs w:val="12"/>
              </w:rPr>
            </w:pPr>
            <w:r w:rsidRPr="005B65D1">
              <w:rPr>
                <w:color w:val="auto"/>
                <w:sz w:val="12"/>
                <w:szCs w:val="12"/>
              </w:rPr>
              <w:t>579,09</w:t>
            </w:r>
          </w:p>
        </w:tc>
        <w:tc>
          <w:tcPr>
            <w:tcW w:w="773" w:type="dxa"/>
          </w:tcPr>
          <w:p w14:paraId="4CFF28C1" w14:textId="77777777" w:rsidR="005B65D1" w:rsidRPr="005B65D1" w:rsidRDefault="005B65D1">
            <w:pPr>
              <w:pStyle w:val="Tabele"/>
              <w:jc w:val="right"/>
              <w:rPr>
                <w:b/>
                <w:bCs/>
                <w:color w:val="auto"/>
                <w:sz w:val="12"/>
                <w:szCs w:val="12"/>
                <w:highlight w:val="yellow"/>
              </w:rPr>
            </w:pPr>
            <w:r w:rsidRPr="005B65D1">
              <w:rPr>
                <w:color w:val="auto"/>
                <w:sz w:val="12"/>
                <w:szCs w:val="12"/>
              </w:rPr>
              <w:t>503,18</w:t>
            </w:r>
          </w:p>
        </w:tc>
        <w:tc>
          <w:tcPr>
            <w:tcW w:w="772" w:type="dxa"/>
          </w:tcPr>
          <w:p w14:paraId="73CB5C43" w14:textId="77777777" w:rsidR="005B65D1" w:rsidRPr="005B65D1" w:rsidRDefault="005B65D1">
            <w:pPr>
              <w:pStyle w:val="Tabele"/>
              <w:jc w:val="right"/>
              <w:rPr>
                <w:b/>
                <w:bCs/>
                <w:color w:val="auto"/>
                <w:sz w:val="12"/>
                <w:szCs w:val="12"/>
                <w:highlight w:val="yellow"/>
              </w:rPr>
            </w:pPr>
            <w:r w:rsidRPr="005B65D1">
              <w:rPr>
                <w:color w:val="auto"/>
                <w:sz w:val="12"/>
                <w:szCs w:val="12"/>
              </w:rPr>
              <w:t>351,91</w:t>
            </w:r>
          </w:p>
        </w:tc>
        <w:tc>
          <w:tcPr>
            <w:tcW w:w="772" w:type="dxa"/>
          </w:tcPr>
          <w:p w14:paraId="5B9F629C" w14:textId="77777777" w:rsidR="005B65D1" w:rsidRPr="005B65D1" w:rsidRDefault="005B65D1">
            <w:pPr>
              <w:pStyle w:val="Tabele"/>
              <w:jc w:val="right"/>
              <w:rPr>
                <w:b/>
                <w:bCs/>
                <w:color w:val="auto"/>
                <w:sz w:val="12"/>
                <w:szCs w:val="12"/>
                <w:highlight w:val="yellow"/>
              </w:rPr>
            </w:pPr>
            <w:r w:rsidRPr="005B65D1">
              <w:rPr>
                <w:color w:val="auto"/>
                <w:sz w:val="12"/>
                <w:szCs w:val="12"/>
              </w:rPr>
              <w:t>250,81</w:t>
            </w:r>
          </w:p>
        </w:tc>
        <w:tc>
          <w:tcPr>
            <w:tcW w:w="773" w:type="dxa"/>
          </w:tcPr>
          <w:p w14:paraId="0C96E6A6" w14:textId="77777777" w:rsidR="005B65D1" w:rsidRPr="005B65D1" w:rsidRDefault="005B65D1">
            <w:pPr>
              <w:pStyle w:val="Tabele"/>
              <w:jc w:val="right"/>
              <w:rPr>
                <w:b/>
                <w:bCs/>
                <w:color w:val="auto"/>
                <w:sz w:val="12"/>
                <w:szCs w:val="12"/>
                <w:highlight w:val="yellow"/>
              </w:rPr>
            </w:pPr>
            <w:r w:rsidRPr="005B65D1">
              <w:rPr>
                <w:color w:val="auto"/>
                <w:sz w:val="12"/>
                <w:szCs w:val="12"/>
              </w:rPr>
              <w:t>168,80</w:t>
            </w:r>
          </w:p>
        </w:tc>
      </w:tr>
      <w:tr w:rsidR="005B65D1" w:rsidRPr="00520300" w14:paraId="71552E70" w14:textId="77777777" w:rsidTr="00D562EA">
        <w:trPr>
          <w:gridAfter w:val="1"/>
          <w:wAfter w:w="8" w:type="dxa"/>
          <w:trHeight w:val="231"/>
        </w:trPr>
        <w:tc>
          <w:tcPr>
            <w:tcW w:w="1919" w:type="dxa"/>
          </w:tcPr>
          <w:p w14:paraId="74E41A17" w14:textId="77777777" w:rsidR="005B65D1" w:rsidRPr="005B65D1" w:rsidRDefault="005B65D1">
            <w:pPr>
              <w:pStyle w:val="Tabele"/>
              <w:rPr>
                <w:b/>
                <w:color w:val="auto"/>
                <w:sz w:val="12"/>
                <w:szCs w:val="12"/>
              </w:rPr>
            </w:pPr>
            <w:r w:rsidRPr="005B65D1">
              <w:rPr>
                <w:rFonts w:cs="Calibri"/>
                <w:color w:val="auto"/>
                <w:sz w:val="12"/>
                <w:szCs w:val="12"/>
              </w:rPr>
              <w:t xml:space="preserve">2. Ropa naftowa i gaz ziemny </w:t>
            </w:r>
          </w:p>
        </w:tc>
        <w:tc>
          <w:tcPr>
            <w:tcW w:w="821" w:type="dxa"/>
            <w:shd w:val="clear" w:color="auto" w:fill="C5E0B3"/>
          </w:tcPr>
          <w:p w14:paraId="6DC9E561" w14:textId="77777777" w:rsidR="005B65D1" w:rsidRPr="005B65D1" w:rsidRDefault="005B65D1">
            <w:pPr>
              <w:pStyle w:val="Tabele"/>
              <w:jc w:val="right"/>
              <w:rPr>
                <w:rFonts w:cs="Calibri"/>
                <w:color w:val="auto"/>
                <w:sz w:val="12"/>
                <w:szCs w:val="12"/>
              </w:rPr>
            </w:pPr>
            <w:r w:rsidRPr="005B65D1">
              <w:rPr>
                <w:color w:val="auto"/>
                <w:sz w:val="12"/>
                <w:szCs w:val="12"/>
              </w:rPr>
              <w:t>43,54</w:t>
            </w:r>
          </w:p>
        </w:tc>
        <w:tc>
          <w:tcPr>
            <w:tcW w:w="773" w:type="dxa"/>
            <w:shd w:val="clear" w:color="auto" w:fill="C5E0B3"/>
          </w:tcPr>
          <w:p w14:paraId="7571B258" w14:textId="77777777" w:rsidR="005B65D1" w:rsidRPr="005B65D1" w:rsidRDefault="005B65D1">
            <w:pPr>
              <w:pStyle w:val="Tabele"/>
              <w:jc w:val="right"/>
              <w:rPr>
                <w:b/>
                <w:color w:val="auto"/>
                <w:sz w:val="12"/>
                <w:szCs w:val="12"/>
              </w:rPr>
            </w:pPr>
            <w:r w:rsidRPr="005B65D1">
              <w:rPr>
                <w:color w:val="auto"/>
                <w:sz w:val="12"/>
                <w:szCs w:val="12"/>
              </w:rPr>
              <w:t>94,60</w:t>
            </w:r>
          </w:p>
        </w:tc>
        <w:tc>
          <w:tcPr>
            <w:tcW w:w="772" w:type="dxa"/>
            <w:shd w:val="clear" w:color="auto" w:fill="C5E0B3"/>
          </w:tcPr>
          <w:p w14:paraId="25D3E0C4" w14:textId="77777777" w:rsidR="005B65D1" w:rsidRPr="005B65D1" w:rsidRDefault="005B65D1">
            <w:pPr>
              <w:pStyle w:val="Tabele"/>
              <w:jc w:val="right"/>
              <w:rPr>
                <w:b/>
                <w:color w:val="auto"/>
                <w:sz w:val="12"/>
                <w:szCs w:val="12"/>
              </w:rPr>
            </w:pPr>
            <w:r w:rsidRPr="005B65D1">
              <w:rPr>
                <w:color w:val="auto"/>
                <w:sz w:val="12"/>
                <w:szCs w:val="12"/>
              </w:rPr>
              <w:t>87,50</w:t>
            </w:r>
          </w:p>
        </w:tc>
        <w:tc>
          <w:tcPr>
            <w:tcW w:w="773" w:type="dxa"/>
            <w:shd w:val="clear" w:color="auto" w:fill="C5E0B3"/>
          </w:tcPr>
          <w:p w14:paraId="4C62905A" w14:textId="77777777" w:rsidR="005B65D1" w:rsidRPr="005B65D1" w:rsidRDefault="005B65D1">
            <w:pPr>
              <w:pStyle w:val="Tabele"/>
              <w:jc w:val="right"/>
              <w:rPr>
                <w:b/>
                <w:color w:val="auto"/>
                <w:sz w:val="12"/>
                <w:szCs w:val="12"/>
              </w:rPr>
            </w:pPr>
            <w:r w:rsidRPr="005B65D1">
              <w:rPr>
                <w:color w:val="auto"/>
                <w:sz w:val="12"/>
                <w:szCs w:val="12"/>
              </w:rPr>
              <w:t>102,06</w:t>
            </w:r>
          </w:p>
        </w:tc>
        <w:tc>
          <w:tcPr>
            <w:tcW w:w="772" w:type="dxa"/>
            <w:shd w:val="clear" w:color="auto" w:fill="C5E0B3"/>
          </w:tcPr>
          <w:p w14:paraId="7C489BAB" w14:textId="77777777" w:rsidR="005B65D1" w:rsidRPr="005B65D1" w:rsidRDefault="005B65D1">
            <w:pPr>
              <w:pStyle w:val="Tabele"/>
              <w:jc w:val="right"/>
              <w:rPr>
                <w:b/>
                <w:color w:val="auto"/>
                <w:sz w:val="12"/>
                <w:szCs w:val="12"/>
              </w:rPr>
            </w:pPr>
            <w:r w:rsidRPr="005B65D1">
              <w:rPr>
                <w:color w:val="auto"/>
                <w:sz w:val="12"/>
                <w:szCs w:val="12"/>
              </w:rPr>
              <w:t>106,73</w:t>
            </w:r>
          </w:p>
        </w:tc>
        <w:tc>
          <w:tcPr>
            <w:tcW w:w="773" w:type="dxa"/>
          </w:tcPr>
          <w:p w14:paraId="0888DA33" w14:textId="77777777" w:rsidR="005B65D1" w:rsidRPr="005B65D1" w:rsidRDefault="005B65D1">
            <w:pPr>
              <w:pStyle w:val="Tabele"/>
              <w:jc w:val="right"/>
              <w:rPr>
                <w:b/>
                <w:bCs/>
                <w:color w:val="auto"/>
                <w:sz w:val="12"/>
                <w:szCs w:val="12"/>
                <w:highlight w:val="yellow"/>
              </w:rPr>
            </w:pPr>
            <w:r w:rsidRPr="005B65D1">
              <w:rPr>
                <w:color w:val="auto"/>
                <w:sz w:val="12"/>
                <w:szCs w:val="12"/>
              </w:rPr>
              <w:t>111,79</w:t>
            </w:r>
          </w:p>
        </w:tc>
        <w:tc>
          <w:tcPr>
            <w:tcW w:w="772" w:type="dxa"/>
          </w:tcPr>
          <w:p w14:paraId="0527795F" w14:textId="77777777" w:rsidR="005B65D1" w:rsidRPr="005B65D1" w:rsidRDefault="005B65D1">
            <w:pPr>
              <w:pStyle w:val="Tabele"/>
              <w:jc w:val="right"/>
              <w:rPr>
                <w:b/>
                <w:bCs/>
                <w:color w:val="auto"/>
                <w:sz w:val="12"/>
                <w:szCs w:val="12"/>
                <w:highlight w:val="yellow"/>
              </w:rPr>
            </w:pPr>
            <w:r w:rsidRPr="005B65D1">
              <w:rPr>
                <w:color w:val="auto"/>
                <w:sz w:val="12"/>
                <w:szCs w:val="12"/>
              </w:rPr>
              <w:t>110,55</w:t>
            </w:r>
          </w:p>
        </w:tc>
        <w:tc>
          <w:tcPr>
            <w:tcW w:w="772" w:type="dxa"/>
          </w:tcPr>
          <w:p w14:paraId="5667F6BF" w14:textId="77777777" w:rsidR="005B65D1" w:rsidRPr="005B65D1" w:rsidRDefault="005B65D1">
            <w:pPr>
              <w:pStyle w:val="Tabele"/>
              <w:jc w:val="right"/>
              <w:rPr>
                <w:b/>
                <w:bCs/>
                <w:color w:val="auto"/>
                <w:sz w:val="12"/>
                <w:szCs w:val="12"/>
                <w:highlight w:val="yellow"/>
              </w:rPr>
            </w:pPr>
            <w:r w:rsidRPr="005B65D1">
              <w:rPr>
                <w:color w:val="auto"/>
                <w:sz w:val="12"/>
                <w:szCs w:val="12"/>
              </w:rPr>
              <w:t>104,16</w:t>
            </w:r>
          </w:p>
        </w:tc>
        <w:tc>
          <w:tcPr>
            <w:tcW w:w="773" w:type="dxa"/>
          </w:tcPr>
          <w:p w14:paraId="6D71D0EE" w14:textId="77777777" w:rsidR="005B65D1" w:rsidRPr="005B65D1" w:rsidRDefault="005B65D1">
            <w:pPr>
              <w:pStyle w:val="Tabele"/>
              <w:jc w:val="right"/>
              <w:rPr>
                <w:b/>
                <w:bCs/>
                <w:color w:val="auto"/>
                <w:sz w:val="12"/>
                <w:szCs w:val="12"/>
                <w:highlight w:val="yellow"/>
              </w:rPr>
            </w:pPr>
            <w:r w:rsidRPr="005B65D1">
              <w:rPr>
                <w:color w:val="auto"/>
                <w:sz w:val="12"/>
                <w:szCs w:val="12"/>
              </w:rPr>
              <w:t>92,86</w:t>
            </w:r>
          </w:p>
        </w:tc>
      </w:tr>
      <w:tr w:rsidR="005B65D1" w:rsidRPr="00520300" w14:paraId="70F2BD17" w14:textId="77777777" w:rsidTr="00D562EA">
        <w:trPr>
          <w:gridAfter w:val="1"/>
          <w:wAfter w:w="8" w:type="dxa"/>
          <w:trHeight w:val="231"/>
        </w:trPr>
        <w:tc>
          <w:tcPr>
            <w:tcW w:w="1919" w:type="dxa"/>
          </w:tcPr>
          <w:p w14:paraId="6BE383D5" w14:textId="77777777" w:rsidR="005B65D1" w:rsidRPr="005B65D1" w:rsidRDefault="005B65D1">
            <w:pPr>
              <w:pStyle w:val="Tabele"/>
              <w:rPr>
                <w:color w:val="auto"/>
                <w:sz w:val="12"/>
                <w:szCs w:val="12"/>
              </w:rPr>
            </w:pPr>
            <w:r w:rsidRPr="005B65D1">
              <w:rPr>
                <w:rFonts w:cs="Calibri"/>
                <w:b/>
                <w:bCs/>
                <w:color w:val="auto"/>
                <w:sz w:val="12"/>
                <w:szCs w:val="12"/>
              </w:rPr>
              <w:t>2. Procesy przemysłowe</w:t>
            </w:r>
          </w:p>
        </w:tc>
        <w:tc>
          <w:tcPr>
            <w:tcW w:w="821" w:type="dxa"/>
            <w:shd w:val="clear" w:color="auto" w:fill="C5E0B3"/>
          </w:tcPr>
          <w:p w14:paraId="12457A0B" w14:textId="77777777" w:rsidR="005B65D1" w:rsidRPr="005B65D1" w:rsidRDefault="005B65D1">
            <w:pPr>
              <w:pStyle w:val="Tabele"/>
              <w:jc w:val="right"/>
              <w:rPr>
                <w:rFonts w:cs="Calibri"/>
                <w:b/>
                <w:bCs/>
                <w:color w:val="auto"/>
                <w:sz w:val="12"/>
                <w:szCs w:val="12"/>
              </w:rPr>
            </w:pPr>
            <w:r w:rsidRPr="005B65D1">
              <w:rPr>
                <w:b/>
                <w:color w:val="auto"/>
                <w:sz w:val="12"/>
                <w:szCs w:val="12"/>
              </w:rPr>
              <w:t>2,51</w:t>
            </w:r>
          </w:p>
        </w:tc>
        <w:tc>
          <w:tcPr>
            <w:tcW w:w="773" w:type="dxa"/>
            <w:shd w:val="clear" w:color="auto" w:fill="C5E0B3"/>
          </w:tcPr>
          <w:p w14:paraId="0E67AE9F" w14:textId="77777777" w:rsidR="005B65D1" w:rsidRPr="005B65D1" w:rsidRDefault="005B65D1">
            <w:pPr>
              <w:pStyle w:val="Tabele"/>
              <w:jc w:val="right"/>
              <w:rPr>
                <w:b/>
                <w:color w:val="auto"/>
                <w:sz w:val="12"/>
                <w:szCs w:val="12"/>
              </w:rPr>
            </w:pPr>
            <w:r w:rsidRPr="005B65D1">
              <w:rPr>
                <w:b/>
                <w:color w:val="auto"/>
                <w:sz w:val="12"/>
                <w:szCs w:val="12"/>
              </w:rPr>
              <w:t>1,89</w:t>
            </w:r>
          </w:p>
        </w:tc>
        <w:tc>
          <w:tcPr>
            <w:tcW w:w="772" w:type="dxa"/>
            <w:shd w:val="clear" w:color="auto" w:fill="C5E0B3"/>
          </w:tcPr>
          <w:p w14:paraId="3AA2CD33" w14:textId="77777777" w:rsidR="005B65D1" w:rsidRPr="005B65D1" w:rsidRDefault="005B65D1">
            <w:pPr>
              <w:pStyle w:val="Tabele"/>
              <w:jc w:val="right"/>
              <w:rPr>
                <w:b/>
                <w:color w:val="auto"/>
                <w:sz w:val="12"/>
                <w:szCs w:val="12"/>
              </w:rPr>
            </w:pPr>
            <w:r w:rsidRPr="005B65D1">
              <w:rPr>
                <w:b/>
                <w:color w:val="auto"/>
                <w:sz w:val="12"/>
                <w:szCs w:val="12"/>
              </w:rPr>
              <w:t>2,50</w:t>
            </w:r>
          </w:p>
        </w:tc>
        <w:tc>
          <w:tcPr>
            <w:tcW w:w="773" w:type="dxa"/>
            <w:shd w:val="clear" w:color="auto" w:fill="C5E0B3"/>
          </w:tcPr>
          <w:p w14:paraId="12A6E34A" w14:textId="77777777" w:rsidR="005B65D1" w:rsidRPr="005B65D1" w:rsidRDefault="005B65D1">
            <w:pPr>
              <w:pStyle w:val="Tabele"/>
              <w:jc w:val="right"/>
              <w:rPr>
                <w:b/>
                <w:color w:val="auto"/>
                <w:sz w:val="12"/>
                <w:szCs w:val="12"/>
              </w:rPr>
            </w:pPr>
            <w:r w:rsidRPr="005B65D1">
              <w:rPr>
                <w:b/>
                <w:color w:val="auto"/>
                <w:sz w:val="12"/>
                <w:szCs w:val="12"/>
              </w:rPr>
              <w:t>2,62</w:t>
            </w:r>
          </w:p>
        </w:tc>
        <w:tc>
          <w:tcPr>
            <w:tcW w:w="772" w:type="dxa"/>
            <w:shd w:val="clear" w:color="auto" w:fill="C5E0B3"/>
          </w:tcPr>
          <w:p w14:paraId="276A457B" w14:textId="77777777" w:rsidR="005B65D1" w:rsidRPr="005B65D1" w:rsidRDefault="005B65D1">
            <w:pPr>
              <w:pStyle w:val="Tabele"/>
              <w:jc w:val="right"/>
              <w:rPr>
                <w:b/>
                <w:color w:val="auto"/>
                <w:sz w:val="12"/>
                <w:szCs w:val="12"/>
              </w:rPr>
            </w:pPr>
            <w:r w:rsidRPr="005B65D1">
              <w:rPr>
                <w:b/>
                <w:color w:val="auto"/>
                <w:sz w:val="12"/>
                <w:szCs w:val="12"/>
              </w:rPr>
              <w:t>2,32</w:t>
            </w:r>
          </w:p>
        </w:tc>
        <w:tc>
          <w:tcPr>
            <w:tcW w:w="773" w:type="dxa"/>
          </w:tcPr>
          <w:p w14:paraId="32F850FB" w14:textId="77777777" w:rsidR="005B65D1" w:rsidRPr="005B65D1" w:rsidRDefault="005B65D1">
            <w:pPr>
              <w:pStyle w:val="Tabele"/>
              <w:jc w:val="right"/>
              <w:rPr>
                <w:b/>
                <w:bCs/>
                <w:color w:val="auto"/>
                <w:sz w:val="12"/>
                <w:szCs w:val="12"/>
                <w:highlight w:val="yellow"/>
              </w:rPr>
            </w:pPr>
            <w:r w:rsidRPr="005B65D1">
              <w:rPr>
                <w:b/>
                <w:color w:val="auto"/>
                <w:sz w:val="12"/>
                <w:szCs w:val="12"/>
              </w:rPr>
              <w:t>2,90</w:t>
            </w:r>
          </w:p>
        </w:tc>
        <w:tc>
          <w:tcPr>
            <w:tcW w:w="772" w:type="dxa"/>
          </w:tcPr>
          <w:p w14:paraId="7B478A17" w14:textId="77777777" w:rsidR="005B65D1" w:rsidRPr="005B65D1" w:rsidRDefault="005B65D1">
            <w:pPr>
              <w:pStyle w:val="Tabele"/>
              <w:jc w:val="right"/>
              <w:rPr>
                <w:b/>
                <w:bCs/>
                <w:color w:val="auto"/>
                <w:sz w:val="12"/>
                <w:szCs w:val="12"/>
                <w:highlight w:val="yellow"/>
              </w:rPr>
            </w:pPr>
            <w:r w:rsidRPr="005B65D1">
              <w:rPr>
                <w:b/>
                <w:color w:val="auto"/>
                <w:sz w:val="12"/>
                <w:szCs w:val="12"/>
              </w:rPr>
              <w:t>2,91</w:t>
            </w:r>
          </w:p>
        </w:tc>
        <w:tc>
          <w:tcPr>
            <w:tcW w:w="772" w:type="dxa"/>
          </w:tcPr>
          <w:p w14:paraId="02899D8E" w14:textId="77777777" w:rsidR="005B65D1" w:rsidRPr="005B65D1" w:rsidRDefault="005B65D1">
            <w:pPr>
              <w:pStyle w:val="Tabele"/>
              <w:jc w:val="right"/>
              <w:rPr>
                <w:b/>
                <w:bCs/>
                <w:color w:val="auto"/>
                <w:sz w:val="12"/>
                <w:szCs w:val="12"/>
                <w:highlight w:val="yellow"/>
              </w:rPr>
            </w:pPr>
            <w:r w:rsidRPr="005B65D1">
              <w:rPr>
                <w:b/>
                <w:color w:val="auto"/>
                <w:sz w:val="12"/>
                <w:szCs w:val="12"/>
              </w:rPr>
              <w:t>2,93</w:t>
            </w:r>
          </w:p>
        </w:tc>
        <w:tc>
          <w:tcPr>
            <w:tcW w:w="773" w:type="dxa"/>
          </w:tcPr>
          <w:p w14:paraId="746DF42D" w14:textId="77777777" w:rsidR="005B65D1" w:rsidRPr="005B65D1" w:rsidRDefault="005B65D1">
            <w:pPr>
              <w:pStyle w:val="Tabele"/>
              <w:jc w:val="right"/>
              <w:rPr>
                <w:b/>
                <w:bCs/>
                <w:color w:val="auto"/>
                <w:sz w:val="12"/>
                <w:szCs w:val="12"/>
                <w:highlight w:val="yellow"/>
              </w:rPr>
            </w:pPr>
            <w:r w:rsidRPr="005B65D1">
              <w:rPr>
                <w:b/>
                <w:color w:val="auto"/>
                <w:sz w:val="12"/>
                <w:szCs w:val="12"/>
              </w:rPr>
              <w:t>2,91</w:t>
            </w:r>
          </w:p>
        </w:tc>
      </w:tr>
      <w:tr w:rsidR="005B65D1" w:rsidRPr="00520300" w14:paraId="09A55199" w14:textId="77777777" w:rsidTr="00D562EA">
        <w:trPr>
          <w:gridAfter w:val="1"/>
          <w:wAfter w:w="8" w:type="dxa"/>
          <w:trHeight w:val="231"/>
        </w:trPr>
        <w:tc>
          <w:tcPr>
            <w:tcW w:w="1919" w:type="dxa"/>
          </w:tcPr>
          <w:p w14:paraId="2B4D1BDC" w14:textId="77777777" w:rsidR="005B65D1" w:rsidRPr="005B65D1" w:rsidRDefault="005B65D1">
            <w:pPr>
              <w:pStyle w:val="Tabele"/>
              <w:rPr>
                <w:b/>
                <w:color w:val="auto"/>
                <w:sz w:val="12"/>
                <w:szCs w:val="12"/>
              </w:rPr>
            </w:pPr>
            <w:r w:rsidRPr="005B65D1">
              <w:rPr>
                <w:rFonts w:cs="Calibri"/>
                <w:color w:val="auto"/>
                <w:sz w:val="12"/>
                <w:szCs w:val="12"/>
              </w:rPr>
              <w:t xml:space="preserve">B. Przemysł chemiczny </w:t>
            </w:r>
          </w:p>
        </w:tc>
        <w:tc>
          <w:tcPr>
            <w:tcW w:w="821" w:type="dxa"/>
            <w:shd w:val="clear" w:color="auto" w:fill="C5E0B3"/>
          </w:tcPr>
          <w:p w14:paraId="48328E2E" w14:textId="77777777" w:rsidR="005B65D1" w:rsidRPr="005B65D1" w:rsidRDefault="005B65D1">
            <w:pPr>
              <w:pStyle w:val="Tabele"/>
              <w:jc w:val="right"/>
              <w:rPr>
                <w:rFonts w:cs="Calibri"/>
                <w:color w:val="auto"/>
                <w:sz w:val="12"/>
                <w:szCs w:val="12"/>
              </w:rPr>
            </w:pPr>
            <w:r w:rsidRPr="005B65D1">
              <w:rPr>
                <w:color w:val="auto"/>
                <w:sz w:val="12"/>
                <w:szCs w:val="12"/>
              </w:rPr>
              <w:t>1,60</w:t>
            </w:r>
          </w:p>
        </w:tc>
        <w:tc>
          <w:tcPr>
            <w:tcW w:w="773" w:type="dxa"/>
            <w:shd w:val="clear" w:color="auto" w:fill="C5E0B3"/>
          </w:tcPr>
          <w:p w14:paraId="56854A95" w14:textId="77777777" w:rsidR="005B65D1" w:rsidRPr="005B65D1" w:rsidRDefault="005B65D1">
            <w:pPr>
              <w:pStyle w:val="Tabele"/>
              <w:jc w:val="right"/>
              <w:rPr>
                <w:color w:val="auto"/>
                <w:sz w:val="12"/>
                <w:szCs w:val="12"/>
              </w:rPr>
            </w:pPr>
            <w:r w:rsidRPr="005B65D1">
              <w:rPr>
                <w:color w:val="auto"/>
                <w:sz w:val="12"/>
                <w:szCs w:val="12"/>
              </w:rPr>
              <w:t>1,39</w:t>
            </w:r>
          </w:p>
        </w:tc>
        <w:tc>
          <w:tcPr>
            <w:tcW w:w="772" w:type="dxa"/>
            <w:shd w:val="clear" w:color="auto" w:fill="C5E0B3"/>
          </w:tcPr>
          <w:p w14:paraId="528B2818" w14:textId="77777777" w:rsidR="005B65D1" w:rsidRPr="005B65D1" w:rsidRDefault="005B65D1">
            <w:pPr>
              <w:pStyle w:val="Tabele"/>
              <w:jc w:val="right"/>
              <w:rPr>
                <w:color w:val="auto"/>
                <w:sz w:val="12"/>
                <w:szCs w:val="12"/>
              </w:rPr>
            </w:pPr>
            <w:r w:rsidRPr="005B65D1">
              <w:rPr>
                <w:color w:val="auto"/>
                <w:sz w:val="12"/>
                <w:szCs w:val="12"/>
              </w:rPr>
              <w:t>2,03</w:t>
            </w:r>
          </w:p>
        </w:tc>
        <w:tc>
          <w:tcPr>
            <w:tcW w:w="773" w:type="dxa"/>
            <w:shd w:val="clear" w:color="auto" w:fill="C5E0B3"/>
          </w:tcPr>
          <w:p w14:paraId="3F8E051F" w14:textId="77777777" w:rsidR="005B65D1" w:rsidRPr="005B65D1" w:rsidRDefault="005B65D1">
            <w:pPr>
              <w:pStyle w:val="Tabele"/>
              <w:jc w:val="right"/>
              <w:rPr>
                <w:color w:val="auto"/>
                <w:sz w:val="12"/>
                <w:szCs w:val="12"/>
              </w:rPr>
            </w:pPr>
            <w:r w:rsidRPr="005B65D1">
              <w:rPr>
                <w:color w:val="auto"/>
                <w:sz w:val="12"/>
                <w:szCs w:val="12"/>
              </w:rPr>
              <w:t>2,02</w:t>
            </w:r>
          </w:p>
        </w:tc>
        <w:tc>
          <w:tcPr>
            <w:tcW w:w="772" w:type="dxa"/>
            <w:shd w:val="clear" w:color="auto" w:fill="C5E0B3"/>
          </w:tcPr>
          <w:p w14:paraId="46675F63" w14:textId="77777777" w:rsidR="005B65D1" w:rsidRPr="005B65D1" w:rsidRDefault="005B65D1">
            <w:pPr>
              <w:pStyle w:val="Tabele"/>
              <w:jc w:val="right"/>
              <w:rPr>
                <w:color w:val="auto"/>
                <w:sz w:val="12"/>
                <w:szCs w:val="12"/>
              </w:rPr>
            </w:pPr>
            <w:r w:rsidRPr="005B65D1">
              <w:rPr>
                <w:color w:val="auto"/>
                <w:sz w:val="12"/>
                <w:szCs w:val="12"/>
              </w:rPr>
              <w:t>1,91</w:t>
            </w:r>
          </w:p>
        </w:tc>
        <w:tc>
          <w:tcPr>
            <w:tcW w:w="773" w:type="dxa"/>
          </w:tcPr>
          <w:p w14:paraId="06C32CBD" w14:textId="77777777" w:rsidR="005B65D1" w:rsidRPr="005B65D1" w:rsidRDefault="005B65D1">
            <w:pPr>
              <w:pStyle w:val="Tabele"/>
              <w:jc w:val="right"/>
              <w:rPr>
                <w:b/>
                <w:bCs/>
                <w:color w:val="auto"/>
                <w:sz w:val="12"/>
                <w:szCs w:val="12"/>
                <w:highlight w:val="yellow"/>
              </w:rPr>
            </w:pPr>
            <w:r w:rsidRPr="005B65D1">
              <w:rPr>
                <w:color w:val="auto"/>
                <w:sz w:val="12"/>
                <w:szCs w:val="12"/>
              </w:rPr>
              <w:t>2,47</w:t>
            </w:r>
          </w:p>
        </w:tc>
        <w:tc>
          <w:tcPr>
            <w:tcW w:w="772" w:type="dxa"/>
          </w:tcPr>
          <w:p w14:paraId="089804FD" w14:textId="77777777" w:rsidR="005B65D1" w:rsidRPr="005B65D1" w:rsidRDefault="005B65D1">
            <w:pPr>
              <w:pStyle w:val="Tabele"/>
              <w:jc w:val="right"/>
              <w:rPr>
                <w:b/>
                <w:bCs/>
                <w:color w:val="auto"/>
                <w:sz w:val="12"/>
                <w:szCs w:val="12"/>
                <w:highlight w:val="yellow"/>
              </w:rPr>
            </w:pPr>
            <w:r w:rsidRPr="005B65D1">
              <w:rPr>
                <w:color w:val="auto"/>
                <w:sz w:val="12"/>
                <w:szCs w:val="12"/>
              </w:rPr>
              <w:t>2,53</w:t>
            </w:r>
          </w:p>
        </w:tc>
        <w:tc>
          <w:tcPr>
            <w:tcW w:w="772" w:type="dxa"/>
          </w:tcPr>
          <w:p w14:paraId="4B040579" w14:textId="77777777" w:rsidR="005B65D1" w:rsidRPr="005B65D1" w:rsidRDefault="005B65D1">
            <w:pPr>
              <w:pStyle w:val="Tabele"/>
              <w:jc w:val="right"/>
              <w:rPr>
                <w:b/>
                <w:bCs/>
                <w:color w:val="auto"/>
                <w:sz w:val="12"/>
                <w:szCs w:val="12"/>
                <w:highlight w:val="yellow"/>
              </w:rPr>
            </w:pPr>
            <w:r w:rsidRPr="005B65D1">
              <w:rPr>
                <w:color w:val="auto"/>
                <w:sz w:val="12"/>
                <w:szCs w:val="12"/>
              </w:rPr>
              <w:t>2,58</w:t>
            </w:r>
          </w:p>
        </w:tc>
        <w:tc>
          <w:tcPr>
            <w:tcW w:w="773" w:type="dxa"/>
          </w:tcPr>
          <w:p w14:paraId="7452C932" w14:textId="77777777" w:rsidR="005B65D1" w:rsidRPr="005B65D1" w:rsidRDefault="005B65D1">
            <w:pPr>
              <w:pStyle w:val="Tabele"/>
              <w:jc w:val="right"/>
              <w:rPr>
                <w:b/>
                <w:bCs/>
                <w:color w:val="auto"/>
                <w:sz w:val="12"/>
                <w:szCs w:val="12"/>
                <w:highlight w:val="yellow"/>
              </w:rPr>
            </w:pPr>
            <w:r w:rsidRPr="005B65D1">
              <w:rPr>
                <w:color w:val="auto"/>
                <w:sz w:val="12"/>
                <w:szCs w:val="12"/>
              </w:rPr>
              <w:t>2,63</w:t>
            </w:r>
          </w:p>
        </w:tc>
      </w:tr>
      <w:tr w:rsidR="005B65D1" w:rsidRPr="00520300" w14:paraId="2BA08DC8" w14:textId="77777777" w:rsidTr="00D562EA">
        <w:trPr>
          <w:gridAfter w:val="1"/>
          <w:wAfter w:w="8" w:type="dxa"/>
          <w:trHeight w:val="231"/>
        </w:trPr>
        <w:tc>
          <w:tcPr>
            <w:tcW w:w="1919" w:type="dxa"/>
          </w:tcPr>
          <w:p w14:paraId="26380751" w14:textId="77777777" w:rsidR="005B65D1" w:rsidRPr="005B65D1" w:rsidRDefault="005B65D1">
            <w:pPr>
              <w:pStyle w:val="Tabele"/>
              <w:rPr>
                <w:b/>
                <w:color w:val="auto"/>
                <w:sz w:val="12"/>
                <w:szCs w:val="12"/>
              </w:rPr>
            </w:pPr>
            <w:r w:rsidRPr="005B65D1">
              <w:rPr>
                <w:rFonts w:cs="Calibri"/>
                <w:color w:val="auto"/>
                <w:sz w:val="12"/>
                <w:szCs w:val="12"/>
              </w:rPr>
              <w:t xml:space="preserve">C. Produkcja metali </w:t>
            </w:r>
          </w:p>
        </w:tc>
        <w:tc>
          <w:tcPr>
            <w:tcW w:w="821" w:type="dxa"/>
            <w:shd w:val="clear" w:color="auto" w:fill="C5E0B3"/>
          </w:tcPr>
          <w:p w14:paraId="4E7D72C3" w14:textId="77777777" w:rsidR="005B65D1" w:rsidRPr="005B65D1" w:rsidRDefault="005B65D1">
            <w:pPr>
              <w:pStyle w:val="Tabele"/>
              <w:jc w:val="right"/>
              <w:rPr>
                <w:rFonts w:cs="Calibri"/>
                <w:color w:val="auto"/>
                <w:sz w:val="12"/>
                <w:szCs w:val="12"/>
              </w:rPr>
            </w:pPr>
            <w:r w:rsidRPr="005B65D1">
              <w:rPr>
                <w:color w:val="auto"/>
                <w:sz w:val="12"/>
                <w:szCs w:val="12"/>
              </w:rPr>
              <w:t>0,91</w:t>
            </w:r>
          </w:p>
        </w:tc>
        <w:tc>
          <w:tcPr>
            <w:tcW w:w="773" w:type="dxa"/>
            <w:shd w:val="clear" w:color="auto" w:fill="C5E0B3"/>
          </w:tcPr>
          <w:p w14:paraId="3DA86F7E" w14:textId="77777777" w:rsidR="005B65D1" w:rsidRPr="005B65D1" w:rsidRDefault="005B65D1">
            <w:pPr>
              <w:pStyle w:val="Tabele"/>
              <w:jc w:val="right"/>
              <w:rPr>
                <w:color w:val="auto"/>
                <w:sz w:val="12"/>
                <w:szCs w:val="12"/>
              </w:rPr>
            </w:pPr>
            <w:r w:rsidRPr="005B65D1">
              <w:rPr>
                <w:color w:val="auto"/>
                <w:sz w:val="12"/>
                <w:szCs w:val="12"/>
              </w:rPr>
              <w:t>0,50</w:t>
            </w:r>
          </w:p>
        </w:tc>
        <w:tc>
          <w:tcPr>
            <w:tcW w:w="772" w:type="dxa"/>
            <w:shd w:val="clear" w:color="auto" w:fill="C5E0B3"/>
          </w:tcPr>
          <w:p w14:paraId="01CA07A6" w14:textId="77777777" w:rsidR="005B65D1" w:rsidRPr="005B65D1" w:rsidRDefault="005B65D1">
            <w:pPr>
              <w:pStyle w:val="Tabele"/>
              <w:jc w:val="right"/>
              <w:rPr>
                <w:color w:val="auto"/>
                <w:sz w:val="12"/>
                <w:szCs w:val="12"/>
              </w:rPr>
            </w:pPr>
            <w:r w:rsidRPr="005B65D1">
              <w:rPr>
                <w:color w:val="auto"/>
                <w:sz w:val="12"/>
                <w:szCs w:val="12"/>
              </w:rPr>
              <w:t>0,46</w:t>
            </w:r>
          </w:p>
        </w:tc>
        <w:tc>
          <w:tcPr>
            <w:tcW w:w="773" w:type="dxa"/>
            <w:shd w:val="clear" w:color="auto" w:fill="C5E0B3"/>
          </w:tcPr>
          <w:p w14:paraId="3E941ABC" w14:textId="77777777" w:rsidR="005B65D1" w:rsidRPr="005B65D1" w:rsidRDefault="005B65D1">
            <w:pPr>
              <w:pStyle w:val="Tabele"/>
              <w:jc w:val="right"/>
              <w:rPr>
                <w:color w:val="auto"/>
                <w:sz w:val="12"/>
                <w:szCs w:val="12"/>
              </w:rPr>
            </w:pPr>
            <w:r w:rsidRPr="005B65D1">
              <w:rPr>
                <w:color w:val="auto"/>
                <w:sz w:val="12"/>
                <w:szCs w:val="12"/>
              </w:rPr>
              <w:t>0,60</w:t>
            </w:r>
          </w:p>
        </w:tc>
        <w:tc>
          <w:tcPr>
            <w:tcW w:w="772" w:type="dxa"/>
            <w:shd w:val="clear" w:color="auto" w:fill="C5E0B3"/>
          </w:tcPr>
          <w:p w14:paraId="52D27750" w14:textId="77777777" w:rsidR="005B65D1" w:rsidRPr="005B65D1" w:rsidRDefault="005B65D1">
            <w:pPr>
              <w:pStyle w:val="Tabele"/>
              <w:jc w:val="right"/>
              <w:rPr>
                <w:color w:val="auto"/>
                <w:sz w:val="12"/>
                <w:szCs w:val="12"/>
              </w:rPr>
            </w:pPr>
            <w:r w:rsidRPr="005B65D1">
              <w:rPr>
                <w:color w:val="auto"/>
                <w:sz w:val="12"/>
                <w:szCs w:val="12"/>
              </w:rPr>
              <w:t>0,40</w:t>
            </w:r>
          </w:p>
        </w:tc>
        <w:tc>
          <w:tcPr>
            <w:tcW w:w="773" w:type="dxa"/>
          </w:tcPr>
          <w:p w14:paraId="6F3820CF" w14:textId="77777777" w:rsidR="005B65D1" w:rsidRPr="005B65D1" w:rsidRDefault="005B65D1">
            <w:pPr>
              <w:pStyle w:val="Tabele"/>
              <w:jc w:val="right"/>
              <w:rPr>
                <w:b/>
                <w:bCs/>
                <w:color w:val="auto"/>
                <w:sz w:val="12"/>
                <w:szCs w:val="12"/>
                <w:highlight w:val="yellow"/>
              </w:rPr>
            </w:pPr>
            <w:r w:rsidRPr="005B65D1">
              <w:rPr>
                <w:color w:val="auto"/>
                <w:sz w:val="12"/>
                <w:szCs w:val="12"/>
              </w:rPr>
              <w:t>0,43</w:t>
            </w:r>
          </w:p>
        </w:tc>
        <w:tc>
          <w:tcPr>
            <w:tcW w:w="772" w:type="dxa"/>
          </w:tcPr>
          <w:p w14:paraId="574FA2DA" w14:textId="77777777" w:rsidR="005B65D1" w:rsidRPr="005B65D1" w:rsidRDefault="005B65D1">
            <w:pPr>
              <w:pStyle w:val="Tabele"/>
              <w:jc w:val="right"/>
              <w:rPr>
                <w:b/>
                <w:bCs/>
                <w:color w:val="auto"/>
                <w:sz w:val="12"/>
                <w:szCs w:val="12"/>
                <w:highlight w:val="yellow"/>
              </w:rPr>
            </w:pPr>
            <w:r w:rsidRPr="005B65D1">
              <w:rPr>
                <w:color w:val="auto"/>
                <w:sz w:val="12"/>
                <w:szCs w:val="12"/>
              </w:rPr>
              <w:t>0,38</w:t>
            </w:r>
          </w:p>
        </w:tc>
        <w:tc>
          <w:tcPr>
            <w:tcW w:w="772" w:type="dxa"/>
          </w:tcPr>
          <w:p w14:paraId="25277690" w14:textId="77777777" w:rsidR="005B65D1" w:rsidRPr="005B65D1" w:rsidRDefault="005B65D1">
            <w:pPr>
              <w:pStyle w:val="Tabele"/>
              <w:jc w:val="right"/>
              <w:rPr>
                <w:b/>
                <w:bCs/>
                <w:color w:val="auto"/>
                <w:sz w:val="12"/>
                <w:szCs w:val="12"/>
                <w:highlight w:val="yellow"/>
              </w:rPr>
            </w:pPr>
            <w:r w:rsidRPr="005B65D1">
              <w:rPr>
                <w:color w:val="auto"/>
                <w:sz w:val="12"/>
                <w:szCs w:val="12"/>
              </w:rPr>
              <w:t>0,35</w:t>
            </w:r>
          </w:p>
        </w:tc>
        <w:tc>
          <w:tcPr>
            <w:tcW w:w="773" w:type="dxa"/>
          </w:tcPr>
          <w:p w14:paraId="75FC4555" w14:textId="77777777" w:rsidR="005B65D1" w:rsidRPr="005B65D1" w:rsidRDefault="005B65D1">
            <w:pPr>
              <w:pStyle w:val="Tabele"/>
              <w:jc w:val="right"/>
              <w:rPr>
                <w:b/>
                <w:bCs/>
                <w:color w:val="auto"/>
                <w:sz w:val="12"/>
                <w:szCs w:val="12"/>
                <w:highlight w:val="yellow"/>
              </w:rPr>
            </w:pPr>
            <w:r w:rsidRPr="005B65D1">
              <w:rPr>
                <w:color w:val="auto"/>
                <w:sz w:val="12"/>
                <w:szCs w:val="12"/>
              </w:rPr>
              <w:t>0,28</w:t>
            </w:r>
          </w:p>
        </w:tc>
      </w:tr>
      <w:tr w:rsidR="005B65D1" w:rsidRPr="00520300" w14:paraId="034B8D4C" w14:textId="77777777" w:rsidTr="00D562EA">
        <w:trPr>
          <w:gridAfter w:val="1"/>
          <w:wAfter w:w="8" w:type="dxa"/>
          <w:trHeight w:val="231"/>
        </w:trPr>
        <w:tc>
          <w:tcPr>
            <w:tcW w:w="1919" w:type="dxa"/>
          </w:tcPr>
          <w:p w14:paraId="496C06D9" w14:textId="77777777" w:rsidR="005B65D1" w:rsidRPr="005B65D1" w:rsidRDefault="005B65D1">
            <w:pPr>
              <w:pStyle w:val="Tabele"/>
              <w:rPr>
                <w:color w:val="auto"/>
                <w:sz w:val="12"/>
                <w:szCs w:val="12"/>
              </w:rPr>
            </w:pPr>
            <w:r w:rsidRPr="005B65D1">
              <w:rPr>
                <w:rFonts w:cs="Calibri"/>
                <w:b/>
                <w:bCs/>
                <w:color w:val="auto"/>
                <w:sz w:val="12"/>
                <w:szCs w:val="12"/>
              </w:rPr>
              <w:t xml:space="preserve">3. Rolnictwo </w:t>
            </w:r>
          </w:p>
        </w:tc>
        <w:tc>
          <w:tcPr>
            <w:tcW w:w="821" w:type="dxa"/>
            <w:shd w:val="clear" w:color="auto" w:fill="C5E0B3"/>
          </w:tcPr>
          <w:p w14:paraId="504FA0D3" w14:textId="77777777" w:rsidR="005B65D1" w:rsidRPr="005B65D1" w:rsidRDefault="005B65D1">
            <w:pPr>
              <w:pStyle w:val="Tabele"/>
              <w:jc w:val="right"/>
              <w:rPr>
                <w:rFonts w:cs="Calibri"/>
                <w:b/>
                <w:bCs/>
                <w:color w:val="auto"/>
                <w:sz w:val="12"/>
                <w:szCs w:val="12"/>
              </w:rPr>
            </w:pPr>
            <w:r w:rsidRPr="005B65D1">
              <w:rPr>
                <w:color w:val="auto"/>
                <w:sz w:val="12"/>
                <w:szCs w:val="12"/>
              </w:rPr>
              <w:t>870,30</w:t>
            </w:r>
          </w:p>
        </w:tc>
        <w:tc>
          <w:tcPr>
            <w:tcW w:w="773" w:type="dxa"/>
            <w:shd w:val="clear" w:color="auto" w:fill="C5E0B3"/>
          </w:tcPr>
          <w:p w14:paraId="19D9B15F" w14:textId="77777777" w:rsidR="005B65D1" w:rsidRPr="005B65D1" w:rsidRDefault="005B65D1">
            <w:pPr>
              <w:pStyle w:val="Tabele"/>
              <w:jc w:val="right"/>
              <w:rPr>
                <w:b/>
                <w:color w:val="auto"/>
                <w:sz w:val="12"/>
                <w:szCs w:val="12"/>
              </w:rPr>
            </w:pPr>
            <w:r w:rsidRPr="005B65D1">
              <w:rPr>
                <w:color w:val="auto"/>
                <w:sz w:val="12"/>
                <w:szCs w:val="12"/>
              </w:rPr>
              <w:t>534,26</w:t>
            </w:r>
          </w:p>
        </w:tc>
        <w:tc>
          <w:tcPr>
            <w:tcW w:w="772" w:type="dxa"/>
            <w:shd w:val="clear" w:color="auto" w:fill="C5E0B3"/>
          </w:tcPr>
          <w:p w14:paraId="4F764082" w14:textId="77777777" w:rsidR="005B65D1" w:rsidRPr="005B65D1" w:rsidRDefault="005B65D1">
            <w:pPr>
              <w:pStyle w:val="Tabele"/>
              <w:jc w:val="right"/>
              <w:rPr>
                <w:b/>
                <w:color w:val="auto"/>
                <w:sz w:val="12"/>
                <w:szCs w:val="12"/>
              </w:rPr>
            </w:pPr>
            <w:r w:rsidRPr="005B65D1">
              <w:rPr>
                <w:color w:val="auto"/>
                <w:sz w:val="12"/>
                <w:szCs w:val="12"/>
              </w:rPr>
              <w:t>532,84</w:t>
            </w:r>
          </w:p>
        </w:tc>
        <w:tc>
          <w:tcPr>
            <w:tcW w:w="773" w:type="dxa"/>
            <w:shd w:val="clear" w:color="auto" w:fill="C5E0B3"/>
          </w:tcPr>
          <w:p w14:paraId="0695A182" w14:textId="77777777" w:rsidR="005B65D1" w:rsidRPr="005B65D1" w:rsidRDefault="005B65D1">
            <w:pPr>
              <w:pStyle w:val="Tabele"/>
              <w:jc w:val="right"/>
              <w:rPr>
                <w:b/>
                <w:color w:val="auto"/>
                <w:sz w:val="12"/>
                <w:szCs w:val="12"/>
              </w:rPr>
            </w:pPr>
            <w:r w:rsidRPr="005B65D1">
              <w:rPr>
                <w:color w:val="auto"/>
                <w:sz w:val="12"/>
                <w:szCs w:val="12"/>
              </w:rPr>
              <w:t>543,23</w:t>
            </w:r>
          </w:p>
        </w:tc>
        <w:tc>
          <w:tcPr>
            <w:tcW w:w="772" w:type="dxa"/>
            <w:shd w:val="clear" w:color="auto" w:fill="C5E0B3"/>
          </w:tcPr>
          <w:p w14:paraId="3561A961" w14:textId="77777777" w:rsidR="005B65D1" w:rsidRPr="005B65D1" w:rsidRDefault="005B65D1">
            <w:pPr>
              <w:pStyle w:val="Tabele"/>
              <w:jc w:val="right"/>
              <w:rPr>
                <w:b/>
                <w:color w:val="auto"/>
                <w:sz w:val="12"/>
                <w:szCs w:val="12"/>
              </w:rPr>
            </w:pPr>
            <w:r w:rsidRPr="005B65D1">
              <w:rPr>
                <w:color w:val="auto"/>
                <w:sz w:val="12"/>
                <w:szCs w:val="12"/>
              </w:rPr>
              <w:t>578,64</w:t>
            </w:r>
          </w:p>
        </w:tc>
        <w:tc>
          <w:tcPr>
            <w:tcW w:w="773" w:type="dxa"/>
          </w:tcPr>
          <w:p w14:paraId="7EABCE11" w14:textId="77777777" w:rsidR="005B65D1" w:rsidRPr="005B65D1" w:rsidRDefault="005B65D1">
            <w:pPr>
              <w:pStyle w:val="Tabele"/>
              <w:jc w:val="right"/>
              <w:rPr>
                <w:b/>
                <w:bCs/>
                <w:color w:val="auto"/>
                <w:sz w:val="12"/>
                <w:szCs w:val="12"/>
                <w:highlight w:val="yellow"/>
              </w:rPr>
            </w:pPr>
            <w:r w:rsidRPr="005B65D1">
              <w:rPr>
                <w:color w:val="auto"/>
                <w:sz w:val="12"/>
                <w:szCs w:val="12"/>
              </w:rPr>
              <w:t>570,42</w:t>
            </w:r>
          </w:p>
        </w:tc>
        <w:tc>
          <w:tcPr>
            <w:tcW w:w="772" w:type="dxa"/>
          </w:tcPr>
          <w:p w14:paraId="200D6E98" w14:textId="77777777" w:rsidR="005B65D1" w:rsidRPr="005B65D1" w:rsidRDefault="005B65D1">
            <w:pPr>
              <w:pStyle w:val="Tabele"/>
              <w:jc w:val="right"/>
              <w:rPr>
                <w:b/>
                <w:bCs/>
                <w:color w:val="auto"/>
                <w:sz w:val="12"/>
                <w:szCs w:val="12"/>
                <w:highlight w:val="yellow"/>
              </w:rPr>
            </w:pPr>
            <w:r w:rsidRPr="005B65D1">
              <w:rPr>
                <w:color w:val="auto"/>
                <w:sz w:val="12"/>
                <w:szCs w:val="12"/>
              </w:rPr>
              <w:t>554,12</w:t>
            </w:r>
          </w:p>
        </w:tc>
        <w:tc>
          <w:tcPr>
            <w:tcW w:w="772" w:type="dxa"/>
          </w:tcPr>
          <w:p w14:paraId="3E587FFB" w14:textId="77777777" w:rsidR="005B65D1" w:rsidRPr="005B65D1" w:rsidRDefault="005B65D1">
            <w:pPr>
              <w:pStyle w:val="Tabele"/>
              <w:jc w:val="right"/>
              <w:rPr>
                <w:b/>
                <w:bCs/>
                <w:color w:val="auto"/>
                <w:sz w:val="12"/>
                <w:szCs w:val="12"/>
                <w:highlight w:val="yellow"/>
              </w:rPr>
            </w:pPr>
            <w:r w:rsidRPr="005B65D1">
              <w:rPr>
                <w:color w:val="auto"/>
                <w:sz w:val="12"/>
                <w:szCs w:val="12"/>
              </w:rPr>
              <w:t>547,94</w:t>
            </w:r>
          </w:p>
        </w:tc>
        <w:tc>
          <w:tcPr>
            <w:tcW w:w="773" w:type="dxa"/>
          </w:tcPr>
          <w:p w14:paraId="643293F4" w14:textId="77777777" w:rsidR="005B65D1" w:rsidRPr="005B65D1" w:rsidRDefault="005B65D1">
            <w:pPr>
              <w:pStyle w:val="Tabele"/>
              <w:jc w:val="right"/>
              <w:rPr>
                <w:b/>
                <w:bCs/>
                <w:color w:val="auto"/>
                <w:sz w:val="12"/>
                <w:szCs w:val="12"/>
                <w:highlight w:val="yellow"/>
              </w:rPr>
            </w:pPr>
            <w:r w:rsidRPr="005B65D1">
              <w:rPr>
                <w:color w:val="auto"/>
                <w:sz w:val="12"/>
                <w:szCs w:val="12"/>
              </w:rPr>
              <w:t>533,46</w:t>
            </w:r>
          </w:p>
        </w:tc>
      </w:tr>
      <w:tr w:rsidR="005B65D1" w:rsidRPr="00520300" w14:paraId="7F8C5891" w14:textId="77777777" w:rsidTr="00D562EA">
        <w:trPr>
          <w:gridAfter w:val="1"/>
          <w:wAfter w:w="8" w:type="dxa"/>
          <w:trHeight w:val="231"/>
        </w:trPr>
        <w:tc>
          <w:tcPr>
            <w:tcW w:w="1919" w:type="dxa"/>
          </w:tcPr>
          <w:p w14:paraId="047852B6" w14:textId="77777777" w:rsidR="005B65D1" w:rsidRPr="005B65D1" w:rsidRDefault="005B65D1">
            <w:pPr>
              <w:pStyle w:val="Tabele"/>
              <w:rPr>
                <w:b/>
                <w:color w:val="auto"/>
                <w:sz w:val="12"/>
                <w:szCs w:val="12"/>
              </w:rPr>
            </w:pPr>
            <w:r w:rsidRPr="005B65D1">
              <w:rPr>
                <w:rFonts w:cs="Calibri"/>
                <w:color w:val="auto"/>
                <w:sz w:val="12"/>
                <w:szCs w:val="12"/>
              </w:rPr>
              <w:t xml:space="preserve">A. Fermentacja jelitowa </w:t>
            </w:r>
          </w:p>
        </w:tc>
        <w:tc>
          <w:tcPr>
            <w:tcW w:w="821" w:type="dxa"/>
            <w:shd w:val="clear" w:color="auto" w:fill="C5E0B3"/>
          </w:tcPr>
          <w:p w14:paraId="1709D4A4" w14:textId="77777777" w:rsidR="005B65D1" w:rsidRPr="005B65D1" w:rsidRDefault="005B65D1">
            <w:pPr>
              <w:pStyle w:val="Tabele"/>
              <w:jc w:val="right"/>
              <w:rPr>
                <w:rFonts w:cs="Calibri"/>
                <w:color w:val="auto"/>
                <w:sz w:val="12"/>
                <w:szCs w:val="12"/>
              </w:rPr>
            </w:pPr>
            <w:r w:rsidRPr="005B65D1">
              <w:rPr>
                <w:color w:val="auto"/>
                <w:sz w:val="12"/>
                <w:szCs w:val="12"/>
              </w:rPr>
              <w:t>786,00</w:t>
            </w:r>
          </w:p>
        </w:tc>
        <w:tc>
          <w:tcPr>
            <w:tcW w:w="773" w:type="dxa"/>
            <w:shd w:val="clear" w:color="auto" w:fill="C5E0B3"/>
          </w:tcPr>
          <w:p w14:paraId="6F2F4B79" w14:textId="77777777" w:rsidR="005B65D1" w:rsidRPr="005B65D1" w:rsidRDefault="005B65D1">
            <w:pPr>
              <w:pStyle w:val="Tabele"/>
              <w:jc w:val="right"/>
              <w:rPr>
                <w:color w:val="auto"/>
                <w:sz w:val="12"/>
                <w:szCs w:val="12"/>
              </w:rPr>
            </w:pPr>
            <w:r w:rsidRPr="005B65D1">
              <w:rPr>
                <w:color w:val="auto"/>
                <w:sz w:val="12"/>
                <w:szCs w:val="12"/>
              </w:rPr>
              <w:t>460,56</w:t>
            </w:r>
          </w:p>
        </w:tc>
        <w:tc>
          <w:tcPr>
            <w:tcW w:w="772" w:type="dxa"/>
            <w:shd w:val="clear" w:color="auto" w:fill="C5E0B3"/>
          </w:tcPr>
          <w:p w14:paraId="046F5506" w14:textId="77777777" w:rsidR="005B65D1" w:rsidRPr="005B65D1" w:rsidRDefault="005B65D1">
            <w:pPr>
              <w:pStyle w:val="Tabele"/>
              <w:jc w:val="right"/>
              <w:rPr>
                <w:color w:val="auto"/>
                <w:sz w:val="12"/>
                <w:szCs w:val="12"/>
              </w:rPr>
            </w:pPr>
            <w:r w:rsidRPr="005B65D1">
              <w:rPr>
                <w:color w:val="auto"/>
                <w:sz w:val="12"/>
                <w:szCs w:val="12"/>
              </w:rPr>
              <w:t>473,53</w:t>
            </w:r>
          </w:p>
        </w:tc>
        <w:tc>
          <w:tcPr>
            <w:tcW w:w="773" w:type="dxa"/>
            <w:shd w:val="clear" w:color="auto" w:fill="C5E0B3"/>
          </w:tcPr>
          <w:p w14:paraId="3E1D8898" w14:textId="77777777" w:rsidR="005B65D1" w:rsidRPr="005B65D1" w:rsidRDefault="005B65D1">
            <w:pPr>
              <w:pStyle w:val="Tabele"/>
              <w:jc w:val="right"/>
              <w:rPr>
                <w:color w:val="auto"/>
                <w:sz w:val="12"/>
                <w:szCs w:val="12"/>
              </w:rPr>
            </w:pPr>
            <w:r w:rsidRPr="005B65D1">
              <w:rPr>
                <w:color w:val="auto"/>
                <w:sz w:val="12"/>
                <w:szCs w:val="12"/>
              </w:rPr>
              <w:t>486,72</w:t>
            </w:r>
          </w:p>
        </w:tc>
        <w:tc>
          <w:tcPr>
            <w:tcW w:w="772" w:type="dxa"/>
            <w:shd w:val="clear" w:color="auto" w:fill="C5E0B3"/>
          </w:tcPr>
          <w:p w14:paraId="0E0DF8A7" w14:textId="77777777" w:rsidR="005B65D1" w:rsidRPr="005B65D1" w:rsidRDefault="005B65D1">
            <w:pPr>
              <w:pStyle w:val="Tabele"/>
              <w:jc w:val="right"/>
              <w:rPr>
                <w:color w:val="auto"/>
                <w:sz w:val="12"/>
                <w:szCs w:val="12"/>
              </w:rPr>
            </w:pPr>
            <w:r w:rsidRPr="005B65D1">
              <w:rPr>
                <w:color w:val="auto"/>
                <w:sz w:val="12"/>
                <w:szCs w:val="12"/>
              </w:rPr>
              <w:t>516,33</w:t>
            </w:r>
          </w:p>
        </w:tc>
        <w:tc>
          <w:tcPr>
            <w:tcW w:w="773" w:type="dxa"/>
          </w:tcPr>
          <w:p w14:paraId="4908D271" w14:textId="77777777" w:rsidR="005B65D1" w:rsidRPr="005B65D1" w:rsidRDefault="005B65D1">
            <w:pPr>
              <w:pStyle w:val="Tabele"/>
              <w:jc w:val="right"/>
              <w:rPr>
                <w:b/>
                <w:bCs/>
                <w:color w:val="auto"/>
                <w:sz w:val="12"/>
                <w:szCs w:val="12"/>
                <w:highlight w:val="yellow"/>
              </w:rPr>
            </w:pPr>
            <w:r w:rsidRPr="005B65D1">
              <w:rPr>
                <w:color w:val="auto"/>
                <w:sz w:val="12"/>
                <w:szCs w:val="12"/>
              </w:rPr>
              <w:t>511,69</w:t>
            </w:r>
          </w:p>
        </w:tc>
        <w:tc>
          <w:tcPr>
            <w:tcW w:w="772" w:type="dxa"/>
          </w:tcPr>
          <w:p w14:paraId="727E2698" w14:textId="77777777" w:rsidR="005B65D1" w:rsidRPr="005B65D1" w:rsidRDefault="005B65D1">
            <w:pPr>
              <w:pStyle w:val="Tabele"/>
              <w:jc w:val="right"/>
              <w:rPr>
                <w:b/>
                <w:bCs/>
                <w:color w:val="auto"/>
                <w:sz w:val="12"/>
                <w:szCs w:val="12"/>
                <w:highlight w:val="yellow"/>
              </w:rPr>
            </w:pPr>
            <w:r w:rsidRPr="005B65D1">
              <w:rPr>
                <w:color w:val="auto"/>
                <w:sz w:val="12"/>
                <w:szCs w:val="12"/>
              </w:rPr>
              <w:t>497,93</w:t>
            </w:r>
          </w:p>
        </w:tc>
        <w:tc>
          <w:tcPr>
            <w:tcW w:w="772" w:type="dxa"/>
          </w:tcPr>
          <w:p w14:paraId="6C9B847C" w14:textId="77777777" w:rsidR="005B65D1" w:rsidRPr="005B65D1" w:rsidRDefault="005B65D1">
            <w:pPr>
              <w:pStyle w:val="Tabele"/>
              <w:jc w:val="right"/>
              <w:rPr>
                <w:b/>
                <w:bCs/>
                <w:color w:val="auto"/>
                <w:sz w:val="12"/>
                <w:szCs w:val="12"/>
                <w:highlight w:val="yellow"/>
              </w:rPr>
            </w:pPr>
            <w:r w:rsidRPr="005B65D1">
              <w:rPr>
                <w:color w:val="auto"/>
                <w:sz w:val="12"/>
                <w:szCs w:val="12"/>
              </w:rPr>
              <w:t>492,91</w:t>
            </w:r>
          </w:p>
        </w:tc>
        <w:tc>
          <w:tcPr>
            <w:tcW w:w="773" w:type="dxa"/>
          </w:tcPr>
          <w:p w14:paraId="25367F36" w14:textId="77777777" w:rsidR="005B65D1" w:rsidRPr="005B65D1" w:rsidRDefault="005B65D1">
            <w:pPr>
              <w:pStyle w:val="Tabele"/>
              <w:jc w:val="right"/>
              <w:rPr>
                <w:b/>
                <w:bCs/>
                <w:color w:val="auto"/>
                <w:sz w:val="12"/>
                <w:szCs w:val="12"/>
                <w:highlight w:val="yellow"/>
              </w:rPr>
            </w:pPr>
            <w:r w:rsidRPr="005B65D1">
              <w:rPr>
                <w:color w:val="auto"/>
                <w:sz w:val="12"/>
                <w:szCs w:val="12"/>
              </w:rPr>
              <w:t>480,33</w:t>
            </w:r>
          </w:p>
        </w:tc>
      </w:tr>
      <w:tr w:rsidR="005B65D1" w:rsidRPr="00520300" w14:paraId="62ABDCE7" w14:textId="77777777" w:rsidTr="00D562EA">
        <w:trPr>
          <w:gridAfter w:val="1"/>
          <w:wAfter w:w="8" w:type="dxa"/>
          <w:trHeight w:val="231"/>
        </w:trPr>
        <w:tc>
          <w:tcPr>
            <w:tcW w:w="1919" w:type="dxa"/>
          </w:tcPr>
          <w:p w14:paraId="462EB0B5" w14:textId="77777777" w:rsidR="005B65D1" w:rsidRPr="005B65D1" w:rsidRDefault="005B65D1">
            <w:pPr>
              <w:pStyle w:val="Tabele"/>
              <w:rPr>
                <w:b/>
                <w:color w:val="auto"/>
                <w:sz w:val="12"/>
                <w:szCs w:val="12"/>
              </w:rPr>
            </w:pPr>
            <w:r w:rsidRPr="005B65D1">
              <w:rPr>
                <w:rFonts w:cs="Calibri"/>
                <w:color w:val="auto"/>
                <w:sz w:val="12"/>
                <w:szCs w:val="12"/>
              </w:rPr>
              <w:t xml:space="preserve">B. Odchody zwierzęce </w:t>
            </w:r>
          </w:p>
        </w:tc>
        <w:tc>
          <w:tcPr>
            <w:tcW w:w="821" w:type="dxa"/>
            <w:shd w:val="clear" w:color="auto" w:fill="C5E0B3"/>
          </w:tcPr>
          <w:p w14:paraId="083DD750" w14:textId="77777777" w:rsidR="005B65D1" w:rsidRPr="005B65D1" w:rsidRDefault="005B65D1">
            <w:pPr>
              <w:pStyle w:val="Tabele"/>
              <w:jc w:val="right"/>
              <w:rPr>
                <w:rFonts w:cs="Calibri"/>
                <w:color w:val="auto"/>
                <w:sz w:val="12"/>
                <w:szCs w:val="12"/>
              </w:rPr>
            </w:pPr>
            <w:r w:rsidRPr="005B65D1">
              <w:rPr>
                <w:color w:val="auto"/>
                <w:sz w:val="12"/>
                <w:szCs w:val="12"/>
              </w:rPr>
              <w:t>83,50</w:t>
            </w:r>
          </w:p>
        </w:tc>
        <w:tc>
          <w:tcPr>
            <w:tcW w:w="773" w:type="dxa"/>
            <w:shd w:val="clear" w:color="auto" w:fill="C5E0B3"/>
          </w:tcPr>
          <w:p w14:paraId="4779DD72" w14:textId="77777777" w:rsidR="005B65D1" w:rsidRPr="005B65D1" w:rsidRDefault="005B65D1">
            <w:pPr>
              <w:pStyle w:val="Tabele"/>
              <w:jc w:val="right"/>
              <w:rPr>
                <w:color w:val="auto"/>
                <w:sz w:val="12"/>
                <w:szCs w:val="12"/>
              </w:rPr>
            </w:pPr>
            <w:r w:rsidRPr="005B65D1">
              <w:rPr>
                <w:color w:val="auto"/>
                <w:sz w:val="12"/>
                <w:szCs w:val="12"/>
              </w:rPr>
              <w:t>72,93</w:t>
            </w:r>
          </w:p>
        </w:tc>
        <w:tc>
          <w:tcPr>
            <w:tcW w:w="772" w:type="dxa"/>
            <w:shd w:val="clear" w:color="auto" w:fill="C5E0B3"/>
          </w:tcPr>
          <w:p w14:paraId="29313FE6" w14:textId="77777777" w:rsidR="005B65D1" w:rsidRPr="005B65D1" w:rsidRDefault="005B65D1">
            <w:pPr>
              <w:pStyle w:val="Tabele"/>
              <w:jc w:val="right"/>
              <w:rPr>
                <w:color w:val="auto"/>
                <w:sz w:val="12"/>
                <w:szCs w:val="12"/>
              </w:rPr>
            </w:pPr>
            <w:r w:rsidRPr="005B65D1">
              <w:rPr>
                <w:color w:val="auto"/>
                <w:sz w:val="12"/>
                <w:szCs w:val="12"/>
              </w:rPr>
              <w:t>58,47</w:t>
            </w:r>
          </w:p>
        </w:tc>
        <w:tc>
          <w:tcPr>
            <w:tcW w:w="773" w:type="dxa"/>
            <w:shd w:val="clear" w:color="auto" w:fill="C5E0B3"/>
          </w:tcPr>
          <w:p w14:paraId="616D1A18" w14:textId="77777777" w:rsidR="005B65D1" w:rsidRPr="005B65D1" w:rsidRDefault="005B65D1">
            <w:pPr>
              <w:pStyle w:val="Tabele"/>
              <w:jc w:val="right"/>
              <w:rPr>
                <w:color w:val="auto"/>
                <w:sz w:val="12"/>
                <w:szCs w:val="12"/>
              </w:rPr>
            </w:pPr>
            <w:r w:rsidRPr="005B65D1">
              <w:rPr>
                <w:color w:val="auto"/>
                <w:sz w:val="12"/>
                <w:szCs w:val="12"/>
              </w:rPr>
              <w:t>55,56</w:t>
            </w:r>
          </w:p>
        </w:tc>
        <w:tc>
          <w:tcPr>
            <w:tcW w:w="772" w:type="dxa"/>
            <w:shd w:val="clear" w:color="auto" w:fill="C5E0B3"/>
          </w:tcPr>
          <w:p w14:paraId="318EE5C2" w14:textId="77777777" w:rsidR="005B65D1" w:rsidRPr="005B65D1" w:rsidRDefault="005B65D1">
            <w:pPr>
              <w:pStyle w:val="Tabele"/>
              <w:jc w:val="right"/>
              <w:rPr>
                <w:color w:val="auto"/>
                <w:sz w:val="12"/>
                <w:szCs w:val="12"/>
              </w:rPr>
            </w:pPr>
            <w:r w:rsidRPr="005B65D1">
              <w:rPr>
                <w:color w:val="auto"/>
                <w:sz w:val="12"/>
                <w:szCs w:val="12"/>
              </w:rPr>
              <w:t>61,22</w:t>
            </w:r>
          </w:p>
        </w:tc>
        <w:tc>
          <w:tcPr>
            <w:tcW w:w="773" w:type="dxa"/>
          </w:tcPr>
          <w:p w14:paraId="5211118D" w14:textId="77777777" w:rsidR="005B65D1" w:rsidRPr="005B65D1" w:rsidRDefault="005B65D1">
            <w:pPr>
              <w:pStyle w:val="Tabele"/>
              <w:jc w:val="right"/>
              <w:rPr>
                <w:b/>
                <w:bCs/>
                <w:color w:val="auto"/>
                <w:sz w:val="12"/>
                <w:szCs w:val="12"/>
                <w:highlight w:val="yellow"/>
              </w:rPr>
            </w:pPr>
            <w:r w:rsidRPr="005B65D1">
              <w:rPr>
                <w:color w:val="auto"/>
                <w:sz w:val="12"/>
                <w:szCs w:val="12"/>
              </w:rPr>
              <w:t>57,60</w:t>
            </w:r>
          </w:p>
        </w:tc>
        <w:tc>
          <w:tcPr>
            <w:tcW w:w="772" w:type="dxa"/>
          </w:tcPr>
          <w:p w14:paraId="73DB3266" w14:textId="77777777" w:rsidR="005B65D1" w:rsidRPr="005B65D1" w:rsidRDefault="005B65D1">
            <w:pPr>
              <w:pStyle w:val="Tabele"/>
              <w:jc w:val="right"/>
              <w:rPr>
                <w:b/>
                <w:bCs/>
                <w:color w:val="auto"/>
                <w:sz w:val="12"/>
                <w:szCs w:val="12"/>
                <w:highlight w:val="yellow"/>
              </w:rPr>
            </w:pPr>
            <w:r w:rsidRPr="005B65D1">
              <w:rPr>
                <w:color w:val="auto"/>
                <w:sz w:val="12"/>
                <w:szCs w:val="12"/>
              </w:rPr>
              <w:t>55,14</w:t>
            </w:r>
          </w:p>
        </w:tc>
        <w:tc>
          <w:tcPr>
            <w:tcW w:w="772" w:type="dxa"/>
          </w:tcPr>
          <w:p w14:paraId="3B296DA3" w14:textId="77777777" w:rsidR="005B65D1" w:rsidRPr="005B65D1" w:rsidRDefault="005B65D1">
            <w:pPr>
              <w:pStyle w:val="Tabele"/>
              <w:jc w:val="right"/>
              <w:rPr>
                <w:b/>
                <w:bCs/>
                <w:color w:val="auto"/>
                <w:sz w:val="12"/>
                <w:szCs w:val="12"/>
                <w:highlight w:val="yellow"/>
              </w:rPr>
            </w:pPr>
            <w:r w:rsidRPr="005B65D1">
              <w:rPr>
                <w:color w:val="auto"/>
                <w:sz w:val="12"/>
                <w:szCs w:val="12"/>
              </w:rPr>
              <w:t>54,00</w:t>
            </w:r>
          </w:p>
        </w:tc>
        <w:tc>
          <w:tcPr>
            <w:tcW w:w="773" w:type="dxa"/>
          </w:tcPr>
          <w:p w14:paraId="3F5FE659" w14:textId="77777777" w:rsidR="005B65D1" w:rsidRPr="005B65D1" w:rsidRDefault="005B65D1">
            <w:pPr>
              <w:pStyle w:val="Tabele"/>
              <w:jc w:val="right"/>
              <w:rPr>
                <w:b/>
                <w:bCs/>
                <w:color w:val="auto"/>
                <w:sz w:val="12"/>
                <w:szCs w:val="12"/>
                <w:highlight w:val="yellow"/>
              </w:rPr>
            </w:pPr>
            <w:r w:rsidRPr="005B65D1">
              <w:rPr>
                <w:color w:val="auto"/>
                <w:sz w:val="12"/>
                <w:szCs w:val="12"/>
              </w:rPr>
              <w:t>52,12</w:t>
            </w:r>
          </w:p>
        </w:tc>
      </w:tr>
      <w:tr w:rsidR="005B65D1" w:rsidRPr="00520300" w14:paraId="49CEA37C" w14:textId="77777777" w:rsidTr="00D562EA">
        <w:trPr>
          <w:gridAfter w:val="1"/>
          <w:wAfter w:w="8" w:type="dxa"/>
          <w:trHeight w:val="231"/>
        </w:trPr>
        <w:tc>
          <w:tcPr>
            <w:tcW w:w="1919" w:type="dxa"/>
          </w:tcPr>
          <w:p w14:paraId="7646871F" w14:textId="77777777" w:rsidR="005B65D1" w:rsidRPr="005B65D1" w:rsidRDefault="005B65D1">
            <w:pPr>
              <w:pStyle w:val="Tabele"/>
              <w:rPr>
                <w:b/>
                <w:color w:val="auto"/>
                <w:sz w:val="12"/>
                <w:szCs w:val="12"/>
              </w:rPr>
            </w:pPr>
            <w:r w:rsidRPr="005B65D1">
              <w:rPr>
                <w:rFonts w:cs="Calibri"/>
                <w:color w:val="auto"/>
                <w:sz w:val="12"/>
                <w:szCs w:val="12"/>
              </w:rPr>
              <w:t xml:space="preserve">F. Spalanie odpadów roślinnych </w:t>
            </w:r>
          </w:p>
        </w:tc>
        <w:tc>
          <w:tcPr>
            <w:tcW w:w="821" w:type="dxa"/>
            <w:shd w:val="clear" w:color="auto" w:fill="C5E0B3"/>
          </w:tcPr>
          <w:p w14:paraId="0ABAABBF" w14:textId="77777777" w:rsidR="005B65D1" w:rsidRPr="005B65D1" w:rsidRDefault="005B65D1">
            <w:pPr>
              <w:pStyle w:val="Tabele"/>
              <w:jc w:val="right"/>
              <w:rPr>
                <w:rFonts w:cs="Calibri"/>
                <w:color w:val="auto"/>
                <w:sz w:val="12"/>
                <w:szCs w:val="12"/>
              </w:rPr>
            </w:pPr>
            <w:r w:rsidRPr="005B65D1">
              <w:rPr>
                <w:color w:val="auto"/>
                <w:sz w:val="12"/>
                <w:szCs w:val="12"/>
              </w:rPr>
              <w:t>0,80</w:t>
            </w:r>
          </w:p>
        </w:tc>
        <w:tc>
          <w:tcPr>
            <w:tcW w:w="773" w:type="dxa"/>
            <w:shd w:val="clear" w:color="auto" w:fill="C5E0B3"/>
          </w:tcPr>
          <w:p w14:paraId="365B7F0D" w14:textId="77777777" w:rsidR="005B65D1" w:rsidRPr="005B65D1" w:rsidRDefault="005B65D1">
            <w:pPr>
              <w:pStyle w:val="Tabele"/>
              <w:jc w:val="right"/>
              <w:rPr>
                <w:color w:val="auto"/>
                <w:sz w:val="12"/>
                <w:szCs w:val="12"/>
              </w:rPr>
            </w:pPr>
            <w:r w:rsidRPr="005B65D1">
              <w:rPr>
                <w:color w:val="auto"/>
                <w:sz w:val="12"/>
                <w:szCs w:val="12"/>
              </w:rPr>
              <w:t>0,77</w:t>
            </w:r>
          </w:p>
        </w:tc>
        <w:tc>
          <w:tcPr>
            <w:tcW w:w="772" w:type="dxa"/>
            <w:shd w:val="clear" w:color="auto" w:fill="C5E0B3"/>
          </w:tcPr>
          <w:p w14:paraId="6F25E631" w14:textId="77777777" w:rsidR="005B65D1" w:rsidRPr="005B65D1" w:rsidRDefault="005B65D1">
            <w:pPr>
              <w:pStyle w:val="Tabele"/>
              <w:jc w:val="right"/>
              <w:rPr>
                <w:color w:val="auto"/>
                <w:sz w:val="12"/>
                <w:szCs w:val="12"/>
              </w:rPr>
            </w:pPr>
            <w:r w:rsidRPr="005B65D1">
              <w:rPr>
                <w:color w:val="auto"/>
                <w:sz w:val="12"/>
                <w:szCs w:val="12"/>
              </w:rPr>
              <w:t>0,85</w:t>
            </w:r>
          </w:p>
        </w:tc>
        <w:tc>
          <w:tcPr>
            <w:tcW w:w="773" w:type="dxa"/>
            <w:shd w:val="clear" w:color="auto" w:fill="C5E0B3"/>
          </w:tcPr>
          <w:p w14:paraId="1BFCE927" w14:textId="77777777" w:rsidR="005B65D1" w:rsidRPr="005B65D1" w:rsidRDefault="005B65D1">
            <w:pPr>
              <w:pStyle w:val="Tabele"/>
              <w:jc w:val="right"/>
              <w:rPr>
                <w:color w:val="auto"/>
                <w:sz w:val="12"/>
                <w:szCs w:val="12"/>
              </w:rPr>
            </w:pPr>
            <w:r w:rsidRPr="005B65D1">
              <w:rPr>
                <w:color w:val="auto"/>
                <w:sz w:val="12"/>
                <w:szCs w:val="12"/>
              </w:rPr>
              <w:t>0,95</w:t>
            </w:r>
          </w:p>
        </w:tc>
        <w:tc>
          <w:tcPr>
            <w:tcW w:w="772" w:type="dxa"/>
            <w:shd w:val="clear" w:color="auto" w:fill="C5E0B3"/>
          </w:tcPr>
          <w:p w14:paraId="508940AD" w14:textId="77777777" w:rsidR="005B65D1" w:rsidRPr="005B65D1" w:rsidRDefault="005B65D1">
            <w:pPr>
              <w:pStyle w:val="Tabele"/>
              <w:jc w:val="right"/>
              <w:rPr>
                <w:color w:val="auto"/>
                <w:sz w:val="12"/>
                <w:szCs w:val="12"/>
              </w:rPr>
            </w:pPr>
            <w:r w:rsidRPr="005B65D1">
              <w:rPr>
                <w:color w:val="auto"/>
                <w:sz w:val="12"/>
                <w:szCs w:val="12"/>
              </w:rPr>
              <w:t>1,10</w:t>
            </w:r>
          </w:p>
        </w:tc>
        <w:tc>
          <w:tcPr>
            <w:tcW w:w="773" w:type="dxa"/>
          </w:tcPr>
          <w:p w14:paraId="3C831FF0" w14:textId="77777777" w:rsidR="005B65D1" w:rsidRPr="005B65D1" w:rsidRDefault="005B65D1">
            <w:pPr>
              <w:pStyle w:val="Tabele"/>
              <w:jc w:val="right"/>
              <w:rPr>
                <w:b/>
                <w:bCs/>
                <w:color w:val="auto"/>
                <w:sz w:val="12"/>
                <w:szCs w:val="12"/>
                <w:highlight w:val="yellow"/>
              </w:rPr>
            </w:pPr>
            <w:r w:rsidRPr="005B65D1">
              <w:rPr>
                <w:color w:val="auto"/>
                <w:sz w:val="12"/>
                <w:szCs w:val="12"/>
              </w:rPr>
              <w:t>1,13</w:t>
            </w:r>
          </w:p>
        </w:tc>
        <w:tc>
          <w:tcPr>
            <w:tcW w:w="772" w:type="dxa"/>
          </w:tcPr>
          <w:p w14:paraId="0D6D1408" w14:textId="77777777" w:rsidR="005B65D1" w:rsidRPr="005B65D1" w:rsidRDefault="005B65D1">
            <w:pPr>
              <w:pStyle w:val="Tabele"/>
              <w:jc w:val="right"/>
              <w:rPr>
                <w:b/>
                <w:bCs/>
                <w:color w:val="auto"/>
                <w:sz w:val="12"/>
                <w:szCs w:val="12"/>
                <w:highlight w:val="yellow"/>
              </w:rPr>
            </w:pPr>
            <w:r w:rsidRPr="005B65D1">
              <w:rPr>
                <w:color w:val="auto"/>
                <w:sz w:val="12"/>
                <w:szCs w:val="12"/>
              </w:rPr>
              <w:t>1,05</w:t>
            </w:r>
          </w:p>
        </w:tc>
        <w:tc>
          <w:tcPr>
            <w:tcW w:w="772" w:type="dxa"/>
          </w:tcPr>
          <w:p w14:paraId="2CA62237" w14:textId="77777777" w:rsidR="005B65D1" w:rsidRPr="005B65D1" w:rsidRDefault="005B65D1">
            <w:pPr>
              <w:pStyle w:val="Tabele"/>
              <w:jc w:val="right"/>
              <w:rPr>
                <w:b/>
                <w:bCs/>
                <w:color w:val="auto"/>
                <w:sz w:val="12"/>
                <w:szCs w:val="12"/>
                <w:highlight w:val="yellow"/>
              </w:rPr>
            </w:pPr>
            <w:r w:rsidRPr="005B65D1">
              <w:rPr>
                <w:color w:val="auto"/>
                <w:sz w:val="12"/>
                <w:szCs w:val="12"/>
              </w:rPr>
              <w:t>1,03</w:t>
            </w:r>
          </w:p>
        </w:tc>
        <w:tc>
          <w:tcPr>
            <w:tcW w:w="773" w:type="dxa"/>
          </w:tcPr>
          <w:p w14:paraId="7C7B715E" w14:textId="77777777" w:rsidR="005B65D1" w:rsidRPr="005B65D1" w:rsidRDefault="005B65D1">
            <w:pPr>
              <w:pStyle w:val="Tabele"/>
              <w:jc w:val="right"/>
              <w:rPr>
                <w:b/>
                <w:bCs/>
                <w:color w:val="auto"/>
                <w:sz w:val="12"/>
                <w:szCs w:val="12"/>
                <w:highlight w:val="yellow"/>
              </w:rPr>
            </w:pPr>
            <w:r w:rsidRPr="005B65D1">
              <w:rPr>
                <w:color w:val="auto"/>
                <w:sz w:val="12"/>
                <w:szCs w:val="12"/>
              </w:rPr>
              <w:t>1,00</w:t>
            </w:r>
          </w:p>
        </w:tc>
      </w:tr>
      <w:tr w:rsidR="005B65D1" w:rsidRPr="00520300" w14:paraId="143C21CE" w14:textId="77777777" w:rsidTr="00D562EA">
        <w:trPr>
          <w:gridAfter w:val="1"/>
          <w:wAfter w:w="8" w:type="dxa"/>
          <w:trHeight w:val="231"/>
        </w:trPr>
        <w:tc>
          <w:tcPr>
            <w:tcW w:w="1919" w:type="dxa"/>
          </w:tcPr>
          <w:p w14:paraId="1762ACEF" w14:textId="77777777" w:rsidR="005B65D1" w:rsidRPr="005B65D1" w:rsidRDefault="005B65D1">
            <w:pPr>
              <w:pStyle w:val="Tabele"/>
              <w:rPr>
                <w:color w:val="auto"/>
                <w:sz w:val="12"/>
                <w:szCs w:val="12"/>
              </w:rPr>
            </w:pPr>
            <w:r w:rsidRPr="005B65D1">
              <w:rPr>
                <w:rFonts w:cs="Calibri"/>
                <w:b/>
                <w:bCs/>
                <w:color w:val="auto"/>
                <w:sz w:val="12"/>
                <w:szCs w:val="12"/>
              </w:rPr>
              <w:t xml:space="preserve">4. Użytkowanie gruntów, zmiany użytkowania gruntów i leśnictwo (LULUCF) </w:t>
            </w:r>
          </w:p>
        </w:tc>
        <w:tc>
          <w:tcPr>
            <w:tcW w:w="821" w:type="dxa"/>
            <w:shd w:val="clear" w:color="auto" w:fill="C5E0B3"/>
          </w:tcPr>
          <w:p w14:paraId="3F90FAFB" w14:textId="77777777" w:rsidR="005B65D1" w:rsidRPr="005B65D1" w:rsidRDefault="005B65D1">
            <w:pPr>
              <w:pStyle w:val="Tabele"/>
              <w:jc w:val="right"/>
              <w:rPr>
                <w:rFonts w:cs="Calibri"/>
                <w:b/>
                <w:bCs/>
                <w:color w:val="auto"/>
                <w:sz w:val="12"/>
                <w:szCs w:val="12"/>
              </w:rPr>
            </w:pPr>
            <w:r w:rsidRPr="005B65D1">
              <w:rPr>
                <w:b/>
                <w:color w:val="auto"/>
                <w:sz w:val="12"/>
                <w:szCs w:val="12"/>
              </w:rPr>
              <w:t>1,97</w:t>
            </w:r>
          </w:p>
        </w:tc>
        <w:tc>
          <w:tcPr>
            <w:tcW w:w="773" w:type="dxa"/>
            <w:shd w:val="clear" w:color="auto" w:fill="C5E0B3"/>
          </w:tcPr>
          <w:p w14:paraId="37F944D4" w14:textId="77777777" w:rsidR="005B65D1" w:rsidRPr="005B65D1" w:rsidRDefault="005B65D1">
            <w:pPr>
              <w:pStyle w:val="Tabele"/>
              <w:jc w:val="right"/>
              <w:rPr>
                <w:b/>
                <w:color w:val="auto"/>
                <w:sz w:val="12"/>
                <w:szCs w:val="12"/>
              </w:rPr>
            </w:pPr>
            <w:r w:rsidRPr="005B65D1">
              <w:rPr>
                <w:b/>
                <w:color w:val="auto"/>
                <w:sz w:val="12"/>
                <w:szCs w:val="12"/>
              </w:rPr>
              <w:t>1,33</w:t>
            </w:r>
          </w:p>
        </w:tc>
        <w:tc>
          <w:tcPr>
            <w:tcW w:w="772" w:type="dxa"/>
            <w:shd w:val="clear" w:color="auto" w:fill="C5E0B3"/>
          </w:tcPr>
          <w:p w14:paraId="70D24417" w14:textId="77777777" w:rsidR="005B65D1" w:rsidRPr="005B65D1" w:rsidRDefault="005B65D1">
            <w:pPr>
              <w:pStyle w:val="Tabele"/>
              <w:jc w:val="right"/>
              <w:rPr>
                <w:b/>
                <w:color w:val="auto"/>
                <w:sz w:val="12"/>
                <w:szCs w:val="12"/>
              </w:rPr>
            </w:pPr>
            <w:r w:rsidRPr="005B65D1">
              <w:rPr>
                <w:b/>
                <w:color w:val="auto"/>
                <w:sz w:val="12"/>
                <w:szCs w:val="12"/>
              </w:rPr>
              <w:t>0,51</w:t>
            </w:r>
          </w:p>
        </w:tc>
        <w:tc>
          <w:tcPr>
            <w:tcW w:w="773" w:type="dxa"/>
            <w:shd w:val="clear" w:color="auto" w:fill="C5E0B3"/>
          </w:tcPr>
          <w:p w14:paraId="4D8B26B5" w14:textId="77777777" w:rsidR="005B65D1" w:rsidRPr="005B65D1" w:rsidRDefault="005B65D1">
            <w:pPr>
              <w:pStyle w:val="Tabele"/>
              <w:jc w:val="right"/>
              <w:rPr>
                <w:b/>
                <w:color w:val="auto"/>
                <w:sz w:val="12"/>
                <w:szCs w:val="12"/>
              </w:rPr>
            </w:pPr>
            <w:r w:rsidRPr="005B65D1">
              <w:rPr>
                <w:b/>
                <w:color w:val="auto"/>
                <w:sz w:val="12"/>
                <w:szCs w:val="12"/>
              </w:rPr>
              <w:t>1,35</w:t>
            </w:r>
          </w:p>
        </w:tc>
        <w:tc>
          <w:tcPr>
            <w:tcW w:w="772" w:type="dxa"/>
            <w:shd w:val="clear" w:color="auto" w:fill="C5E0B3"/>
          </w:tcPr>
          <w:p w14:paraId="6E58CD6F" w14:textId="77777777" w:rsidR="005B65D1" w:rsidRPr="005B65D1" w:rsidRDefault="005B65D1">
            <w:pPr>
              <w:pStyle w:val="Tabele"/>
              <w:jc w:val="right"/>
              <w:rPr>
                <w:b/>
                <w:color w:val="auto"/>
                <w:sz w:val="12"/>
                <w:szCs w:val="12"/>
              </w:rPr>
            </w:pPr>
            <w:r w:rsidRPr="005B65D1">
              <w:rPr>
                <w:b/>
                <w:color w:val="auto"/>
                <w:sz w:val="12"/>
                <w:szCs w:val="12"/>
              </w:rPr>
              <w:t>2,11</w:t>
            </w:r>
          </w:p>
        </w:tc>
        <w:tc>
          <w:tcPr>
            <w:tcW w:w="773" w:type="dxa"/>
          </w:tcPr>
          <w:p w14:paraId="5FCE19CD" w14:textId="77777777" w:rsidR="005B65D1" w:rsidRPr="005B65D1" w:rsidRDefault="005B65D1">
            <w:pPr>
              <w:pStyle w:val="Tabele"/>
              <w:jc w:val="right"/>
              <w:rPr>
                <w:b/>
                <w:bCs/>
                <w:color w:val="auto"/>
                <w:sz w:val="12"/>
                <w:szCs w:val="12"/>
                <w:highlight w:val="yellow"/>
              </w:rPr>
            </w:pPr>
            <w:r w:rsidRPr="005B65D1">
              <w:rPr>
                <w:b/>
                <w:color w:val="auto"/>
                <w:sz w:val="12"/>
                <w:szCs w:val="12"/>
              </w:rPr>
              <w:t>0,86</w:t>
            </w:r>
          </w:p>
        </w:tc>
        <w:tc>
          <w:tcPr>
            <w:tcW w:w="772" w:type="dxa"/>
          </w:tcPr>
          <w:p w14:paraId="00C0BEB2" w14:textId="77777777" w:rsidR="005B65D1" w:rsidRPr="005B65D1" w:rsidRDefault="005B65D1">
            <w:pPr>
              <w:pStyle w:val="Tabele"/>
              <w:jc w:val="right"/>
              <w:rPr>
                <w:b/>
                <w:bCs/>
                <w:color w:val="auto"/>
                <w:sz w:val="12"/>
                <w:szCs w:val="12"/>
                <w:highlight w:val="yellow"/>
              </w:rPr>
            </w:pPr>
            <w:r w:rsidRPr="005B65D1">
              <w:rPr>
                <w:b/>
                <w:color w:val="auto"/>
                <w:sz w:val="12"/>
                <w:szCs w:val="12"/>
              </w:rPr>
              <w:t>0,94</w:t>
            </w:r>
          </w:p>
        </w:tc>
        <w:tc>
          <w:tcPr>
            <w:tcW w:w="772" w:type="dxa"/>
          </w:tcPr>
          <w:p w14:paraId="7D605162" w14:textId="77777777" w:rsidR="005B65D1" w:rsidRPr="005B65D1" w:rsidRDefault="005B65D1">
            <w:pPr>
              <w:pStyle w:val="Tabele"/>
              <w:jc w:val="right"/>
              <w:rPr>
                <w:b/>
                <w:bCs/>
                <w:color w:val="auto"/>
                <w:sz w:val="12"/>
                <w:szCs w:val="12"/>
                <w:highlight w:val="yellow"/>
              </w:rPr>
            </w:pPr>
            <w:r w:rsidRPr="005B65D1">
              <w:rPr>
                <w:b/>
                <w:color w:val="auto"/>
                <w:sz w:val="12"/>
                <w:szCs w:val="12"/>
              </w:rPr>
              <w:t>0,94</w:t>
            </w:r>
          </w:p>
        </w:tc>
        <w:tc>
          <w:tcPr>
            <w:tcW w:w="773" w:type="dxa"/>
          </w:tcPr>
          <w:p w14:paraId="731F0892" w14:textId="77777777" w:rsidR="005B65D1" w:rsidRPr="005B65D1" w:rsidRDefault="005B65D1">
            <w:pPr>
              <w:pStyle w:val="Tabele"/>
              <w:jc w:val="right"/>
              <w:rPr>
                <w:b/>
                <w:bCs/>
                <w:color w:val="auto"/>
                <w:sz w:val="12"/>
                <w:szCs w:val="12"/>
                <w:highlight w:val="yellow"/>
              </w:rPr>
            </w:pPr>
            <w:r w:rsidRPr="005B65D1">
              <w:rPr>
                <w:b/>
                <w:color w:val="auto"/>
                <w:sz w:val="12"/>
                <w:szCs w:val="12"/>
              </w:rPr>
              <w:t>0,94</w:t>
            </w:r>
          </w:p>
        </w:tc>
      </w:tr>
      <w:tr w:rsidR="005B65D1" w:rsidRPr="00520300" w14:paraId="32DE6B63" w14:textId="77777777" w:rsidTr="00D562EA">
        <w:trPr>
          <w:gridAfter w:val="1"/>
          <w:wAfter w:w="8" w:type="dxa"/>
          <w:trHeight w:val="231"/>
        </w:trPr>
        <w:tc>
          <w:tcPr>
            <w:tcW w:w="1919" w:type="dxa"/>
          </w:tcPr>
          <w:p w14:paraId="61E98891" w14:textId="77777777" w:rsidR="005B65D1" w:rsidRPr="005B65D1" w:rsidRDefault="005B65D1">
            <w:pPr>
              <w:pStyle w:val="Tabele"/>
              <w:rPr>
                <w:color w:val="auto"/>
                <w:sz w:val="12"/>
                <w:szCs w:val="12"/>
              </w:rPr>
            </w:pPr>
            <w:r w:rsidRPr="005B65D1">
              <w:rPr>
                <w:rFonts w:cs="Calibri"/>
                <w:b/>
                <w:bCs/>
                <w:color w:val="auto"/>
                <w:sz w:val="12"/>
                <w:szCs w:val="12"/>
              </w:rPr>
              <w:t xml:space="preserve">5. Odpady </w:t>
            </w:r>
          </w:p>
        </w:tc>
        <w:tc>
          <w:tcPr>
            <w:tcW w:w="821" w:type="dxa"/>
            <w:shd w:val="clear" w:color="auto" w:fill="C5E0B3"/>
          </w:tcPr>
          <w:p w14:paraId="57290D5F" w14:textId="77777777" w:rsidR="005B65D1" w:rsidRPr="005B65D1" w:rsidRDefault="005B65D1">
            <w:pPr>
              <w:pStyle w:val="Tabele"/>
              <w:jc w:val="right"/>
              <w:rPr>
                <w:rFonts w:cs="Calibri"/>
                <w:b/>
                <w:bCs/>
                <w:color w:val="auto"/>
                <w:sz w:val="12"/>
                <w:szCs w:val="12"/>
              </w:rPr>
            </w:pPr>
            <w:r w:rsidRPr="005B65D1">
              <w:rPr>
                <w:b/>
                <w:color w:val="auto"/>
                <w:sz w:val="12"/>
                <w:szCs w:val="12"/>
              </w:rPr>
              <w:t>644,86</w:t>
            </w:r>
          </w:p>
        </w:tc>
        <w:tc>
          <w:tcPr>
            <w:tcW w:w="773" w:type="dxa"/>
            <w:shd w:val="clear" w:color="auto" w:fill="C5E0B3"/>
          </w:tcPr>
          <w:p w14:paraId="5CF2E886" w14:textId="77777777" w:rsidR="005B65D1" w:rsidRPr="005B65D1" w:rsidRDefault="005B65D1">
            <w:pPr>
              <w:pStyle w:val="Tabele"/>
              <w:jc w:val="right"/>
              <w:rPr>
                <w:b/>
                <w:color w:val="auto"/>
                <w:sz w:val="12"/>
                <w:szCs w:val="12"/>
              </w:rPr>
            </w:pPr>
            <w:r w:rsidRPr="005B65D1">
              <w:rPr>
                <w:b/>
                <w:color w:val="auto"/>
                <w:sz w:val="12"/>
                <w:szCs w:val="12"/>
              </w:rPr>
              <w:t>384,72</w:t>
            </w:r>
          </w:p>
        </w:tc>
        <w:tc>
          <w:tcPr>
            <w:tcW w:w="772" w:type="dxa"/>
            <w:shd w:val="clear" w:color="auto" w:fill="C5E0B3"/>
          </w:tcPr>
          <w:p w14:paraId="6DCF55E9" w14:textId="77777777" w:rsidR="005B65D1" w:rsidRPr="005B65D1" w:rsidRDefault="005B65D1">
            <w:pPr>
              <w:pStyle w:val="Tabele"/>
              <w:jc w:val="right"/>
              <w:rPr>
                <w:b/>
                <w:color w:val="auto"/>
                <w:sz w:val="12"/>
                <w:szCs w:val="12"/>
              </w:rPr>
            </w:pPr>
            <w:r w:rsidRPr="005B65D1">
              <w:rPr>
                <w:b/>
                <w:color w:val="auto"/>
                <w:sz w:val="12"/>
                <w:szCs w:val="12"/>
              </w:rPr>
              <w:t>243,24</w:t>
            </w:r>
          </w:p>
        </w:tc>
        <w:tc>
          <w:tcPr>
            <w:tcW w:w="773" w:type="dxa"/>
            <w:shd w:val="clear" w:color="auto" w:fill="C5E0B3"/>
          </w:tcPr>
          <w:p w14:paraId="461FC7CD" w14:textId="77777777" w:rsidR="005B65D1" w:rsidRPr="005B65D1" w:rsidRDefault="005B65D1">
            <w:pPr>
              <w:pStyle w:val="Tabele"/>
              <w:jc w:val="right"/>
              <w:rPr>
                <w:b/>
                <w:color w:val="auto"/>
                <w:sz w:val="12"/>
                <w:szCs w:val="12"/>
              </w:rPr>
            </w:pPr>
            <w:r w:rsidRPr="005B65D1">
              <w:rPr>
                <w:b/>
                <w:color w:val="auto"/>
                <w:sz w:val="12"/>
                <w:szCs w:val="12"/>
              </w:rPr>
              <w:t>146,16</w:t>
            </w:r>
          </w:p>
        </w:tc>
        <w:tc>
          <w:tcPr>
            <w:tcW w:w="772" w:type="dxa"/>
            <w:shd w:val="clear" w:color="auto" w:fill="C5E0B3"/>
          </w:tcPr>
          <w:p w14:paraId="4C40DC90" w14:textId="77777777" w:rsidR="005B65D1" w:rsidRPr="005B65D1" w:rsidRDefault="005B65D1">
            <w:pPr>
              <w:pStyle w:val="Tabele"/>
              <w:jc w:val="right"/>
              <w:rPr>
                <w:b/>
                <w:color w:val="auto"/>
                <w:sz w:val="12"/>
                <w:szCs w:val="12"/>
              </w:rPr>
            </w:pPr>
            <w:r w:rsidRPr="005B65D1">
              <w:rPr>
                <w:b/>
                <w:color w:val="auto"/>
                <w:sz w:val="12"/>
                <w:szCs w:val="12"/>
              </w:rPr>
              <w:t>109,63</w:t>
            </w:r>
          </w:p>
        </w:tc>
        <w:tc>
          <w:tcPr>
            <w:tcW w:w="773" w:type="dxa"/>
          </w:tcPr>
          <w:p w14:paraId="6F5A5906" w14:textId="77777777" w:rsidR="005B65D1" w:rsidRPr="005B65D1" w:rsidRDefault="005B65D1">
            <w:pPr>
              <w:pStyle w:val="Tabele"/>
              <w:jc w:val="right"/>
              <w:rPr>
                <w:b/>
                <w:bCs/>
                <w:color w:val="auto"/>
                <w:sz w:val="12"/>
                <w:szCs w:val="12"/>
                <w:highlight w:val="yellow"/>
              </w:rPr>
            </w:pPr>
            <w:r w:rsidRPr="005B65D1">
              <w:rPr>
                <w:b/>
                <w:color w:val="auto"/>
                <w:sz w:val="12"/>
                <w:szCs w:val="12"/>
              </w:rPr>
              <w:t>100,95</w:t>
            </w:r>
          </w:p>
        </w:tc>
        <w:tc>
          <w:tcPr>
            <w:tcW w:w="772" w:type="dxa"/>
          </w:tcPr>
          <w:p w14:paraId="78163DC7" w14:textId="77777777" w:rsidR="005B65D1" w:rsidRPr="005B65D1" w:rsidRDefault="005B65D1">
            <w:pPr>
              <w:pStyle w:val="Tabele"/>
              <w:jc w:val="right"/>
              <w:rPr>
                <w:b/>
                <w:bCs/>
                <w:color w:val="auto"/>
                <w:sz w:val="12"/>
                <w:szCs w:val="12"/>
                <w:highlight w:val="yellow"/>
              </w:rPr>
            </w:pPr>
            <w:r w:rsidRPr="005B65D1">
              <w:rPr>
                <w:b/>
                <w:color w:val="auto"/>
                <w:sz w:val="12"/>
                <w:szCs w:val="12"/>
              </w:rPr>
              <w:t>92,45</w:t>
            </w:r>
          </w:p>
        </w:tc>
        <w:tc>
          <w:tcPr>
            <w:tcW w:w="772" w:type="dxa"/>
          </w:tcPr>
          <w:p w14:paraId="084CEC37" w14:textId="77777777" w:rsidR="005B65D1" w:rsidRPr="005B65D1" w:rsidRDefault="005B65D1">
            <w:pPr>
              <w:pStyle w:val="Tabele"/>
              <w:jc w:val="right"/>
              <w:rPr>
                <w:b/>
                <w:bCs/>
                <w:color w:val="auto"/>
                <w:sz w:val="12"/>
                <w:szCs w:val="12"/>
                <w:highlight w:val="yellow"/>
              </w:rPr>
            </w:pPr>
            <w:r w:rsidRPr="005B65D1">
              <w:rPr>
                <w:b/>
                <w:color w:val="auto"/>
                <w:sz w:val="12"/>
                <w:szCs w:val="12"/>
              </w:rPr>
              <w:t>89,15</w:t>
            </w:r>
          </w:p>
        </w:tc>
        <w:tc>
          <w:tcPr>
            <w:tcW w:w="773" w:type="dxa"/>
          </w:tcPr>
          <w:p w14:paraId="0A0EA345" w14:textId="77777777" w:rsidR="005B65D1" w:rsidRPr="005B65D1" w:rsidRDefault="005B65D1">
            <w:pPr>
              <w:pStyle w:val="Tabele"/>
              <w:jc w:val="right"/>
              <w:rPr>
                <w:b/>
                <w:bCs/>
                <w:color w:val="auto"/>
                <w:sz w:val="12"/>
                <w:szCs w:val="12"/>
                <w:highlight w:val="yellow"/>
              </w:rPr>
            </w:pPr>
            <w:r w:rsidRPr="005B65D1">
              <w:rPr>
                <w:b/>
                <w:color w:val="auto"/>
                <w:sz w:val="12"/>
                <w:szCs w:val="12"/>
              </w:rPr>
              <w:t>80,55</w:t>
            </w:r>
          </w:p>
        </w:tc>
      </w:tr>
      <w:tr w:rsidR="005B65D1" w:rsidRPr="00520300" w14:paraId="2D09F175" w14:textId="77777777" w:rsidTr="00D562EA">
        <w:trPr>
          <w:gridAfter w:val="1"/>
          <w:wAfter w:w="8" w:type="dxa"/>
          <w:trHeight w:val="231"/>
        </w:trPr>
        <w:tc>
          <w:tcPr>
            <w:tcW w:w="1919" w:type="dxa"/>
          </w:tcPr>
          <w:p w14:paraId="19CA73E8" w14:textId="77777777" w:rsidR="005B65D1" w:rsidRPr="005B65D1" w:rsidRDefault="005B65D1">
            <w:pPr>
              <w:pStyle w:val="Tabele"/>
              <w:rPr>
                <w:b/>
                <w:color w:val="auto"/>
                <w:sz w:val="12"/>
                <w:szCs w:val="12"/>
              </w:rPr>
            </w:pPr>
            <w:r w:rsidRPr="005B65D1">
              <w:rPr>
                <w:rFonts w:cs="Calibri"/>
                <w:color w:val="auto"/>
                <w:sz w:val="12"/>
                <w:szCs w:val="12"/>
              </w:rPr>
              <w:t xml:space="preserve">A. Składowanie odpadów stałych </w:t>
            </w:r>
          </w:p>
        </w:tc>
        <w:tc>
          <w:tcPr>
            <w:tcW w:w="821" w:type="dxa"/>
            <w:shd w:val="clear" w:color="auto" w:fill="C5E0B3"/>
          </w:tcPr>
          <w:p w14:paraId="06CD54F1" w14:textId="77777777" w:rsidR="005B65D1" w:rsidRPr="005B65D1" w:rsidRDefault="005B65D1">
            <w:pPr>
              <w:pStyle w:val="Tabele"/>
              <w:jc w:val="right"/>
              <w:rPr>
                <w:rFonts w:cs="Calibri"/>
                <w:color w:val="auto"/>
                <w:sz w:val="12"/>
                <w:szCs w:val="12"/>
              </w:rPr>
            </w:pPr>
            <w:r w:rsidRPr="005B65D1">
              <w:rPr>
                <w:color w:val="auto"/>
                <w:sz w:val="12"/>
                <w:szCs w:val="12"/>
              </w:rPr>
              <w:t>475,45</w:t>
            </w:r>
          </w:p>
        </w:tc>
        <w:tc>
          <w:tcPr>
            <w:tcW w:w="773" w:type="dxa"/>
            <w:shd w:val="clear" w:color="auto" w:fill="C5E0B3"/>
          </w:tcPr>
          <w:p w14:paraId="0E4043DF" w14:textId="77777777" w:rsidR="005B65D1" w:rsidRPr="005B65D1" w:rsidRDefault="005B65D1">
            <w:pPr>
              <w:pStyle w:val="Tabele"/>
              <w:jc w:val="right"/>
              <w:rPr>
                <w:color w:val="auto"/>
                <w:sz w:val="12"/>
                <w:szCs w:val="12"/>
              </w:rPr>
            </w:pPr>
            <w:r w:rsidRPr="005B65D1">
              <w:rPr>
                <w:color w:val="auto"/>
                <w:sz w:val="12"/>
                <w:szCs w:val="12"/>
              </w:rPr>
              <w:t>261,71</w:t>
            </w:r>
          </w:p>
        </w:tc>
        <w:tc>
          <w:tcPr>
            <w:tcW w:w="772" w:type="dxa"/>
            <w:shd w:val="clear" w:color="auto" w:fill="C5E0B3"/>
          </w:tcPr>
          <w:p w14:paraId="52787CD4" w14:textId="77777777" w:rsidR="005B65D1" w:rsidRPr="005B65D1" w:rsidRDefault="005B65D1">
            <w:pPr>
              <w:pStyle w:val="Tabele"/>
              <w:jc w:val="right"/>
              <w:rPr>
                <w:color w:val="auto"/>
                <w:sz w:val="12"/>
                <w:szCs w:val="12"/>
              </w:rPr>
            </w:pPr>
            <w:r w:rsidRPr="005B65D1">
              <w:rPr>
                <w:color w:val="auto"/>
                <w:sz w:val="12"/>
                <w:szCs w:val="12"/>
              </w:rPr>
              <w:t>145,18</w:t>
            </w:r>
          </w:p>
        </w:tc>
        <w:tc>
          <w:tcPr>
            <w:tcW w:w="773" w:type="dxa"/>
            <w:shd w:val="clear" w:color="auto" w:fill="C5E0B3"/>
          </w:tcPr>
          <w:p w14:paraId="7359C168" w14:textId="77777777" w:rsidR="005B65D1" w:rsidRPr="005B65D1" w:rsidRDefault="005B65D1">
            <w:pPr>
              <w:pStyle w:val="Tabele"/>
              <w:jc w:val="right"/>
              <w:rPr>
                <w:color w:val="auto"/>
                <w:sz w:val="12"/>
                <w:szCs w:val="12"/>
              </w:rPr>
            </w:pPr>
            <w:r w:rsidRPr="005B65D1">
              <w:rPr>
                <w:color w:val="auto"/>
                <w:sz w:val="12"/>
                <w:szCs w:val="12"/>
              </w:rPr>
              <w:t>75,91</w:t>
            </w:r>
          </w:p>
        </w:tc>
        <w:tc>
          <w:tcPr>
            <w:tcW w:w="772" w:type="dxa"/>
            <w:shd w:val="clear" w:color="auto" w:fill="C5E0B3"/>
          </w:tcPr>
          <w:p w14:paraId="555D9E4D" w14:textId="77777777" w:rsidR="005B65D1" w:rsidRPr="005B65D1" w:rsidRDefault="005B65D1">
            <w:pPr>
              <w:pStyle w:val="Tabele"/>
              <w:jc w:val="right"/>
              <w:rPr>
                <w:color w:val="auto"/>
                <w:sz w:val="12"/>
                <w:szCs w:val="12"/>
              </w:rPr>
            </w:pPr>
            <w:r w:rsidRPr="005B65D1">
              <w:rPr>
                <w:color w:val="auto"/>
                <w:sz w:val="12"/>
                <w:szCs w:val="12"/>
              </w:rPr>
              <w:t>40,99</w:t>
            </w:r>
          </w:p>
        </w:tc>
        <w:tc>
          <w:tcPr>
            <w:tcW w:w="773" w:type="dxa"/>
          </w:tcPr>
          <w:p w14:paraId="038EE2FE" w14:textId="77777777" w:rsidR="005B65D1" w:rsidRPr="005B65D1" w:rsidRDefault="005B65D1">
            <w:pPr>
              <w:pStyle w:val="Tabele"/>
              <w:jc w:val="right"/>
              <w:rPr>
                <w:b/>
                <w:bCs/>
                <w:color w:val="auto"/>
                <w:sz w:val="12"/>
                <w:szCs w:val="12"/>
                <w:highlight w:val="yellow"/>
              </w:rPr>
            </w:pPr>
            <w:r w:rsidRPr="005B65D1">
              <w:rPr>
                <w:color w:val="auto"/>
                <w:sz w:val="12"/>
                <w:szCs w:val="12"/>
              </w:rPr>
              <w:t>29,56</w:t>
            </w:r>
          </w:p>
        </w:tc>
        <w:tc>
          <w:tcPr>
            <w:tcW w:w="772" w:type="dxa"/>
          </w:tcPr>
          <w:p w14:paraId="1BA6D6C9" w14:textId="77777777" w:rsidR="005B65D1" w:rsidRPr="005B65D1" w:rsidRDefault="005B65D1">
            <w:pPr>
              <w:pStyle w:val="Tabele"/>
              <w:jc w:val="right"/>
              <w:rPr>
                <w:b/>
                <w:bCs/>
                <w:color w:val="auto"/>
                <w:sz w:val="12"/>
                <w:szCs w:val="12"/>
                <w:highlight w:val="yellow"/>
              </w:rPr>
            </w:pPr>
            <w:r w:rsidRPr="005B65D1">
              <w:rPr>
                <w:color w:val="auto"/>
                <w:sz w:val="12"/>
                <w:szCs w:val="12"/>
              </w:rPr>
              <w:t>16,20</w:t>
            </w:r>
          </w:p>
        </w:tc>
        <w:tc>
          <w:tcPr>
            <w:tcW w:w="772" w:type="dxa"/>
          </w:tcPr>
          <w:p w14:paraId="6A8A8C72" w14:textId="77777777" w:rsidR="005B65D1" w:rsidRPr="005B65D1" w:rsidRDefault="005B65D1">
            <w:pPr>
              <w:pStyle w:val="Tabele"/>
              <w:jc w:val="right"/>
              <w:rPr>
                <w:b/>
                <w:bCs/>
                <w:color w:val="auto"/>
                <w:sz w:val="12"/>
                <w:szCs w:val="12"/>
                <w:highlight w:val="yellow"/>
              </w:rPr>
            </w:pPr>
            <w:r w:rsidRPr="005B65D1">
              <w:rPr>
                <w:color w:val="auto"/>
                <w:sz w:val="12"/>
                <w:szCs w:val="12"/>
              </w:rPr>
              <w:t>8,33</w:t>
            </w:r>
          </w:p>
        </w:tc>
        <w:tc>
          <w:tcPr>
            <w:tcW w:w="773" w:type="dxa"/>
          </w:tcPr>
          <w:p w14:paraId="603AF0CA" w14:textId="77777777" w:rsidR="005B65D1" w:rsidRPr="005B65D1" w:rsidRDefault="005B65D1">
            <w:pPr>
              <w:pStyle w:val="Tabele"/>
              <w:jc w:val="right"/>
              <w:rPr>
                <w:b/>
                <w:bCs/>
                <w:color w:val="auto"/>
                <w:sz w:val="12"/>
                <w:szCs w:val="12"/>
                <w:highlight w:val="yellow"/>
              </w:rPr>
            </w:pPr>
            <w:r w:rsidRPr="005B65D1">
              <w:rPr>
                <w:color w:val="auto"/>
                <w:sz w:val="12"/>
                <w:szCs w:val="12"/>
              </w:rPr>
              <w:t>2,66</w:t>
            </w:r>
          </w:p>
        </w:tc>
      </w:tr>
      <w:tr w:rsidR="005B65D1" w:rsidRPr="00520300" w14:paraId="48D564CF" w14:textId="77777777" w:rsidTr="00D562EA">
        <w:trPr>
          <w:gridAfter w:val="1"/>
          <w:wAfter w:w="8" w:type="dxa"/>
          <w:trHeight w:val="231"/>
        </w:trPr>
        <w:tc>
          <w:tcPr>
            <w:tcW w:w="1919" w:type="dxa"/>
          </w:tcPr>
          <w:p w14:paraId="7180E1A1" w14:textId="77777777" w:rsidR="005B65D1" w:rsidRPr="005B65D1" w:rsidRDefault="005B65D1">
            <w:pPr>
              <w:pStyle w:val="Tabele"/>
              <w:rPr>
                <w:b/>
                <w:color w:val="auto"/>
                <w:sz w:val="12"/>
                <w:szCs w:val="12"/>
              </w:rPr>
            </w:pPr>
            <w:r w:rsidRPr="005B65D1">
              <w:rPr>
                <w:rFonts w:cs="Calibri"/>
                <w:color w:val="auto"/>
                <w:sz w:val="12"/>
                <w:szCs w:val="12"/>
              </w:rPr>
              <w:t xml:space="preserve">B. Biologiczne unieszkodliwianie odpadów stałych </w:t>
            </w:r>
          </w:p>
        </w:tc>
        <w:tc>
          <w:tcPr>
            <w:tcW w:w="821" w:type="dxa"/>
            <w:shd w:val="clear" w:color="auto" w:fill="C5E0B3"/>
          </w:tcPr>
          <w:p w14:paraId="785CCC4E" w14:textId="77777777" w:rsidR="005B65D1" w:rsidRPr="005B65D1" w:rsidRDefault="005B65D1">
            <w:pPr>
              <w:pStyle w:val="Tabele"/>
              <w:jc w:val="right"/>
              <w:rPr>
                <w:rFonts w:cs="Calibri"/>
                <w:color w:val="auto"/>
                <w:sz w:val="12"/>
                <w:szCs w:val="12"/>
              </w:rPr>
            </w:pPr>
            <w:r w:rsidRPr="005B65D1">
              <w:rPr>
                <w:color w:val="auto"/>
                <w:sz w:val="12"/>
                <w:szCs w:val="12"/>
              </w:rPr>
              <w:t>0,51</w:t>
            </w:r>
          </w:p>
        </w:tc>
        <w:tc>
          <w:tcPr>
            <w:tcW w:w="773" w:type="dxa"/>
            <w:shd w:val="clear" w:color="auto" w:fill="C5E0B3"/>
          </w:tcPr>
          <w:p w14:paraId="1B16BF0E" w14:textId="77777777" w:rsidR="005B65D1" w:rsidRPr="005B65D1" w:rsidRDefault="005B65D1">
            <w:pPr>
              <w:pStyle w:val="Tabele"/>
              <w:jc w:val="right"/>
              <w:rPr>
                <w:color w:val="auto"/>
                <w:sz w:val="12"/>
                <w:szCs w:val="12"/>
              </w:rPr>
            </w:pPr>
            <w:r w:rsidRPr="005B65D1">
              <w:rPr>
                <w:color w:val="auto"/>
                <w:sz w:val="12"/>
                <w:szCs w:val="12"/>
              </w:rPr>
              <w:t>2,15</w:t>
            </w:r>
          </w:p>
        </w:tc>
        <w:tc>
          <w:tcPr>
            <w:tcW w:w="772" w:type="dxa"/>
            <w:shd w:val="clear" w:color="auto" w:fill="C5E0B3"/>
          </w:tcPr>
          <w:p w14:paraId="52AC3328" w14:textId="77777777" w:rsidR="005B65D1" w:rsidRPr="005B65D1" w:rsidRDefault="005B65D1">
            <w:pPr>
              <w:pStyle w:val="Tabele"/>
              <w:jc w:val="right"/>
              <w:rPr>
                <w:color w:val="auto"/>
                <w:sz w:val="12"/>
                <w:szCs w:val="12"/>
              </w:rPr>
            </w:pPr>
            <w:r w:rsidRPr="005B65D1">
              <w:rPr>
                <w:color w:val="auto"/>
                <w:sz w:val="12"/>
                <w:szCs w:val="12"/>
              </w:rPr>
              <w:t>2,06</w:t>
            </w:r>
          </w:p>
        </w:tc>
        <w:tc>
          <w:tcPr>
            <w:tcW w:w="773" w:type="dxa"/>
            <w:shd w:val="clear" w:color="auto" w:fill="C5E0B3"/>
          </w:tcPr>
          <w:p w14:paraId="333372C7" w14:textId="77777777" w:rsidR="005B65D1" w:rsidRPr="005B65D1" w:rsidRDefault="005B65D1">
            <w:pPr>
              <w:pStyle w:val="Tabele"/>
              <w:jc w:val="right"/>
              <w:rPr>
                <w:color w:val="auto"/>
                <w:sz w:val="12"/>
                <w:szCs w:val="12"/>
              </w:rPr>
            </w:pPr>
            <w:r w:rsidRPr="005B65D1">
              <w:rPr>
                <w:color w:val="auto"/>
                <w:sz w:val="12"/>
                <w:szCs w:val="12"/>
              </w:rPr>
              <w:t>6,71</w:t>
            </w:r>
          </w:p>
        </w:tc>
        <w:tc>
          <w:tcPr>
            <w:tcW w:w="772" w:type="dxa"/>
            <w:shd w:val="clear" w:color="auto" w:fill="C5E0B3"/>
          </w:tcPr>
          <w:p w14:paraId="57C70FB0" w14:textId="77777777" w:rsidR="005B65D1" w:rsidRPr="005B65D1" w:rsidRDefault="005B65D1">
            <w:pPr>
              <w:pStyle w:val="Tabele"/>
              <w:jc w:val="right"/>
              <w:rPr>
                <w:color w:val="auto"/>
                <w:sz w:val="12"/>
                <w:szCs w:val="12"/>
              </w:rPr>
            </w:pPr>
            <w:r w:rsidRPr="005B65D1">
              <w:rPr>
                <w:color w:val="auto"/>
                <w:sz w:val="12"/>
                <w:szCs w:val="12"/>
              </w:rPr>
              <w:t>7,29</w:t>
            </w:r>
          </w:p>
        </w:tc>
        <w:tc>
          <w:tcPr>
            <w:tcW w:w="773" w:type="dxa"/>
          </w:tcPr>
          <w:p w14:paraId="0AB1B326" w14:textId="77777777" w:rsidR="005B65D1" w:rsidRPr="005B65D1" w:rsidRDefault="005B65D1">
            <w:pPr>
              <w:pStyle w:val="Tabele"/>
              <w:jc w:val="right"/>
              <w:rPr>
                <w:b/>
                <w:bCs/>
                <w:color w:val="auto"/>
                <w:sz w:val="12"/>
                <w:szCs w:val="12"/>
                <w:highlight w:val="yellow"/>
              </w:rPr>
            </w:pPr>
            <w:r w:rsidRPr="005B65D1">
              <w:rPr>
                <w:color w:val="auto"/>
                <w:sz w:val="12"/>
                <w:szCs w:val="12"/>
              </w:rPr>
              <w:t>13,23</w:t>
            </w:r>
          </w:p>
        </w:tc>
        <w:tc>
          <w:tcPr>
            <w:tcW w:w="772" w:type="dxa"/>
          </w:tcPr>
          <w:p w14:paraId="5E3274F8" w14:textId="77777777" w:rsidR="005B65D1" w:rsidRPr="005B65D1" w:rsidRDefault="005B65D1">
            <w:pPr>
              <w:pStyle w:val="Tabele"/>
              <w:jc w:val="right"/>
              <w:rPr>
                <w:b/>
                <w:bCs/>
                <w:color w:val="auto"/>
                <w:sz w:val="12"/>
                <w:szCs w:val="12"/>
                <w:highlight w:val="yellow"/>
              </w:rPr>
            </w:pPr>
            <w:r w:rsidRPr="005B65D1">
              <w:rPr>
                <w:color w:val="auto"/>
                <w:sz w:val="12"/>
                <w:szCs w:val="12"/>
              </w:rPr>
              <w:t>20,33</w:t>
            </w:r>
          </w:p>
        </w:tc>
        <w:tc>
          <w:tcPr>
            <w:tcW w:w="772" w:type="dxa"/>
          </w:tcPr>
          <w:p w14:paraId="50BE48D3" w14:textId="77777777" w:rsidR="005B65D1" w:rsidRPr="005B65D1" w:rsidRDefault="005B65D1">
            <w:pPr>
              <w:pStyle w:val="Tabele"/>
              <w:jc w:val="right"/>
              <w:rPr>
                <w:b/>
                <w:bCs/>
                <w:color w:val="auto"/>
                <w:sz w:val="12"/>
                <w:szCs w:val="12"/>
                <w:highlight w:val="yellow"/>
              </w:rPr>
            </w:pPr>
            <w:r w:rsidRPr="005B65D1">
              <w:rPr>
                <w:color w:val="auto"/>
                <w:sz w:val="12"/>
                <w:szCs w:val="12"/>
              </w:rPr>
              <w:t>27,13</w:t>
            </w:r>
          </w:p>
        </w:tc>
        <w:tc>
          <w:tcPr>
            <w:tcW w:w="773" w:type="dxa"/>
          </w:tcPr>
          <w:p w14:paraId="2EFCB4B9" w14:textId="77777777" w:rsidR="005B65D1" w:rsidRPr="005B65D1" w:rsidRDefault="005B65D1">
            <w:pPr>
              <w:pStyle w:val="Tabele"/>
              <w:jc w:val="right"/>
              <w:rPr>
                <w:b/>
                <w:bCs/>
                <w:color w:val="auto"/>
                <w:sz w:val="12"/>
                <w:szCs w:val="12"/>
                <w:highlight w:val="yellow"/>
              </w:rPr>
            </w:pPr>
            <w:r w:rsidRPr="005B65D1">
              <w:rPr>
                <w:color w:val="auto"/>
                <w:sz w:val="12"/>
                <w:szCs w:val="12"/>
              </w:rPr>
              <w:t>26,51</w:t>
            </w:r>
          </w:p>
        </w:tc>
      </w:tr>
      <w:tr w:rsidR="005B65D1" w:rsidRPr="00520300" w14:paraId="63FC5497" w14:textId="77777777" w:rsidTr="00D562EA">
        <w:trPr>
          <w:gridAfter w:val="1"/>
          <w:wAfter w:w="8" w:type="dxa"/>
          <w:trHeight w:val="231"/>
        </w:trPr>
        <w:tc>
          <w:tcPr>
            <w:tcW w:w="1919" w:type="dxa"/>
          </w:tcPr>
          <w:p w14:paraId="3D892D32" w14:textId="77777777" w:rsidR="005B65D1" w:rsidRPr="005B65D1" w:rsidRDefault="005B65D1">
            <w:pPr>
              <w:pStyle w:val="Tabele"/>
              <w:rPr>
                <w:b/>
                <w:color w:val="auto"/>
                <w:sz w:val="12"/>
                <w:szCs w:val="12"/>
              </w:rPr>
            </w:pPr>
            <w:r w:rsidRPr="005B65D1">
              <w:rPr>
                <w:rFonts w:cs="Calibri"/>
                <w:color w:val="auto"/>
                <w:sz w:val="12"/>
                <w:szCs w:val="12"/>
              </w:rPr>
              <w:t xml:space="preserve">D. Gospodarka ściekami </w:t>
            </w:r>
          </w:p>
        </w:tc>
        <w:tc>
          <w:tcPr>
            <w:tcW w:w="821" w:type="dxa"/>
            <w:shd w:val="clear" w:color="auto" w:fill="C5E0B3"/>
          </w:tcPr>
          <w:p w14:paraId="5297A264" w14:textId="77777777" w:rsidR="005B65D1" w:rsidRPr="005B65D1" w:rsidRDefault="005B65D1">
            <w:pPr>
              <w:pStyle w:val="Tabele"/>
              <w:jc w:val="right"/>
              <w:rPr>
                <w:rFonts w:cs="Calibri"/>
                <w:color w:val="auto"/>
                <w:sz w:val="12"/>
                <w:szCs w:val="12"/>
              </w:rPr>
            </w:pPr>
            <w:r w:rsidRPr="005B65D1">
              <w:rPr>
                <w:color w:val="auto"/>
                <w:sz w:val="12"/>
                <w:szCs w:val="12"/>
              </w:rPr>
              <w:t>168,90</w:t>
            </w:r>
          </w:p>
        </w:tc>
        <w:tc>
          <w:tcPr>
            <w:tcW w:w="773" w:type="dxa"/>
            <w:shd w:val="clear" w:color="auto" w:fill="C5E0B3"/>
          </w:tcPr>
          <w:p w14:paraId="1E3DBE42" w14:textId="77777777" w:rsidR="005B65D1" w:rsidRPr="005B65D1" w:rsidRDefault="005B65D1">
            <w:pPr>
              <w:pStyle w:val="Tabele"/>
              <w:jc w:val="right"/>
              <w:rPr>
                <w:color w:val="auto"/>
                <w:sz w:val="12"/>
                <w:szCs w:val="12"/>
              </w:rPr>
            </w:pPr>
            <w:r w:rsidRPr="005B65D1">
              <w:rPr>
                <w:color w:val="auto"/>
                <w:sz w:val="12"/>
                <w:szCs w:val="12"/>
              </w:rPr>
              <w:t>120,86</w:t>
            </w:r>
          </w:p>
        </w:tc>
        <w:tc>
          <w:tcPr>
            <w:tcW w:w="772" w:type="dxa"/>
            <w:shd w:val="clear" w:color="auto" w:fill="C5E0B3"/>
          </w:tcPr>
          <w:p w14:paraId="41B89AFB" w14:textId="77777777" w:rsidR="005B65D1" w:rsidRPr="005B65D1" w:rsidRDefault="005B65D1">
            <w:pPr>
              <w:pStyle w:val="Tabele"/>
              <w:jc w:val="right"/>
              <w:rPr>
                <w:color w:val="auto"/>
                <w:sz w:val="12"/>
                <w:szCs w:val="12"/>
              </w:rPr>
            </w:pPr>
            <w:r w:rsidRPr="005B65D1">
              <w:rPr>
                <w:color w:val="auto"/>
                <w:sz w:val="12"/>
                <w:szCs w:val="12"/>
              </w:rPr>
              <w:t>96,00</w:t>
            </w:r>
          </w:p>
        </w:tc>
        <w:tc>
          <w:tcPr>
            <w:tcW w:w="773" w:type="dxa"/>
            <w:shd w:val="clear" w:color="auto" w:fill="C5E0B3"/>
          </w:tcPr>
          <w:p w14:paraId="621E6114" w14:textId="77777777" w:rsidR="005B65D1" w:rsidRPr="005B65D1" w:rsidRDefault="005B65D1">
            <w:pPr>
              <w:pStyle w:val="Tabele"/>
              <w:jc w:val="right"/>
              <w:rPr>
                <w:color w:val="auto"/>
                <w:sz w:val="12"/>
                <w:szCs w:val="12"/>
              </w:rPr>
            </w:pPr>
            <w:r w:rsidRPr="005B65D1">
              <w:rPr>
                <w:color w:val="auto"/>
                <w:sz w:val="12"/>
                <w:szCs w:val="12"/>
              </w:rPr>
              <w:t>63,54</w:t>
            </w:r>
          </w:p>
        </w:tc>
        <w:tc>
          <w:tcPr>
            <w:tcW w:w="772" w:type="dxa"/>
            <w:shd w:val="clear" w:color="auto" w:fill="C5E0B3"/>
          </w:tcPr>
          <w:p w14:paraId="427F2A8F" w14:textId="77777777" w:rsidR="005B65D1" w:rsidRPr="005B65D1" w:rsidRDefault="005B65D1">
            <w:pPr>
              <w:pStyle w:val="Tabele"/>
              <w:jc w:val="right"/>
              <w:rPr>
                <w:color w:val="auto"/>
                <w:sz w:val="12"/>
                <w:szCs w:val="12"/>
              </w:rPr>
            </w:pPr>
            <w:r w:rsidRPr="005B65D1">
              <w:rPr>
                <w:color w:val="auto"/>
                <w:sz w:val="12"/>
                <w:szCs w:val="12"/>
              </w:rPr>
              <w:t>61,35</w:t>
            </w:r>
          </w:p>
        </w:tc>
        <w:tc>
          <w:tcPr>
            <w:tcW w:w="773" w:type="dxa"/>
          </w:tcPr>
          <w:p w14:paraId="2390982D" w14:textId="77777777" w:rsidR="005B65D1" w:rsidRPr="005B65D1" w:rsidRDefault="005B65D1">
            <w:pPr>
              <w:pStyle w:val="Tabele"/>
              <w:jc w:val="right"/>
              <w:rPr>
                <w:b/>
                <w:bCs/>
                <w:color w:val="auto"/>
                <w:sz w:val="12"/>
                <w:szCs w:val="12"/>
                <w:highlight w:val="yellow"/>
              </w:rPr>
            </w:pPr>
            <w:r w:rsidRPr="005B65D1">
              <w:rPr>
                <w:color w:val="auto"/>
                <w:sz w:val="12"/>
                <w:szCs w:val="12"/>
              </w:rPr>
              <w:t>58,16</w:t>
            </w:r>
          </w:p>
        </w:tc>
        <w:tc>
          <w:tcPr>
            <w:tcW w:w="772" w:type="dxa"/>
          </w:tcPr>
          <w:p w14:paraId="7D2AC338" w14:textId="77777777" w:rsidR="005B65D1" w:rsidRPr="005B65D1" w:rsidRDefault="005B65D1">
            <w:pPr>
              <w:pStyle w:val="Tabele"/>
              <w:jc w:val="right"/>
              <w:rPr>
                <w:b/>
                <w:bCs/>
                <w:color w:val="auto"/>
                <w:sz w:val="12"/>
                <w:szCs w:val="12"/>
                <w:highlight w:val="yellow"/>
              </w:rPr>
            </w:pPr>
            <w:r w:rsidRPr="005B65D1">
              <w:rPr>
                <w:color w:val="auto"/>
                <w:sz w:val="12"/>
                <w:szCs w:val="12"/>
              </w:rPr>
              <w:t>55,92</w:t>
            </w:r>
          </w:p>
        </w:tc>
        <w:tc>
          <w:tcPr>
            <w:tcW w:w="772" w:type="dxa"/>
          </w:tcPr>
          <w:p w14:paraId="6C90497B" w14:textId="77777777" w:rsidR="005B65D1" w:rsidRPr="005B65D1" w:rsidRDefault="005B65D1">
            <w:pPr>
              <w:pStyle w:val="Tabele"/>
              <w:jc w:val="right"/>
              <w:rPr>
                <w:b/>
                <w:bCs/>
                <w:color w:val="auto"/>
                <w:sz w:val="12"/>
                <w:szCs w:val="12"/>
                <w:highlight w:val="yellow"/>
              </w:rPr>
            </w:pPr>
            <w:r w:rsidRPr="005B65D1">
              <w:rPr>
                <w:color w:val="auto"/>
                <w:sz w:val="12"/>
                <w:szCs w:val="12"/>
              </w:rPr>
              <w:t>53,69</w:t>
            </w:r>
          </w:p>
        </w:tc>
        <w:tc>
          <w:tcPr>
            <w:tcW w:w="773" w:type="dxa"/>
          </w:tcPr>
          <w:p w14:paraId="765FE38C" w14:textId="77777777" w:rsidR="005B65D1" w:rsidRPr="005B65D1" w:rsidRDefault="005B65D1">
            <w:pPr>
              <w:pStyle w:val="Tabele"/>
              <w:jc w:val="right"/>
              <w:rPr>
                <w:b/>
                <w:bCs/>
                <w:color w:val="auto"/>
                <w:sz w:val="12"/>
                <w:szCs w:val="12"/>
                <w:highlight w:val="yellow"/>
              </w:rPr>
            </w:pPr>
            <w:r w:rsidRPr="005B65D1">
              <w:rPr>
                <w:color w:val="auto"/>
                <w:sz w:val="12"/>
                <w:szCs w:val="12"/>
              </w:rPr>
              <w:t>51,38</w:t>
            </w:r>
          </w:p>
        </w:tc>
      </w:tr>
      <w:tr w:rsidR="005B65D1" w:rsidRPr="00520300" w14:paraId="40628FA4" w14:textId="77777777" w:rsidTr="00D562EA">
        <w:trPr>
          <w:gridAfter w:val="1"/>
          <w:wAfter w:w="8" w:type="dxa"/>
          <w:trHeight w:val="231"/>
        </w:trPr>
        <w:tc>
          <w:tcPr>
            <w:tcW w:w="1919" w:type="dxa"/>
          </w:tcPr>
          <w:p w14:paraId="624613AC" w14:textId="77777777" w:rsidR="005B65D1" w:rsidRPr="005B65D1" w:rsidRDefault="005B65D1">
            <w:pPr>
              <w:pStyle w:val="Tabele"/>
              <w:rPr>
                <w:b/>
                <w:color w:val="auto"/>
                <w:sz w:val="12"/>
                <w:szCs w:val="12"/>
              </w:rPr>
            </w:pPr>
            <w:r w:rsidRPr="005B65D1">
              <w:rPr>
                <w:rFonts w:cs="Calibri"/>
                <w:b/>
                <w:bCs/>
                <w:color w:val="auto"/>
                <w:sz w:val="12"/>
                <w:szCs w:val="12"/>
              </w:rPr>
              <w:t>Suma (z uwzg. LULUCF)</w:t>
            </w:r>
          </w:p>
        </w:tc>
        <w:tc>
          <w:tcPr>
            <w:tcW w:w="821" w:type="dxa"/>
            <w:shd w:val="clear" w:color="auto" w:fill="C5E0B3"/>
          </w:tcPr>
          <w:p w14:paraId="356DA020" w14:textId="77777777" w:rsidR="005B65D1" w:rsidRPr="005B65D1" w:rsidRDefault="005B65D1">
            <w:pPr>
              <w:pStyle w:val="Tabele"/>
              <w:jc w:val="right"/>
              <w:rPr>
                <w:rFonts w:cs="Calibri"/>
                <w:b/>
                <w:bCs/>
                <w:color w:val="auto"/>
                <w:sz w:val="12"/>
                <w:szCs w:val="12"/>
              </w:rPr>
            </w:pPr>
            <w:r w:rsidRPr="005B65D1">
              <w:rPr>
                <w:b/>
                <w:color w:val="auto"/>
                <w:sz w:val="12"/>
                <w:szCs w:val="12"/>
              </w:rPr>
              <w:t>2 532,74</w:t>
            </w:r>
          </w:p>
        </w:tc>
        <w:tc>
          <w:tcPr>
            <w:tcW w:w="773" w:type="dxa"/>
            <w:shd w:val="clear" w:color="auto" w:fill="C5E0B3"/>
          </w:tcPr>
          <w:p w14:paraId="49A4C204" w14:textId="77777777" w:rsidR="005B65D1" w:rsidRPr="005B65D1" w:rsidRDefault="005B65D1">
            <w:pPr>
              <w:pStyle w:val="Tabele"/>
              <w:jc w:val="right"/>
              <w:rPr>
                <w:b/>
                <w:color w:val="auto"/>
                <w:sz w:val="12"/>
                <w:szCs w:val="12"/>
              </w:rPr>
            </w:pPr>
            <w:r w:rsidRPr="005B65D1">
              <w:rPr>
                <w:b/>
                <w:color w:val="auto"/>
                <w:sz w:val="12"/>
                <w:szCs w:val="12"/>
              </w:rPr>
              <w:t>1 874,46</w:t>
            </w:r>
          </w:p>
        </w:tc>
        <w:tc>
          <w:tcPr>
            <w:tcW w:w="772" w:type="dxa"/>
            <w:shd w:val="clear" w:color="auto" w:fill="C5E0B3"/>
          </w:tcPr>
          <w:p w14:paraId="50B3FDDA" w14:textId="77777777" w:rsidR="005B65D1" w:rsidRPr="005B65D1" w:rsidRDefault="005B65D1">
            <w:pPr>
              <w:pStyle w:val="Tabele"/>
              <w:jc w:val="right"/>
              <w:rPr>
                <w:b/>
                <w:color w:val="auto"/>
                <w:sz w:val="12"/>
                <w:szCs w:val="12"/>
              </w:rPr>
            </w:pPr>
            <w:r w:rsidRPr="005B65D1">
              <w:rPr>
                <w:b/>
                <w:color w:val="auto"/>
                <w:sz w:val="12"/>
                <w:szCs w:val="12"/>
              </w:rPr>
              <w:t>1 686,14</w:t>
            </w:r>
          </w:p>
        </w:tc>
        <w:tc>
          <w:tcPr>
            <w:tcW w:w="773" w:type="dxa"/>
            <w:shd w:val="clear" w:color="auto" w:fill="C5E0B3"/>
          </w:tcPr>
          <w:p w14:paraId="241E6B57" w14:textId="77777777" w:rsidR="005B65D1" w:rsidRPr="005B65D1" w:rsidRDefault="005B65D1">
            <w:pPr>
              <w:pStyle w:val="Tabele"/>
              <w:jc w:val="right"/>
              <w:rPr>
                <w:b/>
                <w:color w:val="auto"/>
                <w:sz w:val="12"/>
                <w:szCs w:val="12"/>
              </w:rPr>
            </w:pPr>
            <w:r w:rsidRPr="005B65D1">
              <w:rPr>
                <w:b/>
                <w:color w:val="auto"/>
                <w:sz w:val="12"/>
                <w:szCs w:val="12"/>
              </w:rPr>
              <w:t>1 626,03</w:t>
            </w:r>
          </w:p>
        </w:tc>
        <w:tc>
          <w:tcPr>
            <w:tcW w:w="772" w:type="dxa"/>
            <w:shd w:val="clear" w:color="auto" w:fill="C5E0B3"/>
          </w:tcPr>
          <w:p w14:paraId="3E08A599" w14:textId="77777777" w:rsidR="005B65D1" w:rsidRPr="005B65D1" w:rsidRDefault="005B65D1">
            <w:pPr>
              <w:pStyle w:val="Tabele"/>
              <w:jc w:val="right"/>
              <w:rPr>
                <w:b/>
                <w:color w:val="auto"/>
                <w:sz w:val="12"/>
                <w:szCs w:val="12"/>
              </w:rPr>
            </w:pPr>
            <w:r w:rsidRPr="005B65D1">
              <w:rPr>
                <w:b/>
                <w:color w:val="auto"/>
                <w:sz w:val="12"/>
                <w:szCs w:val="12"/>
              </w:rPr>
              <w:t>1 534,22</w:t>
            </w:r>
          </w:p>
        </w:tc>
        <w:tc>
          <w:tcPr>
            <w:tcW w:w="773" w:type="dxa"/>
          </w:tcPr>
          <w:p w14:paraId="6CC5B2E0" w14:textId="77777777" w:rsidR="005B65D1" w:rsidRPr="005B65D1" w:rsidRDefault="005B65D1">
            <w:pPr>
              <w:pStyle w:val="Tabele"/>
              <w:jc w:val="right"/>
              <w:rPr>
                <w:b/>
                <w:bCs/>
                <w:color w:val="auto"/>
                <w:sz w:val="12"/>
                <w:szCs w:val="12"/>
                <w:highlight w:val="yellow"/>
              </w:rPr>
            </w:pPr>
            <w:r w:rsidRPr="005B65D1">
              <w:rPr>
                <w:b/>
                <w:color w:val="auto"/>
                <w:sz w:val="12"/>
                <w:szCs w:val="12"/>
              </w:rPr>
              <w:t>1 404,31</w:t>
            </w:r>
          </w:p>
        </w:tc>
        <w:tc>
          <w:tcPr>
            <w:tcW w:w="772" w:type="dxa"/>
          </w:tcPr>
          <w:p w14:paraId="776C2279" w14:textId="77777777" w:rsidR="005B65D1" w:rsidRPr="005B65D1" w:rsidRDefault="005B65D1">
            <w:pPr>
              <w:pStyle w:val="Tabele"/>
              <w:jc w:val="right"/>
              <w:rPr>
                <w:b/>
                <w:bCs/>
                <w:color w:val="auto"/>
                <w:sz w:val="12"/>
                <w:szCs w:val="12"/>
                <w:highlight w:val="yellow"/>
              </w:rPr>
            </w:pPr>
            <w:r w:rsidRPr="005B65D1">
              <w:rPr>
                <w:b/>
                <w:color w:val="auto"/>
                <w:sz w:val="12"/>
                <w:szCs w:val="12"/>
              </w:rPr>
              <w:t>1 201,97</w:t>
            </w:r>
          </w:p>
        </w:tc>
        <w:tc>
          <w:tcPr>
            <w:tcW w:w="772" w:type="dxa"/>
          </w:tcPr>
          <w:p w14:paraId="0A7379C4" w14:textId="77777777" w:rsidR="005B65D1" w:rsidRPr="005B65D1" w:rsidRDefault="005B65D1">
            <w:pPr>
              <w:pStyle w:val="Tabele"/>
              <w:jc w:val="right"/>
              <w:rPr>
                <w:b/>
                <w:bCs/>
                <w:color w:val="auto"/>
                <w:sz w:val="12"/>
                <w:szCs w:val="12"/>
                <w:highlight w:val="yellow"/>
              </w:rPr>
            </w:pPr>
            <w:r w:rsidRPr="005B65D1">
              <w:rPr>
                <w:b/>
                <w:color w:val="auto"/>
                <w:sz w:val="12"/>
                <w:szCs w:val="12"/>
              </w:rPr>
              <w:t>1 063,93</w:t>
            </w:r>
          </w:p>
        </w:tc>
        <w:tc>
          <w:tcPr>
            <w:tcW w:w="773" w:type="dxa"/>
          </w:tcPr>
          <w:p w14:paraId="0B1306C9" w14:textId="77777777" w:rsidR="005B65D1" w:rsidRPr="005B65D1" w:rsidRDefault="005B65D1">
            <w:pPr>
              <w:pStyle w:val="Tabele"/>
              <w:jc w:val="right"/>
              <w:rPr>
                <w:b/>
                <w:bCs/>
                <w:color w:val="auto"/>
                <w:sz w:val="12"/>
                <w:szCs w:val="12"/>
                <w:highlight w:val="yellow"/>
              </w:rPr>
            </w:pPr>
            <w:r w:rsidRPr="005B65D1">
              <w:rPr>
                <w:b/>
                <w:color w:val="auto"/>
                <w:sz w:val="12"/>
                <w:szCs w:val="12"/>
              </w:rPr>
              <w:t>932,44</w:t>
            </w:r>
          </w:p>
        </w:tc>
      </w:tr>
      <w:tr w:rsidR="005B65D1" w:rsidRPr="00520300" w14:paraId="25A2CBB1" w14:textId="77777777" w:rsidTr="00D562EA">
        <w:trPr>
          <w:gridAfter w:val="1"/>
          <w:wAfter w:w="8" w:type="dxa"/>
          <w:trHeight w:val="231"/>
        </w:trPr>
        <w:tc>
          <w:tcPr>
            <w:tcW w:w="1919" w:type="dxa"/>
          </w:tcPr>
          <w:p w14:paraId="202D5D33" w14:textId="77777777" w:rsidR="005B65D1" w:rsidRPr="005B65D1" w:rsidRDefault="005B65D1">
            <w:pPr>
              <w:pStyle w:val="Tabele"/>
              <w:rPr>
                <w:color w:val="auto"/>
                <w:sz w:val="12"/>
                <w:szCs w:val="12"/>
              </w:rPr>
            </w:pPr>
            <w:r w:rsidRPr="005B65D1">
              <w:rPr>
                <w:rFonts w:cs="Calibri"/>
                <w:b/>
                <w:bCs/>
                <w:color w:val="auto"/>
                <w:sz w:val="12"/>
                <w:szCs w:val="12"/>
              </w:rPr>
              <w:t>Suma (bez LULUCF)</w:t>
            </w:r>
          </w:p>
        </w:tc>
        <w:tc>
          <w:tcPr>
            <w:tcW w:w="821" w:type="dxa"/>
            <w:shd w:val="clear" w:color="auto" w:fill="C5E0B3"/>
          </w:tcPr>
          <w:p w14:paraId="075D201C" w14:textId="77777777" w:rsidR="005B65D1" w:rsidRPr="005B65D1" w:rsidRDefault="005B65D1">
            <w:pPr>
              <w:pStyle w:val="Tabele"/>
              <w:jc w:val="right"/>
              <w:rPr>
                <w:rFonts w:cs="Calibri"/>
                <w:b/>
                <w:bCs/>
                <w:color w:val="auto"/>
                <w:sz w:val="12"/>
                <w:szCs w:val="12"/>
              </w:rPr>
            </w:pPr>
            <w:r w:rsidRPr="005B65D1">
              <w:rPr>
                <w:b/>
                <w:color w:val="auto"/>
                <w:sz w:val="12"/>
                <w:szCs w:val="12"/>
              </w:rPr>
              <w:t>2 530,77</w:t>
            </w:r>
          </w:p>
        </w:tc>
        <w:tc>
          <w:tcPr>
            <w:tcW w:w="773" w:type="dxa"/>
            <w:shd w:val="clear" w:color="auto" w:fill="C5E0B3"/>
          </w:tcPr>
          <w:p w14:paraId="1AA57697" w14:textId="77777777" w:rsidR="005B65D1" w:rsidRPr="005B65D1" w:rsidRDefault="005B65D1">
            <w:pPr>
              <w:pStyle w:val="Tabele"/>
              <w:jc w:val="right"/>
              <w:rPr>
                <w:b/>
                <w:color w:val="auto"/>
                <w:sz w:val="12"/>
                <w:szCs w:val="12"/>
              </w:rPr>
            </w:pPr>
            <w:r w:rsidRPr="005B65D1">
              <w:rPr>
                <w:b/>
                <w:color w:val="auto"/>
                <w:sz w:val="12"/>
                <w:szCs w:val="12"/>
              </w:rPr>
              <w:t>1 873,13</w:t>
            </w:r>
          </w:p>
        </w:tc>
        <w:tc>
          <w:tcPr>
            <w:tcW w:w="772" w:type="dxa"/>
            <w:shd w:val="clear" w:color="auto" w:fill="C5E0B3"/>
          </w:tcPr>
          <w:p w14:paraId="58C33CF8" w14:textId="77777777" w:rsidR="005B65D1" w:rsidRPr="005B65D1" w:rsidRDefault="005B65D1">
            <w:pPr>
              <w:pStyle w:val="Tabele"/>
              <w:jc w:val="right"/>
              <w:rPr>
                <w:b/>
                <w:color w:val="auto"/>
                <w:sz w:val="12"/>
                <w:szCs w:val="12"/>
              </w:rPr>
            </w:pPr>
            <w:r w:rsidRPr="005B65D1">
              <w:rPr>
                <w:b/>
                <w:color w:val="auto"/>
                <w:sz w:val="12"/>
                <w:szCs w:val="12"/>
              </w:rPr>
              <w:t>1 685,63</w:t>
            </w:r>
          </w:p>
        </w:tc>
        <w:tc>
          <w:tcPr>
            <w:tcW w:w="773" w:type="dxa"/>
            <w:shd w:val="clear" w:color="auto" w:fill="C5E0B3"/>
          </w:tcPr>
          <w:p w14:paraId="5506E62F" w14:textId="77777777" w:rsidR="005B65D1" w:rsidRPr="005B65D1" w:rsidRDefault="005B65D1">
            <w:pPr>
              <w:pStyle w:val="Tabele"/>
              <w:jc w:val="right"/>
              <w:rPr>
                <w:b/>
                <w:color w:val="auto"/>
                <w:sz w:val="12"/>
                <w:szCs w:val="12"/>
              </w:rPr>
            </w:pPr>
            <w:r w:rsidRPr="005B65D1">
              <w:rPr>
                <w:b/>
                <w:color w:val="auto"/>
                <w:sz w:val="12"/>
                <w:szCs w:val="12"/>
              </w:rPr>
              <w:t>1 624,68</w:t>
            </w:r>
          </w:p>
        </w:tc>
        <w:tc>
          <w:tcPr>
            <w:tcW w:w="772" w:type="dxa"/>
            <w:shd w:val="clear" w:color="auto" w:fill="C5E0B3"/>
          </w:tcPr>
          <w:p w14:paraId="04B98F17" w14:textId="77777777" w:rsidR="005B65D1" w:rsidRPr="005B65D1" w:rsidRDefault="005B65D1">
            <w:pPr>
              <w:pStyle w:val="Tabele"/>
              <w:jc w:val="right"/>
              <w:rPr>
                <w:b/>
                <w:color w:val="auto"/>
                <w:sz w:val="12"/>
                <w:szCs w:val="12"/>
              </w:rPr>
            </w:pPr>
            <w:r w:rsidRPr="005B65D1">
              <w:rPr>
                <w:b/>
                <w:color w:val="auto"/>
                <w:sz w:val="12"/>
                <w:szCs w:val="12"/>
              </w:rPr>
              <w:t>1 532,11</w:t>
            </w:r>
          </w:p>
        </w:tc>
        <w:tc>
          <w:tcPr>
            <w:tcW w:w="773" w:type="dxa"/>
          </w:tcPr>
          <w:p w14:paraId="5DB31C0D" w14:textId="77777777" w:rsidR="005B65D1" w:rsidRPr="005B65D1" w:rsidRDefault="005B65D1">
            <w:pPr>
              <w:pStyle w:val="Tabele"/>
              <w:jc w:val="right"/>
              <w:rPr>
                <w:b/>
                <w:bCs/>
                <w:color w:val="auto"/>
                <w:sz w:val="12"/>
                <w:szCs w:val="12"/>
                <w:highlight w:val="yellow"/>
              </w:rPr>
            </w:pPr>
            <w:r w:rsidRPr="005B65D1">
              <w:rPr>
                <w:b/>
                <w:color w:val="auto"/>
                <w:sz w:val="12"/>
                <w:szCs w:val="12"/>
              </w:rPr>
              <w:t>1 403,45</w:t>
            </w:r>
          </w:p>
        </w:tc>
        <w:tc>
          <w:tcPr>
            <w:tcW w:w="772" w:type="dxa"/>
          </w:tcPr>
          <w:p w14:paraId="3B480F7E" w14:textId="77777777" w:rsidR="005B65D1" w:rsidRPr="005B65D1" w:rsidRDefault="005B65D1">
            <w:pPr>
              <w:pStyle w:val="Tabele"/>
              <w:jc w:val="right"/>
              <w:rPr>
                <w:b/>
                <w:bCs/>
                <w:color w:val="auto"/>
                <w:sz w:val="12"/>
                <w:szCs w:val="12"/>
                <w:highlight w:val="yellow"/>
              </w:rPr>
            </w:pPr>
            <w:r w:rsidRPr="005B65D1">
              <w:rPr>
                <w:b/>
                <w:color w:val="auto"/>
                <w:sz w:val="12"/>
                <w:szCs w:val="12"/>
              </w:rPr>
              <w:t>1 201,03</w:t>
            </w:r>
          </w:p>
        </w:tc>
        <w:tc>
          <w:tcPr>
            <w:tcW w:w="772" w:type="dxa"/>
          </w:tcPr>
          <w:p w14:paraId="56871669" w14:textId="77777777" w:rsidR="005B65D1" w:rsidRPr="005B65D1" w:rsidRDefault="005B65D1">
            <w:pPr>
              <w:pStyle w:val="Tabele"/>
              <w:jc w:val="right"/>
              <w:rPr>
                <w:b/>
                <w:bCs/>
                <w:color w:val="auto"/>
                <w:sz w:val="12"/>
                <w:szCs w:val="12"/>
                <w:highlight w:val="yellow"/>
              </w:rPr>
            </w:pPr>
            <w:r w:rsidRPr="005B65D1">
              <w:rPr>
                <w:b/>
                <w:color w:val="auto"/>
                <w:sz w:val="12"/>
                <w:szCs w:val="12"/>
              </w:rPr>
              <w:t>1 062,99</w:t>
            </w:r>
          </w:p>
        </w:tc>
        <w:tc>
          <w:tcPr>
            <w:tcW w:w="773" w:type="dxa"/>
          </w:tcPr>
          <w:p w14:paraId="1773987B" w14:textId="77777777" w:rsidR="005B65D1" w:rsidRPr="005B65D1" w:rsidRDefault="005B65D1">
            <w:pPr>
              <w:pStyle w:val="Tabele"/>
              <w:jc w:val="right"/>
              <w:rPr>
                <w:b/>
                <w:bCs/>
                <w:color w:val="auto"/>
                <w:sz w:val="12"/>
                <w:szCs w:val="12"/>
                <w:highlight w:val="yellow"/>
              </w:rPr>
            </w:pPr>
            <w:r w:rsidRPr="005B65D1">
              <w:rPr>
                <w:b/>
                <w:color w:val="auto"/>
                <w:sz w:val="12"/>
                <w:szCs w:val="12"/>
              </w:rPr>
              <w:t>931,49</w:t>
            </w:r>
          </w:p>
        </w:tc>
      </w:tr>
    </w:tbl>
    <w:p w14:paraId="2663461F" w14:textId="716CFD92" w:rsidR="005C4144" w:rsidRPr="005525FC" w:rsidRDefault="005C4144" w:rsidP="005B65D1">
      <w:pPr>
        <w:pStyle w:val="Legenda"/>
        <w:keepNext/>
      </w:pPr>
      <w:r w:rsidRPr="00BB1158">
        <w:t>Źródło: Opracowanie własne KOBIZE, IOŚ</w:t>
      </w:r>
      <w:r w:rsidR="005B65D1" w:rsidRPr="00BB1158">
        <w:t>-</w:t>
      </w:r>
      <w:r w:rsidRPr="00BB1158">
        <w:t>-PIB</w:t>
      </w:r>
    </w:p>
    <w:p w14:paraId="49CAA848" w14:textId="520AB1FF" w:rsidR="00676A31" w:rsidRPr="00421D00" w:rsidRDefault="00676A31" w:rsidP="00676A31">
      <w:bookmarkStart w:id="56" w:name="_Ref158189597"/>
      <w:bookmarkStart w:id="57" w:name="_Toc167442085"/>
      <w:bookmarkStart w:id="58" w:name="_Toc171587166"/>
      <w:bookmarkStart w:id="59" w:name="_Toc174710950"/>
      <w:r w:rsidRPr="003C6A63">
        <w:rPr>
          <w:b/>
        </w:rPr>
        <w:t>Prognozowana emisja metanu</w:t>
      </w:r>
      <w:r w:rsidRPr="008041DA">
        <w:rPr>
          <w:b/>
        </w:rPr>
        <w:t xml:space="preserve"> stopniowo zmniejsza</w:t>
      </w:r>
      <w:r w:rsidRPr="00295F8A">
        <w:t xml:space="preserve"> </w:t>
      </w:r>
      <w:r w:rsidR="00160ECD" w:rsidRPr="008041DA">
        <w:rPr>
          <w:b/>
        </w:rPr>
        <w:t>się</w:t>
      </w:r>
      <w:r w:rsidR="00160ECD" w:rsidRPr="00295F8A">
        <w:t xml:space="preserve"> </w:t>
      </w:r>
      <w:r w:rsidRPr="00295F8A">
        <w:t>z ok. 2,5 mln ton w 1990 r. do blisko 1,2 mln ton CH</w:t>
      </w:r>
      <w:r w:rsidRPr="00295F8A">
        <w:rPr>
          <w:vertAlign w:val="subscript"/>
        </w:rPr>
        <w:t>4</w:t>
      </w:r>
      <w:r w:rsidRPr="00295F8A">
        <w:t xml:space="preserve"> w 2030 r. (spadek o 5</w:t>
      </w:r>
      <w:r>
        <w:t>3</w:t>
      </w:r>
      <w:r w:rsidRPr="00295F8A">
        <w:t>%)</w:t>
      </w:r>
      <w:r w:rsidR="00E651F6">
        <w:t xml:space="preserve"> i </w:t>
      </w:r>
      <w:r>
        <w:t>0,9 mln ton CH</w:t>
      </w:r>
      <w:r w:rsidRPr="00D97F6C">
        <w:rPr>
          <w:vertAlign w:val="subscript"/>
        </w:rPr>
        <w:t>4</w:t>
      </w:r>
      <w:r>
        <w:t xml:space="preserve"> w 2040 r. (spadek o </w:t>
      </w:r>
      <w:r w:rsidR="0050121A">
        <w:t>63</w:t>
      </w:r>
      <w:r>
        <w:t>%)</w:t>
      </w:r>
      <w:r w:rsidR="00E651F6">
        <w:t xml:space="preserve"> </w:t>
      </w:r>
      <w:r w:rsidRPr="00295F8A">
        <w:t>(bez LULUCF).</w:t>
      </w:r>
      <w:r w:rsidRPr="00421D00">
        <w:t xml:space="preserve"> Największa spodziewana redukcja emisji CH</w:t>
      </w:r>
      <w:r w:rsidRPr="00421D00">
        <w:rPr>
          <w:vertAlign w:val="subscript"/>
        </w:rPr>
        <w:t>4</w:t>
      </w:r>
      <w:r w:rsidRPr="00421D00">
        <w:t xml:space="preserve"> od 1990 r. wy</w:t>
      </w:r>
      <w:r>
        <w:t>stąpiła w sektorze Odpadów, o 86</w:t>
      </w:r>
      <w:r w:rsidRPr="00421D00">
        <w:t>% w 2030 r.</w:t>
      </w:r>
      <w:r>
        <w:t xml:space="preserve"> i </w:t>
      </w:r>
      <w:r w:rsidR="008A1EA5">
        <w:t>8</w:t>
      </w:r>
      <w:r w:rsidR="00D31AC2">
        <w:t xml:space="preserve">8% </w:t>
      </w:r>
      <w:r>
        <w:t>w</w:t>
      </w:r>
      <w:r w:rsidR="006E236D">
        <w:t> </w:t>
      </w:r>
      <w:r>
        <w:t>2040 r</w:t>
      </w:r>
      <w:r w:rsidRPr="00421D00">
        <w:t xml:space="preserve">., co jest spowodowane prognozowanym zmniejszeniem ilości odpadów </w:t>
      </w:r>
      <w:r>
        <w:t>deponowanych</w:t>
      </w:r>
      <w:r w:rsidRPr="00421D00">
        <w:t xml:space="preserve"> na składowiskach (w tym redukcją ilości odpadów ulegających biodegradacji) oraz wzrostem zagospodarowania osadów ściekowych z oczyszczalni ścieków komunalnych.</w:t>
      </w:r>
    </w:p>
    <w:p w14:paraId="7EA6A459" w14:textId="04719FA1" w:rsidR="00676A31" w:rsidRDefault="00676A31" w:rsidP="00676A31">
      <w:r w:rsidRPr="008041DA">
        <w:rPr>
          <w:b/>
        </w:rPr>
        <w:t>Spadek emisji CH</w:t>
      </w:r>
      <w:r w:rsidRPr="008041DA">
        <w:rPr>
          <w:b/>
          <w:vertAlign w:val="subscript"/>
        </w:rPr>
        <w:t>4</w:t>
      </w:r>
      <w:r w:rsidRPr="008041DA">
        <w:rPr>
          <w:b/>
        </w:rPr>
        <w:t xml:space="preserve"> </w:t>
      </w:r>
      <w:r w:rsidRPr="00295F8A">
        <w:t xml:space="preserve">od 1990 </w:t>
      </w:r>
      <w:r w:rsidR="00BE2ED8">
        <w:t xml:space="preserve">r. </w:t>
      </w:r>
      <w:r w:rsidRPr="00295F8A">
        <w:t>prognozowany jest także w sektorze Energii, przede wszystkim w emisji lotnej: o </w:t>
      </w:r>
      <w:r w:rsidR="007D4006">
        <w:t>46</w:t>
      </w:r>
      <w:r w:rsidRPr="00295F8A">
        <w:t>% w 2030 r.</w:t>
      </w:r>
      <w:r w:rsidR="000D68DD">
        <w:t xml:space="preserve"> i </w:t>
      </w:r>
      <w:r>
        <w:t xml:space="preserve">o </w:t>
      </w:r>
      <w:r w:rsidR="007D4006">
        <w:t>69</w:t>
      </w:r>
      <w:r>
        <w:t>% w 2040 r</w:t>
      </w:r>
      <w:r w:rsidRPr="00295F8A">
        <w:t>., co jest spowodowane głównie dalszym spadkiem wydobycia węgla.</w:t>
      </w:r>
      <w:r>
        <w:t xml:space="preserve"> W </w:t>
      </w:r>
      <w:r w:rsidRPr="002C451B">
        <w:t xml:space="preserve">przypadku rolnictwa, </w:t>
      </w:r>
      <w:r>
        <w:t>prognozowana jest</w:t>
      </w:r>
      <w:r w:rsidRPr="002C451B">
        <w:t xml:space="preserve"> znacząc</w:t>
      </w:r>
      <w:r>
        <w:t>a</w:t>
      </w:r>
      <w:r w:rsidRPr="002C451B">
        <w:t xml:space="preserve"> redukcj</w:t>
      </w:r>
      <w:r>
        <w:t>a</w:t>
      </w:r>
      <w:r w:rsidRPr="002C451B">
        <w:t xml:space="preserve"> emisji metanu od 1990</w:t>
      </w:r>
      <w:r>
        <w:t> r.</w:t>
      </w:r>
      <w:r w:rsidRPr="002C451B">
        <w:t>:</w:t>
      </w:r>
      <w:r>
        <w:t xml:space="preserve"> o </w:t>
      </w:r>
      <w:r w:rsidRPr="002C451B">
        <w:t>3</w:t>
      </w:r>
      <w:r>
        <w:t>6</w:t>
      </w:r>
      <w:r w:rsidRPr="002C451B">
        <w:t>% do 2030</w:t>
      </w:r>
      <w:r>
        <w:t> r.</w:t>
      </w:r>
      <w:r w:rsidR="000D68DD">
        <w:t xml:space="preserve"> i</w:t>
      </w:r>
      <w:r>
        <w:t xml:space="preserve"> o </w:t>
      </w:r>
      <w:r w:rsidR="00805BE4">
        <w:t>39</w:t>
      </w:r>
      <w:r>
        <w:t>% w 2040 r.</w:t>
      </w:r>
      <w:r w:rsidR="000D68DD">
        <w:t xml:space="preserve">, </w:t>
      </w:r>
      <w:r w:rsidRPr="002C451B">
        <w:t>do czego przyczyniają się przede wszystkim zmiany</w:t>
      </w:r>
      <w:r>
        <w:t xml:space="preserve"> w chowie i hodowli</w:t>
      </w:r>
      <w:r w:rsidRPr="002C451B">
        <w:t xml:space="preserve"> zwierząt gospodarskich.</w:t>
      </w:r>
    </w:p>
    <w:p w14:paraId="59FBF480" w14:textId="0946BA52" w:rsidR="00676A31" w:rsidRDefault="00676A31" w:rsidP="00676A31">
      <w:r>
        <w:t xml:space="preserve">Udział metanu w emisji krajowej </w:t>
      </w:r>
      <w:r w:rsidR="00342F17">
        <w:t xml:space="preserve">GHG </w:t>
      </w:r>
      <w:r w:rsidRPr="008E1882">
        <w:t>wzrośnie</w:t>
      </w:r>
      <w:r>
        <w:t xml:space="preserve"> z </w:t>
      </w:r>
      <w:r w:rsidRPr="008E1882">
        <w:t>13%</w:t>
      </w:r>
      <w:r>
        <w:t xml:space="preserve"> w </w:t>
      </w:r>
      <w:r w:rsidRPr="008E1882">
        <w:t>2030</w:t>
      </w:r>
      <w:r>
        <w:t> r.</w:t>
      </w:r>
      <w:r w:rsidR="000D68DD">
        <w:t xml:space="preserve"> i</w:t>
      </w:r>
      <w:r>
        <w:t xml:space="preserve"> do 16% w 2040 r</w:t>
      </w:r>
      <w:r w:rsidR="000D68DD">
        <w:t>.</w:t>
      </w:r>
    </w:p>
    <w:p w14:paraId="31DFAA3E" w14:textId="1605A175" w:rsidR="00676A31" w:rsidRPr="002C451B" w:rsidRDefault="00676A31" w:rsidP="00676A31">
      <w:r w:rsidRPr="00295F8A">
        <w:t xml:space="preserve">Prognozowane zmiany emisji w sektorach </w:t>
      </w:r>
      <w:r w:rsidRPr="00295F8A">
        <w:rPr>
          <w:rFonts w:cs="Calibri"/>
        </w:rPr>
        <w:t>EU ETS</w:t>
      </w:r>
      <w:r w:rsidRPr="00295F8A">
        <w:t xml:space="preserve"> i non-ETS przedstawiono w tabeli (</w:t>
      </w:r>
      <w:r w:rsidR="00C24AC9">
        <w:fldChar w:fldCharType="begin"/>
      </w:r>
      <w:r w:rsidR="00C24AC9">
        <w:instrText xml:space="preserve"> REF _Ref196748958 \h </w:instrText>
      </w:r>
      <w:r w:rsidR="00C24AC9">
        <w:fldChar w:fldCharType="separate"/>
      </w:r>
      <w:r w:rsidR="00F27D6F" w:rsidRPr="0031450A">
        <w:t xml:space="preserve">Tabela </w:t>
      </w:r>
      <w:r w:rsidR="00F27D6F">
        <w:rPr>
          <w:noProof/>
        </w:rPr>
        <w:t>1</w:t>
      </w:r>
      <w:r w:rsidR="00F27D6F">
        <w:t>.</w:t>
      </w:r>
      <w:r w:rsidR="00F27D6F">
        <w:rPr>
          <w:noProof/>
        </w:rPr>
        <w:t>7</w:t>
      </w:r>
      <w:r w:rsidR="00C24AC9">
        <w:fldChar w:fldCharType="end"/>
      </w:r>
      <w:r w:rsidRPr="00295F8A">
        <w:t>). Emisja gazów cieplarnianych z tej części źródeł, które są objęte EU ETS, obejmuje energetykę i ciepłownictwo oraz część zakładów przemysłowych. Prognozuje się znaczący spadek emisji GHG raportowanych przez instalacje objęte systemem EU ETS: z</w:t>
      </w:r>
      <w:r>
        <w:t>e</w:t>
      </w:r>
      <w:r w:rsidRPr="00295F8A">
        <w:t> 192 mln ton CO</w:t>
      </w:r>
      <w:r w:rsidRPr="00295F8A">
        <w:rPr>
          <w:vertAlign w:val="subscript"/>
        </w:rPr>
        <w:t>2</w:t>
      </w:r>
      <w:r w:rsidRPr="00295F8A">
        <w:t xml:space="preserve">eq w 2021 </w:t>
      </w:r>
      <w:r>
        <w:t xml:space="preserve">r. (184 mln ton </w:t>
      </w:r>
      <w:r w:rsidRPr="00295F8A">
        <w:t>CO</w:t>
      </w:r>
      <w:r w:rsidRPr="00295F8A">
        <w:rPr>
          <w:vertAlign w:val="subscript"/>
        </w:rPr>
        <w:t>2</w:t>
      </w:r>
      <w:r w:rsidRPr="00295F8A">
        <w:t xml:space="preserve">eq </w:t>
      </w:r>
      <w:r>
        <w:t xml:space="preserve">w 2022 r.) </w:t>
      </w:r>
      <w:r w:rsidRPr="00295F8A">
        <w:t>do 10</w:t>
      </w:r>
      <w:r>
        <w:t>2</w:t>
      </w:r>
      <w:r w:rsidRPr="00295F8A">
        <w:t xml:space="preserve"> mln ton CO</w:t>
      </w:r>
      <w:r w:rsidRPr="00295F8A">
        <w:rPr>
          <w:vertAlign w:val="subscript"/>
        </w:rPr>
        <w:t>2</w:t>
      </w:r>
      <w:r>
        <w:t>eq w 2030 r. (spadek o 47</w:t>
      </w:r>
      <w:r w:rsidRPr="00295F8A">
        <w:t>%)</w:t>
      </w:r>
      <w:r w:rsidR="009045D6">
        <w:t xml:space="preserve"> i</w:t>
      </w:r>
      <w:r>
        <w:t xml:space="preserve"> do 37 mln ton </w:t>
      </w:r>
      <w:r w:rsidRPr="00295F8A">
        <w:t>CO</w:t>
      </w:r>
      <w:r w:rsidRPr="00295F8A">
        <w:rPr>
          <w:vertAlign w:val="subscript"/>
        </w:rPr>
        <w:t>2</w:t>
      </w:r>
      <w:r w:rsidRPr="00295F8A">
        <w:t>eq</w:t>
      </w:r>
      <w:r>
        <w:t xml:space="preserve"> w 2040 r. (spadek o </w:t>
      </w:r>
      <w:r w:rsidR="0077030C">
        <w:t>81</w:t>
      </w:r>
      <w:r>
        <w:t>%)</w:t>
      </w:r>
      <w:r w:rsidR="004E3B51">
        <w:t>.</w:t>
      </w:r>
      <w:r w:rsidRPr="00295F8A">
        <w:t xml:space="preserve"> Jednocześnie prognozowany jest spadek udziału emisji GHG z instalacji objętych EU ETS w emisji krajowej</w:t>
      </w:r>
      <w:r w:rsidR="003265CC">
        <w:t xml:space="preserve"> (</w:t>
      </w:r>
      <w:r w:rsidR="009357B6">
        <w:t>obejmującej</w:t>
      </w:r>
      <w:r w:rsidR="003265CC">
        <w:t xml:space="preserve"> sektor EU ETS oraz non-ETS)</w:t>
      </w:r>
      <w:r w:rsidRPr="00295F8A">
        <w:t xml:space="preserve"> </w:t>
      </w:r>
      <w:r w:rsidRPr="00295F8A">
        <w:rPr>
          <w:rFonts w:cs="Arial"/>
        </w:rPr>
        <w:t>–</w:t>
      </w:r>
      <w:r w:rsidRPr="00295F8A">
        <w:t xml:space="preserve"> z obecnych 48% do 40% w 2030 r.</w:t>
      </w:r>
      <w:r w:rsidR="00CA41AD">
        <w:t xml:space="preserve"> i</w:t>
      </w:r>
      <w:r>
        <w:t xml:space="preserve"> 26% w 2040 </w:t>
      </w:r>
      <w:r w:rsidR="00876A1A">
        <w:t> </w:t>
      </w:r>
      <w:r>
        <w:t xml:space="preserve">r. </w:t>
      </w:r>
    </w:p>
    <w:p w14:paraId="6C92DAE5" w14:textId="679AFAAD" w:rsidR="00676A31" w:rsidRPr="003A53F8" w:rsidRDefault="008D0737" w:rsidP="00676A31">
      <w:r>
        <w:t>E</w:t>
      </w:r>
      <w:r w:rsidR="00676A31" w:rsidRPr="006C2154">
        <w:t xml:space="preserve">misja GHG z sektorów nieobjętych EU ETS, </w:t>
      </w:r>
      <w:r w:rsidR="003378A7">
        <w:t>natomiast</w:t>
      </w:r>
      <w:r w:rsidR="0019635F">
        <w:t xml:space="preserve"> objętych wspólnym </w:t>
      </w:r>
      <w:r w:rsidR="0065084F">
        <w:t xml:space="preserve">wysiłkiem redukcyjnym </w:t>
      </w:r>
      <w:r w:rsidR="006904D8">
        <w:t>(</w:t>
      </w:r>
      <w:r w:rsidR="0065084F">
        <w:t xml:space="preserve">na podstawie </w:t>
      </w:r>
      <w:r w:rsidR="00A677B0">
        <w:t xml:space="preserve">rozporządzenia </w:t>
      </w:r>
      <w:r w:rsidR="00676A31" w:rsidRPr="006C2154">
        <w:t>ESR</w:t>
      </w:r>
      <w:r w:rsidR="006904D8">
        <w:t>)</w:t>
      </w:r>
      <w:r w:rsidR="00676A31" w:rsidRPr="006C2154">
        <w:t>, również spada: z 207 mln ton CO</w:t>
      </w:r>
      <w:r w:rsidR="00676A31" w:rsidRPr="006C2154">
        <w:rPr>
          <w:vertAlign w:val="subscript"/>
        </w:rPr>
        <w:t>2</w:t>
      </w:r>
      <w:r w:rsidR="00676A31" w:rsidRPr="006C2154">
        <w:t>eq</w:t>
      </w:r>
      <w:r w:rsidR="00676A31">
        <w:t xml:space="preserve"> w</w:t>
      </w:r>
      <w:r w:rsidR="00676A31" w:rsidRPr="00812519">
        <w:t xml:space="preserve"> 2021 r. </w:t>
      </w:r>
      <w:r w:rsidR="00676A31">
        <w:t xml:space="preserve">(196 mln ton </w:t>
      </w:r>
      <w:r w:rsidR="00676A31" w:rsidRPr="002A18CF">
        <w:t>CO</w:t>
      </w:r>
      <w:r w:rsidR="00676A31" w:rsidRPr="002A18CF">
        <w:rPr>
          <w:vertAlign w:val="subscript"/>
        </w:rPr>
        <w:t>2</w:t>
      </w:r>
      <w:r w:rsidR="00676A31" w:rsidRPr="002A18CF">
        <w:t>eq</w:t>
      </w:r>
      <w:r w:rsidR="00676A31">
        <w:t xml:space="preserve"> w</w:t>
      </w:r>
      <w:r w:rsidR="005A7164">
        <w:t> </w:t>
      </w:r>
      <w:r w:rsidR="00676A31">
        <w:t xml:space="preserve">2022 r.) do 150 mln ton </w:t>
      </w:r>
      <w:r w:rsidR="00676A31" w:rsidRPr="002A18CF">
        <w:t>CO</w:t>
      </w:r>
      <w:r w:rsidR="00676A31" w:rsidRPr="002A18CF">
        <w:rPr>
          <w:vertAlign w:val="subscript"/>
        </w:rPr>
        <w:t>2</w:t>
      </w:r>
      <w:r w:rsidR="00676A31" w:rsidRPr="002A18CF">
        <w:t>eq</w:t>
      </w:r>
      <w:r w:rsidR="00676A31">
        <w:t xml:space="preserve"> w 2030 r. </w:t>
      </w:r>
      <w:r w:rsidR="00785A49">
        <w:t xml:space="preserve">i </w:t>
      </w:r>
      <w:r w:rsidR="00676A31">
        <w:t xml:space="preserve">do blisko 106 mln ton </w:t>
      </w:r>
      <w:r w:rsidR="00676A31" w:rsidRPr="002A18CF">
        <w:t>CO</w:t>
      </w:r>
      <w:r w:rsidR="00676A31" w:rsidRPr="002A18CF">
        <w:rPr>
          <w:vertAlign w:val="subscript"/>
        </w:rPr>
        <w:t>2</w:t>
      </w:r>
      <w:r w:rsidR="00676A31" w:rsidRPr="002A18CF">
        <w:t>eq</w:t>
      </w:r>
      <w:r w:rsidR="002A532C">
        <w:t xml:space="preserve"> </w:t>
      </w:r>
      <w:r w:rsidR="00676A31">
        <w:t xml:space="preserve">w 2040 r. </w:t>
      </w:r>
      <w:r w:rsidR="00676A31" w:rsidRPr="00295F8A">
        <w:t>Prognozowana emisja w ESR w 20</w:t>
      </w:r>
      <w:r w:rsidR="00676A31">
        <w:t>3</w:t>
      </w:r>
      <w:r w:rsidR="00676A31" w:rsidRPr="00295F8A">
        <w:t xml:space="preserve">0 r. osiągnie redukcję </w:t>
      </w:r>
      <w:r w:rsidR="00676A31" w:rsidRPr="00295F8A">
        <w:rPr>
          <w:rFonts w:cs="Arial"/>
        </w:rPr>
        <w:t>-</w:t>
      </w:r>
      <w:r w:rsidR="00676A31">
        <w:rPr>
          <w:rFonts w:cs="Arial"/>
        </w:rPr>
        <w:t>22</w:t>
      </w:r>
      <w:r w:rsidR="00676A31" w:rsidRPr="00295F8A">
        <w:t xml:space="preserve">% w stosunku do emisji w roku bazowym 2005 co oznacza, </w:t>
      </w:r>
      <w:r w:rsidR="00676A31" w:rsidRPr="00295F8A">
        <w:rPr>
          <w:rFonts w:cs="Lato"/>
        </w:rPr>
        <w:t>ż</w:t>
      </w:r>
      <w:r w:rsidR="00676A31" w:rsidRPr="00295F8A">
        <w:t>e zostanie osiągnięty cel wyznaczony dla Polski w wielko</w:t>
      </w:r>
      <w:r w:rsidR="00676A31" w:rsidRPr="00295F8A">
        <w:rPr>
          <w:rFonts w:cs="Lato"/>
        </w:rPr>
        <w:t>ś</w:t>
      </w:r>
      <w:r w:rsidR="00676A31" w:rsidRPr="00295F8A">
        <w:t xml:space="preserve">ci </w:t>
      </w:r>
      <w:r w:rsidR="00676A31" w:rsidRPr="00295F8A">
        <w:rPr>
          <w:rFonts w:ascii="Arial" w:hAnsi="Arial" w:cs="Arial"/>
        </w:rPr>
        <w:t>-</w:t>
      </w:r>
      <w:r w:rsidR="00676A31" w:rsidRPr="00295F8A">
        <w:t>17,7% (158,4 mln ton CO</w:t>
      </w:r>
      <w:r w:rsidR="00676A31" w:rsidRPr="00295F8A">
        <w:rPr>
          <w:vertAlign w:val="subscript"/>
        </w:rPr>
        <w:t>2</w:t>
      </w:r>
      <w:r w:rsidR="00676A31" w:rsidRPr="00295F8A">
        <w:t>eq).</w:t>
      </w:r>
    </w:p>
    <w:p w14:paraId="30CEE930" w14:textId="5CF6D2E2" w:rsidR="005C4144" w:rsidRDefault="005C4144" w:rsidP="005C4144">
      <w:pPr>
        <w:pStyle w:val="Legenda"/>
        <w:keepNext/>
      </w:pPr>
      <w:bookmarkStart w:id="60" w:name="_Ref195773389"/>
      <w:bookmarkStart w:id="61" w:name="_Ref196748958"/>
      <w:bookmarkStart w:id="62" w:name="_Toc202966952"/>
      <w:r w:rsidRPr="0031450A">
        <w:t xml:space="preserve">Tabela </w:t>
      </w:r>
      <w:bookmarkEnd w:id="60"/>
      <w:r w:rsidR="006C7D6C">
        <w:fldChar w:fldCharType="begin"/>
      </w:r>
      <w:r w:rsidR="006C7D6C">
        <w:instrText xml:space="preserve"> STYLEREF 1 \s </w:instrText>
      </w:r>
      <w:r w:rsidR="006C7D6C">
        <w:fldChar w:fldCharType="separate"/>
      </w:r>
      <w:r w:rsidR="00F27D6F">
        <w:rPr>
          <w:noProof/>
        </w:rPr>
        <w:t>1</w:t>
      </w:r>
      <w:r w:rsidR="006C7D6C">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7</w:t>
      </w:r>
      <w:r w:rsidR="00653D9A">
        <w:rPr>
          <w:noProof/>
        </w:rPr>
        <w:fldChar w:fldCharType="end"/>
      </w:r>
      <w:bookmarkEnd w:id="56"/>
      <w:bookmarkEnd w:id="61"/>
      <w:r w:rsidRPr="0031450A">
        <w:t>. Projekcje emisji gazów cieplarnianych w podziale na ETS i non-ETS, dla scenariusza WAM</w:t>
      </w:r>
      <w:bookmarkEnd w:id="57"/>
      <w:bookmarkEnd w:id="58"/>
      <w:bookmarkEnd w:id="59"/>
      <w:bookmarkEnd w:id="62"/>
    </w:p>
    <w:tbl>
      <w:tblPr>
        <w:tblStyle w:val="KPEiK"/>
        <w:tblW w:w="5000" w:type="pct"/>
        <w:tblLayout w:type="fixed"/>
        <w:tblLook w:val="04A0" w:firstRow="1" w:lastRow="0" w:firstColumn="1" w:lastColumn="0" w:noHBand="0" w:noVBand="1"/>
      </w:tblPr>
      <w:tblGrid>
        <w:gridCol w:w="1264"/>
        <w:gridCol w:w="1114"/>
        <w:gridCol w:w="1114"/>
        <w:gridCol w:w="1114"/>
        <w:gridCol w:w="1114"/>
        <w:gridCol w:w="1114"/>
        <w:gridCol w:w="1114"/>
        <w:gridCol w:w="1114"/>
      </w:tblGrid>
      <w:tr w:rsidR="001734F0" w:rsidRPr="00986966" w14:paraId="66DE792A" w14:textId="77777777" w:rsidTr="004C45DC">
        <w:trPr>
          <w:cnfStyle w:val="100000000000" w:firstRow="1" w:lastRow="0" w:firstColumn="0" w:lastColumn="0" w:oddVBand="0" w:evenVBand="0" w:oddHBand="0" w:evenHBand="0" w:firstRowFirstColumn="0" w:firstRowLastColumn="0" w:lastRowFirstColumn="0" w:lastRowLastColumn="0"/>
          <w:trHeight w:val="235"/>
          <w:tblHeader/>
        </w:trPr>
        <w:tc>
          <w:tcPr>
            <w:tcW w:w="1269" w:type="dxa"/>
            <w:noWrap/>
            <w:hideMark/>
          </w:tcPr>
          <w:p w14:paraId="46690774" w14:textId="77777777" w:rsidR="004C45DC" w:rsidRPr="00986966" w:rsidRDefault="004C45DC">
            <w:pPr>
              <w:pStyle w:val="Tabele"/>
              <w:jc w:val="center"/>
              <w:rPr>
                <w:sz w:val="14"/>
                <w:szCs w:val="14"/>
                <w:lang w:eastAsia="pl-PL"/>
              </w:rPr>
            </w:pPr>
            <w:r w:rsidRPr="00986966">
              <w:rPr>
                <w:sz w:val="14"/>
                <w:szCs w:val="14"/>
                <w:lang w:eastAsia="pl-PL"/>
              </w:rPr>
              <w:t>Parametr</w:t>
            </w:r>
          </w:p>
        </w:tc>
        <w:tc>
          <w:tcPr>
            <w:tcW w:w="1118" w:type="dxa"/>
            <w:noWrap/>
            <w:hideMark/>
          </w:tcPr>
          <w:p w14:paraId="464FCFBF" w14:textId="77777777" w:rsidR="004C45DC" w:rsidRPr="00986966" w:rsidRDefault="004C45DC">
            <w:pPr>
              <w:pStyle w:val="Tabele"/>
              <w:jc w:val="center"/>
              <w:rPr>
                <w:b w:val="0"/>
                <w:sz w:val="14"/>
                <w:szCs w:val="14"/>
                <w:lang w:eastAsia="pl-PL"/>
              </w:rPr>
            </w:pPr>
            <w:r w:rsidRPr="00986966">
              <w:rPr>
                <w:sz w:val="14"/>
                <w:szCs w:val="14"/>
                <w:lang w:eastAsia="pl-PL"/>
              </w:rPr>
              <w:t>2005 (bazowy)*</w:t>
            </w:r>
          </w:p>
        </w:tc>
        <w:tc>
          <w:tcPr>
            <w:tcW w:w="1118" w:type="dxa"/>
            <w:noWrap/>
            <w:hideMark/>
          </w:tcPr>
          <w:p w14:paraId="7EE1ADB9" w14:textId="77777777" w:rsidR="004C45DC" w:rsidRPr="00986966" w:rsidRDefault="004C45DC">
            <w:pPr>
              <w:pStyle w:val="Tabele"/>
              <w:jc w:val="center"/>
              <w:rPr>
                <w:b w:val="0"/>
                <w:sz w:val="14"/>
                <w:szCs w:val="14"/>
                <w:lang w:eastAsia="pl-PL"/>
              </w:rPr>
            </w:pPr>
            <w:r w:rsidRPr="00986966">
              <w:rPr>
                <w:sz w:val="14"/>
                <w:szCs w:val="14"/>
                <w:lang w:eastAsia="pl-PL"/>
              </w:rPr>
              <w:t>2021</w:t>
            </w:r>
          </w:p>
        </w:tc>
        <w:tc>
          <w:tcPr>
            <w:tcW w:w="1118" w:type="dxa"/>
          </w:tcPr>
          <w:p w14:paraId="32D27C28" w14:textId="77777777" w:rsidR="004C45DC" w:rsidRPr="00986966" w:rsidRDefault="004C45DC">
            <w:pPr>
              <w:pStyle w:val="Tabele"/>
              <w:jc w:val="center"/>
              <w:rPr>
                <w:sz w:val="14"/>
                <w:szCs w:val="14"/>
                <w:lang w:eastAsia="pl-PL"/>
              </w:rPr>
            </w:pPr>
            <w:r w:rsidRPr="00986966">
              <w:rPr>
                <w:sz w:val="14"/>
                <w:szCs w:val="14"/>
                <w:lang w:eastAsia="pl-PL"/>
              </w:rPr>
              <w:t>2022</w:t>
            </w:r>
          </w:p>
        </w:tc>
        <w:tc>
          <w:tcPr>
            <w:tcW w:w="1118" w:type="dxa"/>
            <w:noWrap/>
            <w:hideMark/>
          </w:tcPr>
          <w:p w14:paraId="4FF1DE60" w14:textId="77777777" w:rsidR="004C45DC" w:rsidRPr="00986966" w:rsidRDefault="004C45DC">
            <w:pPr>
              <w:pStyle w:val="Tabele"/>
              <w:jc w:val="center"/>
              <w:rPr>
                <w:b w:val="0"/>
                <w:sz w:val="14"/>
                <w:szCs w:val="14"/>
                <w:lang w:eastAsia="pl-PL"/>
              </w:rPr>
            </w:pPr>
            <w:r w:rsidRPr="00986966">
              <w:rPr>
                <w:sz w:val="14"/>
                <w:szCs w:val="14"/>
                <w:lang w:eastAsia="pl-PL"/>
              </w:rPr>
              <w:t>2025</w:t>
            </w:r>
          </w:p>
        </w:tc>
        <w:tc>
          <w:tcPr>
            <w:tcW w:w="1118" w:type="dxa"/>
            <w:noWrap/>
            <w:hideMark/>
          </w:tcPr>
          <w:p w14:paraId="0CECEC88" w14:textId="77777777" w:rsidR="004C45DC" w:rsidRPr="00986966" w:rsidRDefault="004C45DC">
            <w:pPr>
              <w:pStyle w:val="Tabele"/>
              <w:jc w:val="center"/>
              <w:rPr>
                <w:b w:val="0"/>
                <w:sz w:val="14"/>
                <w:szCs w:val="14"/>
                <w:lang w:eastAsia="pl-PL"/>
              </w:rPr>
            </w:pPr>
            <w:r w:rsidRPr="00986966">
              <w:rPr>
                <w:sz w:val="14"/>
                <w:szCs w:val="14"/>
                <w:lang w:eastAsia="pl-PL"/>
              </w:rPr>
              <w:t>2030</w:t>
            </w:r>
          </w:p>
        </w:tc>
        <w:tc>
          <w:tcPr>
            <w:tcW w:w="1118" w:type="dxa"/>
            <w:noWrap/>
            <w:hideMark/>
          </w:tcPr>
          <w:p w14:paraId="783AE735" w14:textId="77777777" w:rsidR="004C45DC" w:rsidRPr="00986966" w:rsidRDefault="004C45DC">
            <w:pPr>
              <w:pStyle w:val="Tabele"/>
              <w:jc w:val="center"/>
              <w:rPr>
                <w:b w:val="0"/>
                <w:sz w:val="14"/>
                <w:szCs w:val="14"/>
                <w:lang w:eastAsia="pl-PL"/>
              </w:rPr>
            </w:pPr>
            <w:r w:rsidRPr="00986966">
              <w:rPr>
                <w:sz w:val="14"/>
                <w:szCs w:val="14"/>
                <w:lang w:eastAsia="pl-PL"/>
              </w:rPr>
              <w:t>2035</w:t>
            </w:r>
          </w:p>
        </w:tc>
        <w:tc>
          <w:tcPr>
            <w:tcW w:w="1118" w:type="dxa"/>
            <w:hideMark/>
          </w:tcPr>
          <w:p w14:paraId="06C4D93D" w14:textId="77777777" w:rsidR="004C45DC" w:rsidRPr="00986966" w:rsidRDefault="004C45DC">
            <w:pPr>
              <w:pStyle w:val="Tabele"/>
              <w:jc w:val="center"/>
              <w:rPr>
                <w:b w:val="0"/>
                <w:sz w:val="14"/>
                <w:szCs w:val="14"/>
                <w:lang w:eastAsia="pl-PL"/>
              </w:rPr>
            </w:pPr>
            <w:r w:rsidRPr="00986966">
              <w:rPr>
                <w:sz w:val="14"/>
                <w:szCs w:val="14"/>
                <w:lang w:eastAsia="pl-PL"/>
              </w:rPr>
              <w:t>2040</w:t>
            </w:r>
          </w:p>
        </w:tc>
      </w:tr>
      <w:tr w:rsidR="004C45DC" w:rsidRPr="00986966" w14:paraId="149AB67F" w14:textId="77777777" w:rsidTr="004C45DC">
        <w:trPr>
          <w:trHeight w:val="235"/>
        </w:trPr>
        <w:tc>
          <w:tcPr>
            <w:tcW w:w="1269" w:type="dxa"/>
            <w:noWrap/>
          </w:tcPr>
          <w:p w14:paraId="7FDB3059" w14:textId="77777777" w:rsidR="004C45DC" w:rsidRPr="004C45DC" w:rsidRDefault="004C45DC">
            <w:pPr>
              <w:pStyle w:val="Tabele"/>
              <w:jc w:val="both"/>
              <w:rPr>
                <w:color w:val="auto"/>
                <w:sz w:val="14"/>
                <w:szCs w:val="14"/>
                <w:lang w:eastAsia="pl-PL"/>
              </w:rPr>
            </w:pPr>
            <w:r w:rsidRPr="004C45DC">
              <w:rPr>
                <w:color w:val="auto"/>
                <w:sz w:val="14"/>
                <w:szCs w:val="14"/>
                <w:lang w:eastAsia="pl-PL"/>
              </w:rPr>
              <w:t>Emisja w ETS [kt CO</w:t>
            </w:r>
            <w:r w:rsidRPr="004C45DC">
              <w:rPr>
                <w:color w:val="auto"/>
                <w:sz w:val="14"/>
                <w:szCs w:val="14"/>
                <w:vertAlign w:val="subscript"/>
                <w:lang w:eastAsia="pl-PL"/>
              </w:rPr>
              <w:t>2</w:t>
            </w:r>
            <w:r w:rsidRPr="004C45DC">
              <w:rPr>
                <w:color w:val="auto"/>
                <w:sz w:val="14"/>
                <w:szCs w:val="14"/>
                <w:lang w:eastAsia="pl-PL"/>
              </w:rPr>
              <w:t>eq]</w:t>
            </w:r>
          </w:p>
        </w:tc>
        <w:tc>
          <w:tcPr>
            <w:tcW w:w="1118" w:type="dxa"/>
            <w:shd w:val="clear" w:color="auto" w:fill="C5E0B3"/>
            <w:noWrap/>
          </w:tcPr>
          <w:p w14:paraId="16DABC59" w14:textId="77777777" w:rsidR="004C45DC" w:rsidRPr="004C45DC" w:rsidRDefault="004C45DC">
            <w:pPr>
              <w:pStyle w:val="Tabele"/>
              <w:jc w:val="right"/>
              <w:rPr>
                <w:color w:val="auto"/>
                <w:sz w:val="14"/>
                <w:szCs w:val="14"/>
                <w:lang w:eastAsia="pl-PL"/>
              </w:rPr>
            </w:pPr>
            <w:r w:rsidRPr="004C45DC">
              <w:rPr>
                <w:color w:val="auto"/>
                <w:sz w:val="14"/>
                <w:szCs w:val="14"/>
              </w:rPr>
              <w:t>-</w:t>
            </w:r>
          </w:p>
        </w:tc>
        <w:tc>
          <w:tcPr>
            <w:tcW w:w="1118" w:type="dxa"/>
            <w:shd w:val="clear" w:color="auto" w:fill="C5E0B3"/>
            <w:noWrap/>
          </w:tcPr>
          <w:p w14:paraId="6078591A" w14:textId="77777777" w:rsidR="004C45DC" w:rsidRPr="004C45DC" w:rsidRDefault="004C45DC">
            <w:pPr>
              <w:pStyle w:val="Tabele"/>
              <w:jc w:val="right"/>
              <w:rPr>
                <w:color w:val="auto"/>
                <w:sz w:val="14"/>
                <w:szCs w:val="14"/>
                <w:lang w:eastAsia="pl-PL"/>
              </w:rPr>
            </w:pPr>
            <w:r w:rsidRPr="004C45DC">
              <w:rPr>
                <w:color w:val="auto"/>
                <w:sz w:val="14"/>
                <w:szCs w:val="14"/>
              </w:rPr>
              <w:t>192 032,91</w:t>
            </w:r>
          </w:p>
        </w:tc>
        <w:tc>
          <w:tcPr>
            <w:tcW w:w="1118" w:type="dxa"/>
            <w:shd w:val="clear" w:color="auto" w:fill="C5E0B3" w:themeFill="accent6" w:themeFillTint="66"/>
          </w:tcPr>
          <w:p w14:paraId="03FF322F" w14:textId="77777777" w:rsidR="004C45DC" w:rsidRPr="004C45DC" w:rsidRDefault="004C45DC">
            <w:pPr>
              <w:pStyle w:val="Tabele"/>
              <w:jc w:val="right"/>
              <w:rPr>
                <w:rFonts w:cs="Calibri"/>
                <w:color w:val="auto"/>
                <w:sz w:val="14"/>
                <w:szCs w:val="14"/>
              </w:rPr>
            </w:pPr>
            <w:r w:rsidRPr="004C45DC">
              <w:rPr>
                <w:color w:val="auto"/>
                <w:sz w:val="14"/>
                <w:szCs w:val="14"/>
              </w:rPr>
              <w:t>184 145,85</w:t>
            </w:r>
          </w:p>
        </w:tc>
        <w:tc>
          <w:tcPr>
            <w:tcW w:w="1118" w:type="dxa"/>
            <w:noWrap/>
          </w:tcPr>
          <w:p w14:paraId="7034F296" w14:textId="77777777" w:rsidR="004C45DC" w:rsidRPr="004C45DC" w:rsidRDefault="004C45DC">
            <w:pPr>
              <w:pStyle w:val="Tabele"/>
              <w:jc w:val="right"/>
              <w:rPr>
                <w:color w:val="auto"/>
                <w:sz w:val="14"/>
                <w:szCs w:val="14"/>
                <w:lang w:eastAsia="pl-PL"/>
              </w:rPr>
            </w:pPr>
            <w:r w:rsidRPr="004C45DC">
              <w:rPr>
                <w:color w:val="auto"/>
                <w:sz w:val="14"/>
                <w:szCs w:val="14"/>
              </w:rPr>
              <w:t>153 001.50</w:t>
            </w:r>
          </w:p>
        </w:tc>
        <w:tc>
          <w:tcPr>
            <w:tcW w:w="1118" w:type="dxa"/>
            <w:noWrap/>
          </w:tcPr>
          <w:p w14:paraId="3A4B6991" w14:textId="77777777" w:rsidR="004C45DC" w:rsidRPr="004C45DC" w:rsidRDefault="004C45DC">
            <w:pPr>
              <w:pStyle w:val="Tabele"/>
              <w:jc w:val="right"/>
              <w:rPr>
                <w:color w:val="auto"/>
                <w:sz w:val="14"/>
                <w:szCs w:val="14"/>
                <w:lang w:eastAsia="pl-PL"/>
              </w:rPr>
            </w:pPr>
            <w:r w:rsidRPr="004C45DC">
              <w:rPr>
                <w:color w:val="auto"/>
                <w:sz w:val="14"/>
                <w:szCs w:val="14"/>
              </w:rPr>
              <w:t>102 410.43</w:t>
            </w:r>
          </w:p>
        </w:tc>
        <w:tc>
          <w:tcPr>
            <w:tcW w:w="1118" w:type="dxa"/>
            <w:noWrap/>
          </w:tcPr>
          <w:p w14:paraId="7A1DA9ED" w14:textId="77777777" w:rsidR="004C45DC" w:rsidRPr="004C45DC" w:rsidRDefault="004C45DC">
            <w:pPr>
              <w:pStyle w:val="Tabele"/>
              <w:jc w:val="right"/>
              <w:rPr>
                <w:color w:val="auto"/>
                <w:sz w:val="14"/>
                <w:szCs w:val="14"/>
                <w:lang w:eastAsia="pl-PL"/>
              </w:rPr>
            </w:pPr>
            <w:r w:rsidRPr="004C45DC">
              <w:rPr>
                <w:color w:val="auto"/>
                <w:sz w:val="14"/>
                <w:szCs w:val="14"/>
              </w:rPr>
              <w:t>63 527.52</w:t>
            </w:r>
          </w:p>
        </w:tc>
        <w:tc>
          <w:tcPr>
            <w:tcW w:w="1118" w:type="dxa"/>
            <w:noWrap/>
          </w:tcPr>
          <w:p w14:paraId="5F0CE986" w14:textId="77777777" w:rsidR="004C45DC" w:rsidRPr="004C45DC" w:rsidRDefault="004C45DC">
            <w:pPr>
              <w:pStyle w:val="Tabele"/>
              <w:jc w:val="right"/>
              <w:rPr>
                <w:color w:val="auto"/>
                <w:sz w:val="14"/>
                <w:szCs w:val="14"/>
                <w:lang w:eastAsia="pl-PL"/>
              </w:rPr>
            </w:pPr>
            <w:r w:rsidRPr="004C45DC">
              <w:rPr>
                <w:color w:val="auto"/>
                <w:sz w:val="14"/>
                <w:szCs w:val="14"/>
              </w:rPr>
              <w:t>37 043.24</w:t>
            </w:r>
          </w:p>
        </w:tc>
      </w:tr>
      <w:tr w:rsidR="004C45DC" w:rsidRPr="00986966" w14:paraId="5E9AA9D9" w14:textId="77777777" w:rsidTr="004C45DC">
        <w:trPr>
          <w:trHeight w:val="235"/>
        </w:trPr>
        <w:tc>
          <w:tcPr>
            <w:tcW w:w="1269" w:type="dxa"/>
            <w:noWrap/>
            <w:hideMark/>
          </w:tcPr>
          <w:p w14:paraId="0E57E814" w14:textId="77777777" w:rsidR="004C45DC" w:rsidRPr="004C45DC" w:rsidRDefault="004C45DC">
            <w:pPr>
              <w:pStyle w:val="Tabele"/>
              <w:jc w:val="both"/>
              <w:rPr>
                <w:color w:val="auto"/>
                <w:sz w:val="14"/>
                <w:szCs w:val="14"/>
                <w:lang w:eastAsia="pl-PL"/>
              </w:rPr>
            </w:pPr>
            <w:r w:rsidRPr="004C45DC">
              <w:rPr>
                <w:color w:val="auto"/>
                <w:sz w:val="14"/>
                <w:szCs w:val="14"/>
                <w:lang w:eastAsia="pl-PL"/>
              </w:rPr>
              <w:t>Emisja w ESR [kt CO</w:t>
            </w:r>
            <w:r w:rsidRPr="004C45DC">
              <w:rPr>
                <w:color w:val="auto"/>
                <w:sz w:val="14"/>
                <w:szCs w:val="14"/>
                <w:vertAlign w:val="subscript"/>
                <w:lang w:eastAsia="pl-PL"/>
              </w:rPr>
              <w:t>2</w:t>
            </w:r>
            <w:r w:rsidRPr="004C45DC">
              <w:rPr>
                <w:color w:val="auto"/>
                <w:sz w:val="14"/>
                <w:szCs w:val="14"/>
                <w:lang w:eastAsia="pl-PL"/>
              </w:rPr>
              <w:t>eq]</w:t>
            </w:r>
          </w:p>
        </w:tc>
        <w:tc>
          <w:tcPr>
            <w:tcW w:w="1118" w:type="dxa"/>
            <w:shd w:val="clear" w:color="auto" w:fill="C5E0B3"/>
            <w:noWrap/>
            <w:hideMark/>
          </w:tcPr>
          <w:p w14:paraId="5D6EF4BF" w14:textId="77777777" w:rsidR="004C45DC" w:rsidRPr="004C45DC" w:rsidRDefault="004C45DC">
            <w:pPr>
              <w:pStyle w:val="Tabele"/>
              <w:jc w:val="right"/>
              <w:rPr>
                <w:color w:val="auto"/>
                <w:sz w:val="14"/>
                <w:szCs w:val="14"/>
                <w:lang w:eastAsia="pl-PL"/>
              </w:rPr>
            </w:pPr>
            <w:r w:rsidRPr="004C45DC">
              <w:rPr>
                <w:color w:val="auto"/>
                <w:sz w:val="14"/>
                <w:szCs w:val="14"/>
              </w:rPr>
              <w:t>192 472,25</w:t>
            </w:r>
          </w:p>
        </w:tc>
        <w:tc>
          <w:tcPr>
            <w:tcW w:w="1118" w:type="dxa"/>
            <w:shd w:val="clear" w:color="auto" w:fill="C5E0B3"/>
            <w:noWrap/>
            <w:hideMark/>
          </w:tcPr>
          <w:p w14:paraId="04B0270C" w14:textId="77777777" w:rsidR="004C45DC" w:rsidRPr="004C45DC" w:rsidRDefault="004C45DC">
            <w:pPr>
              <w:pStyle w:val="Tabele"/>
              <w:jc w:val="right"/>
              <w:rPr>
                <w:color w:val="auto"/>
                <w:sz w:val="14"/>
                <w:szCs w:val="14"/>
                <w:lang w:eastAsia="pl-PL"/>
              </w:rPr>
            </w:pPr>
            <w:r w:rsidRPr="004C45DC">
              <w:rPr>
                <w:color w:val="auto"/>
                <w:sz w:val="14"/>
                <w:szCs w:val="14"/>
              </w:rPr>
              <w:t>207 282,99</w:t>
            </w:r>
          </w:p>
        </w:tc>
        <w:tc>
          <w:tcPr>
            <w:tcW w:w="1118" w:type="dxa"/>
            <w:shd w:val="clear" w:color="auto" w:fill="C5E0B3" w:themeFill="accent6" w:themeFillTint="66"/>
          </w:tcPr>
          <w:p w14:paraId="74D69ACC" w14:textId="77777777" w:rsidR="004C45DC" w:rsidRPr="004C45DC" w:rsidRDefault="004C45DC">
            <w:pPr>
              <w:pStyle w:val="Tabele"/>
              <w:jc w:val="right"/>
              <w:rPr>
                <w:rFonts w:cs="Calibri"/>
                <w:color w:val="auto"/>
                <w:sz w:val="14"/>
                <w:szCs w:val="14"/>
              </w:rPr>
            </w:pPr>
            <w:r w:rsidRPr="004C45DC">
              <w:rPr>
                <w:color w:val="auto"/>
                <w:sz w:val="14"/>
                <w:szCs w:val="14"/>
              </w:rPr>
              <w:t>196 234,87</w:t>
            </w:r>
          </w:p>
        </w:tc>
        <w:tc>
          <w:tcPr>
            <w:tcW w:w="1118" w:type="dxa"/>
            <w:noWrap/>
            <w:hideMark/>
          </w:tcPr>
          <w:p w14:paraId="67FD8116" w14:textId="77777777" w:rsidR="004C45DC" w:rsidRPr="004C45DC" w:rsidRDefault="004C45DC">
            <w:pPr>
              <w:pStyle w:val="Tabele"/>
              <w:jc w:val="right"/>
              <w:rPr>
                <w:color w:val="auto"/>
                <w:sz w:val="14"/>
                <w:szCs w:val="14"/>
                <w:lang w:eastAsia="pl-PL"/>
              </w:rPr>
            </w:pPr>
            <w:r w:rsidRPr="004C45DC">
              <w:rPr>
                <w:color w:val="auto"/>
                <w:sz w:val="14"/>
                <w:szCs w:val="14"/>
              </w:rPr>
              <w:t>180 446.53</w:t>
            </w:r>
          </w:p>
        </w:tc>
        <w:tc>
          <w:tcPr>
            <w:tcW w:w="1118" w:type="dxa"/>
            <w:noWrap/>
            <w:hideMark/>
          </w:tcPr>
          <w:p w14:paraId="034E284D" w14:textId="77777777" w:rsidR="004C45DC" w:rsidRPr="004C45DC" w:rsidRDefault="004C45DC">
            <w:pPr>
              <w:pStyle w:val="Tabele"/>
              <w:jc w:val="right"/>
              <w:rPr>
                <w:color w:val="auto"/>
                <w:sz w:val="14"/>
                <w:szCs w:val="14"/>
                <w:lang w:eastAsia="pl-PL"/>
              </w:rPr>
            </w:pPr>
            <w:r w:rsidRPr="004C45DC">
              <w:rPr>
                <w:color w:val="auto"/>
                <w:sz w:val="14"/>
                <w:szCs w:val="14"/>
              </w:rPr>
              <w:t>150 186.29</w:t>
            </w:r>
          </w:p>
        </w:tc>
        <w:tc>
          <w:tcPr>
            <w:tcW w:w="1118" w:type="dxa"/>
            <w:noWrap/>
            <w:hideMark/>
          </w:tcPr>
          <w:p w14:paraId="686CB663" w14:textId="77777777" w:rsidR="004C45DC" w:rsidRPr="004C45DC" w:rsidRDefault="004C45DC">
            <w:pPr>
              <w:pStyle w:val="Tabele"/>
              <w:jc w:val="right"/>
              <w:rPr>
                <w:color w:val="auto"/>
                <w:sz w:val="14"/>
                <w:szCs w:val="14"/>
                <w:lang w:eastAsia="pl-PL"/>
              </w:rPr>
            </w:pPr>
            <w:r w:rsidRPr="004C45DC">
              <w:rPr>
                <w:color w:val="auto"/>
                <w:sz w:val="14"/>
                <w:szCs w:val="14"/>
              </w:rPr>
              <w:t>124 971.12</w:t>
            </w:r>
          </w:p>
        </w:tc>
        <w:tc>
          <w:tcPr>
            <w:tcW w:w="1118" w:type="dxa"/>
            <w:noWrap/>
            <w:hideMark/>
          </w:tcPr>
          <w:p w14:paraId="2D9DD873" w14:textId="77777777" w:rsidR="004C45DC" w:rsidRPr="004C45DC" w:rsidRDefault="004C45DC">
            <w:pPr>
              <w:pStyle w:val="Tabele"/>
              <w:jc w:val="right"/>
              <w:rPr>
                <w:color w:val="auto"/>
                <w:sz w:val="14"/>
                <w:szCs w:val="14"/>
                <w:lang w:eastAsia="pl-PL"/>
              </w:rPr>
            </w:pPr>
            <w:r w:rsidRPr="004C45DC">
              <w:rPr>
                <w:color w:val="auto"/>
                <w:sz w:val="14"/>
                <w:szCs w:val="14"/>
              </w:rPr>
              <w:t>105 976.78</w:t>
            </w:r>
          </w:p>
        </w:tc>
      </w:tr>
      <w:tr w:rsidR="004C45DC" w:rsidRPr="00986966" w14:paraId="508203F6" w14:textId="77777777" w:rsidTr="004C45DC">
        <w:trPr>
          <w:trHeight w:val="235"/>
        </w:trPr>
        <w:tc>
          <w:tcPr>
            <w:tcW w:w="1269" w:type="dxa"/>
            <w:noWrap/>
            <w:hideMark/>
          </w:tcPr>
          <w:p w14:paraId="6E72DA86" w14:textId="77777777" w:rsidR="004C45DC" w:rsidRPr="004C45DC" w:rsidRDefault="004C45DC">
            <w:pPr>
              <w:pStyle w:val="Tabele"/>
              <w:jc w:val="both"/>
              <w:rPr>
                <w:color w:val="auto"/>
                <w:sz w:val="14"/>
                <w:szCs w:val="14"/>
                <w:lang w:eastAsia="pl-PL"/>
              </w:rPr>
            </w:pPr>
            <w:r w:rsidRPr="004C45DC">
              <w:rPr>
                <w:color w:val="auto"/>
                <w:sz w:val="14"/>
                <w:szCs w:val="14"/>
                <w:lang w:eastAsia="pl-PL"/>
              </w:rPr>
              <w:t>Zmiana emisji w ESR w stos. do 2005 r.</w:t>
            </w:r>
          </w:p>
        </w:tc>
        <w:tc>
          <w:tcPr>
            <w:tcW w:w="1118" w:type="dxa"/>
            <w:noWrap/>
          </w:tcPr>
          <w:p w14:paraId="473627B6" w14:textId="77777777" w:rsidR="004C45DC" w:rsidRPr="004C45DC" w:rsidRDefault="004C45DC">
            <w:pPr>
              <w:pStyle w:val="Tabele"/>
              <w:jc w:val="right"/>
              <w:rPr>
                <w:color w:val="auto"/>
                <w:sz w:val="14"/>
                <w:szCs w:val="14"/>
                <w:lang w:eastAsia="pl-PL"/>
              </w:rPr>
            </w:pPr>
          </w:p>
        </w:tc>
        <w:tc>
          <w:tcPr>
            <w:tcW w:w="1118" w:type="dxa"/>
            <w:noWrap/>
          </w:tcPr>
          <w:p w14:paraId="039E53A7" w14:textId="77777777" w:rsidR="004C45DC" w:rsidRPr="004C45DC" w:rsidRDefault="004C45DC">
            <w:pPr>
              <w:pStyle w:val="Tabele"/>
              <w:jc w:val="right"/>
              <w:rPr>
                <w:color w:val="auto"/>
                <w:sz w:val="14"/>
                <w:szCs w:val="14"/>
                <w:lang w:eastAsia="pl-PL"/>
              </w:rPr>
            </w:pPr>
          </w:p>
        </w:tc>
        <w:tc>
          <w:tcPr>
            <w:tcW w:w="1118" w:type="dxa"/>
          </w:tcPr>
          <w:p w14:paraId="6BFBDBAC" w14:textId="77777777" w:rsidR="004C45DC" w:rsidRPr="004C45DC" w:rsidRDefault="004C45DC">
            <w:pPr>
              <w:pStyle w:val="Tabele"/>
              <w:jc w:val="right"/>
              <w:rPr>
                <w:rFonts w:cs="Calibri"/>
                <w:color w:val="auto"/>
                <w:sz w:val="14"/>
                <w:szCs w:val="14"/>
              </w:rPr>
            </w:pPr>
          </w:p>
        </w:tc>
        <w:tc>
          <w:tcPr>
            <w:tcW w:w="1118" w:type="dxa"/>
            <w:noWrap/>
          </w:tcPr>
          <w:p w14:paraId="3827438E" w14:textId="77777777" w:rsidR="004C45DC" w:rsidRPr="004C45DC" w:rsidRDefault="004C45DC">
            <w:pPr>
              <w:pStyle w:val="Tabele"/>
              <w:jc w:val="right"/>
              <w:rPr>
                <w:color w:val="auto"/>
                <w:sz w:val="14"/>
                <w:szCs w:val="14"/>
                <w:lang w:eastAsia="pl-PL"/>
              </w:rPr>
            </w:pPr>
          </w:p>
        </w:tc>
        <w:tc>
          <w:tcPr>
            <w:tcW w:w="1118" w:type="dxa"/>
            <w:noWrap/>
            <w:hideMark/>
          </w:tcPr>
          <w:p w14:paraId="555771FB" w14:textId="77777777" w:rsidR="004C45DC" w:rsidRPr="004C45DC" w:rsidRDefault="004C45DC">
            <w:pPr>
              <w:pStyle w:val="Tabele"/>
              <w:jc w:val="right"/>
              <w:rPr>
                <w:color w:val="auto"/>
                <w:sz w:val="14"/>
                <w:szCs w:val="14"/>
                <w:lang w:eastAsia="pl-PL"/>
              </w:rPr>
            </w:pPr>
            <w:r w:rsidRPr="004C45DC">
              <w:rPr>
                <w:color w:val="auto"/>
                <w:sz w:val="14"/>
                <w:szCs w:val="14"/>
              </w:rPr>
              <w:t>-22.0%</w:t>
            </w:r>
          </w:p>
        </w:tc>
        <w:tc>
          <w:tcPr>
            <w:tcW w:w="1118" w:type="dxa"/>
            <w:noWrap/>
            <w:hideMark/>
          </w:tcPr>
          <w:p w14:paraId="16BC8A65" w14:textId="77777777" w:rsidR="004C45DC" w:rsidRPr="004C45DC" w:rsidRDefault="004C45DC">
            <w:pPr>
              <w:pStyle w:val="Tabele"/>
              <w:jc w:val="right"/>
              <w:rPr>
                <w:color w:val="auto"/>
                <w:sz w:val="14"/>
                <w:szCs w:val="14"/>
                <w:lang w:eastAsia="pl-PL"/>
              </w:rPr>
            </w:pPr>
            <w:r w:rsidRPr="004C45DC">
              <w:rPr>
                <w:color w:val="auto"/>
                <w:sz w:val="14"/>
                <w:szCs w:val="14"/>
              </w:rPr>
              <w:t>-35.1%</w:t>
            </w:r>
          </w:p>
        </w:tc>
        <w:tc>
          <w:tcPr>
            <w:tcW w:w="1118" w:type="dxa"/>
            <w:noWrap/>
            <w:hideMark/>
          </w:tcPr>
          <w:p w14:paraId="5A1600DC" w14:textId="77777777" w:rsidR="004C45DC" w:rsidRPr="004C45DC" w:rsidRDefault="004C45DC">
            <w:pPr>
              <w:pStyle w:val="Tabele"/>
              <w:jc w:val="right"/>
              <w:rPr>
                <w:color w:val="auto"/>
                <w:sz w:val="14"/>
                <w:szCs w:val="14"/>
                <w:lang w:eastAsia="pl-PL"/>
              </w:rPr>
            </w:pPr>
            <w:r w:rsidRPr="004C45DC">
              <w:rPr>
                <w:color w:val="auto"/>
                <w:sz w:val="14"/>
                <w:szCs w:val="14"/>
              </w:rPr>
              <w:t>-44.9%</w:t>
            </w:r>
          </w:p>
        </w:tc>
      </w:tr>
    </w:tbl>
    <w:p w14:paraId="26DECD9C" w14:textId="77777777" w:rsidR="004C45DC" w:rsidRDefault="005C4144" w:rsidP="004C45DC">
      <w:pPr>
        <w:pStyle w:val="ardo"/>
        <w:spacing w:after="0"/>
      </w:pPr>
      <w:r>
        <w:t>* rok bazowy tylko dla ESR</w:t>
      </w:r>
    </w:p>
    <w:p w14:paraId="221EDF63" w14:textId="4C8299F6" w:rsidR="005C4144" w:rsidRPr="00BB1158" w:rsidRDefault="005C4144" w:rsidP="004C45DC">
      <w:pPr>
        <w:pStyle w:val="Legenda"/>
        <w:keepNext/>
      </w:pPr>
      <w:r w:rsidRPr="00BB1158">
        <w:t>Źródło: Opracowanie własne KOBIZE, IOŚ-PIB</w:t>
      </w:r>
    </w:p>
    <w:p w14:paraId="153641DE" w14:textId="22546A85" w:rsidR="001865F2" w:rsidRPr="001865F2" w:rsidRDefault="001865F2" w:rsidP="001865F2">
      <w:pPr>
        <w:pStyle w:val="Podtytu"/>
        <w:rPr>
          <w:rFonts w:eastAsiaTheme="minorHAnsi"/>
          <w:b w:val="0"/>
          <w:bCs w:val="0"/>
          <w:color w:val="auto"/>
          <w:spacing w:val="0"/>
          <w:kern w:val="2"/>
          <w:sz w:val="20"/>
          <w:szCs w:val="22"/>
          <w14:ligatures w14:val="standardContextual"/>
        </w:rPr>
      </w:pPr>
      <w:r w:rsidRPr="001865F2">
        <w:rPr>
          <w:rFonts w:eastAsiaTheme="minorHAnsi"/>
          <w:b w:val="0"/>
          <w:bCs w:val="0"/>
          <w:color w:val="auto"/>
          <w:spacing w:val="0"/>
          <w:kern w:val="2"/>
          <w:sz w:val="20"/>
          <w:szCs w:val="22"/>
          <w14:ligatures w14:val="standardContextual"/>
        </w:rPr>
        <w:t xml:space="preserve">Projekcje strumieni gazów cieplarnianych w sektorze LULUCF w scenariuszu </w:t>
      </w:r>
      <w:r w:rsidR="00804CDA">
        <w:rPr>
          <w:rFonts w:eastAsiaTheme="minorHAnsi"/>
          <w:b w:val="0"/>
          <w:bCs w:val="0"/>
          <w:color w:val="auto"/>
          <w:spacing w:val="0"/>
          <w:kern w:val="2"/>
          <w:sz w:val="20"/>
          <w:szCs w:val="22"/>
          <w14:ligatures w14:val="standardContextual"/>
        </w:rPr>
        <w:t xml:space="preserve">WAM </w:t>
      </w:r>
      <w:r w:rsidRPr="001865F2">
        <w:rPr>
          <w:rFonts w:eastAsiaTheme="minorHAnsi"/>
          <w:b w:val="0"/>
          <w:bCs w:val="0"/>
          <w:color w:val="auto"/>
          <w:spacing w:val="0"/>
          <w:kern w:val="2"/>
          <w:sz w:val="20"/>
          <w:szCs w:val="22"/>
          <w14:ligatures w14:val="standardContextual"/>
        </w:rPr>
        <w:t xml:space="preserve">przewidują </w:t>
      </w:r>
      <w:r w:rsidRPr="002C0031">
        <w:rPr>
          <w:rFonts w:eastAsiaTheme="minorHAnsi"/>
          <w:color w:val="auto"/>
          <w:spacing w:val="0"/>
          <w:kern w:val="2"/>
          <w:sz w:val="20"/>
          <w:szCs w:val="22"/>
          <w14:ligatures w14:val="standardContextual"/>
        </w:rPr>
        <w:t xml:space="preserve">nadwyżkę kredytów </w:t>
      </w:r>
      <w:r w:rsidR="002C0031" w:rsidRPr="002C0031">
        <w:rPr>
          <w:rFonts w:eastAsiaTheme="minorHAnsi"/>
          <w:color w:val="auto"/>
          <w:spacing w:val="0"/>
          <w:kern w:val="2"/>
          <w:sz w:val="20"/>
          <w:szCs w:val="22"/>
          <w14:ligatures w14:val="standardContextual"/>
        </w:rPr>
        <w:t>węglowych</w:t>
      </w:r>
      <w:r w:rsidRPr="001865F2">
        <w:rPr>
          <w:rFonts w:eastAsiaTheme="minorHAnsi"/>
          <w:b w:val="0"/>
          <w:bCs w:val="0"/>
          <w:color w:val="auto"/>
          <w:spacing w:val="0"/>
          <w:kern w:val="2"/>
          <w:sz w:val="20"/>
          <w:szCs w:val="22"/>
          <w14:ligatures w14:val="standardContextual"/>
        </w:rPr>
        <w:t xml:space="preserve"> wymaganych do spełnienia zasady „zero debetów” (określonej w art. 4 ust. 1 Rozporządzenia (UE) 841/2018) na poziomie około 6,3 mln ton CO</w:t>
      </w:r>
      <w:r w:rsidRPr="005309EF">
        <w:rPr>
          <w:rFonts w:eastAsiaTheme="minorHAnsi"/>
          <w:b w:val="0"/>
          <w:color w:val="auto"/>
          <w:spacing w:val="0"/>
          <w:kern w:val="2"/>
          <w:sz w:val="20"/>
          <w:szCs w:val="22"/>
          <w:vertAlign w:val="subscript"/>
          <w14:ligatures w14:val="standardContextual"/>
        </w:rPr>
        <w:t>2</w:t>
      </w:r>
      <w:r w:rsidRPr="001865F2">
        <w:rPr>
          <w:rFonts w:eastAsiaTheme="minorHAnsi"/>
          <w:b w:val="0"/>
          <w:bCs w:val="0"/>
          <w:color w:val="auto"/>
          <w:spacing w:val="0"/>
          <w:kern w:val="2"/>
          <w:sz w:val="20"/>
          <w:szCs w:val="22"/>
          <w14:ligatures w14:val="standardContextual"/>
        </w:rPr>
        <w:t xml:space="preserve">eq średniorocznie w okresie 2021-2025, co sumarycznie daje około 31,7 mln ton CO2eq za okres. Ponadto, w okresie rozliczeniowym 2026-2030 każde państwo członkowskie UE musi zapewnić, aby suma jego emisji i pochłaniania gazów cieplarnianych zgłoszona w 2032 </w:t>
      </w:r>
      <w:r w:rsidR="00BE2ED8">
        <w:rPr>
          <w:rFonts w:eastAsiaTheme="minorHAnsi"/>
          <w:b w:val="0"/>
          <w:bCs w:val="0"/>
          <w:color w:val="auto"/>
          <w:spacing w:val="0"/>
          <w:kern w:val="2"/>
          <w:sz w:val="20"/>
          <w:szCs w:val="22"/>
          <w14:ligatures w14:val="standardContextual"/>
        </w:rPr>
        <w:t>r.</w:t>
      </w:r>
      <w:r w:rsidRPr="001865F2">
        <w:rPr>
          <w:rFonts w:eastAsiaTheme="minorHAnsi"/>
          <w:b w:val="0"/>
          <w:bCs w:val="0"/>
          <w:color w:val="auto"/>
          <w:spacing w:val="0"/>
          <w:kern w:val="2"/>
          <w:sz w:val="20"/>
          <w:szCs w:val="22"/>
          <w14:ligatures w14:val="standardContextual"/>
        </w:rPr>
        <w:t xml:space="preserve"> za rok 2030 i wcześniejsze lata, w porównaniu ze średnią danych z wykazów gazów cieplarnianych za lata 2016, 2017 i 2018, nie przekroczyła celu określonego dla tego państwa członkowskiego w kolumnie C załącznika IIa.</w:t>
      </w:r>
    </w:p>
    <w:p w14:paraId="3302F449" w14:textId="78B2F569" w:rsidR="001865F2" w:rsidRDefault="001865F2" w:rsidP="001865F2">
      <w:pPr>
        <w:pStyle w:val="Podtytu"/>
        <w:rPr>
          <w:rFonts w:eastAsiaTheme="minorHAnsi"/>
          <w:b w:val="0"/>
          <w:bCs w:val="0"/>
          <w:color w:val="auto"/>
          <w:spacing w:val="0"/>
          <w:kern w:val="2"/>
          <w:sz w:val="20"/>
          <w:szCs w:val="22"/>
          <w14:ligatures w14:val="standardContextual"/>
        </w:rPr>
      </w:pPr>
      <w:r w:rsidRPr="001865F2">
        <w:rPr>
          <w:rFonts w:eastAsiaTheme="minorHAnsi"/>
          <w:b w:val="0"/>
          <w:bCs w:val="0"/>
          <w:color w:val="auto"/>
          <w:spacing w:val="0"/>
          <w:kern w:val="2"/>
          <w:sz w:val="20"/>
          <w:szCs w:val="22"/>
          <w14:ligatures w14:val="standardContextual"/>
        </w:rPr>
        <w:t>Dla okresu rozliczeniowego 2026-2030 prognozowana łączna nadwyżka kredytów wymaganych do wypełnienia celu sektorowego LULUCF (określonego w art. 4 ust. 3 Rozporządzenia (UE) 841/2018) wyniesie około 9,3 mln ton CO</w:t>
      </w:r>
      <w:r w:rsidRPr="005309EF">
        <w:rPr>
          <w:rFonts w:eastAsiaTheme="minorHAnsi"/>
          <w:b w:val="0"/>
          <w:color w:val="auto"/>
          <w:spacing w:val="0"/>
          <w:kern w:val="2"/>
          <w:sz w:val="20"/>
          <w:szCs w:val="22"/>
          <w:vertAlign w:val="subscript"/>
          <w14:ligatures w14:val="standardContextual"/>
        </w:rPr>
        <w:t>2</w:t>
      </w:r>
      <w:r w:rsidRPr="001865F2">
        <w:rPr>
          <w:rFonts w:eastAsiaTheme="minorHAnsi"/>
          <w:b w:val="0"/>
          <w:bCs w:val="0"/>
          <w:color w:val="auto"/>
          <w:spacing w:val="0"/>
          <w:kern w:val="2"/>
          <w:sz w:val="20"/>
          <w:szCs w:val="22"/>
          <w14:ligatures w14:val="standardContextual"/>
        </w:rPr>
        <w:t>eq średniorocznie, co sumarycznie daje 46,5 mln ton CO</w:t>
      </w:r>
      <w:r w:rsidRPr="005309EF">
        <w:rPr>
          <w:rFonts w:eastAsiaTheme="minorHAnsi"/>
          <w:b w:val="0"/>
          <w:color w:val="auto"/>
          <w:spacing w:val="0"/>
          <w:kern w:val="2"/>
          <w:sz w:val="20"/>
          <w:szCs w:val="22"/>
          <w:vertAlign w:val="subscript"/>
          <w14:ligatures w14:val="standardContextual"/>
        </w:rPr>
        <w:t>2</w:t>
      </w:r>
      <w:r w:rsidRPr="001865F2">
        <w:rPr>
          <w:rFonts w:eastAsiaTheme="minorHAnsi"/>
          <w:b w:val="0"/>
          <w:bCs w:val="0"/>
          <w:color w:val="auto"/>
          <w:spacing w:val="0"/>
          <w:kern w:val="2"/>
          <w:sz w:val="20"/>
          <w:szCs w:val="22"/>
          <w14:ligatures w14:val="standardContextual"/>
        </w:rPr>
        <w:t>eq za okres. Warto dodać, że projekcje te uwzględniają dodatkowe działania mające na celu zwiększenie pochłaniania CO</w:t>
      </w:r>
      <w:r w:rsidRPr="005309EF">
        <w:rPr>
          <w:rFonts w:eastAsiaTheme="minorHAnsi"/>
          <w:b w:val="0"/>
          <w:color w:val="auto"/>
          <w:spacing w:val="0"/>
          <w:kern w:val="2"/>
          <w:sz w:val="20"/>
          <w:szCs w:val="22"/>
          <w:vertAlign w:val="subscript"/>
          <w14:ligatures w14:val="standardContextual"/>
        </w:rPr>
        <w:t>2</w:t>
      </w:r>
      <w:r w:rsidRPr="001865F2">
        <w:rPr>
          <w:rFonts w:eastAsiaTheme="minorHAnsi"/>
          <w:b w:val="0"/>
          <w:bCs w:val="0"/>
          <w:color w:val="auto"/>
          <w:spacing w:val="0"/>
          <w:kern w:val="2"/>
          <w:sz w:val="20"/>
          <w:szCs w:val="22"/>
          <w14:ligatures w14:val="standardContextual"/>
        </w:rPr>
        <w:t xml:space="preserve"> oraz redukcję emisji gazów cieplarnianych. Dzięki tym działaniom, sektor LULUCF nie tylko będzie w stanie spełnić stawiane prze nim wymogi, ale również przyczyni się do osiągnięcia celów klimatycznych UE na 2030 rok. Uzyskanie prognozowanego wymiaru nadwyżek kredytów będzie wynikiem efektywnego zarządzania zasobami leśnymi i zasobami drzewnymi systemów agroleśnych oraz wdrażania strategii zmniejszających emisje i zwiększających pochłanianie CO2</w:t>
      </w:r>
      <w:r w:rsidR="00D64A8E">
        <w:rPr>
          <w:rFonts w:eastAsiaTheme="minorHAnsi"/>
          <w:b w:val="0"/>
          <w:bCs w:val="0"/>
          <w:color w:val="auto"/>
          <w:spacing w:val="0"/>
          <w:kern w:val="2"/>
          <w:sz w:val="20"/>
          <w:szCs w:val="22"/>
          <w14:ligatures w14:val="standardContextual"/>
        </w:rPr>
        <w:t>.</w:t>
      </w:r>
    </w:p>
    <w:p w14:paraId="2D168587" w14:textId="18967CD1" w:rsidR="005C4144" w:rsidRPr="00366022" w:rsidRDefault="004574BC" w:rsidP="004574BC">
      <w:pPr>
        <w:pStyle w:val="Nagwek3"/>
      </w:pPr>
      <w:bookmarkStart w:id="63" w:name="_Toc202966877"/>
      <w:r>
        <w:t>E</w:t>
      </w:r>
      <w:r w:rsidR="005C4144" w:rsidRPr="00366022">
        <w:t>misj</w:t>
      </w:r>
      <w:r>
        <w:t>e</w:t>
      </w:r>
      <w:r w:rsidR="005C4144" w:rsidRPr="00366022">
        <w:t xml:space="preserve"> substancji zanieczyszczających powietrze</w:t>
      </w:r>
      <w:bookmarkEnd w:id="63"/>
    </w:p>
    <w:p w14:paraId="73FD07FF" w14:textId="2408B28E" w:rsidR="00F73884" w:rsidRDefault="005C4144" w:rsidP="00F73884">
      <w:r>
        <w:t>Poniżej</w:t>
      </w:r>
      <w:r w:rsidR="00317A2F">
        <w:t xml:space="preserve"> tabele</w:t>
      </w:r>
      <w:r>
        <w:t xml:space="preserve"> (</w:t>
      </w:r>
      <w:r w:rsidR="00A734A6">
        <w:fldChar w:fldCharType="begin"/>
      </w:r>
      <w:r w:rsidR="00A734A6">
        <w:instrText xml:space="preserve"> REF _Ref195773895 \h </w:instrText>
      </w:r>
      <w:r w:rsidR="00A734A6">
        <w:fldChar w:fldCharType="separate"/>
      </w:r>
      <w:r w:rsidR="00F27D6F">
        <w:t xml:space="preserve">Tabela </w:t>
      </w:r>
      <w:r w:rsidR="00F27D6F">
        <w:rPr>
          <w:noProof/>
        </w:rPr>
        <w:t>1</w:t>
      </w:r>
      <w:r w:rsidR="00F27D6F">
        <w:t>.</w:t>
      </w:r>
      <w:r w:rsidR="00F27D6F">
        <w:rPr>
          <w:noProof/>
        </w:rPr>
        <w:t>8</w:t>
      </w:r>
      <w:r w:rsidR="00F27D6F">
        <w:t>.</w:t>
      </w:r>
      <w:r w:rsidR="00A734A6">
        <w:fldChar w:fldCharType="end"/>
      </w:r>
      <w:r w:rsidR="00CB4A74">
        <w:t>,,</w:t>
      </w:r>
      <w:r w:rsidR="00526162">
        <w:t xml:space="preserve"> </w:t>
      </w:r>
      <w:r w:rsidR="006D731C">
        <w:fldChar w:fldCharType="begin"/>
      </w:r>
      <w:r w:rsidR="006D731C">
        <w:instrText xml:space="preserve"> REF _Ref195869442 \h </w:instrText>
      </w:r>
      <w:r w:rsidR="006D731C">
        <w:fldChar w:fldCharType="separate"/>
      </w:r>
      <w:r w:rsidR="00F27D6F" w:rsidRPr="00EB3130">
        <w:t xml:space="preserve">Tabela </w:t>
      </w:r>
      <w:r w:rsidR="00F27D6F">
        <w:rPr>
          <w:noProof/>
        </w:rPr>
        <w:t>1</w:t>
      </w:r>
      <w:r w:rsidR="00F27D6F">
        <w:t>.</w:t>
      </w:r>
      <w:r w:rsidR="00F27D6F">
        <w:rPr>
          <w:noProof/>
        </w:rPr>
        <w:t>10</w:t>
      </w:r>
      <w:r w:rsidR="006D731C">
        <w:fldChar w:fldCharType="end"/>
      </w:r>
      <w:r w:rsidR="00D24297">
        <w:t>,</w:t>
      </w:r>
      <w:r w:rsidR="00526162">
        <w:t xml:space="preserve"> </w:t>
      </w:r>
      <w:r w:rsidR="006D731C">
        <w:fldChar w:fldCharType="begin"/>
      </w:r>
      <w:r w:rsidR="006D731C">
        <w:instrText xml:space="preserve"> REF _Ref195869457 \h </w:instrText>
      </w:r>
      <w:r w:rsidR="006D731C">
        <w:fldChar w:fldCharType="separate"/>
      </w:r>
      <w:r w:rsidR="00F27D6F" w:rsidRPr="00EB3130">
        <w:t xml:space="preserve">Tabela </w:t>
      </w:r>
      <w:r w:rsidR="00F27D6F">
        <w:rPr>
          <w:noProof/>
        </w:rPr>
        <w:t>1</w:t>
      </w:r>
      <w:r w:rsidR="00F27D6F">
        <w:t>.</w:t>
      </w:r>
      <w:r w:rsidR="00F27D6F">
        <w:rPr>
          <w:noProof/>
        </w:rPr>
        <w:t>11</w:t>
      </w:r>
      <w:r w:rsidR="006D731C">
        <w:fldChar w:fldCharType="end"/>
      </w:r>
      <w:r w:rsidR="00D24297">
        <w:t>,</w:t>
      </w:r>
      <w:r w:rsidR="00526162">
        <w:t xml:space="preserve"> </w:t>
      </w:r>
      <w:r w:rsidR="006D731C">
        <w:fldChar w:fldCharType="begin"/>
      </w:r>
      <w:r w:rsidR="006D731C">
        <w:instrText xml:space="preserve"> REF _Ref195869470 \h </w:instrText>
      </w:r>
      <w:r w:rsidR="006D731C">
        <w:fldChar w:fldCharType="separate"/>
      </w:r>
      <w:r w:rsidR="00F27D6F" w:rsidRPr="00EB3130">
        <w:t xml:space="preserve">Tabela </w:t>
      </w:r>
      <w:r w:rsidR="00F27D6F">
        <w:rPr>
          <w:noProof/>
        </w:rPr>
        <w:t>1</w:t>
      </w:r>
      <w:r w:rsidR="00F27D6F">
        <w:t>.</w:t>
      </w:r>
      <w:r w:rsidR="00F27D6F">
        <w:rPr>
          <w:noProof/>
        </w:rPr>
        <w:t>12</w:t>
      </w:r>
      <w:r w:rsidR="006D731C">
        <w:fldChar w:fldCharType="end"/>
      </w:r>
      <w:bookmarkStart w:id="64" w:name="_Ref158276134"/>
      <w:bookmarkStart w:id="65" w:name="_Toc167442086"/>
      <w:bookmarkStart w:id="66" w:name="_Toc171587167"/>
      <w:bookmarkStart w:id="67" w:name="_Toc174710951"/>
      <w:r w:rsidR="00191B5C">
        <w:t>)</w:t>
      </w:r>
      <w:r w:rsidR="00BE2BF5">
        <w:t>,</w:t>
      </w:r>
      <w:r w:rsidR="009E3FCE">
        <w:t xml:space="preserve"> w których</w:t>
      </w:r>
      <w:r w:rsidR="00F73884">
        <w:t xml:space="preserve"> zaprezentowano syntetyczne wyniki prognozowanych dla </w:t>
      </w:r>
      <w:r w:rsidR="00F73884" w:rsidRPr="00D837AA">
        <w:t>lat 2025-20</w:t>
      </w:r>
      <w:r w:rsidR="00D837AA" w:rsidRPr="00D837AA">
        <w:t>4</w:t>
      </w:r>
      <w:r w:rsidR="00F73884" w:rsidRPr="00D837AA">
        <w:t>0</w:t>
      </w:r>
      <w:r w:rsidR="00F73884">
        <w:t xml:space="preserve"> emisji substancji zanieczyszczających powietrze w Polsce w scenariuszu WAM w zestawieniu z emisją w latach 2005-2020, wg kategorii NFR. Dane dotyczące emisji w latach 2005-2020 przyjęto na podstawie krajowej inwentaryzacji emisji zanieczyszczeń powietrza</w:t>
      </w:r>
      <w:r w:rsidR="00F73884" w:rsidRPr="00707CD2">
        <w:rPr>
          <w:vertAlign w:val="superscript"/>
        </w:rPr>
        <w:footnoteReference w:id="4"/>
      </w:r>
      <w:r w:rsidR="00F73884">
        <w:t xml:space="preserve"> wykonanej w 2024 </w:t>
      </w:r>
      <w:r w:rsidR="00BE2ED8">
        <w:t>r.</w:t>
      </w:r>
      <w:r w:rsidR="00F73884">
        <w:t xml:space="preserve"> zgodnie z obowiązującymi </w:t>
      </w:r>
      <w:r w:rsidR="007D7D30">
        <w:t>w</w:t>
      </w:r>
      <w:r w:rsidR="007D7D30" w:rsidRPr="00C15EB7">
        <w:t xml:space="preserve">ytycznymi </w:t>
      </w:r>
      <w:r w:rsidR="00F73884" w:rsidRPr="00C15EB7">
        <w:t xml:space="preserve">do raportowania emisji i projekcji w ramach konwencji </w:t>
      </w:r>
      <w:r w:rsidR="00F65CEF">
        <w:t>C</w:t>
      </w:r>
      <w:r w:rsidR="00F73884" w:rsidRPr="00C15EB7">
        <w:t xml:space="preserve">LRTAP </w:t>
      </w:r>
      <w:r w:rsidR="00F73884">
        <w:t xml:space="preserve">(ECE/EB.AIR/125), przyjętymi decyzją Organu Wykonawczego konwencji </w:t>
      </w:r>
      <w:r w:rsidR="00F65CEF">
        <w:t>C</w:t>
      </w:r>
      <w:r w:rsidR="00F73884">
        <w:t>LRTAP nr 2013/3 (dok. ECE/EB.AIR.122/Add.1).</w:t>
      </w:r>
    </w:p>
    <w:p w14:paraId="373AF175" w14:textId="5F9DDB15" w:rsidR="00F73884" w:rsidRDefault="00F73884" w:rsidP="00F73884">
      <w:r>
        <w:t>Zgodnie z d</w:t>
      </w:r>
      <w:r w:rsidRPr="00940113">
        <w:t>yrekt</w:t>
      </w:r>
      <w:r>
        <w:t>ywą NEC, limitami emisji objętych jest pięć zanieczyszczeń: S</w:t>
      </w:r>
      <w:r w:rsidRPr="00940113">
        <w:t>O</w:t>
      </w:r>
      <w:r w:rsidRPr="00940113">
        <w:rPr>
          <w:vertAlign w:val="subscript"/>
        </w:rPr>
        <w:t>2</w:t>
      </w:r>
      <w:r w:rsidRPr="00940113">
        <w:t>, NO</w:t>
      </w:r>
      <w:r w:rsidRPr="005C7B82">
        <w:rPr>
          <w:vertAlign w:val="subscript"/>
        </w:rPr>
        <w:t>x</w:t>
      </w:r>
      <w:r w:rsidRPr="00940113">
        <w:t>, NMLZO, NH</w:t>
      </w:r>
      <w:r w:rsidRPr="00940113">
        <w:rPr>
          <w:vertAlign w:val="subscript"/>
        </w:rPr>
        <w:t>3</w:t>
      </w:r>
      <w:r>
        <w:t xml:space="preserve"> i </w:t>
      </w:r>
      <w:r w:rsidRPr="00940113">
        <w:t>PM2</w:t>
      </w:r>
      <w:r>
        <w:t>,</w:t>
      </w:r>
      <w:r w:rsidRPr="00940113">
        <w:t>5.</w:t>
      </w:r>
    </w:p>
    <w:p w14:paraId="3DD93FCB" w14:textId="4B5C5D4F" w:rsidR="005C4144" w:rsidRDefault="005C4144" w:rsidP="00F26E7A">
      <w:pPr>
        <w:pStyle w:val="Legenda"/>
        <w:keepNext/>
      </w:pPr>
      <w:bookmarkStart w:id="68" w:name="_Ref195773895"/>
      <w:bookmarkStart w:id="69" w:name="_Toc202966953"/>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8</w:t>
      </w:r>
      <w:r w:rsidR="00653D9A">
        <w:rPr>
          <w:noProof/>
        </w:rPr>
        <w:fldChar w:fldCharType="end"/>
      </w:r>
      <w:bookmarkEnd w:id="64"/>
      <w:r>
        <w:t>.</w:t>
      </w:r>
      <w:bookmarkEnd w:id="68"/>
      <w:r>
        <w:t xml:space="preserve"> </w:t>
      </w:r>
      <w:r w:rsidRPr="00524DBC">
        <w:t>Projekcje emisji dwutlenku siarki, według sektorów (kategorii NFR)</w:t>
      </w:r>
      <w:r>
        <w:t>, dla scenariusza WAM</w:t>
      </w:r>
      <w:bookmarkEnd w:id="65"/>
      <w:bookmarkEnd w:id="66"/>
      <w:bookmarkEnd w:id="67"/>
      <w:bookmarkEnd w:id="69"/>
    </w:p>
    <w:tbl>
      <w:tblPr>
        <w:tblStyle w:val="KPEiK"/>
        <w:tblW w:w="5000" w:type="pct"/>
        <w:tblLook w:val="04A0" w:firstRow="1" w:lastRow="0" w:firstColumn="1" w:lastColumn="0" w:noHBand="0" w:noVBand="1"/>
      </w:tblPr>
      <w:tblGrid>
        <w:gridCol w:w="2014"/>
        <w:gridCol w:w="1080"/>
        <w:gridCol w:w="852"/>
        <w:gridCol w:w="852"/>
        <w:gridCol w:w="852"/>
        <w:gridCol w:w="853"/>
        <w:gridCol w:w="852"/>
        <w:gridCol w:w="852"/>
        <w:gridCol w:w="855"/>
      </w:tblGrid>
      <w:tr w:rsidR="0007252F" w:rsidRPr="00DE4FED" w14:paraId="2C45CC60" w14:textId="77777777" w:rsidTr="00D67A1D">
        <w:trPr>
          <w:cnfStyle w:val="100000000000" w:firstRow="1" w:lastRow="0" w:firstColumn="0" w:lastColumn="0" w:oddVBand="0" w:evenVBand="0" w:oddHBand="0" w:evenHBand="0" w:firstRowFirstColumn="0" w:firstRowLastColumn="0" w:lastRowFirstColumn="0" w:lastRowLastColumn="0"/>
          <w:trHeight w:val="230"/>
          <w:tblHeader/>
        </w:trPr>
        <w:tc>
          <w:tcPr>
            <w:tcW w:w="2016" w:type="dxa"/>
            <w:vMerge w:val="restart"/>
          </w:tcPr>
          <w:p w14:paraId="52711EEB" w14:textId="77777777" w:rsidR="0007252F" w:rsidRDefault="0007252F">
            <w:pPr>
              <w:pStyle w:val="Tabele"/>
              <w:jc w:val="center"/>
              <w:rPr>
                <w:b w:val="0"/>
              </w:rPr>
            </w:pPr>
            <w:r w:rsidRPr="00DE4FED">
              <w:t>Sektor</w:t>
            </w:r>
          </w:p>
          <w:p w14:paraId="58BC04D9" w14:textId="77777777" w:rsidR="0007252F" w:rsidRPr="00DE4FED" w:rsidRDefault="0007252F">
            <w:pPr>
              <w:pStyle w:val="Tabele"/>
              <w:jc w:val="center"/>
            </w:pPr>
            <w:r>
              <w:t>(kategoria NFR)</w:t>
            </w:r>
          </w:p>
        </w:tc>
        <w:tc>
          <w:tcPr>
            <w:tcW w:w="7050" w:type="dxa"/>
            <w:gridSpan w:val="8"/>
          </w:tcPr>
          <w:p w14:paraId="348C01F2" w14:textId="7E82306C" w:rsidR="0007252F" w:rsidRPr="00DE4FED" w:rsidRDefault="0007252F">
            <w:pPr>
              <w:pStyle w:val="Tabele"/>
              <w:jc w:val="center"/>
              <w:rPr>
                <w:b w:val="0"/>
              </w:rPr>
            </w:pPr>
            <w:r w:rsidRPr="00DE4FED">
              <w:t>Emisja SO</w:t>
            </w:r>
            <w:r w:rsidRPr="00DE4FED">
              <w:rPr>
                <w:vertAlign w:val="subscript"/>
              </w:rPr>
              <w:t>2</w:t>
            </w:r>
            <w:r>
              <w:t xml:space="preserve"> [kt</w:t>
            </w:r>
            <w:r w:rsidRPr="00DE4FED">
              <w:t>]</w:t>
            </w:r>
          </w:p>
        </w:tc>
      </w:tr>
      <w:tr w:rsidR="001734F0" w:rsidRPr="00DE4FED" w14:paraId="7303CC1B" w14:textId="77777777" w:rsidTr="00D67A1D">
        <w:trPr>
          <w:cnfStyle w:val="100000000000" w:firstRow="1" w:lastRow="0" w:firstColumn="0" w:lastColumn="0" w:oddVBand="0" w:evenVBand="0" w:oddHBand="0" w:evenHBand="0" w:firstRowFirstColumn="0" w:firstRowLastColumn="0" w:lastRowFirstColumn="0" w:lastRowLastColumn="0"/>
          <w:trHeight w:val="230"/>
          <w:tblHeader/>
        </w:trPr>
        <w:tc>
          <w:tcPr>
            <w:tcW w:w="2016" w:type="dxa"/>
            <w:vMerge/>
            <w:tcBorders>
              <w:bottom w:val="single" w:sz="4" w:space="0" w:color="AEAAAA" w:themeColor="background2" w:themeShade="BF"/>
            </w:tcBorders>
          </w:tcPr>
          <w:p w14:paraId="0CBE4490" w14:textId="77777777" w:rsidR="0007252F" w:rsidRPr="00DE4FED" w:rsidRDefault="0007252F">
            <w:pPr>
              <w:pStyle w:val="Tabele"/>
              <w:jc w:val="center"/>
            </w:pPr>
          </w:p>
        </w:tc>
        <w:tc>
          <w:tcPr>
            <w:tcW w:w="1082" w:type="dxa"/>
            <w:tcBorders>
              <w:bottom w:val="single" w:sz="4" w:space="0" w:color="AEAAAA" w:themeColor="background2" w:themeShade="BF"/>
            </w:tcBorders>
          </w:tcPr>
          <w:p w14:paraId="7A58F8F0" w14:textId="77777777" w:rsidR="0007252F" w:rsidRPr="00DE4FED" w:rsidRDefault="0007252F">
            <w:pPr>
              <w:pStyle w:val="Tabele"/>
              <w:jc w:val="center"/>
            </w:pPr>
            <w:r w:rsidRPr="00DE4FED">
              <w:t>2005</w:t>
            </w:r>
          </w:p>
        </w:tc>
        <w:tc>
          <w:tcPr>
            <w:tcW w:w="852" w:type="dxa"/>
            <w:tcBorders>
              <w:bottom w:val="single" w:sz="4" w:space="0" w:color="AEAAAA" w:themeColor="background2" w:themeShade="BF"/>
            </w:tcBorders>
          </w:tcPr>
          <w:p w14:paraId="42530AF8" w14:textId="77777777" w:rsidR="0007252F" w:rsidRPr="00DE4FED" w:rsidRDefault="0007252F">
            <w:pPr>
              <w:pStyle w:val="Tabele"/>
              <w:jc w:val="center"/>
            </w:pPr>
            <w:r w:rsidRPr="00DE4FED">
              <w:t>2010</w:t>
            </w:r>
          </w:p>
        </w:tc>
        <w:tc>
          <w:tcPr>
            <w:tcW w:w="852" w:type="dxa"/>
            <w:tcBorders>
              <w:bottom w:val="single" w:sz="4" w:space="0" w:color="AEAAAA" w:themeColor="background2" w:themeShade="BF"/>
            </w:tcBorders>
          </w:tcPr>
          <w:p w14:paraId="06D8A8A2" w14:textId="77777777" w:rsidR="0007252F" w:rsidRPr="00DE4FED" w:rsidRDefault="0007252F">
            <w:pPr>
              <w:pStyle w:val="Tabele"/>
              <w:jc w:val="center"/>
            </w:pPr>
            <w:r w:rsidRPr="00DE4FED">
              <w:t>2015</w:t>
            </w:r>
          </w:p>
        </w:tc>
        <w:tc>
          <w:tcPr>
            <w:tcW w:w="852" w:type="dxa"/>
            <w:tcBorders>
              <w:bottom w:val="single" w:sz="4" w:space="0" w:color="AEAAAA" w:themeColor="background2" w:themeShade="BF"/>
            </w:tcBorders>
          </w:tcPr>
          <w:p w14:paraId="40CA0ED7" w14:textId="77777777" w:rsidR="0007252F" w:rsidRPr="00DE4FED" w:rsidRDefault="0007252F">
            <w:pPr>
              <w:pStyle w:val="Tabele"/>
              <w:jc w:val="center"/>
            </w:pPr>
            <w:r w:rsidRPr="00DE4FED">
              <w:t>2020</w:t>
            </w:r>
          </w:p>
        </w:tc>
        <w:tc>
          <w:tcPr>
            <w:tcW w:w="853" w:type="dxa"/>
            <w:tcBorders>
              <w:bottom w:val="single" w:sz="4" w:space="0" w:color="AEAAAA" w:themeColor="background2" w:themeShade="BF"/>
            </w:tcBorders>
          </w:tcPr>
          <w:p w14:paraId="22A82C98" w14:textId="77777777" w:rsidR="0007252F" w:rsidRPr="00DE4FED" w:rsidRDefault="0007252F">
            <w:pPr>
              <w:pStyle w:val="Tabele"/>
              <w:jc w:val="center"/>
            </w:pPr>
            <w:r w:rsidRPr="00DE4FED">
              <w:t>2025</w:t>
            </w:r>
          </w:p>
        </w:tc>
        <w:tc>
          <w:tcPr>
            <w:tcW w:w="852" w:type="dxa"/>
            <w:tcBorders>
              <w:bottom w:val="single" w:sz="4" w:space="0" w:color="AEAAAA" w:themeColor="background2" w:themeShade="BF"/>
            </w:tcBorders>
          </w:tcPr>
          <w:p w14:paraId="28C37892" w14:textId="77777777" w:rsidR="0007252F" w:rsidRPr="00DE4FED" w:rsidRDefault="0007252F">
            <w:pPr>
              <w:pStyle w:val="Tabele"/>
              <w:jc w:val="center"/>
            </w:pPr>
            <w:r w:rsidRPr="00DE4FED">
              <w:t>2030</w:t>
            </w:r>
          </w:p>
        </w:tc>
        <w:tc>
          <w:tcPr>
            <w:tcW w:w="852" w:type="dxa"/>
            <w:tcBorders>
              <w:bottom w:val="single" w:sz="4" w:space="0" w:color="AEAAAA" w:themeColor="background2" w:themeShade="BF"/>
            </w:tcBorders>
          </w:tcPr>
          <w:p w14:paraId="6DF5391A" w14:textId="77777777" w:rsidR="0007252F" w:rsidRPr="00DE4FED" w:rsidRDefault="0007252F">
            <w:pPr>
              <w:pStyle w:val="Tabele"/>
              <w:jc w:val="center"/>
            </w:pPr>
            <w:r w:rsidRPr="00DE4FED">
              <w:t>2035</w:t>
            </w:r>
          </w:p>
        </w:tc>
        <w:tc>
          <w:tcPr>
            <w:tcW w:w="852" w:type="dxa"/>
            <w:tcBorders>
              <w:bottom w:val="single" w:sz="4" w:space="0" w:color="AEAAAA" w:themeColor="background2" w:themeShade="BF"/>
            </w:tcBorders>
          </w:tcPr>
          <w:p w14:paraId="739C7FE5" w14:textId="77777777" w:rsidR="0007252F" w:rsidRPr="00DE4FED" w:rsidRDefault="0007252F">
            <w:pPr>
              <w:pStyle w:val="Tabele"/>
              <w:jc w:val="center"/>
            </w:pPr>
            <w:r w:rsidRPr="00DE4FED">
              <w:t>2040</w:t>
            </w:r>
          </w:p>
        </w:tc>
      </w:tr>
      <w:tr w:rsidR="0007252F" w:rsidRPr="004669DE" w14:paraId="2E598744"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BA0DC8" w14:textId="77777777" w:rsidR="0007252F" w:rsidRPr="0007252F" w:rsidRDefault="0007252F">
            <w:pPr>
              <w:pStyle w:val="Tabele"/>
              <w:rPr>
                <w:b/>
                <w:bCs/>
                <w:color w:val="auto"/>
              </w:rPr>
            </w:pPr>
            <w:r w:rsidRPr="0007252F">
              <w:rPr>
                <w:b/>
                <w:bCs/>
                <w:color w:val="auto"/>
              </w:rPr>
              <w:t xml:space="preserve">1. Energia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3AFBA1A" w14:textId="77777777" w:rsidR="0007252F" w:rsidRPr="0007252F" w:rsidRDefault="0007252F">
            <w:pPr>
              <w:pStyle w:val="Tabele"/>
              <w:jc w:val="right"/>
              <w:rPr>
                <w:color w:val="auto"/>
              </w:rPr>
            </w:pPr>
            <w:r w:rsidRPr="0007252F">
              <w:rPr>
                <w:rFonts w:cs="Arial"/>
                <w:b/>
                <w:bCs/>
                <w:color w:val="auto"/>
                <w:szCs w:val="16"/>
              </w:rPr>
              <w:t>1 097,39</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7834871" w14:textId="77777777" w:rsidR="0007252F" w:rsidRPr="0007252F" w:rsidRDefault="0007252F">
            <w:pPr>
              <w:pStyle w:val="Tabele"/>
              <w:jc w:val="right"/>
              <w:rPr>
                <w:color w:val="auto"/>
              </w:rPr>
            </w:pPr>
            <w:r w:rsidRPr="0007252F">
              <w:rPr>
                <w:rFonts w:cs="Arial"/>
                <w:b/>
                <w:bCs/>
                <w:color w:val="auto"/>
                <w:szCs w:val="16"/>
              </w:rPr>
              <w:t>797,13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27EFE74" w14:textId="77777777" w:rsidR="0007252F" w:rsidRPr="0007252F" w:rsidRDefault="0007252F">
            <w:pPr>
              <w:pStyle w:val="Tabele"/>
              <w:jc w:val="right"/>
              <w:rPr>
                <w:color w:val="auto"/>
              </w:rPr>
            </w:pPr>
            <w:r w:rsidRPr="0007252F">
              <w:rPr>
                <w:rFonts w:cs="Arial"/>
                <w:b/>
                <w:bCs/>
                <w:color w:val="auto"/>
                <w:szCs w:val="16"/>
              </w:rPr>
              <w:t>606,30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CF47518" w14:textId="77777777" w:rsidR="0007252F" w:rsidRPr="0007252F" w:rsidRDefault="0007252F">
            <w:pPr>
              <w:pStyle w:val="Tabele"/>
              <w:jc w:val="right"/>
              <w:rPr>
                <w:color w:val="auto"/>
              </w:rPr>
            </w:pPr>
            <w:r w:rsidRPr="0007252F">
              <w:rPr>
                <w:rFonts w:cs="Arial"/>
                <w:b/>
                <w:bCs/>
                <w:color w:val="auto"/>
                <w:szCs w:val="16"/>
              </w:rPr>
              <w:t>350,51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3CE21A" w14:textId="77777777" w:rsidR="0007252F" w:rsidRPr="0007252F" w:rsidRDefault="0007252F">
            <w:pPr>
              <w:pStyle w:val="Tabele"/>
              <w:jc w:val="right"/>
              <w:rPr>
                <w:color w:val="auto"/>
                <w:highlight w:val="yellow"/>
              </w:rPr>
            </w:pPr>
            <w:r w:rsidRPr="0007252F">
              <w:rPr>
                <w:rFonts w:cs="Arial"/>
                <w:b/>
                <w:bCs/>
                <w:color w:val="auto"/>
                <w:szCs w:val="16"/>
              </w:rPr>
              <w:t>230,60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BAC4C0" w14:textId="77777777" w:rsidR="0007252F" w:rsidRPr="0007252F" w:rsidRDefault="0007252F">
            <w:pPr>
              <w:pStyle w:val="Tabele"/>
              <w:jc w:val="right"/>
              <w:rPr>
                <w:color w:val="auto"/>
                <w:highlight w:val="yellow"/>
              </w:rPr>
            </w:pPr>
            <w:r w:rsidRPr="0007252F">
              <w:rPr>
                <w:rFonts w:cs="Arial"/>
                <w:b/>
                <w:bCs/>
                <w:color w:val="auto"/>
                <w:szCs w:val="16"/>
              </w:rPr>
              <w:t>125,63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1AFAA0" w14:textId="77777777" w:rsidR="0007252F" w:rsidRPr="0007252F" w:rsidRDefault="0007252F">
            <w:pPr>
              <w:pStyle w:val="Tabele"/>
              <w:jc w:val="right"/>
              <w:rPr>
                <w:color w:val="auto"/>
                <w:highlight w:val="yellow"/>
              </w:rPr>
            </w:pPr>
            <w:r w:rsidRPr="0007252F">
              <w:rPr>
                <w:rFonts w:cs="Arial"/>
                <w:b/>
                <w:bCs/>
                <w:color w:val="auto"/>
                <w:szCs w:val="16"/>
              </w:rPr>
              <w:t>58,91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0DB627" w14:textId="77777777" w:rsidR="0007252F" w:rsidRPr="0007252F" w:rsidRDefault="0007252F">
            <w:pPr>
              <w:pStyle w:val="Tabele"/>
              <w:jc w:val="right"/>
              <w:rPr>
                <w:color w:val="auto"/>
                <w:highlight w:val="yellow"/>
              </w:rPr>
            </w:pPr>
            <w:r w:rsidRPr="0007252F">
              <w:rPr>
                <w:rFonts w:cs="Arial"/>
                <w:b/>
                <w:bCs/>
                <w:color w:val="auto"/>
                <w:szCs w:val="16"/>
              </w:rPr>
              <w:t>29,74</w:t>
            </w:r>
          </w:p>
        </w:tc>
      </w:tr>
      <w:tr w:rsidR="0007252F" w:rsidRPr="004669DE" w14:paraId="033743CC"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BA6F5FF" w14:textId="77777777" w:rsidR="0007252F" w:rsidRPr="0007252F" w:rsidRDefault="0007252F">
            <w:pPr>
              <w:pStyle w:val="Tabele"/>
              <w:rPr>
                <w:b/>
                <w:bCs/>
                <w:color w:val="auto"/>
              </w:rPr>
            </w:pPr>
            <w:r w:rsidRPr="0007252F">
              <w:rPr>
                <w:color w:val="auto"/>
              </w:rPr>
              <w:t xml:space="preserve">A. Spalanie paliw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F381D9E" w14:textId="77777777" w:rsidR="0007252F" w:rsidRPr="0007252F" w:rsidRDefault="0007252F">
            <w:pPr>
              <w:pStyle w:val="Tabele"/>
              <w:jc w:val="right"/>
              <w:rPr>
                <w:color w:val="auto"/>
              </w:rPr>
            </w:pPr>
            <w:r w:rsidRPr="0007252F">
              <w:rPr>
                <w:rFonts w:cs="Arial"/>
                <w:color w:val="auto"/>
                <w:szCs w:val="16"/>
              </w:rPr>
              <w:t>1 091,31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6D4F20A" w14:textId="77777777" w:rsidR="0007252F" w:rsidRPr="0007252F" w:rsidRDefault="0007252F">
            <w:pPr>
              <w:pStyle w:val="Tabele"/>
              <w:jc w:val="right"/>
              <w:rPr>
                <w:color w:val="auto"/>
              </w:rPr>
            </w:pPr>
            <w:r w:rsidRPr="0007252F">
              <w:rPr>
                <w:rFonts w:cs="Arial"/>
                <w:color w:val="auto"/>
                <w:szCs w:val="16"/>
              </w:rPr>
              <w:t>789,02</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25659F3" w14:textId="77777777" w:rsidR="0007252F" w:rsidRPr="0007252F" w:rsidRDefault="0007252F">
            <w:pPr>
              <w:pStyle w:val="Tabele"/>
              <w:jc w:val="right"/>
              <w:rPr>
                <w:color w:val="auto"/>
              </w:rPr>
            </w:pPr>
            <w:r w:rsidRPr="0007252F">
              <w:rPr>
                <w:rFonts w:cs="Arial"/>
                <w:color w:val="auto"/>
                <w:szCs w:val="16"/>
              </w:rPr>
              <w:t>597,87</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5C5A3E8" w14:textId="77777777" w:rsidR="0007252F" w:rsidRPr="0007252F" w:rsidRDefault="0007252F">
            <w:pPr>
              <w:pStyle w:val="Tabele"/>
              <w:jc w:val="right"/>
              <w:rPr>
                <w:color w:val="auto"/>
              </w:rPr>
            </w:pPr>
            <w:r w:rsidRPr="0007252F">
              <w:rPr>
                <w:rFonts w:cs="Arial"/>
                <w:color w:val="auto"/>
                <w:szCs w:val="16"/>
              </w:rPr>
              <w:t>343,71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2DD2F3" w14:textId="77777777" w:rsidR="0007252F" w:rsidRPr="0007252F" w:rsidRDefault="0007252F">
            <w:pPr>
              <w:pStyle w:val="Tabele"/>
              <w:jc w:val="right"/>
              <w:rPr>
                <w:color w:val="auto"/>
                <w:highlight w:val="yellow"/>
              </w:rPr>
            </w:pPr>
            <w:r w:rsidRPr="0007252F">
              <w:rPr>
                <w:rFonts w:cs="Arial"/>
                <w:color w:val="auto"/>
                <w:szCs w:val="16"/>
              </w:rPr>
              <w:t>224,60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B027BAF" w14:textId="77777777" w:rsidR="0007252F" w:rsidRPr="0007252F" w:rsidRDefault="0007252F">
            <w:pPr>
              <w:pStyle w:val="Tabele"/>
              <w:jc w:val="right"/>
              <w:rPr>
                <w:color w:val="auto"/>
                <w:highlight w:val="yellow"/>
              </w:rPr>
            </w:pPr>
            <w:r w:rsidRPr="0007252F">
              <w:rPr>
                <w:rFonts w:cs="Arial"/>
                <w:color w:val="auto"/>
                <w:szCs w:val="16"/>
              </w:rPr>
              <w:t>119,98</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94FC662" w14:textId="77777777" w:rsidR="0007252F" w:rsidRPr="0007252F" w:rsidRDefault="0007252F">
            <w:pPr>
              <w:pStyle w:val="Tabele"/>
              <w:jc w:val="right"/>
              <w:rPr>
                <w:color w:val="auto"/>
                <w:highlight w:val="yellow"/>
              </w:rPr>
            </w:pPr>
            <w:r w:rsidRPr="0007252F">
              <w:rPr>
                <w:rFonts w:cs="Arial"/>
                <w:color w:val="auto"/>
                <w:szCs w:val="16"/>
              </w:rPr>
              <w:t>53,59</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47A8754" w14:textId="77777777" w:rsidR="0007252F" w:rsidRPr="0007252F" w:rsidRDefault="0007252F">
            <w:pPr>
              <w:pStyle w:val="Tabele"/>
              <w:jc w:val="right"/>
              <w:rPr>
                <w:color w:val="auto"/>
                <w:highlight w:val="yellow"/>
              </w:rPr>
            </w:pPr>
            <w:r w:rsidRPr="0007252F">
              <w:rPr>
                <w:rFonts w:cs="Arial"/>
                <w:color w:val="auto"/>
                <w:szCs w:val="16"/>
              </w:rPr>
              <w:t>24,86</w:t>
            </w:r>
          </w:p>
        </w:tc>
      </w:tr>
      <w:tr w:rsidR="0007252F" w:rsidRPr="004669DE" w14:paraId="6A53EDAE"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A30A32D" w14:textId="77777777" w:rsidR="0007252F" w:rsidRPr="0007252F" w:rsidRDefault="0007252F">
            <w:pPr>
              <w:pStyle w:val="Tabele"/>
              <w:rPr>
                <w:bCs/>
                <w:color w:val="auto"/>
              </w:rPr>
            </w:pPr>
            <w:r w:rsidRPr="0007252F">
              <w:rPr>
                <w:color w:val="auto"/>
              </w:rPr>
              <w:t xml:space="preserve">1. Przemysły energetyczne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6F0ECC9" w14:textId="77777777" w:rsidR="0007252F" w:rsidRPr="0007252F" w:rsidRDefault="0007252F">
            <w:pPr>
              <w:pStyle w:val="Tabele"/>
              <w:jc w:val="right"/>
              <w:rPr>
                <w:color w:val="auto"/>
              </w:rPr>
            </w:pPr>
            <w:r w:rsidRPr="0007252F">
              <w:rPr>
                <w:rFonts w:cs="Arial"/>
                <w:color w:val="auto"/>
                <w:szCs w:val="16"/>
              </w:rPr>
              <w:t>797,53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3B8BA1A" w14:textId="77777777" w:rsidR="0007252F" w:rsidRPr="0007252F" w:rsidRDefault="0007252F">
            <w:pPr>
              <w:pStyle w:val="Tabele"/>
              <w:jc w:val="right"/>
              <w:rPr>
                <w:color w:val="auto"/>
              </w:rPr>
            </w:pPr>
            <w:r w:rsidRPr="0007252F">
              <w:rPr>
                <w:rFonts w:cs="Arial"/>
                <w:color w:val="auto"/>
                <w:szCs w:val="16"/>
              </w:rPr>
              <w:t>466,66</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0C8648A" w14:textId="77777777" w:rsidR="0007252F" w:rsidRPr="0007252F" w:rsidRDefault="0007252F">
            <w:pPr>
              <w:pStyle w:val="Tabele"/>
              <w:jc w:val="right"/>
              <w:rPr>
                <w:color w:val="auto"/>
              </w:rPr>
            </w:pPr>
            <w:r w:rsidRPr="0007252F">
              <w:rPr>
                <w:rFonts w:cs="Arial"/>
                <w:color w:val="auto"/>
                <w:szCs w:val="16"/>
              </w:rPr>
              <w:t>342,07</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2C5EDF4" w14:textId="77777777" w:rsidR="0007252F" w:rsidRPr="0007252F" w:rsidRDefault="0007252F">
            <w:pPr>
              <w:pStyle w:val="Tabele"/>
              <w:jc w:val="right"/>
              <w:rPr>
                <w:color w:val="auto"/>
              </w:rPr>
            </w:pPr>
            <w:r w:rsidRPr="0007252F">
              <w:rPr>
                <w:rFonts w:cs="Arial"/>
                <w:color w:val="auto"/>
                <w:szCs w:val="16"/>
              </w:rPr>
              <w:t>133,15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46922B" w14:textId="77777777" w:rsidR="0007252F" w:rsidRPr="0007252F" w:rsidRDefault="0007252F">
            <w:pPr>
              <w:pStyle w:val="Tabele"/>
              <w:jc w:val="right"/>
              <w:rPr>
                <w:color w:val="auto"/>
                <w:highlight w:val="yellow"/>
              </w:rPr>
            </w:pPr>
            <w:r w:rsidRPr="0007252F">
              <w:rPr>
                <w:rFonts w:cs="Arial"/>
                <w:color w:val="auto"/>
                <w:szCs w:val="16"/>
              </w:rPr>
              <w:t>91,39</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4623E02" w14:textId="77777777" w:rsidR="0007252F" w:rsidRPr="0007252F" w:rsidRDefault="0007252F">
            <w:pPr>
              <w:pStyle w:val="Tabele"/>
              <w:jc w:val="right"/>
              <w:rPr>
                <w:color w:val="auto"/>
                <w:highlight w:val="yellow"/>
              </w:rPr>
            </w:pPr>
            <w:r w:rsidRPr="0007252F">
              <w:rPr>
                <w:rFonts w:cs="Arial"/>
                <w:color w:val="auto"/>
                <w:szCs w:val="16"/>
              </w:rPr>
              <w:t>50,93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7F1AA06" w14:textId="77777777" w:rsidR="0007252F" w:rsidRPr="0007252F" w:rsidRDefault="0007252F">
            <w:pPr>
              <w:pStyle w:val="Tabele"/>
              <w:jc w:val="right"/>
              <w:rPr>
                <w:color w:val="auto"/>
                <w:highlight w:val="yellow"/>
              </w:rPr>
            </w:pPr>
            <w:r w:rsidRPr="0007252F">
              <w:rPr>
                <w:rFonts w:cs="Arial"/>
                <w:color w:val="auto"/>
                <w:szCs w:val="16"/>
              </w:rPr>
              <w:t>23,66</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144CBE" w14:textId="77777777" w:rsidR="0007252F" w:rsidRPr="0007252F" w:rsidRDefault="0007252F">
            <w:pPr>
              <w:pStyle w:val="Tabele"/>
              <w:jc w:val="right"/>
              <w:rPr>
                <w:color w:val="auto"/>
                <w:highlight w:val="yellow"/>
              </w:rPr>
            </w:pPr>
            <w:r w:rsidRPr="0007252F">
              <w:rPr>
                <w:rFonts w:cs="Arial"/>
                <w:color w:val="auto"/>
                <w:szCs w:val="16"/>
              </w:rPr>
              <w:t>9,84</w:t>
            </w:r>
          </w:p>
        </w:tc>
      </w:tr>
      <w:tr w:rsidR="0007252F" w:rsidRPr="004669DE" w14:paraId="282FBEF8"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D2102B" w14:textId="77777777" w:rsidR="0007252F" w:rsidRPr="0007252F" w:rsidRDefault="0007252F">
            <w:pPr>
              <w:pStyle w:val="Tabele"/>
              <w:rPr>
                <w:bCs/>
                <w:color w:val="auto"/>
              </w:rPr>
            </w:pPr>
            <w:r w:rsidRPr="0007252F">
              <w:rPr>
                <w:color w:val="auto"/>
              </w:rPr>
              <w:t xml:space="preserve">2. Przemysł wytwórczy i budownictwo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5C300F0" w14:textId="77777777" w:rsidR="0007252F" w:rsidRPr="0007252F" w:rsidRDefault="0007252F">
            <w:pPr>
              <w:pStyle w:val="Tabele"/>
              <w:jc w:val="right"/>
              <w:rPr>
                <w:color w:val="auto"/>
              </w:rPr>
            </w:pPr>
            <w:r w:rsidRPr="0007252F">
              <w:rPr>
                <w:rFonts w:cs="Arial"/>
                <w:color w:val="auto"/>
                <w:szCs w:val="16"/>
              </w:rPr>
              <w:t>110,50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507BD53" w14:textId="77777777" w:rsidR="0007252F" w:rsidRPr="0007252F" w:rsidRDefault="0007252F">
            <w:pPr>
              <w:pStyle w:val="Tabele"/>
              <w:jc w:val="right"/>
              <w:rPr>
                <w:color w:val="auto"/>
              </w:rPr>
            </w:pPr>
            <w:r w:rsidRPr="0007252F">
              <w:rPr>
                <w:rFonts w:cs="Arial"/>
                <w:color w:val="auto"/>
                <w:szCs w:val="16"/>
              </w:rPr>
              <w:t>87,09</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4F6CD3A" w14:textId="77777777" w:rsidR="0007252F" w:rsidRPr="0007252F" w:rsidRDefault="0007252F">
            <w:pPr>
              <w:pStyle w:val="Tabele"/>
              <w:jc w:val="right"/>
              <w:rPr>
                <w:color w:val="auto"/>
              </w:rPr>
            </w:pPr>
            <w:r w:rsidRPr="0007252F">
              <w:rPr>
                <w:rFonts w:cs="Arial"/>
                <w:color w:val="auto"/>
                <w:szCs w:val="16"/>
              </w:rPr>
              <w:t>69,93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B2C0D1F" w14:textId="77777777" w:rsidR="0007252F" w:rsidRPr="0007252F" w:rsidRDefault="0007252F">
            <w:pPr>
              <w:pStyle w:val="Tabele"/>
              <w:jc w:val="right"/>
              <w:rPr>
                <w:color w:val="auto"/>
              </w:rPr>
            </w:pPr>
            <w:r w:rsidRPr="0007252F">
              <w:rPr>
                <w:rFonts w:cs="Arial"/>
                <w:color w:val="auto"/>
                <w:szCs w:val="16"/>
              </w:rPr>
              <w:t>45,48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006368" w14:textId="77777777" w:rsidR="0007252F" w:rsidRPr="0007252F" w:rsidRDefault="0007252F">
            <w:pPr>
              <w:pStyle w:val="Tabele"/>
              <w:jc w:val="right"/>
              <w:rPr>
                <w:color w:val="auto"/>
                <w:highlight w:val="yellow"/>
              </w:rPr>
            </w:pPr>
            <w:r w:rsidRPr="0007252F">
              <w:rPr>
                <w:rFonts w:cs="Arial"/>
                <w:color w:val="auto"/>
                <w:szCs w:val="16"/>
              </w:rPr>
              <w:t>28,51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DF28470" w14:textId="77777777" w:rsidR="0007252F" w:rsidRPr="0007252F" w:rsidRDefault="0007252F">
            <w:pPr>
              <w:pStyle w:val="Tabele"/>
              <w:jc w:val="right"/>
              <w:rPr>
                <w:color w:val="auto"/>
                <w:highlight w:val="yellow"/>
              </w:rPr>
            </w:pPr>
            <w:r w:rsidRPr="0007252F">
              <w:rPr>
                <w:rFonts w:cs="Arial"/>
                <w:color w:val="auto"/>
                <w:szCs w:val="16"/>
              </w:rPr>
              <w:t>16,00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BCFBFF6" w14:textId="77777777" w:rsidR="0007252F" w:rsidRPr="0007252F" w:rsidRDefault="0007252F">
            <w:pPr>
              <w:pStyle w:val="Tabele"/>
              <w:jc w:val="right"/>
              <w:rPr>
                <w:color w:val="auto"/>
                <w:highlight w:val="yellow"/>
              </w:rPr>
            </w:pPr>
            <w:r w:rsidRPr="0007252F">
              <w:rPr>
                <w:rFonts w:cs="Arial"/>
                <w:color w:val="auto"/>
                <w:szCs w:val="16"/>
              </w:rPr>
              <w:t>10,74</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C042332" w14:textId="77777777" w:rsidR="0007252F" w:rsidRPr="0007252F" w:rsidRDefault="0007252F">
            <w:pPr>
              <w:pStyle w:val="Tabele"/>
              <w:jc w:val="right"/>
              <w:rPr>
                <w:color w:val="auto"/>
                <w:highlight w:val="yellow"/>
              </w:rPr>
            </w:pPr>
            <w:r w:rsidRPr="0007252F">
              <w:rPr>
                <w:rFonts w:cs="Arial"/>
                <w:color w:val="auto"/>
                <w:szCs w:val="16"/>
              </w:rPr>
              <w:t>8,25</w:t>
            </w:r>
          </w:p>
        </w:tc>
      </w:tr>
      <w:tr w:rsidR="0007252F" w:rsidRPr="004669DE" w14:paraId="614DCA52"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ABDFB3F" w14:textId="77777777" w:rsidR="0007252F" w:rsidRPr="0007252F" w:rsidRDefault="0007252F">
            <w:pPr>
              <w:pStyle w:val="Tabele"/>
              <w:rPr>
                <w:bCs/>
                <w:color w:val="auto"/>
              </w:rPr>
            </w:pPr>
            <w:r w:rsidRPr="0007252F">
              <w:rPr>
                <w:color w:val="auto"/>
              </w:rPr>
              <w:t xml:space="preserve">3. Transport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55C80D7" w14:textId="77777777" w:rsidR="0007252F" w:rsidRPr="0007252F" w:rsidRDefault="0007252F">
            <w:pPr>
              <w:pStyle w:val="Tabele"/>
              <w:jc w:val="right"/>
              <w:rPr>
                <w:color w:val="auto"/>
              </w:rPr>
            </w:pPr>
            <w:r w:rsidRPr="0007252F">
              <w:rPr>
                <w:rFonts w:cs="Arial"/>
                <w:color w:val="auto"/>
                <w:szCs w:val="16"/>
              </w:rPr>
              <w:t>1,24</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8C7B9F4" w14:textId="77777777" w:rsidR="0007252F" w:rsidRPr="0007252F" w:rsidRDefault="0007252F">
            <w:pPr>
              <w:pStyle w:val="Tabele"/>
              <w:jc w:val="right"/>
              <w:rPr>
                <w:color w:val="auto"/>
              </w:rPr>
            </w:pPr>
            <w:r w:rsidRPr="0007252F">
              <w:rPr>
                <w:rFonts w:cs="Arial"/>
                <w:color w:val="auto"/>
                <w:szCs w:val="16"/>
              </w:rPr>
              <w:t>0,56</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135BD9A" w14:textId="77777777" w:rsidR="0007252F" w:rsidRPr="0007252F" w:rsidRDefault="0007252F">
            <w:pPr>
              <w:pStyle w:val="Tabele"/>
              <w:jc w:val="right"/>
              <w:rPr>
                <w:color w:val="auto"/>
              </w:rPr>
            </w:pPr>
            <w:r w:rsidRPr="0007252F">
              <w:rPr>
                <w:rFonts w:cs="Arial"/>
                <w:color w:val="auto"/>
                <w:szCs w:val="16"/>
              </w:rPr>
              <w:t>0,55</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5B78F71" w14:textId="77777777" w:rsidR="0007252F" w:rsidRPr="0007252F" w:rsidRDefault="0007252F">
            <w:pPr>
              <w:pStyle w:val="Tabele"/>
              <w:jc w:val="right"/>
              <w:rPr>
                <w:color w:val="auto"/>
              </w:rPr>
            </w:pPr>
            <w:r w:rsidRPr="0007252F">
              <w:rPr>
                <w:rFonts w:cs="Arial"/>
                <w:color w:val="auto"/>
                <w:szCs w:val="16"/>
              </w:rPr>
              <w:t>0,63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06BB5E" w14:textId="77777777" w:rsidR="0007252F" w:rsidRPr="0007252F" w:rsidRDefault="0007252F">
            <w:pPr>
              <w:pStyle w:val="Tabele"/>
              <w:jc w:val="right"/>
              <w:rPr>
                <w:color w:val="auto"/>
                <w:highlight w:val="yellow"/>
              </w:rPr>
            </w:pPr>
            <w:r w:rsidRPr="0007252F">
              <w:rPr>
                <w:rFonts w:cs="Arial"/>
                <w:color w:val="auto"/>
                <w:szCs w:val="16"/>
              </w:rPr>
              <w:t>0,83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4ECC68" w14:textId="77777777" w:rsidR="0007252F" w:rsidRPr="0007252F" w:rsidRDefault="0007252F">
            <w:pPr>
              <w:pStyle w:val="Tabele"/>
              <w:jc w:val="right"/>
              <w:rPr>
                <w:color w:val="auto"/>
                <w:highlight w:val="yellow"/>
              </w:rPr>
            </w:pPr>
            <w:r w:rsidRPr="0007252F">
              <w:rPr>
                <w:rFonts w:cs="Arial"/>
                <w:color w:val="auto"/>
                <w:szCs w:val="16"/>
              </w:rPr>
              <w:t>0,78</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0481A7" w14:textId="77777777" w:rsidR="0007252F" w:rsidRPr="0007252F" w:rsidRDefault="0007252F">
            <w:pPr>
              <w:pStyle w:val="Tabele"/>
              <w:jc w:val="right"/>
              <w:rPr>
                <w:color w:val="auto"/>
                <w:highlight w:val="yellow"/>
              </w:rPr>
            </w:pPr>
            <w:r w:rsidRPr="0007252F">
              <w:rPr>
                <w:rFonts w:cs="Arial"/>
                <w:color w:val="auto"/>
                <w:szCs w:val="16"/>
              </w:rPr>
              <w:t>0,75</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4EED5A2" w14:textId="77777777" w:rsidR="0007252F" w:rsidRPr="0007252F" w:rsidRDefault="0007252F">
            <w:pPr>
              <w:pStyle w:val="Tabele"/>
              <w:jc w:val="right"/>
              <w:rPr>
                <w:color w:val="auto"/>
                <w:highlight w:val="yellow"/>
              </w:rPr>
            </w:pPr>
            <w:r w:rsidRPr="0007252F">
              <w:rPr>
                <w:rFonts w:cs="Arial"/>
                <w:color w:val="auto"/>
                <w:szCs w:val="16"/>
              </w:rPr>
              <w:t>0,70</w:t>
            </w:r>
          </w:p>
        </w:tc>
      </w:tr>
      <w:tr w:rsidR="0007252F" w:rsidRPr="004669DE" w14:paraId="77B148C1"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05788DB" w14:textId="77777777" w:rsidR="0007252F" w:rsidRPr="0007252F" w:rsidRDefault="0007252F">
            <w:pPr>
              <w:pStyle w:val="Tabele"/>
              <w:rPr>
                <w:bCs/>
                <w:color w:val="auto"/>
              </w:rPr>
            </w:pPr>
            <w:r w:rsidRPr="0007252F">
              <w:rPr>
                <w:color w:val="auto"/>
              </w:rPr>
              <w:t>4. Inne sektory (małe źródła spalania paliw, w tym gospodarstwa domowe)</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929DD9A" w14:textId="77777777" w:rsidR="0007252F" w:rsidRPr="0007252F" w:rsidRDefault="0007252F">
            <w:pPr>
              <w:pStyle w:val="Tabele"/>
              <w:jc w:val="right"/>
              <w:rPr>
                <w:color w:val="auto"/>
              </w:rPr>
            </w:pPr>
            <w:r w:rsidRPr="0007252F">
              <w:rPr>
                <w:rFonts w:cs="Arial"/>
                <w:color w:val="auto"/>
                <w:szCs w:val="16"/>
              </w:rPr>
              <w:t>182,04</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6271E96" w14:textId="77777777" w:rsidR="0007252F" w:rsidRPr="0007252F" w:rsidRDefault="0007252F">
            <w:pPr>
              <w:pStyle w:val="Tabele"/>
              <w:jc w:val="right"/>
              <w:rPr>
                <w:color w:val="auto"/>
              </w:rPr>
            </w:pPr>
            <w:r w:rsidRPr="0007252F">
              <w:rPr>
                <w:rFonts w:cs="Arial"/>
                <w:color w:val="auto"/>
                <w:szCs w:val="16"/>
              </w:rPr>
              <w:t>234,71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5CD26D9" w14:textId="77777777" w:rsidR="0007252F" w:rsidRPr="0007252F" w:rsidRDefault="0007252F">
            <w:pPr>
              <w:pStyle w:val="Tabele"/>
              <w:jc w:val="right"/>
              <w:rPr>
                <w:color w:val="auto"/>
              </w:rPr>
            </w:pPr>
            <w:r w:rsidRPr="0007252F">
              <w:rPr>
                <w:rFonts w:cs="Arial"/>
                <w:color w:val="auto"/>
                <w:szCs w:val="16"/>
              </w:rPr>
              <w:t>185,31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A58422D" w14:textId="77777777" w:rsidR="0007252F" w:rsidRPr="0007252F" w:rsidRDefault="0007252F">
            <w:pPr>
              <w:pStyle w:val="Tabele"/>
              <w:jc w:val="right"/>
              <w:rPr>
                <w:color w:val="auto"/>
              </w:rPr>
            </w:pPr>
            <w:r w:rsidRPr="0007252F">
              <w:rPr>
                <w:rFonts w:cs="Arial"/>
                <w:color w:val="auto"/>
                <w:szCs w:val="16"/>
              </w:rPr>
              <w:t>164,45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EF8F31" w14:textId="77777777" w:rsidR="0007252F" w:rsidRPr="0007252F" w:rsidRDefault="0007252F">
            <w:pPr>
              <w:pStyle w:val="Tabele"/>
              <w:jc w:val="right"/>
              <w:rPr>
                <w:color w:val="auto"/>
                <w:highlight w:val="yellow"/>
              </w:rPr>
            </w:pPr>
            <w:r w:rsidRPr="0007252F">
              <w:rPr>
                <w:rFonts w:cs="Arial"/>
                <w:color w:val="auto"/>
                <w:szCs w:val="16"/>
              </w:rPr>
              <w:t>103,88</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551249" w14:textId="77777777" w:rsidR="0007252F" w:rsidRPr="0007252F" w:rsidRDefault="0007252F">
            <w:pPr>
              <w:pStyle w:val="Tabele"/>
              <w:jc w:val="right"/>
              <w:rPr>
                <w:color w:val="auto"/>
                <w:highlight w:val="yellow"/>
              </w:rPr>
            </w:pPr>
            <w:r w:rsidRPr="0007252F">
              <w:rPr>
                <w:rFonts w:cs="Arial"/>
                <w:color w:val="auto"/>
                <w:szCs w:val="16"/>
              </w:rPr>
              <w:t>52,26</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AB38EF" w14:textId="77777777" w:rsidR="0007252F" w:rsidRPr="0007252F" w:rsidRDefault="0007252F">
            <w:pPr>
              <w:pStyle w:val="Tabele"/>
              <w:jc w:val="right"/>
              <w:rPr>
                <w:color w:val="auto"/>
                <w:highlight w:val="yellow"/>
              </w:rPr>
            </w:pPr>
            <w:r w:rsidRPr="0007252F">
              <w:rPr>
                <w:rFonts w:cs="Arial"/>
                <w:color w:val="auto"/>
                <w:szCs w:val="16"/>
              </w:rPr>
              <w:t>18,44</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CB40E6D" w14:textId="77777777" w:rsidR="0007252F" w:rsidRPr="0007252F" w:rsidRDefault="0007252F">
            <w:pPr>
              <w:pStyle w:val="Tabele"/>
              <w:jc w:val="right"/>
              <w:rPr>
                <w:color w:val="auto"/>
                <w:highlight w:val="yellow"/>
              </w:rPr>
            </w:pPr>
            <w:r w:rsidRPr="0007252F">
              <w:rPr>
                <w:rFonts w:cs="Arial"/>
                <w:color w:val="auto"/>
                <w:szCs w:val="16"/>
              </w:rPr>
              <w:t>6,07</w:t>
            </w:r>
          </w:p>
        </w:tc>
      </w:tr>
      <w:tr w:rsidR="0007252F" w:rsidRPr="004669DE" w14:paraId="5D04D5E0"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7410D6C" w14:textId="77777777" w:rsidR="0007252F" w:rsidRPr="0007252F" w:rsidRDefault="0007252F">
            <w:pPr>
              <w:pStyle w:val="Tabele"/>
              <w:rPr>
                <w:bCs/>
                <w:color w:val="auto"/>
              </w:rPr>
            </w:pPr>
            <w:r w:rsidRPr="0007252F">
              <w:rPr>
                <w:color w:val="auto"/>
              </w:rPr>
              <w:t xml:space="preserve">B. Emisja lotna z paliw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5ACC512" w14:textId="77777777" w:rsidR="0007252F" w:rsidRPr="0007252F" w:rsidRDefault="0007252F">
            <w:pPr>
              <w:pStyle w:val="Tabele"/>
              <w:jc w:val="right"/>
              <w:rPr>
                <w:color w:val="auto"/>
              </w:rPr>
            </w:pPr>
            <w:r w:rsidRPr="0007252F">
              <w:rPr>
                <w:rFonts w:cs="Arial"/>
                <w:color w:val="auto"/>
                <w:szCs w:val="16"/>
              </w:rPr>
              <w:t>6,08</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0111F68" w14:textId="77777777" w:rsidR="0007252F" w:rsidRPr="0007252F" w:rsidRDefault="0007252F">
            <w:pPr>
              <w:pStyle w:val="Tabele"/>
              <w:jc w:val="right"/>
              <w:rPr>
                <w:color w:val="auto"/>
              </w:rPr>
            </w:pPr>
            <w:r w:rsidRPr="0007252F">
              <w:rPr>
                <w:rFonts w:cs="Arial"/>
                <w:color w:val="auto"/>
                <w:szCs w:val="16"/>
              </w:rPr>
              <w:t>8,11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BEE806A" w14:textId="77777777" w:rsidR="0007252F" w:rsidRPr="0007252F" w:rsidRDefault="0007252F">
            <w:pPr>
              <w:pStyle w:val="Tabele"/>
              <w:jc w:val="right"/>
              <w:rPr>
                <w:color w:val="auto"/>
              </w:rPr>
            </w:pPr>
            <w:r w:rsidRPr="0007252F">
              <w:rPr>
                <w:rFonts w:cs="Arial"/>
                <w:color w:val="auto"/>
                <w:szCs w:val="16"/>
              </w:rPr>
              <w:t>8,44</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7C16616" w14:textId="77777777" w:rsidR="0007252F" w:rsidRPr="0007252F" w:rsidRDefault="0007252F">
            <w:pPr>
              <w:pStyle w:val="Tabele"/>
              <w:jc w:val="right"/>
              <w:rPr>
                <w:color w:val="auto"/>
              </w:rPr>
            </w:pPr>
            <w:r w:rsidRPr="0007252F">
              <w:rPr>
                <w:rFonts w:cs="Arial"/>
                <w:color w:val="auto"/>
                <w:szCs w:val="16"/>
              </w:rPr>
              <w:t>6,80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760BF9" w14:textId="77777777" w:rsidR="0007252F" w:rsidRPr="0007252F" w:rsidRDefault="0007252F">
            <w:pPr>
              <w:pStyle w:val="Tabele"/>
              <w:jc w:val="right"/>
              <w:rPr>
                <w:color w:val="auto"/>
                <w:highlight w:val="yellow"/>
              </w:rPr>
            </w:pPr>
            <w:r w:rsidRPr="0007252F">
              <w:rPr>
                <w:rFonts w:cs="Arial"/>
                <w:color w:val="auto"/>
                <w:szCs w:val="16"/>
              </w:rPr>
              <w:t>6,00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8B608DA" w14:textId="77777777" w:rsidR="0007252F" w:rsidRPr="0007252F" w:rsidRDefault="0007252F">
            <w:pPr>
              <w:pStyle w:val="Tabele"/>
              <w:jc w:val="right"/>
              <w:rPr>
                <w:color w:val="auto"/>
                <w:highlight w:val="yellow"/>
              </w:rPr>
            </w:pPr>
            <w:r w:rsidRPr="0007252F">
              <w:rPr>
                <w:rFonts w:cs="Arial"/>
                <w:color w:val="auto"/>
                <w:szCs w:val="16"/>
              </w:rPr>
              <w:t>5,65</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A7E7248" w14:textId="77777777" w:rsidR="0007252F" w:rsidRPr="0007252F" w:rsidRDefault="0007252F">
            <w:pPr>
              <w:pStyle w:val="Tabele"/>
              <w:jc w:val="right"/>
              <w:rPr>
                <w:color w:val="auto"/>
                <w:highlight w:val="yellow"/>
              </w:rPr>
            </w:pPr>
            <w:r w:rsidRPr="0007252F">
              <w:rPr>
                <w:rFonts w:cs="Arial"/>
                <w:color w:val="auto"/>
                <w:szCs w:val="16"/>
              </w:rPr>
              <w:t>5,32</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F2FAE4" w14:textId="77777777" w:rsidR="0007252F" w:rsidRPr="0007252F" w:rsidRDefault="0007252F">
            <w:pPr>
              <w:pStyle w:val="Tabele"/>
              <w:jc w:val="right"/>
              <w:rPr>
                <w:color w:val="auto"/>
                <w:highlight w:val="yellow"/>
              </w:rPr>
            </w:pPr>
            <w:r w:rsidRPr="0007252F">
              <w:rPr>
                <w:rFonts w:cs="Arial"/>
                <w:color w:val="auto"/>
                <w:szCs w:val="16"/>
              </w:rPr>
              <w:t>4,89</w:t>
            </w:r>
          </w:p>
        </w:tc>
      </w:tr>
      <w:tr w:rsidR="0007252F" w:rsidRPr="004669DE" w14:paraId="627919FA"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D8DCDCB" w14:textId="77777777" w:rsidR="0007252F" w:rsidRPr="0007252F" w:rsidRDefault="0007252F">
            <w:pPr>
              <w:pStyle w:val="Tabele"/>
              <w:rPr>
                <w:bCs/>
                <w:color w:val="auto"/>
              </w:rPr>
            </w:pPr>
            <w:r w:rsidRPr="0007252F">
              <w:rPr>
                <w:color w:val="auto"/>
              </w:rPr>
              <w:t xml:space="preserve">1. Paliwa stałe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41C9466" w14:textId="77777777" w:rsidR="0007252F" w:rsidRPr="0007252F" w:rsidRDefault="0007252F">
            <w:pPr>
              <w:pStyle w:val="Tabele"/>
              <w:jc w:val="right"/>
              <w:rPr>
                <w:color w:val="auto"/>
              </w:rPr>
            </w:pPr>
            <w:r w:rsidRPr="0007252F">
              <w:rPr>
                <w:rFonts w:cs="Arial"/>
                <w:color w:val="auto"/>
                <w:szCs w:val="16"/>
              </w:rPr>
              <w:t>0,01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775FAFA" w14:textId="77777777" w:rsidR="0007252F" w:rsidRPr="0007252F" w:rsidRDefault="0007252F">
            <w:pPr>
              <w:pStyle w:val="Tabele"/>
              <w:jc w:val="right"/>
              <w:rPr>
                <w:color w:val="auto"/>
              </w:rPr>
            </w:pPr>
            <w:r w:rsidRPr="0007252F">
              <w:rPr>
                <w:rFonts w:cs="Arial"/>
                <w:color w:val="auto"/>
                <w:szCs w:val="16"/>
              </w:rPr>
              <w:t>0,01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42A0E34" w14:textId="77777777" w:rsidR="0007252F" w:rsidRPr="0007252F" w:rsidRDefault="0007252F">
            <w:pPr>
              <w:pStyle w:val="Tabele"/>
              <w:jc w:val="right"/>
              <w:rPr>
                <w:color w:val="auto"/>
              </w:rPr>
            </w:pPr>
            <w:r w:rsidRPr="0007252F">
              <w:rPr>
                <w:rFonts w:cs="Arial"/>
                <w:color w:val="auto"/>
                <w:szCs w:val="16"/>
              </w:rPr>
              <w:t>0,01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C6FC260" w14:textId="77777777" w:rsidR="0007252F" w:rsidRPr="0007252F" w:rsidRDefault="0007252F">
            <w:pPr>
              <w:pStyle w:val="Tabele"/>
              <w:jc w:val="right"/>
              <w:rPr>
                <w:color w:val="auto"/>
              </w:rPr>
            </w:pPr>
            <w:r w:rsidRPr="0007252F">
              <w:rPr>
                <w:rFonts w:cs="Arial"/>
                <w:color w:val="auto"/>
                <w:szCs w:val="16"/>
              </w:rPr>
              <w:t>0,01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809C6B" w14:textId="77777777" w:rsidR="0007252F" w:rsidRPr="0007252F" w:rsidRDefault="0007252F">
            <w:pPr>
              <w:pStyle w:val="Tabele"/>
              <w:jc w:val="right"/>
              <w:rPr>
                <w:color w:val="auto"/>
                <w:highlight w:val="yellow"/>
              </w:rPr>
            </w:pPr>
            <w:r w:rsidRPr="0007252F">
              <w:rPr>
                <w:rFonts w:cs="Arial"/>
                <w:color w:val="auto"/>
                <w:szCs w:val="16"/>
              </w:rPr>
              <w:t>0,01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FD698D" w14:textId="77777777" w:rsidR="0007252F" w:rsidRPr="0007252F" w:rsidRDefault="0007252F">
            <w:pPr>
              <w:pStyle w:val="Tabele"/>
              <w:jc w:val="right"/>
              <w:rPr>
                <w:color w:val="auto"/>
                <w:highlight w:val="yellow"/>
              </w:rPr>
            </w:pPr>
            <w:r w:rsidRPr="0007252F">
              <w:rPr>
                <w:rFonts w:cs="Arial"/>
                <w:color w:val="auto"/>
                <w:szCs w:val="16"/>
              </w:rPr>
              <w:t>0,01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C6EDF0" w14:textId="77777777" w:rsidR="0007252F" w:rsidRPr="0007252F" w:rsidRDefault="0007252F">
            <w:pPr>
              <w:pStyle w:val="Tabele"/>
              <w:jc w:val="right"/>
              <w:rPr>
                <w:color w:val="auto"/>
                <w:highlight w:val="yellow"/>
              </w:rPr>
            </w:pPr>
            <w:r w:rsidRPr="0007252F">
              <w:rPr>
                <w:rFonts w:cs="Arial"/>
                <w:color w:val="auto"/>
                <w:szCs w:val="16"/>
              </w:rPr>
              <w:t>0,01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CA2CE01" w14:textId="77777777" w:rsidR="0007252F" w:rsidRPr="0007252F" w:rsidRDefault="0007252F">
            <w:pPr>
              <w:pStyle w:val="Tabele"/>
              <w:jc w:val="right"/>
              <w:rPr>
                <w:color w:val="auto"/>
                <w:highlight w:val="yellow"/>
              </w:rPr>
            </w:pPr>
            <w:r w:rsidRPr="0007252F">
              <w:rPr>
                <w:rFonts w:cs="Arial"/>
                <w:color w:val="auto"/>
                <w:szCs w:val="16"/>
              </w:rPr>
              <w:t>0,01</w:t>
            </w:r>
          </w:p>
        </w:tc>
      </w:tr>
      <w:tr w:rsidR="0007252F" w:rsidRPr="004669DE" w14:paraId="1066F272"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E66B47" w14:textId="77777777" w:rsidR="0007252F" w:rsidRPr="0007252F" w:rsidRDefault="0007252F">
            <w:pPr>
              <w:pStyle w:val="Tabele"/>
              <w:rPr>
                <w:bCs/>
                <w:color w:val="auto"/>
              </w:rPr>
            </w:pPr>
            <w:r w:rsidRPr="0007252F">
              <w:rPr>
                <w:color w:val="auto"/>
              </w:rPr>
              <w:t xml:space="preserve">2. Ropa naftowa i gaz ziemny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4AE6C5E" w14:textId="77777777" w:rsidR="0007252F" w:rsidRPr="0007252F" w:rsidRDefault="0007252F">
            <w:pPr>
              <w:pStyle w:val="Tabele"/>
              <w:jc w:val="right"/>
              <w:rPr>
                <w:color w:val="auto"/>
              </w:rPr>
            </w:pPr>
            <w:r w:rsidRPr="0007252F">
              <w:rPr>
                <w:rFonts w:cs="Arial"/>
                <w:color w:val="auto"/>
                <w:szCs w:val="16"/>
              </w:rPr>
              <w:t>6,07</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280295D" w14:textId="77777777" w:rsidR="0007252F" w:rsidRPr="0007252F" w:rsidRDefault="0007252F">
            <w:pPr>
              <w:pStyle w:val="Tabele"/>
              <w:jc w:val="right"/>
              <w:rPr>
                <w:color w:val="auto"/>
              </w:rPr>
            </w:pPr>
            <w:r w:rsidRPr="0007252F">
              <w:rPr>
                <w:rFonts w:cs="Arial"/>
                <w:color w:val="auto"/>
                <w:szCs w:val="16"/>
              </w:rPr>
              <w:t>8,10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9BFBF1C" w14:textId="77777777" w:rsidR="0007252F" w:rsidRPr="0007252F" w:rsidRDefault="0007252F">
            <w:pPr>
              <w:pStyle w:val="Tabele"/>
              <w:jc w:val="right"/>
              <w:rPr>
                <w:color w:val="auto"/>
              </w:rPr>
            </w:pPr>
            <w:r w:rsidRPr="0007252F">
              <w:rPr>
                <w:rFonts w:cs="Arial"/>
                <w:color w:val="auto"/>
                <w:szCs w:val="16"/>
              </w:rPr>
              <w:t>8,43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C136558" w14:textId="77777777" w:rsidR="0007252F" w:rsidRPr="0007252F" w:rsidRDefault="0007252F">
            <w:pPr>
              <w:pStyle w:val="Tabele"/>
              <w:jc w:val="right"/>
              <w:rPr>
                <w:color w:val="auto"/>
              </w:rPr>
            </w:pPr>
            <w:r w:rsidRPr="0007252F">
              <w:rPr>
                <w:rFonts w:cs="Arial"/>
                <w:color w:val="auto"/>
                <w:szCs w:val="16"/>
              </w:rPr>
              <w:t>6,80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23C871" w14:textId="77777777" w:rsidR="0007252F" w:rsidRPr="0007252F" w:rsidRDefault="0007252F">
            <w:pPr>
              <w:pStyle w:val="Tabele"/>
              <w:jc w:val="right"/>
              <w:rPr>
                <w:color w:val="auto"/>
                <w:highlight w:val="yellow"/>
              </w:rPr>
            </w:pPr>
            <w:r w:rsidRPr="0007252F">
              <w:rPr>
                <w:rFonts w:cs="Arial"/>
                <w:color w:val="auto"/>
                <w:szCs w:val="16"/>
              </w:rPr>
              <w:t>5,99</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ACD9155" w14:textId="77777777" w:rsidR="0007252F" w:rsidRPr="0007252F" w:rsidRDefault="0007252F">
            <w:pPr>
              <w:pStyle w:val="Tabele"/>
              <w:jc w:val="right"/>
              <w:rPr>
                <w:color w:val="auto"/>
                <w:highlight w:val="yellow"/>
              </w:rPr>
            </w:pPr>
            <w:r w:rsidRPr="0007252F">
              <w:rPr>
                <w:rFonts w:cs="Arial"/>
                <w:color w:val="auto"/>
                <w:szCs w:val="16"/>
              </w:rPr>
              <w:t>5,64</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B4D5480" w14:textId="77777777" w:rsidR="0007252F" w:rsidRPr="0007252F" w:rsidRDefault="0007252F">
            <w:pPr>
              <w:pStyle w:val="Tabele"/>
              <w:jc w:val="right"/>
              <w:rPr>
                <w:color w:val="auto"/>
                <w:highlight w:val="yellow"/>
              </w:rPr>
            </w:pPr>
            <w:r w:rsidRPr="0007252F">
              <w:rPr>
                <w:rFonts w:cs="Arial"/>
                <w:color w:val="auto"/>
                <w:szCs w:val="16"/>
              </w:rPr>
              <w:t>5,32</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AF9E8B" w14:textId="77777777" w:rsidR="0007252F" w:rsidRPr="0007252F" w:rsidRDefault="0007252F">
            <w:pPr>
              <w:pStyle w:val="Tabele"/>
              <w:jc w:val="right"/>
              <w:rPr>
                <w:color w:val="auto"/>
                <w:highlight w:val="yellow"/>
              </w:rPr>
            </w:pPr>
            <w:r w:rsidRPr="0007252F">
              <w:rPr>
                <w:rFonts w:cs="Arial"/>
                <w:color w:val="auto"/>
                <w:szCs w:val="16"/>
              </w:rPr>
              <w:t>4,88</w:t>
            </w:r>
          </w:p>
        </w:tc>
      </w:tr>
      <w:tr w:rsidR="0007252F" w:rsidRPr="004669DE" w14:paraId="78D0C55B"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86FBB48" w14:textId="77777777" w:rsidR="0007252F" w:rsidRPr="0007252F" w:rsidRDefault="0007252F">
            <w:pPr>
              <w:pStyle w:val="Tabele"/>
              <w:rPr>
                <w:b/>
                <w:bCs/>
                <w:color w:val="auto"/>
              </w:rPr>
            </w:pPr>
            <w:r w:rsidRPr="0007252F">
              <w:rPr>
                <w:b/>
                <w:bCs/>
                <w:color w:val="auto"/>
              </w:rPr>
              <w:t xml:space="preserve">2. Procesy przemysłowe i użytkowanie produktów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1709804" w14:textId="77777777" w:rsidR="0007252F" w:rsidRPr="0007252F" w:rsidRDefault="0007252F">
            <w:pPr>
              <w:pStyle w:val="Tabele"/>
              <w:jc w:val="right"/>
              <w:rPr>
                <w:color w:val="auto"/>
              </w:rPr>
            </w:pPr>
            <w:r w:rsidRPr="0007252F">
              <w:rPr>
                <w:rFonts w:cs="Arial"/>
                <w:b/>
                <w:bCs/>
                <w:color w:val="auto"/>
                <w:szCs w:val="16"/>
              </w:rPr>
              <w:t>9,15</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784A9A4" w14:textId="77777777" w:rsidR="0007252F" w:rsidRPr="0007252F" w:rsidRDefault="0007252F">
            <w:pPr>
              <w:pStyle w:val="Tabele"/>
              <w:jc w:val="right"/>
              <w:rPr>
                <w:color w:val="auto"/>
              </w:rPr>
            </w:pPr>
            <w:r w:rsidRPr="0007252F">
              <w:rPr>
                <w:rFonts w:cs="Arial"/>
                <w:b/>
                <w:bCs/>
                <w:color w:val="auto"/>
                <w:szCs w:val="16"/>
              </w:rPr>
              <w:t>9,17</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76CF0C3" w14:textId="77777777" w:rsidR="0007252F" w:rsidRPr="0007252F" w:rsidRDefault="0007252F">
            <w:pPr>
              <w:pStyle w:val="Tabele"/>
              <w:jc w:val="right"/>
              <w:rPr>
                <w:color w:val="auto"/>
              </w:rPr>
            </w:pPr>
            <w:r w:rsidRPr="0007252F">
              <w:rPr>
                <w:rFonts w:cs="Arial"/>
                <w:b/>
                <w:bCs/>
                <w:color w:val="auto"/>
                <w:szCs w:val="16"/>
              </w:rPr>
              <w:t>9,63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95D502A" w14:textId="77777777" w:rsidR="0007252F" w:rsidRPr="0007252F" w:rsidRDefault="0007252F">
            <w:pPr>
              <w:pStyle w:val="Tabele"/>
              <w:jc w:val="right"/>
              <w:rPr>
                <w:color w:val="auto"/>
              </w:rPr>
            </w:pPr>
            <w:r w:rsidRPr="0007252F">
              <w:rPr>
                <w:rFonts w:cs="Arial"/>
                <w:b/>
                <w:bCs/>
                <w:color w:val="auto"/>
                <w:szCs w:val="16"/>
              </w:rPr>
              <w:t>9,83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D9479A" w14:textId="77777777" w:rsidR="0007252F" w:rsidRPr="0007252F" w:rsidRDefault="0007252F">
            <w:pPr>
              <w:pStyle w:val="Tabele"/>
              <w:jc w:val="right"/>
              <w:rPr>
                <w:color w:val="auto"/>
                <w:highlight w:val="yellow"/>
              </w:rPr>
            </w:pPr>
            <w:r w:rsidRPr="0007252F">
              <w:rPr>
                <w:rFonts w:cs="Arial"/>
                <w:b/>
                <w:bCs/>
                <w:color w:val="auto"/>
                <w:szCs w:val="16"/>
              </w:rPr>
              <w:t>9,23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99CD1D0" w14:textId="77777777" w:rsidR="0007252F" w:rsidRPr="0007252F" w:rsidRDefault="0007252F">
            <w:pPr>
              <w:pStyle w:val="Tabele"/>
              <w:jc w:val="right"/>
              <w:rPr>
                <w:color w:val="auto"/>
                <w:highlight w:val="yellow"/>
              </w:rPr>
            </w:pPr>
            <w:r w:rsidRPr="0007252F">
              <w:rPr>
                <w:rFonts w:cs="Arial"/>
                <w:b/>
                <w:bCs/>
                <w:color w:val="auto"/>
                <w:szCs w:val="16"/>
              </w:rPr>
              <w:t>9,47</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029DD92" w14:textId="77777777" w:rsidR="0007252F" w:rsidRPr="0007252F" w:rsidRDefault="0007252F">
            <w:pPr>
              <w:pStyle w:val="Tabele"/>
              <w:jc w:val="right"/>
              <w:rPr>
                <w:color w:val="auto"/>
                <w:highlight w:val="yellow"/>
              </w:rPr>
            </w:pPr>
            <w:r w:rsidRPr="0007252F">
              <w:rPr>
                <w:rFonts w:cs="Arial"/>
                <w:b/>
                <w:bCs/>
                <w:color w:val="auto"/>
                <w:szCs w:val="16"/>
              </w:rPr>
              <w:t>9,70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260F0B" w14:textId="77777777" w:rsidR="0007252F" w:rsidRPr="0007252F" w:rsidRDefault="0007252F">
            <w:pPr>
              <w:pStyle w:val="Tabele"/>
              <w:jc w:val="right"/>
              <w:rPr>
                <w:color w:val="auto"/>
                <w:highlight w:val="yellow"/>
              </w:rPr>
            </w:pPr>
            <w:r w:rsidRPr="0007252F">
              <w:rPr>
                <w:rFonts w:cs="Arial"/>
                <w:b/>
                <w:bCs/>
                <w:color w:val="auto"/>
                <w:szCs w:val="16"/>
              </w:rPr>
              <w:t>9,98</w:t>
            </w:r>
          </w:p>
        </w:tc>
      </w:tr>
      <w:tr w:rsidR="0007252F" w:rsidRPr="004669DE" w14:paraId="28F6897C"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301A1C" w14:textId="77777777" w:rsidR="0007252F" w:rsidRPr="0007252F" w:rsidRDefault="0007252F">
            <w:pPr>
              <w:pStyle w:val="Tabele"/>
              <w:rPr>
                <w:bCs/>
                <w:color w:val="auto"/>
              </w:rPr>
            </w:pPr>
            <w:r w:rsidRPr="0007252F">
              <w:rPr>
                <w:color w:val="auto"/>
              </w:rPr>
              <w:t xml:space="preserve">B. Przemysł chemiczny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C668D4B" w14:textId="77777777" w:rsidR="0007252F" w:rsidRPr="0007252F" w:rsidRDefault="0007252F">
            <w:pPr>
              <w:pStyle w:val="Tabele"/>
              <w:jc w:val="right"/>
              <w:rPr>
                <w:color w:val="auto"/>
              </w:rPr>
            </w:pPr>
            <w:r w:rsidRPr="0007252F">
              <w:rPr>
                <w:rFonts w:cs="Arial"/>
                <w:color w:val="auto"/>
                <w:szCs w:val="16"/>
              </w:rPr>
              <w:t>4,40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5477074" w14:textId="77777777" w:rsidR="0007252F" w:rsidRPr="0007252F" w:rsidRDefault="0007252F">
            <w:pPr>
              <w:pStyle w:val="Tabele"/>
              <w:jc w:val="right"/>
              <w:rPr>
                <w:color w:val="auto"/>
              </w:rPr>
            </w:pPr>
            <w:r w:rsidRPr="0007252F">
              <w:rPr>
                <w:rFonts w:cs="Arial"/>
                <w:color w:val="auto"/>
                <w:szCs w:val="16"/>
              </w:rPr>
              <w:t>4,25</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0B1F5CD" w14:textId="77777777" w:rsidR="0007252F" w:rsidRPr="0007252F" w:rsidRDefault="0007252F">
            <w:pPr>
              <w:pStyle w:val="Tabele"/>
              <w:jc w:val="right"/>
              <w:rPr>
                <w:color w:val="auto"/>
              </w:rPr>
            </w:pPr>
            <w:r w:rsidRPr="0007252F">
              <w:rPr>
                <w:rFonts w:cs="Arial"/>
                <w:color w:val="auto"/>
                <w:szCs w:val="16"/>
              </w:rPr>
              <w:t>4,46</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62F5CEA" w14:textId="77777777" w:rsidR="0007252F" w:rsidRPr="0007252F" w:rsidRDefault="0007252F">
            <w:pPr>
              <w:pStyle w:val="Tabele"/>
              <w:jc w:val="right"/>
              <w:rPr>
                <w:color w:val="auto"/>
              </w:rPr>
            </w:pPr>
            <w:r w:rsidRPr="0007252F">
              <w:rPr>
                <w:rFonts w:cs="Arial"/>
                <w:color w:val="auto"/>
                <w:szCs w:val="16"/>
              </w:rPr>
              <w:t>4,37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0C53A1" w14:textId="77777777" w:rsidR="0007252F" w:rsidRPr="0007252F" w:rsidRDefault="0007252F">
            <w:pPr>
              <w:pStyle w:val="Tabele"/>
              <w:jc w:val="right"/>
              <w:rPr>
                <w:color w:val="auto"/>
                <w:highlight w:val="yellow"/>
              </w:rPr>
            </w:pPr>
            <w:r w:rsidRPr="0007252F">
              <w:rPr>
                <w:rFonts w:cs="Arial"/>
                <w:color w:val="auto"/>
                <w:szCs w:val="16"/>
              </w:rPr>
              <w:t>4,55</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DF10587" w14:textId="77777777" w:rsidR="0007252F" w:rsidRPr="0007252F" w:rsidRDefault="0007252F">
            <w:pPr>
              <w:pStyle w:val="Tabele"/>
              <w:jc w:val="right"/>
              <w:rPr>
                <w:color w:val="auto"/>
                <w:highlight w:val="yellow"/>
              </w:rPr>
            </w:pPr>
            <w:r w:rsidRPr="0007252F">
              <w:rPr>
                <w:rFonts w:cs="Arial"/>
                <w:color w:val="auto"/>
                <w:szCs w:val="16"/>
              </w:rPr>
              <w:t>4,74</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6DF52B" w14:textId="77777777" w:rsidR="0007252F" w:rsidRPr="0007252F" w:rsidRDefault="0007252F">
            <w:pPr>
              <w:pStyle w:val="Tabele"/>
              <w:jc w:val="right"/>
              <w:rPr>
                <w:color w:val="auto"/>
                <w:highlight w:val="yellow"/>
              </w:rPr>
            </w:pPr>
            <w:r w:rsidRPr="0007252F">
              <w:rPr>
                <w:rFonts w:cs="Arial"/>
                <w:color w:val="auto"/>
                <w:szCs w:val="16"/>
              </w:rPr>
              <w:t>4,93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634664" w14:textId="77777777" w:rsidR="0007252F" w:rsidRPr="0007252F" w:rsidRDefault="0007252F">
            <w:pPr>
              <w:pStyle w:val="Tabele"/>
              <w:jc w:val="right"/>
              <w:rPr>
                <w:color w:val="auto"/>
                <w:highlight w:val="yellow"/>
              </w:rPr>
            </w:pPr>
            <w:r w:rsidRPr="0007252F">
              <w:rPr>
                <w:rFonts w:cs="Arial"/>
                <w:color w:val="auto"/>
                <w:szCs w:val="16"/>
              </w:rPr>
              <w:t>5,11</w:t>
            </w:r>
          </w:p>
        </w:tc>
      </w:tr>
      <w:tr w:rsidR="0007252F" w:rsidRPr="004669DE" w14:paraId="19218807"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051026" w14:textId="77777777" w:rsidR="0007252F" w:rsidRPr="0007252F" w:rsidRDefault="0007252F">
            <w:pPr>
              <w:pStyle w:val="Tabele"/>
              <w:rPr>
                <w:bCs/>
                <w:color w:val="auto"/>
              </w:rPr>
            </w:pPr>
            <w:r w:rsidRPr="0007252F">
              <w:rPr>
                <w:color w:val="auto"/>
              </w:rPr>
              <w:t xml:space="preserve">C. Produkcja metali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E493AD2" w14:textId="77777777" w:rsidR="0007252F" w:rsidRPr="0007252F" w:rsidRDefault="0007252F">
            <w:pPr>
              <w:pStyle w:val="Tabele"/>
              <w:jc w:val="right"/>
              <w:rPr>
                <w:color w:val="auto"/>
              </w:rPr>
            </w:pPr>
            <w:r w:rsidRPr="0007252F">
              <w:rPr>
                <w:rFonts w:cs="Arial"/>
                <w:color w:val="auto"/>
                <w:szCs w:val="16"/>
              </w:rPr>
              <w:t>2,78</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A629342" w14:textId="77777777" w:rsidR="0007252F" w:rsidRPr="0007252F" w:rsidRDefault="0007252F">
            <w:pPr>
              <w:pStyle w:val="Tabele"/>
              <w:jc w:val="right"/>
              <w:rPr>
                <w:color w:val="auto"/>
              </w:rPr>
            </w:pPr>
            <w:r w:rsidRPr="0007252F">
              <w:rPr>
                <w:rFonts w:cs="Arial"/>
                <w:color w:val="auto"/>
                <w:szCs w:val="16"/>
              </w:rPr>
              <w:t>2,63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2B82651" w14:textId="77777777" w:rsidR="0007252F" w:rsidRPr="0007252F" w:rsidRDefault="0007252F">
            <w:pPr>
              <w:pStyle w:val="Tabele"/>
              <w:jc w:val="right"/>
              <w:rPr>
                <w:color w:val="auto"/>
              </w:rPr>
            </w:pPr>
            <w:r w:rsidRPr="0007252F">
              <w:rPr>
                <w:rFonts w:cs="Arial"/>
                <w:color w:val="auto"/>
                <w:szCs w:val="16"/>
              </w:rPr>
              <w:t>2,91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DA2B503" w14:textId="77777777" w:rsidR="0007252F" w:rsidRPr="0007252F" w:rsidRDefault="0007252F">
            <w:pPr>
              <w:pStyle w:val="Tabele"/>
              <w:jc w:val="right"/>
              <w:rPr>
                <w:color w:val="auto"/>
              </w:rPr>
            </w:pPr>
            <w:r w:rsidRPr="0007252F">
              <w:rPr>
                <w:rFonts w:cs="Arial"/>
                <w:color w:val="auto"/>
                <w:szCs w:val="16"/>
              </w:rPr>
              <w:t>2,83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0707C9" w14:textId="77777777" w:rsidR="0007252F" w:rsidRPr="0007252F" w:rsidRDefault="0007252F">
            <w:pPr>
              <w:pStyle w:val="Tabele"/>
              <w:jc w:val="right"/>
              <w:rPr>
                <w:color w:val="auto"/>
                <w:highlight w:val="yellow"/>
              </w:rPr>
            </w:pPr>
            <w:r w:rsidRPr="0007252F">
              <w:rPr>
                <w:rFonts w:cs="Arial"/>
                <w:color w:val="auto"/>
                <w:szCs w:val="16"/>
              </w:rPr>
              <w:t>2,54</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6C27FBC" w14:textId="77777777" w:rsidR="0007252F" w:rsidRPr="0007252F" w:rsidRDefault="0007252F">
            <w:pPr>
              <w:pStyle w:val="Tabele"/>
              <w:jc w:val="right"/>
              <w:rPr>
                <w:color w:val="auto"/>
                <w:highlight w:val="yellow"/>
              </w:rPr>
            </w:pPr>
            <w:r w:rsidRPr="0007252F">
              <w:rPr>
                <w:rFonts w:cs="Arial"/>
                <w:color w:val="auto"/>
                <w:szCs w:val="16"/>
              </w:rPr>
              <w:t>2,56</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AB47B6" w14:textId="77777777" w:rsidR="0007252F" w:rsidRPr="0007252F" w:rsidRDefault="0007252F">
            <w:pPr>
              <w:pStyle w:val="Tabele"/>
              <w:jc w:val="right"/>
              <w:rPr>
                <w:color w:val="auto"/>
                <w:highlight w:val="yellow"/>
              </w:rPr>
            </w:pPr>
            <w:r w:rsidRPr="0007252F">
              <w:rPr>
                <w:rFonts w:cs="Arial"/>
                <w:color w:val="auto"/>
                <w:szCs w:val="16"/>
              </w:rPr>
              <w:t>2,54</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BEAC0B3" w14:textId="77777777" w:rsidR="0007252F" w:rsidRPr="0007252F" w:rsidRDefault="0007252F">
            <w:pPr>
              <w:pStyle w:val="Tabele"/>
              <w:jc w:val="right"/>
              <w:rPr>
                <w:color w:val="auto"/>
                <w:highlight w:val="yellow"/>
              </w:rPr>
            </w:pPr>
            <w:r w:rsidRPr="0007252F">
              <w:rPr>
                <w:rFonts w:cs="Arial"/>
                <w:color w:val="auto"/>
                <w:szCs w:val="16"/>
              </w:rPr>
              <w:t>2,57</w:t>
            </w:r>
          </w:p>
        </w:tc>
      </w:tr>
      <w:tr w:rsidR="0007252F" w:rsidRPr="004669DE" w14:paraId="4A814FC9"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66C379B" w14:textId="77777777" w:rsidR="0007252F" w:rsidRPr="0007252F" w:rsidRDefault="0007252F">
            <w:pPr>
              <w:pStyle w:val="Tabele"/>
              <w:rPr>
                <w:b/>
                <w:color w:val="auto"/>
              </w:rPr>
            </w:pPr>
            <w:r w:rsidRPr="0007252F">
              <w:rPr>
                <w:color w:val="auto"/>
              </w:rPr>
              <w:t>G. – L. Inne</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09DFE96" w14:textId="77777777" w:rsidR="0007252F" w:rsidRPr="0007252F" w:rsidRDefault="0007252F">
            <w:pPr>
              <w:pStyle w:val="Tabele"/>
              <w:jc w:val="right"/>
              <w:rPr>
                <w:color w:val="auto"/>
              </w:rPr>
            </w:pPr>
            <w:r w:rsidRPr="0007252F">
              <w:rPr>
                <w:rFonts w:cs="Arial"/>
                <w:color w:val="auto"/>
                <w:szCs w:val="16"/>
              </w:rPr>
              <w:t>1,96</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83CB30E" w14:textId="77777777" w:rsidR="0007252F" w:rsidRPr="0007252F" w:rsidRDefault="0007252F">
            <w:pPr>
              <w:pStyle w:val="Tabele"/>
              <w:jc w:val="right"/>
              <w:rPr>
                <w:color w:val="auto"/>
              </w:rPr>
            </w:pPr>
            <w:r w:rsidRPr="0007252F">
              <w:rPr>
                <w:rFonts w:cs="Arial"/>
                <w:color w:val="auto"/>
                <w:szCs w:val="16"/>
              </w:rPr>
              <w:t>2,29</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BAE15F3" w14:textId="77777777" w:rsidR="0007252F" w:rsidRPr="0007252F" w:rsidRDefault="0007252F">
            <w:pPr>
              <w:pStyle w:val="Tabele"/>
              <w:jc w:val="right"/>
              <w:rPr>
                <w:color w:val="auto"/>
              </w:rPr>
            </w:pPr>
            <w:r w:rsidRPr="0007252F">
              <w:rPr>
                <w:rFonts w:cs="Arial"/>
                <w:color w:val="auto"/>
                <w:szCs w:val="16"/>
              </w:rPr>
              <w:t>2,27</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08CDA79" w14:textId="77777777" w:rsidR="0007252F" w:rsidRPr="0007252F" w:rsidRDefault="0007252F">
            <w:pPr>
              <w:pStyle w:val="Tabele"/>
              <w:jc w:val="right"/>
              <w:rPr>
                <w:color w:val="auto"/>
              </w:rPr>
            </w:pPr>
            <w:r w:rsidRPr="0007252F">
              <w:rPr>
                <w:rFonts w:cs="Arial"/>
                <w:color w:val="auto"/>
                <w:szCs w:val="16"/>
              </w:rPr>
              <w:t>2,63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6A653EF" w14:textId="77777777" w:rsidR="0007252F" w:rsidRPr="0007252F" w:rsidRDefault="0007252F">
            <w:pPr>
              <w:pStyle w:val="Tabele"/>
              <w:jc w:val="right"/>
              <w:rPr>
                <w:color w:val="auto"/>
                <w:highlight w:val="yellow"/>
              </w:rPr>
            </w:pPr>
            <w:r w:rsidRPr="0007252F">
              <w:rPr>
                <w:rFonts w:cs="Arial"/>
                <w:color w:val="auto"/>
                <w:szCs w:val="16"/>
              </w:rPr>
              <w:t>2,13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EEDAF5" w14:textId="77777777" w:rsidR="0007252F" w:rsidRPr="0007252F" w:rsidRDefault="0007252F">
            <w:pPr>
              <w:pStyle w:val="Tabele"/>
              <w:jc w:val="right"/>
              <w:rPr>
                <w:color w:val="auto"/>
                <w:highlight w:val="yellow"/>
              </w:rPr>
            </w:pPr>
            <w:r w:rsidRPr="0007252F">
              <w:rPr>
                <w:rFonts w:cs="Arial"/>
                <w:color w:val="auto"/>
                <w:szCs w:val="16"/>
              </w:rPr>
              <w:t>2,17</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752A866" w14:textId="77777777" w:rsidR="0007252F" w:rsidRPr="0007252F" w:rsidRDefault="0007252F">
            <w:pPr>
              <w:pStyle w:val="Tabele"/>
              <w:jc w:val="right"/>
              <w:rPr>
                <w:color w:val="auto"/>
                <w:highlight w:val="yellow"/>
              </w:rPr>
            </w:pPr>
            <w:r w:rsidRPr="0007252F">
              <w:rPr>
                <w:rFonts w:cs="Arial"/>
                <w:color w:val="auto"/>
                <w:szCs w:val="16"/>
              </w:rPr>
              <w:t>2,23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912F7CC" w14:textId="77777777" w:rsidR="0007252F" w:rsidRPr="0007252F" w:rsidRDefault="0007252F">
            <w:pPr>
              <w:pStyle w:val="Tabele"/>
              <w:jc w:val="right"/>
              <w:rPr>
                <w:color w:val="auto"/>
                <w:highlight w:val="yellow"/>
              </w:rPr>
            </w:pPr>
            <w:r w:rsidRPr="0007252F">
              <w:rPr>
                <w:rFonts w:cs="Arial"/>
                <w:color w:val="auto"/>
                <w:szCs w:val="16"/>
              </w:rPr>
              <w:t>2,30</w:t>
            </w:r>
          </w:p>
        </w:tc>
      </w:tr>
      <w:tr w:rsidR="0007252F" w:rsidRPr="004669DE" w14:paraId="6C1EF99D"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DEB500" w14:textId="77777777" w:rsidR="0007252F" w:rsidRPr="0007252F" w:rsidRDefault="0007252F">
            <w:pPr>
              <w:pStyle w:val="Tabele"/>
              <w:rPr>
                <w:b/>
                <w:bCs/>
                <w:color w:val="auto"/>
              </w:rPr>
            </w:pPr>
            <w:r w:rsidRPr="0007252F">
              <w:rPr>
                <w:b/>
                <w:bCs/>
                <w:color w:val="auto"/>
              </w:rPr>
              <w:t xml:space="preserve">3. Rolnictwo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3D298D1" w14:textId="77777777" w:rsidR="0007252F" w:rsidRPr="0007252F" w:rsidRDefault="0007252F">
            <w:pPr>
              <w:pStyle w:val="Tabele"/>
              <w:jc w:val="right"/>
              <w:rPr>
                <w:color w:val="auto"/>
              </w:rPr>
            </w:pPr>
            <w:r w:rsidRPr="0007252F">
              <w:rPr>
                <w:rFonts w:cs="Arial"/>
                <w:b/>
                <w:bCs/>
                <w:color w:val="auto"/>
                <w:szCs w:val="16"/>
              </w:rPr>
              <w:t>0,01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13D5F46" w14:textId="77777777" w:rsidR="0007252F" w:rsidRPr="0007252F" w:rsidRDefault="0007252F">
            <w:pPr>
              <w:pStyle w:val="Tabele"/>
              <w:jc w:val="right"/>
              <w:rPr>
                <w:color w:val="auto"/>
              </w:rPr>
            </w:pPr>
            <w:r w:rsidRPr="0007252F">
              <w:rPr>
                <w:rFonts w:cs="Arial"/>
                <w:b/>
                <w:bCs/>
                <w:color w:val="auto"/>
                <w:szCs w:val="16"/>
              </w:rPr>
              <w:t>0,00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A7CAFA3" w14:textId="77777777" w:rsidR="0007252F" w:rsidRPr="0007252F" w:rsidRDefault="0007252F">
            <w:pPr>
              <w:pStyle w:val="Tabele"/>
              <w:jc w:val="right"/>
              <w:rPr>
                <w:color w:val="auto"/>
              </w:rPr>
            </w:pPr>
            <w:r w:rsidRPr="0007252F">
              <w:rPr>
                <w:rFonts w:cs="Arial"/>
                <w:b/>
                <w:bCs/>
                <w:color w:val="auto"/>
                <w:szCs w:val="16"/>
              </w:rPr>
              <w:t>0,01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C6AC454" w14:textId="77777777" w:rsidR="0007252F" w:rsidRPr="0007252F" w:rsidRDefault="0007252F">
            <w:pPr>
              <w:pStyle w:val="Tabele"/>
              <w:jc w:val="right"/>
              <w:rPr>
                <w:color w:val="auto"/>
              </w:rPr>
            </w:pPr>
            <w:r w:rsidRPr="0007252F">
              <w:rPr>
                <w:rFonts w:cs="Arial"/>
                <w:b/>
                <w:bCs/>
                <w:color w:val="auto"/>
                <w:szCs w:val="16"/>
              </w:rPr>
              <w:t>0,01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6FA8DC3" w14:textId="77777777" w:rsidR="0007252F" w:rsidRPr="0007252F" w:rsidRDefault="0007252F">
            <w:pPr>
              <w:pStyle w:val="Tabele"/>
              <w:jc w:val="right"/>
              <w:rPr>
                <w:color w:val="auto"/>
                <w:highlight w:val="yellow"/>
              </w:rPr>
            </w:pPr>
            <w:r w:rsidRPr="0007252F">
              <w:rPr>
                <w:rFonts w:cs="Arial"/>
                <w:b/>
                <w:bCs/>
                <w:color w:val="auto"/>
                <w:szCs w:val="16"/>
              </w:rPr>
              <w:t>0,00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1D5FBA" w14:textId="77777777" w:rsidR="0007252F" w:rsidRPr="0007252F" w:rsidRDefault="0007252F">
            <w:pPr>
              <w:pStyle w:val="Tabele"/>
              <w:jc w:val="right"/>
              <w:rPr>
                <w:color w:val="auto"/>
                <w:highlight w:val="yellow"/>
              </w:rPr>
            </w:pPr>
            <w:r w:rsidRPr="0007252F">
              <w:rPr>
                <w:rFonts w:cs="Arial"/>
                <w:b/>
                <w:bCs/>
                <w:color w:val="auto"/>
                <w:szCs w:val="16"/>
              </w:rPr>
              <w:t>0,00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2EE1166" w14:textId="77777777" w:rsidR="0007252F" w:rsidRPr="0007252F" w:rsidRDefault="0007252F">
            <w:pPr>
              <w:pStyle w:val="Tabele"/>
              <w:jc w:val="right"/>
              <w:rPr>
                <w:color w:val="auto"/>
                <w:highlight w:val="yellow"/>
              </w:rPr>
            </w:pPr>
            <w:r w:rsidRPr="0007252F">
              <w:rPr>
                <w:rFonts w:cs="Arial"/>
                <w:b/>
                <w:bCs/>
                <w:color w:val="auto"/>
                <w:szCs w:val="16"/>
              </w:rPr>
              <w:t>0,00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21E640D" w14:textId="77777777" w:rsidR="0007252F" w:rsidRPr="0007252F" w:rsidRDefault="0007252F">
            <w:pPr>
              <w:pStyle w:val="Tabele"/>
              <w:jc w:val="right"/>
              <w:rPr>
                <w:color w:val="auto"/>
                <w:highlight w:val="yellow"/>
              </w:rPr>
            </w:pPr>
            <w:r w:rsidRPr="0007252F">
              <w:rPr>
                <w:rFonts w:cs="Arial"/>
                <w:b/>
                <w:bCs/>
                <w:color w:val="auto"/>
                <w:szCs w:val="16"/>
              </w:rPr>
              <w:t>0,00</w:t>
            </w:r>
          </w:p>
        </w:tc>
      </w:tr>
      <w:tr w:rsidR="0007252F" w:rsidRPr="004669DE" w14:paraId="64B78315"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5AF9E9" w14:textId="77777777" w:rsidR="0007252F" w:rsidRPr="0007252F" w:rsidRDefault="0007252F">
            <w:pPr>
              <w:pStyle w:val="Tabele"/>
              <w:rPr>
                <w:bCs/>
                <w:color w:val="auto"/>
              </w:rPr>
            </w:pPr>
            <w:r w:rsidRPr="0007252F">
              <w:rPr>
                <w:color w:val="auto"/>
              </w:rPr>
              <w:t xml:space="preserve">F. Spalanie resztek roślinnych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C3265D7" w14:textId="77777777" w:rsidR="0007252F" w:rsidRPr="0007252F" w:rsidRDefault="0007252F">
            <w:pPr>
              <w:pStyle w:val="Tabele"/>
              <w:jc w:val="right"/>
              <w:rPr>
                <w:color w:val="auto"/>
              </w:rPr>
            </w:pPr>
            <w:r w:rsidRPr="0007252F">
              <w:rPr>
                <w:rFonts w:cs="Arial"/>
                <w:color w:val="auto"/>
                <w:szCs w:val="16"/>
              </w:rPr>
              <w:t>0,01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479CF3B" w14:textId="77777777" w:rsidR="0007252F" w:rsidRPr="0007252F" w:rsidRDefault="0007252F">
            <w:pPr>
              <w:pStyle w:val="Tabele"/>
              <w:jc w:val="right"/>
              <w:rPr>
                <w:color w:val="auto"/>
              </w:rPr>
            </w:pPr>
            <w:r w:rsidRPr="0007252F">
              <w:rPr>
                <w:rFonts w:cs="Arial"/>
                <w:color w:val="auto"/>
                <w:szCs w:val="16"/>
              </w:rPr>
              <w:t>0,00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00FFA74" w14:textId="77777777" w:rsidR="0007252F" w:rsidRPr="0007252F" w:rsidRDefault="0007252F">
            <w:pPr>
              <w:pStyle w:val="Tabele"/>
              <w:jc w:val="right"/>
              <w:rPr>
                <w:color w:val="auto"/>
              </w:rPr>
            </w:pPr>
            <w:r w:rsidRPr="0007252F">
              <w:rPr>
                <w:rFonts w:cs="Arial"/>
                <w:color w:val="auto"/>
                <w:szCs w:val="16"/>
              </w:rPr>
              <w:t>0,01</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007FCD2" w14:textId="77777777" w:rsidR="0007252F" w:rsidRPr="0007252F" w:rsidRDefault="0007252F">
            <w:pPr>
              <w:pStyle w:val="Tabele"/>
              <w:jc w:val="right"/>
              <w:rPr>
                <w:color w:val="auto"/>
              </w:rPr>
            </w:pPr>
            <w:r w:rsidRPr="0007252F">
              <w:rPr>
                <w:rFonts w:cs="Arial"/>
                <w:color w:val="auto"/>
                <w:szCs w:val="16"/>
              </w:rPr>
              <w:t>0,01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D7AE578" w14:textId="77777777" w:rsidR="0007252F" w:rsidRPr="0007252F" w:rsidRDefault="0007252F">
            <w:pPr>
              <w:pStyle w:val="Tabele"/>
              <w:jc w:val="right"/>
              <w:rPr>
                <w:color w:val="auto"/>
                <w:highlight w:val="yellow"/>
              </w:rPr>
            </w:pPr>
            <w:r w:rsidRPr="0007252F">
              <w:rPr>
                <w:rFonts w:cs="Arial"/>
                <w:color w:val="auto"/>
                <w:szCs w:val="16"/>
              </w:rPr>
              <w:t>0,00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C21D0F" w14:textId="77777777" w:rsidR="0007252F" w:rsidRPr="0007252F" w:rsidRDefault="0007252F">
            <w:pPr>
              <w:pStyle w:val="Tabele"/>
              <w:jc w:val="right"/>
              <w:rPr>
                <w:color w:val="auto"/>
                <w:highlight w:val="yellow"/>
              </w:rPr>
            </w:pPr>
            <w:r w:rsidRPr="0007252F">
              <w:rPr>
                <w:rFonts w:cs="Arial"/>
                <w:color w:val="auto"/>
                <w:szCs w:val="16"/>
              </w:rPr>
              <w:t>0,00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7E1BB04" w14:textId="77777777" w:rsidR="0007252F" w:rsidRPr="0007252F" w:rsidRDefault="0007252F">
            <w:pPr>
              <w:pStyle w:val="Tabele"/>
              <w:jc w:val="right"/>
              <w:rPr>
                <w:color w:val="auto"/>
                <w:highlight w:val="yellow"/>
              </w:rPr>
            </w:pPr>
            <w:r w:rsidRPr="0007252F">
              <w:rPr>
                <w:rFonts w:cs="Arial"/>
                <w:color w:val="auto"/>
                <w:szCs w:val="16"/>
              </w:rPr>
              <w:t>0,00</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D057F4" w14:textId="77777777" w:rsidR="0007252F" w:rsidRPr="0007252F" w:rsidRDefault="0007252F">
            <w:pPr>
              <w:pStyle w:val="Tabele"/>
              <w:jc w:val="right"/>
              <w:rPr>
                <w:color w:val="auto"/>
                <w:highlight w:val="yellow"/>
              </w:rPr>
            </w:pPr>
            <w:r w:rsidRPr="0007252F">
              <w:rPr>
                <w:rFonts w:cs="Arial"/>
                <w:color w:val="auto"/>
                <w:szCs w:val="16"/>
              </w:rPr>
              <w:t>0,00</w:t>
            </w:r>
          </w:p>
        </w:tc>
      </w:tr>
      <w:tr w:rsidR="0007252F" w:rsidRPr="004669DE" w14:paraId="77E9CFC1"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2CA201" w14:textId="77777777" w:rsidR="0007252F" w:rsidRPr="0007252F" w:rsidRDefault="0007252F">
            <w:pPr>
              <w:pStyle w:val="Tabele"/>
              <w:rPr>
                <w:b/>
                <w:bCs/>
                <w:color w:val="auto"/>
              </w:rPr>
            </w:pPr>
            <w:r w:rsidRPr="0007252F">
              <w:rPr>
                <w:b/>
                <w:bCs/>
                <w:color w:val="auto"/>
              </w:rPr>
              <w:t xml:space="preserve">5. Odpady </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E4FF75A" w14:textId="77777777" w:rsidR="0007252F" w:rsidRPr="0007252F" w:rsidRDefault="0007252F">
            <w:pPr>
              <w:pStyle w:val="Tabele"/>
              <w:jc w:val="right"/>
              <w:rPr>
                <w:color w:val="auto"/>
              </w:rPr>
            </w:pPr>
            <w:r w:rsidRPr="0007252F">
              <w:rPr>
                <w:rFonts w:cs="Arial"/>
                <w:b/>
                <w:bCs/>
                <w:color w:val="auto"/>
                <w:szCs w:val="16"/>
              </w:rPr>
              <w:t>0,03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CD0FC40" w14:textId="77777777" w:rsidR="0007252F" w:rsidRPr="0007252F" w:rsidRDefault="0007252F">
            <w:pPr>
              <w:pStyle w:val="Tabele"/>
              <w:jc w:val="right"/>
              <w:rPr>
                <w:color w:val="auto"/>
              </w:rPr>
            </w:pPr>
            <w:r w:rsidRPr="0007252F">
              <w:rPr>
                <w:rFonts w:cs="Arial"/>
                <w:b/>
                <w:bCs/>
                <w:color w:val="auto"/>
                <w:szCs w:val="16"/>
              </w:rPr>
              <w:t>0,03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86A2B2B" w14:textId="77777777" w:rsidR="0007252F" w:rsidRPr="0007252F" w:rsidRDefault="0007252F">
            <w:pPr>
              <w:pStyle w:val="Tabele"/>
              <w:jc w:val="right"/>
              <w:rPr>
                <w:color w:val="auto"/>
              </w:rPr>
            </w:pPr>
            <w:r w:rsidRPr="0007252F">
              <w:rPr>
                <w:rFonts w:cs="Arial"/>
                <w:b/>
                <w:bCs/>
                <w:color w:val="auto"/>
                <w:szCs w:val="16"/>
              </w:rPr>
              <w:t>0,04</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C06FDA5" w14:textId="77777777" w:rsidR="0007252F" w:rsidRPr="0007252F" w:rsidRDefault="0007252F">
            <w:pPr>
              <w:pStyle w:val="Tabele"/>
              <w:jc w:val="right"/>
              <w:rPr>
                <w:color w:val="auto"/>
              </w:rPr>
            </w:pPr>
            <w:r w:rsidRPr="0007252F">
              <w:rPr>
                <w:rFonts w:cs="Arial"/>
                <w:b/>
                <w:bCs/>
                <w:color w:val="auto"/>
                <w:szCs w:val="16"/>
              </w:rPr>
              <w:t>0,06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3D6181" w14:textId="77777777" w:rsidR="0007252F" w:rsidRPr="0007252F" w:rsidRDefault="0007252F">
            <w:pPr>
              <w:pStyle w:val="Tabele"/>
              <w:jc w:val="right"/>
              <w:rPr>
                <w:color w:val="auto"/>
                <w:highlight w:val="yellow"/>
              </w:rPr>
            </w:pPr>
            <w:r w:rsidRPr="0007252F">
              <w:rPr>
                <w:rFonts w:cs="Arial"/>
                <w:b/>
                <w:bCs/>
                <w:color w:val="auto"/>
                <w:szCs w:val="16"/>
              </w:rPr>
              <w:t>0,06</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4D28566" w14:textId="77777777" w:rsidR="0007252F" w:rsidRPr="0007252F" w:rsidRDefault="0007252F">
            <w:pPr>
              <w:pStyle w:val="Tabele"/>
              <w:jc w:val="right"/>
              <w:rPr>
                <w:color w:val="auto"/>
                <w:highlight w:val="yellow"/>
              </w:rPr>
            </w:pPr>
            <w:r w:rsidRPr="0007252F">
              <w:rPr>
                <w:rFonts w:cs="Arial"/>
                <w:b/>
                <w:bCs/>
                <w:color w:val="auto"/>
                <w:szCs w:val="16"/>
              </w:rPr>
              <w:t>0,06</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B549DB4" w14:textId="77777777" w:rsidR="0007252F" w:rsidRPr="0007252F" w:rsidRDefault="0007252F">
            <w:pPr>
              <w:pStyle w:val="Tabele"/>
              <w:jc w:val="right"/>
              <w:rPr>
                <w:color w:val="auto"/>
                <w:highlight w:val="yellow"/>
              </w:rPr>
            </w:pPr>
            <w:r w:rsidRPr="0007252F">
              <w:rPr>
                <w:rFonts w:cs="Arial"/>
                <w:b/>
                <w:bCs/>
                <w:color w:val="auto"/>
                <w:szCs w:val="16"/>
              </w:rPr>
              <w:t>0,06</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32E1C7" w14:textId="77777777" w:rsidR="0007252F" w:rsidRPr="0007252F" w:rsidRDefault="0007252F">
            <w:pPr>
              <w:pStyle w:val="Tabele"/>
              <w:jc w:val="right"/>
              <w:rPr>
                <w:color w:val="auto"/>
                <w:highlight w:val="yellow"/>
              </w:rPr>
            </w:pPr>
            <w:r w:rsidRPr="0007252F">
              <w:rPr>
                <w:rFonts w:cs="Arial"/>
                <w:b/>
                <w:bCs/>
                <w:color w:val="auto"/>
                <w:szCs w:val="16"/>
              </w:rPr>
              <w:t>0,06</w:t>
            </w:r>
          </w:p>
        </w:tc>
      </w:tr>
      <w:tr w:rsidR="0007252F" w:rsidRPr="004669DE" w14:paraId="4A0E1A0C"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FD4192B" w14:textId="77777777" w:rsidR="0007252F" w:rsidRPr="0007252F" w:rsidRDefault="0007252F">
            <w:pPr>
              <w:pStyle w:val="Tabele"/>
              <w:rPr>
                <w:bCs/>
                <w:color w:val="auto"/>
              </w:rPr>
            </w:pPr>
            <w:r w:rsidRPr="0007252F">
              <w:rPr>
                <w:rFonts w:cs="Calibri"/>
                <w:color w:val="auto"/>
                <w:szCs w:val="16"/>
              </w:rPr>
              <w:t>C. Spopielanie i otwarte spalanie odpadów</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6D682C6" w14:textId="77777777" w:rsidR="0007252F" w:rsidRPr="0007252F" w:rsidRDefault="0007252F">
            <w:pPr>
              <w:pStyle w:val="Tabele"/>
              <w:jc w:val="right"/>
              <w:rPr>
                <w:color w:val="auto"/>
              </w:rPr>
            </w:pPr>
            <w:r w:rsidRPr="0007252F">
              <w:rPr>
                <w:rFonts w:cs="Arial"/>
                <w:color w:val="auto"/>
                <w:szCs w:val="16"/>
              </w:rPr>
              <w:t>0,03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E63E54F" w14:textId="77777777" w:rsidR="0007252F" w:rsidRPr="0007252F" w:rsidRDefault="0007252F">
            <w:pPr>
              <w:pStyle w:val="Tabele"/>
              <w:jc w:val="right"/>
              <w:rPr>
                <w:color w:val="auto"/>
              </w:rPr>
            </w:pPr>
            <w:r w:rsidRPr="0007252F">
              <w:rPr>
                <w:rFonts w:cs="Arial"/>
                <w:color w:val="auto"/>
                <w:szCs w:val="16"/>
              </w:rPr>
              <w:t>0,03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960D972" w14:textId="77777777" w:rsidR="0007252F" w:rsidRPr="0007252F" w:rsidRDefault="0007252F">
            <w:pPr>
              <w:pStyle w:val="Tabele"/>
              <w:jc w:val="right"/>
              <w:rPr>
                <w:color w:val="auto"/>
              </w:rPr>
            </w:pPr>
            <w:r w:rsidRPr="0007252F">
              <w:rPr>
                <w:rFonts w:cs="Arial"/>
                <w:color w:val="auto"/>
                <w:szCs w:val="16"/>
              </w:rPr>
              <w:t>0,04</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382CAC6" w14:textId="77777777" w:rsidR="0007252F" w:rsidRPr="0007252F" w:rsidRDefault="0007252F">
            <w:pPr>
              <w:pStyle w:val="Tabele"/>
              <w:jc w:val="right"/>
              <w:rPr>
                <w:color w:val="auto"/>
              </w:rPr>
            </w:pPr>
            <w:r w:rsidRPr="0007252F">
              <w:rPr>
                <w:rFonts w:cs="Arial"/>
                <w:color w:val="auto"/>
                <w:szCs w:val="16"/>
              </w:rPr>
              <w:t>0,06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BA9D80A" w14:textId="77777777" w:rsidR="0007252F" w:rsidRPr="0007252F" w:rsidRDefault="0007252F">
            <w:pPr>
              <w:pStyle w:val="Tabele"/>
              <w:jc w:val="right"/>
              <w:rPr>
                <w:color w:val="auto"/>
                <w:highlight w:val="yellow"/>
              </w:rPr>
            </w:pPr>
            <w:r w:rsidRPr="0007252F">
              <w:rPr>
                <w:rFonts w:cs="Arial"/>
                <w:color w:val="auto"/>
                <w:szCs w:val="16"/>
              </w:rPr>
              <w:t>0,06</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D19D66" w14:textId="77777777" w:rsidR="0007252F" w:rsidRPr="0007252F" w:rsidRDefault="0007252F">
            <w:pPr>
              <w:pStyle w:val="Tabele"/>
              <w:jc w:val="right"/>
              <w:rPr>
                <w:color w:val="auto"/>
                <w:highlight w:val="yellow"/>
              </w:rPr>
            </w:pPr>
            <w:r w:rsidRPr="0007252F">
              <w:rPr>
                <w:rFonts w:cs="Arial"/>
                <w:color w:val="auto"/>
                <w:szCs w:val="16"/>
              </w:rPr>
              <w:t>0,06</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D901A83" w14:textId="77777777" w:rsidR="0007252F" w:rsidRPr="0007252F" w:rsidRDefault="0007252F">
            <w:pPr>
              <w:pStyle w:val="Tabele"/>
              <w:jc w:val="right"/>
              <w:rPr>
                <w:color w:val="auto"/>
                <w:highlight w:val="yellow"/>
              </w:rPr>
            </w:pPr>
            <w:r w:rsidRPr="0007252F">
              <w:rPr>
                <w:rFonts w:cs="Arial"/>
                <w:color w:val="auto"/>
                <w:szCs w:val="16"/>
              </w:rPr>
              <w:t>0,06</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C55DFDE" w14:textId="77777777" w:rsidR="0007252F" w:rsidRPr="0007252F" w:rsidRDefault="0007252F">
            <w:pPr>
              <w:pStyle w:val="Tabele"/>
              <w:jc w:val="right"/>
              <w:rPr>
                <w:color w:val="auto"/>
                <w:highlight w:val="yellow"/>
              </w:rPr>
            </w:pPr>
            <w:r w:rsidRPr="0007252F">
              <w:rPr>
                <w:rFonts w:cs="Arial"/>
                <w:color w:val="auto"/>
                <w:szCs w:val="16"/>
              </w:rPr>
              <w:t>0,06</w:t>
            </w:r>
          </w:p>
        </w:tc>
      </w:tr>
      <w:tr w:rsidR="0007252F" w:rsidRPr="00860E1E" w14:paraId="63A9AFF0" w14:textId="77777777" w:rsidTr="00D67A1D">
        <w:trPr>
          <w:trHeight w:val="230"/>
        </w:trPr>
        <w:tc>
          <w:tcPr>
            <w:tcW w:w="20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0A21B8" w14:textId="77777777" w:rsidR="0007252F" w:rsidRPr="0007252F" w:rsidRDefault="0007252F">
            <w:pPr>
              <w:pStyle w:val="Tabele"/>
              <w:rPr>
                <w:b/>
                <w:bCs/>
                <w:color w:val="auto"/>
              </w:rPr>
            </w:pPr>
            <w:r w:rsidRPr="0007252F">
              <w:rPr>
                <w:b/>
                <w:bCs/>
                <w:color w:val="auto"/>
              </w:rPr>
              <w:t>OGÓŁEM</w:t>
            </w:r>
          </w:p>
        </w:tc>
        <w:tc>
          <w:tcPr>
            <w:tcW w:w="10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1BC3DC7" w14:textId="77777777" w:rsidR="0007252F" w:rsidRPr="0007252F" w:rsidRDefault="0007252F">
            <w:pPr>
              <w:pStyle w:val="Tabele"/>
              <w:jc w:val="right"/>
              <w:rPr>
                <w:b/>
                <w:bCs/>
                <w:color w:val="auto"/>
              </w:rPr>
            </w:pPr>
            <w:r w:rsidRPr="0007252F">
              <w:rPr>
                <w:rFonts w:cs="Arial"/>
                <w:b/>
                <w:bCs/>
                <w:color w:val="auto"/>
                <w:szCs w:val="16"/>
              </w:rPr>
              <w:t>1 106,58</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D9ABC07" w14:textId="77777777" w:rsidR="0007252F" w:rsidRPr="0007252F" w:rsidRDefault="0007252F">
            <w:pPr>
              <w:pStyle w:val="Tabele"/>
              <w:jc w:val="right"/>
              <w:rPr>
                <w:b/>
                <w:bCs/>
                <w:color w:val="auto"/>
              </w:rPr>
            </w:pPr>
            <w:r w:rsidRPr="0007252F">
              <w:rPr>
                <w:rFonts w:cs="Arial"/>
                <w:b/>
                <w:bCs/>
                <w:color w:val="auto"/>
                <w:szCs w:val="16"/>
              </w:rPr>
              <w:t>806,33</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42C5659" w14:textId="77777777" w:rsidR="0007252F" w:rsidRPr="0007252F" w:rsidRDefault="0007252F">
            <w:pPr>
              <w:pStyle w:val="Tabele"/>
              <w:jc w:val="right"/>
              <w:rPr>
                <w:b/>
                <w:bCs/>
                <w:color w:val="auto"/>
              </w:rPr>
            </w:pPr>
            <w:r w:rsidRPr="0007252F">
              <w:rPr>
                <w:rFonts w:cs="Arial"/>
                <w:b/>
                <w:bCs/>
                <w:color w:val="auto"/>
                <w:szCs w:val="16"/>
              </w:rPr>
              <w:t>615,99</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3F96D46" w14:textId="77777777" w:rsidR="0007252F" w:rsidRPr="0007252F" w:rsidRDefault="0007252F">
            <w:pPr>
              <w:pStyle w:val="Tabele"/>
              <w:jc w:val="right"/>
              <w:rPr>
                <w:b/>
                <w:bCs/>
                <w:color w:val="auto"/>
              </w:rPr>
            </w:pPr>
            <w:r w:rsidRPr="0007252F">
              <w:rPr>
                <w:rFonts w:cs="Arial"/>
                <w:b/>
                <w:bCs/>
                <w:color w:val="auto"/>
                <w:szCs w:val="16"/>
              </w:rPr>
              <w:t>360,41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E1E136" w14:textId="77777777" w:rsidR="0007252F" w:rsidRPr="0007252F" w:rsidRDefault="0007252F">
            <w:pPr>
              <w:pStyle w:val="Tabele"/>
              <w:jc w:val="right"/>
              <w:rPr>
                <w:b/>
                <w:bCs/>
                <w:color w:val="auto"/>
                <w:highlight w:val="yellow"/>
              </w:rPr>
            </w:pPr>
            <w:r w:rsidRPr="0007252F">
              <w:rPr>
                <w:rFonts w:cs="Arial"/>
                <w:b/>
                <w:bCs/>
                <w:color w:val="auto"/>
                <w:szCs w:val="16"/>
              </w:rPr>
              <w:t>239,89</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8992BC" w14:textId="77777777" w:rsidR="0007252F" w:rsidRPr="0007252F" w:rsidRDefault="0007252F">
            <w:pPr>
              <w:pStyle w:val="Tabele"/>
              <w:jc w:val="right"/>
              <w:rPr>
                <w:b/>
                <w:bCs/>
                <w:color w:val="auto"/>
                <w:highlight w:val="yellow"/>
              </w:rPr>
            </w:pPr>
            <w:r w:rsidRPr="0007252F">
              <w:rPr>
                <w:rFonts w:cs="Arial"/>
                <w:b/>
                <w:bCs/>
                <w:color w:val="auto"/>
                <w:szCs w:val="16"/>
              </w:rPr>
              <w:t>135,17</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CF0007" w14:textId="77777777" w:rsidR="0007252F" w:rsidRPr="0007252F" w:rsidRDefault="0007252F">
            <w:pPr>
              <w:pStyle w:val="Tabele"/>
              <w:jc w:val="right"/>
              <w:rPr>
                <w:b/>
                <w:bCs/>
                <w:color w:val="auto"/>
                <w:highlight w:val="yellow"/>
              </w:rPr>
            </w:pPr>
            <w:r w:rsidRPr="0007252F">
              <w:rPr>
                <w:rFonts w:cs="Arial"/>
                <w:b/>
                <w:bCs/>
                <w:color w:val="auto"/>
                <w:szCs w:val="16"/>
              </w:rPr>
              <w:t>68,68</w:t>
            </w:r>
          </w:p>
        </w:tc>
        <w:tc>
          <w:tcPr>
            <w:tcW w:w="8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40DC32" w14:textId="77777777" w:rsidR="0007252F" w:rsidRPr="0007252F" w:rsidRDefault="0007252F">
            <w:pPr>
              <w:pStyle w:val="Tabele"/>
              <w:jc w:val="right"/>
              <w:rPr>
                <w:b/>
                <w:bCs/>
                <w:color w:val="auto"/>
                <w:highlight w:val="yellow"/>
              </w:rPr>
            </w:pPr>
            <w:r w:rsidRPr="0007252F">
              <w:rPr>
                <w:rFonts w:cs="Arial"/>
                <w:b/>
                <w:bCs/>
                <w:color w:val="auto"/>
                <w:szCs w:val="16"/>
              </w:rPr>
              <w:t>39,79</w:t>
            </w:r>
          </w:p>
        </w:tc>
      </w:tr>
    </w:tbl>
    <w:p w14:paraId="47E843B9" w14:textId="7FCF73FC" w:rsidR="005C4144" w:rsidRPr="00870A47" w:rsidRDefault="005C4144" w:rsidP="00F26E7A">
      <w:pPr>
        <w:rPr>
          <w:i/>
          <w:color w:val="44546A" w:themeColor="text2"/>
          <w:sz w:val="18"/>
          <w:szCs w:val="18"/>
        </w:rPr>
      </w:pPr>
      <w:r w:rsidRPr="00870A47">
        <w:rPr>
          <w:i/>
          <w:color w:val="44546A" w:themeColor="text2"/>
          <w:sz w:val="18"/>
          <w:szCs w:val="18"/>
        </w:rPr>
        <w:t>Źródło: Opracowanie własne KOBIZE, IOŚ-PIB</w:t>
      </w:r>
    </w:p>
    <w:p w14:paraId="0F0CE212" w14:textId="5021DBD5" w:rsidR="00EC6C56" w:rsidRPr="004D0C75" w:rsidRDefault="00555B53" w:rsidP="00EC6C56">
      <w:r w:rsidRPr="002C451B">
        <w:t>W latach 2020-2029 Polska powinna zredukować emisję SO</w:t>
      </w:r>
      <w:r w:rsidRPr="0007270A">
        <w:rPr>
          <w:szCs w:val="20"/>
          <w:vertAlign w:val="subscript"/>
        </w:rPr>
        <w:t>2</w:t>
      </w:r>
      <w:r>
        <w:rPr>
          <w:sz w:val="14"/>
          <w:szCs w:val="14"/>
        </w:rPr>
        <w:t xml:space="preserve"> </w:t>
      </w:r>
      <w:r w:rsidRPr="0007270A">
        <w:t xml:space="preserve">o </w:t>
      </w:r>
      <w:r w:rsidRPr="002C451B">
        <w:t xml:space="preserve">minimum 59%, zaś od </w:t>
      </w:r>
      <w:r w:rsidR="00F128CB">
        <w:t>2030 r.</w:t>
      </w:r>
      <w:r w:rsidRPr="002C451B">
        <w:t xml:space="preserve"> –</w:t>
      </w:r>
      <w:r>
        <w:t xml:space="preserve"> o </w:t>
      </w:r>
      <w:r w:rsidRPr="002C451B">
        <w:t>minimum 70%</w:t>
      </w:r>
      <w:r>
        <w:t xml:space="preserve"> w </w:t>
      </w:r>
      <w:r w:rsidRPr="002C451B">
        <w:t>stosunku do roku 2005.</w:t>
      </w:r>
      <w:r>
        <w:t xml:space="preserve"> Z </w:t>
      </w:r>
      <w:r w:rsidRPr="002C451B">
        <w:t>krajowej inwentaryzacji emisji wynika, że osiągnięta dotychczas redukcja tego zanieczyszczenia</w:t>
      </w:r>
      <w:r>
        <w:t xml:space="preserve"> w </w:t>
      </w:r>
      <w:r w:rsidRPr="002C451B">
        <w:t>odniesieniu do 200</w:t>
      </w:r>
      <w:r w:rsidR="00BE2ED8">
        <w:t>5 r.</w:t>
      </w:r>
      <w:r w:rsidRPr="002C451B">
        <w:t xml:space="preserve"> przekroczyła wymagany poziom</w:t>
      </w:r>
      <w:r>
        <w:t xml:space="preserve"> i </w:t>
      </w:r>
      <w:r w:rsidRPr="002C451B">
        <w:t>wyniosła</w:t>
      </w:r>
      <w:r>
        <w:t xml:space="preserve"> w </w:t>
      </w:r>
      <w:r w:rsidRPr="002C451B">
        <w:t>202</w:t>
      </w:r>
      <w:r w:rsidR="00BE2ED8">
        <w:t>0 r.</w:t>
      </w:r>
      <w:r w:rsidRPr="002C451B">
        <w:t xml:space="preserve"> </w:t>
      </w:r>
      <w:r>
        <w:t>67,4</w:t>
      </w:r>
      <w:r w:rsidRPr="002C451B">
        <w:t>%,</w:t>
      </w:r>
      <w:r>
        <w:t xml:space="preserve"> w </w:t>
      </w:r>
      <w:r w:rsidRPr="002C451B">
        <w:t>2021 roku 6</w:t>
      </w:r>
      <w:r>
        <w:t>6,9</w:t>
      </w:r>
      <w:r w:rsidRPr="002C451B">
        <w:t>%</w:t>
      </w:r>
      <w:r>
        <w:t>, a w 2022 roku 71,1%</w:t>
      </w:r>
      <w:r w:rsidRPr="002C451B">
        <w:t>.</w:t>
      </w:r>
      <w:r>
        <w:t xml:space="preserve"> W </w:t>
      </w:r>
      <w:r w:rsidRPr="002C451B">
        <w:t>latach prognozy redukcja emisji SO</w:t>
      </w:r>
      <w:r w:rsidRPr="002C451B">
        <w:rPr>
          <w:vertAlign w:val="subscript"/>
        </w:rPr>
        <w:t>2</w:t>
      </w:r>
      <w:r>
        <w:t xml:space="preserve"> w scenariuszu WA</w:t>
      </w:r>
      <w:r w:rsidRPr="002C451B">
        <w:t>M nadal rośnie</w:t>
      </w:r>
      <w:r>
        <w:t xml:space="preserve"> i </w:t>
      </w:r>
      <w:r w:rsidRPr="002C451B">
        <w:t xml:space="preserve">osiąga wartości </w:t>
      </w:r>
      <w:r w:rsidRPr="00E12C03">
        <w:t>od 7</w:t>
      </w:r>
      <w:r>
        <w:t>8,3</w:t>
      </w:r>
      <w:r w:rsidRPr="00E12C03">
        <w:t>% w 202</w:t>
      </w:r>
      <w:r w:rsidR="00BE2ED8">
        <w:t>5 r.</w:t>
      </w:r>
      <w:r w:rsidRPr="00E12C03">
        <w:t xml:space="preserve"> </w:t>
      </w:r>
      <w:r w:rsidRPr="00A11140">
        <w:t xml:space="preserve">do </w:t>
      </w:r>
      <w:r w:rsidR="00A11140" w:rsidRPr="00A11140">
        <w:t>96,4</w:t>
      </w:r>
      <w:r w:rsidRPr="00A11140">
        <w:t xml:space="preserve"> % w </w:t>
      </w:r>
      <w:r w:rsidR="00F128CB">
        <w:t>2040 r.</w:t>
      </w:r>
      <w:r w:rsidRPr="00613189">
        <w:t xml:space="preserve"> </w:t>
      </w:r>
      <w:r w:rsidR="005C4144" w:rsidRPr="00613189">
        <w:t>(</w:t>
      </w:r>
      <w:r w:rsidR="00B17E31">
        <w:fldChar w:fldCharType="begin"/>
      </w:r>
      <w:r w:rsidR="00B17E31">
        <w:instrText xml:space="preserve"> REF _Ref195869923 \h </w:instrText>
      </w:r>
      <w:r w:rsidR="00B17E31">
        <w:fldChar w:fldCharType="separate"/>
      </w:r>
      <w:r w:rsidR="00F27D6F">
        <w:t xml:space="preserve">Tabela </w:t>
      </w:r>
      <w:r w:rsidR="00F27D6F">
        <w:rPr>
          <w:noProof/>
        </w:rPr>
        <w:t>1</w:t>
      </w:r>
      <w:r w:rsidR="00F27D6F">
        <w:t>.</w:t>
      </w:r>
      <w:r w:rsidR="00F27D6F">
        <w:rPr>
          <w:noProof/>
        </w:rPr>
        <w:t>13</w:t>
      </w:r>
      <w:r w:rsidR="00B17E31">
        <w:fldChar w:fldCharType="end"/>
      </w:r>
      <w:r w:rsidR="005C4144" w:rsidRPr="00613189">
        <w:t xml:space="preserve">) </w:t>
      </w:r>
      <w:r w:rsidR="00EC6C56" w:rsidRPr="00613189">
        <w:t>zatem cele redukcyjne dla SO</w:t>
      </w:r>
      <w:r w:rsidR="00EC6C56" w:rsidRPr="00613189">
        <w:rPr>
          <w:vertAlign w:val="subscript"/>
        </w:rPr>
        <w:t>2</w:t>
      </w:r>
      <w:r w:rsidR="00EC6C56" w:rsidRPr="00613189">
        <w:t xml:space="preserve"> są spełnione we</w:t>
      </w:r>
      <w:r w:rsidR="00EC6C56" w:rsidRPr="002C451B">
        <w:t xml:space="preserve"> wszystkich latach prognozy.</w:t>
      </w:r>
    </w:p>
    <w:p w14:paraId="74703771" w14:textId="663FC49A" w:rsidR="009D41A3" w:rsidRDefault="009D41A3" w:rsidP="009D41A3">
      <w:bookmarkStart w:id="70" w:name="_Ref156543600"/>
      <w:bookmarkStart w:id="71" w:name="_Toc167442087"/>
      <w:bookmarkStart w:id="72" w:name="_Toc171587168"/>
      <w:bookmarkStart w:id="73" w:name="_Toc174710952"/>
      <w:r w:rsidRPr="00860E1E">
        <w:t>Głównym źródłem emisji SO</w:t>
      </w:r>
      <w:r w:rsidRPr="00081D6F">
        <w:rPr>
          <w:vertAlign w:val="subscript"/>
        </w:rPr>
        <w:t>2</w:t>
      </w:r>
      <w:r w:rsidRPr="00860E1E">
        <w:t xml:space="preserve"> w Polsce jest spalanie paliw (</w:t>
      </w:r>
      <w:r w:rsidRPr="00A95BFB">
        <w:t xml:space="preserve">kategoria </w:t>
      </w:r>
      <w:r w:rsidRPr="00860E1E">
        <w:t>1A). Udział tego sektora w emisji ogółem wyniósł w 202</w:t>
      </w:r>
      <w:r w:rsidR="00BE2ED8">
        <w:t>0 r.</w:t>
      </w:r>
      <w:r w:rsidRPr="00860E1E">
        <w:t xml:space="preserve"> 9</w:t>
      </w:r>
      <w:r>
        <w:t>5</w:t>
      </w:r>
      <w:r w:rsidRPr="00860E1E">
        <w:t xml:space="preserve">% i w latach prognozy pozostaje on głównym źródłem emisji z udziałem </w:t>
      </w:r>
      <w:r>
        <w:t xml:space="preserve">wynoszącym </w:t>
      </w:r>
      <w:r w:rsidR="00C30DED" w:rsidRPr="00C30DED">
        <w:t>62</w:t>
      </w:r>
      <w:r w:rsidRPr="00C30DED">
        <w:t xml:space="preserve">% w </w:t>
      </w:r>
      <w:r w:rsidR="00F128CB">
        <w:t>2040 r</w:t>
      </w:r>
      <w:r w:rsidRPr="00E12C03">
        <w:t>.</w:t>
      </w:r>
      <w:r w:rsidRPr="00AA3AED">
        <w:t xml:space="preserve"> </w:t>
      </w:r>
      <w:r w:rsidRPr="00E12C03">
        <w:t>Głównym powodem spadku emisji SO</w:t>
      </w:r>
      <w:r w:rsidRPr="00E12C03">
        <w:rPr>
          <w:vertAlign w:val="subscript"/>
        </w:rPr>
        <w:t>2</w:t>
      </w:r>
      <w:r w:rsidRPr="00E12C03">
        <w:t xml:space="preserve"> w latach 2025-20</w:t>
      </w:r>
      <w:r w:rsidR="002B5ED5">
        <w:t>4</w:t>
      </w:r>
      <w:r w:rsidRPr="00E12C03">
        <w:t>0 jest spadek zużycia paliw, w tym głównie węgla kamiennego i brunatnego w pr</w:t>
      </w:r>
      <w:r>
        <w:t>zemyśle (kategorie 1A1 i 1A2) i </w:t>
      </w:r>
      <w:r w:rsidRPr="00E12C03">
        <w:t>małych źródłach spalania (</w:t>
      </w:r>
      <w:r w:rsidR="00A95BFB" w:rsidRPr="00A95BFB">
        <w:t xml:space="preserve">kategoria </w:t>
      </w:r>
      <w:r w:rsidRPr="00E12C03">
        <w:t>1A4)</w:t>
      </w:r>
      <w:r>
        <w:t>,</w:t>
      </w:r>
      <w:r w:rsidRPr="00E12C03">
        <w:t xml:space="preserve"> a także zmniejszenie zużycia biomasy drzewnej w małych źródłach spalania (</w:t>
      </w:r>
      <w:r w:rsidR="00A95BFB" w:rsidRPr="00A95BFB">
        <w:t xml:space="preserve">kategoria </w:t>
      </w:r>
      <w:r w:rsidRPr="00E12C03">
        <w:t>1A4). Ponadto znaczny wpływ na zmniejsze</w:t>
      </w:r>
      <w:r>
        <w:t>nie emisji ma zmieniająca się w </w:t>
      </w:r>
      <w:r w:rsidRPr="00E12C03">
        <w:t>latach prognozy struktura urządzeń grzewczych stosowanych w sektorze małych źródeł emisji (</w:t>
      </w:r>
      <w:r w:rsidR="00A95BFB" w:rsidRPr="00A95BFB">
        <w:t xml:space="preserve">kategoria </w:t>
      </w:r>
      <w:r w:rsidRPr="00E12C03">
        <w:t xml:space="preserve">1A4). </w:t>
      </w:r>
      <w:r w:rsidR="00C15EAE" w:rsidRPr="00E12C03">
        <w:t>Zmiany te polegają na stopniowym wycofywaniu z użytkowania urządzeń wysokoemisyjnych</w:t>
      </w:r>
      <w:r w:rsidR="00C15EAE">
        <w:t xml:space="preserve"> </w:t>
      </w:r>
      <w:r w:rsidR="00C15EAE" w:rsidRPr="00E12C03">
        <w:t>i zastępowaniu ich</w:t>
      </w:r>
      <w:r w:rsidR="00C15EAE">
        <w:t xml:space="preserve"> pompami ciepła oraz</w:t>
      </w:r>
      <w:r w:rsidR="00C15EAE" w:rsidRPr="00E12C03">
        <w:t xml:space="preserve"> urządzeniami nowoczesnymi, spełniającymi wymagania Ekoprojektu</w:t>
      </w:r>
      <w:r w:rsidR="00ED1ED2">
        <w:t>.</w:t>
      </w:r>
      <w:r w:rsidRPr="00E12C03">
        <w:t xml:space="preserve"> Zmiana struktury urządzeń została odzwierciedlona w malejących wskaźnikach emisji ze spalania paliw w tym sektorz</w:t>
      </w:r>
      <w:r w:rsidRPr="00F27E3A">
        <w:t>e.</w:t>
      </w:r>
    </w:p>
    <w:p w14:paraId="4DB79465" w14:textId="77777777" w:rsidR="004574BC" w:rsidRDefault="004574BC" w:rsidP="00D94804">
      <w:pPr>
        <w:pStyle w:val="Legenda"/>
        <w:keepNext/>
      </w:pPr>
      <w:bookmarkStart w:id="74" w:name="_Ref195773948"/>
      <w:bookmarkStart w:id="75" w:name="_Ref195869428"/>
      <w:r>
        <w:br w:type="page"/>
      </w:r>
    </w:p>
    <w:p w14:paraId="1C998DD4" w14:textId="52546986" w:rsidR="005C4144" w:rsidRDefault="005C4144" w:rsidP="00D94804">
      <w:pPr>
        <w:pStyle w:val="Legenda"/>
        <w:keepNext/>
      </w:pPr>
      <w:bookmarkStart w:id="76" w:name="_Toc202966954"/>
      <w:r w:rsidRPr="00EB3130">
        <w:t xml:space="preserve">Tabela </w:t>
      </w:r>
      <w:bookmarkEnd w:id="74"/>
      <w:r w:rsidR="006C7D6C">
        <w:fldChar w:fldCharType="begin"/>
      </w:r>
      <w:r w:rsidR="006C7D6C">
        <w:instrText xml:space="preserve"> STYLEREF 1 \s </w:instrText>
      </w:r>
      <w:r w:rsidR="006C7D6C">
        <w:fldChar w:fldCharType="separate"/>
      </w:r>
      <w:r w:rsidR="00F27D6F">
        <w:rPr>
          <w:noProof/>
        </w:rPr>
        <w:t>1</w:t>
      </w:r>
      <w:r w:rsidR="006C7D6C">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9</w:t>
      </w:r>
      <w:r w:rsidR="00653D9A">
        <w:rPr>
          <w:noProof/>
        </w:rPr>
        <w:fldChar w:fldCharType="end"/>
      </w:r>
      <w:bookmarkEnd w:id="70"/>
      <w:bookmarkEnd w:id="75"/>
      <w:r w:rsidRPr="00EB3130">
        <w:t>. Projekcje emisji tlenków azotu, według sektorów (kategorii NFR)</w:t>
      </w:r>
      <w:r>
        <w:t>, dla scenariusza WAM</w:t>
      </w:r>
      <w:bookmarkEnd w:id="71"/>
      <w:bookmarkEnd w:id="72"/>
      <w:bookmarkEnd w:id="73"/>
      <w:bookmarkEnd w:id="76"/>
    </w:p>
    <w:tbl>
      <w:tblPr>
        <w:tblStyle w:val="KPEiK"/>
        <w:tblW w:w="5141" w:type="pct"/>
        <w:tblLook w:val="04A0" w:firstRow="1" w:lastRow="0" w:firstColumn="1" w:lastColumn="0" w:noHBand="0" w:noVBand="1"/>
      </w:tblPr>
      <w:tblGrid>
        <w:gridCol w:w="2307"/>
        <w:gridCol w:w="875"/>
        <w:gridCol w:w="876"/>
        <w:gridCol w:w="876"/>
        <w:gridCol w:w="876"/>
        <w:gridCol w:w="877"/>
        <w:gridCol w:w="876"/>
        <w:gridCol w:w="876"/>
        <w:gridCol w:w="879"/>
      </w:tblGrid>
      <w:tr w:rsidR="00D94804" w:rsidRPr="00DE4FED" w14:paraId="3966954B" w14:textId="77777777" w:rsidTr="00497636">
        <w:trPr>
          <w:cnfStyle w:val="100000000000" w:firstRow="1" w:lastRow="0" w:firstColumn="0" w:lastColumn="0" w:oddVBand="0" w:evenVBand="0" w:oddHBand="0" w:evenHBand="0" w:firstRowFirstColumn="0" w:firstRowLastColumn="0" w:lastRowFirstColumn="0" w:lastRowLastColumn="0"/>
          <w:trHeight w:val="217"/>
          <w:tblHeader/>
        </w:trPr>
        <w:tc>
          <w:tcPr>
            <w:tcW w:w="2307" w:type="dxa"/>
            <w:vMerge w:val="restart"/>
          </w:tcPr>
          <w:p w14:paraId="49E2B251" w14:textId="77777777" w:rsidR="00D94804" w:rsidRDefault="00D94804">
            <w:pPr>
              <w:pStyle w:val="Tabele"/>
              <w:jc w:val="center"/>
              <w:rPr>
                <w:b w:val="0"/>
              </w:rPr>
            </w:pPr>
            <w:r w:rsidRPr="00DE4FED">
              <w:t>Sektor</w:t>
            </w:r>
          </w:p>
          <w:p w14:paraId="18DF9F07" w14:textId="77777777" w:rsidR="00D94804" w:rsidRPr="00DE4FED" w:rsidRDefault="00D94804">
            <w:pPr>
              <w:pStyle w:val="Tabele"/>
              <w:jc w:val="center"/>
            </w:pPr>
            <w:r>
              <w:t>(kategoria NFR)</w:t>
            </w:r>
          </w:p>
        </w:tc>
        <w:tc>
          <w:tcPr>
            <w:tcW w:w="7011" w:type="dxa"/>
            <w:gridSpan w:val="8"/>
          </w:tcPr>
          <w:p w14:paraId="4C55A752" w14:textId="0A59630D" w:rsidR="00497636" w:rsidRDefault="00497636">
            <w:pPr>
              <w:pStyle w:val="Tabele"/>
              <w:jc w:val="center"/>
            </w:pPr>
            <w:r>
              <w:t>Emisja NOx [kt</w:t>
            </w:r>
            <w:r w:rsidRPr="00DE4FED">
              <w:t>]</w:t>
            </w:r>
          </w:p>
        </w:tc>
      </w:tr>
      <w:tr w:rsidR="001734F0" w:rsidRPr="00DE4FED" w14:paraId="4464B91D" w14:textId="77777777" w:rsidTr="00497636">
        <w:trPr>
          <w:cnfStyle w:val="100000000000" w:firstRow="1" w:lastRow="0" w:firstColumn="0" w:lastColumn="0" w:oddVBand="0" w:evenVBand="0" w:oddHBand="0" w:evenHBand="0" w:firstRowFirstColumn="0" w:firstRowLastColumn="0" w:lastRowFirstColumn="0" w:lastRowLastColumn="0"/>
          <w:trHeight w:val="217"/>
          <w:tblHeader/>
        </w:trPr>
        <w:tc>
          <w:tcPr>
            <w:tcW w:w="2307" w:type="dxa"/>
            <w:vMerge/>
            <w:tcBorders>
              <w:bottom w:val="single" w:sz="4" w:space="0" w:color="AEAAAA" w:themeColor="background2" w:themeShade="BF"/>
            </w:tcBorders>
          </w:tcPr>
          <w:p w14:paraId="2F7A29A0" w14:textId="77777777" w:rsidR="00D94804" w:rsidRPr="00DE4FED" w:rsidRDefault="00D94804">
            <w:pPr>
              <w:pStyle w:val="Tabele"/>
              <w:jc w:val="center"/>
            </w:pPr>
          </w:p>
        </w:tc>
        <w:tc>
          <w:tcPr>
            <w:tcW w:w="875" w:type="dxa"/>
            <w:tcBorders>
              <w:bottom w:val="single" w:sz="4" w:space="0" w:color="AEAAAA" w:themeColor="background2" w:themeShade="BF"/>
            </w:tcBorders>
          </w:tcPr>
          <w:p w14:paraId="7C9BAE9F" w14:textId="77777777" w:rsidR="00D94804" w:rsidRPr="00DE4FED" w:rsidRDefault="00D94804">
            <w:pPr>
              <w:pStyle w:val="Tabele"/>
              <w:jc w:val="center"/>
            </w:pPr>
            <w:r w:rsidRPr="00DE4FED">
              <w:t>2005</w:t>
            </w:r>
          </w:p>
        </w:tc>
        <w:tc>
          <w:tcPr>
            <w:tcW w:w="876" w:type="dxa"/>
            <w:tcBorders>
              <w:bottom w:val="single" w:sz="4" w:space="0" w:color="AEAAAA" w:themeColor="background2" w:themeShade="BF"/>
            </w:tcBorders>
          </w:tcPr>
          <w:p w14:paraId="7B86FF3F" w14:textId="77777777" w:rsidR="00D94804" w:rsidRPr="00DE4FED" w:rsidRDefault="00D94804">
            <w:pPr>
              <w:pStyle w:val="Tabele"/>
              <w:jc w:val="center"/>
            </w:pPr>
            <w:r w:rsidRPr="00DE4FED">
              <w:t>2010</w:t>
            </w:r>
          </w:p>
        </w:tc>
        <w:tc>
          <w:tcPr>
            <w:tcW w:w="876" w:type="dxa"/>
            <w:tcBorders>
              <w:bottom w:val="single" w:sz="4" w:space="0" w:color="AEAAAA" w:themeColor="background2" w:themeShade="BF"/>
            </w:tcBorders>
          </w:tcPr>
          <w:p w14:paraId="04FB0CE6" w14:textId="77777777" w:rsidR="00D94804" w:rsidRPr="00DE4FED" w:rsidRDefault="00D94804">
            <w:pPr>
              <w:pStyle w:val="Tabele"/>
              <w:jc w:val="center"/>
            </w:pPr>
            <w:r w:rsidRPr="00DE4FED">
              <w:t>2015</w:t>
            </w:r>
          </w:p>
        </w:tc>
        <w:tc>
          <w:tcPr>
            <w:tcW w:w="876" w:type="dxa"/>
            <w:tcBorders>
              <w:bottom w:val="single" w:sz="4" w:space="0" w:color="AEAAAA" w:themeColor="background2" w:themeShade="BF"/>
            </w:tcBorders>
          </w:tcPr>
          <w:p w14:paraId="2E2A9485" w14:textId="77777777" w:rsidR="00D94804" w:rsidRPr="00DE4FED" w:rsidRDefault="00D94804">
            <w:pPr>
              <w:pStyle w:val="Tabele"/>
              <w:jc w:val="center"/>
            </w:pPr>
            <w:r w:rsidRPr="00DE4FED">
              <w:t>2020</w:t>
            </w:r>
          </w:p>
        </w:tc>
        <w:tc>
          <w:tcPr>
            <w:tcW w:w="877" w:type="dxa"/>
            <w:tcBorders>
              <w:bottom w:val="single" w:sz="4" w:space="0" w:color="AEAAAA" w:themeColor="background2" w:themeShade="BF"/>
            </w:tcBorders>
          </w:tcPr>
          <w:p w14:paraId="3290784D" w14:textId="77777777" w:rsidR="00D94804" w:rsidRPr="00DE4FED" w:rsidRDefault="00D94804">
            <w:pPr>
              <w:pStyle w:val="Tabele"/>
              <w:jc w:val="center"/>
            </w:pPr>
            <w:r w:rsidRPr="00DE4FED">
              <w:t>2025</w:t>
            </w:r>
          </w:p>
        </w:tc>
        <w:tc>
          <w:tcPr>
            <w:tcW w:w="876" w:type="dxa"/>
            <w:tcBorders>
              <w:bottom w:val="single" w:sz="4" w:space="0" w:color="AEAAAA" w:themeColor="background2" w:themeShade="BF"/>
            </w:tcBorders>
          </w:tcPr>
          <w:p w14:paraId="6B63EE79" w14:textId="77777777" w:rsidR="00D94804" w:rsidRPr="00DE4FED" w:rsidRDefault="00D94804">
            <w:pPr>
              <w:pStyle w:val="Tabele"/>
              <w:jc w:val="center"/>
            </w:pPr>
            <w:r w:rsidRPr="00DE4FED">
              <w:t>2030</w:t>
            </w:r>
          </w:p>
        </w:tc>
        <w:tc>
          <w:tcPr>
            <w:tcW w:w="876" w:type="dxa"/>
            <w:tcBorders>
              <w:bottom w:val="single" w:sz="4" w:space="0" w:color="AEAAAA" w:themeColor="background2" w:themeShade="BF"/>
            </w:tcBorders>
          </w:tcPr>
          <w:p w14:paraId="73C08340" w14:textId="77777777" w:rsidR="00D94804" w:rsidRPr="00DE4FED" w:rsidRDefault="00D94804">
            <w:pPr>
              <w:pStyle w:val="Tabele"/>
              <w:jc w:val="center"/>
            </w:pPr>
            <w:r w:rsidRPr="00DE4FED">
              <w:t>2035</w:t>
            </w:r>
          </w:p>
        </w:tc>
        <w:tc>
          <w:tcPr>
            <w:tcW w:w="878" w:type="dxa"/>
            <w:tcBorders>
              <w:bottom w:val="single" w:sz="4" w:space="0" w:color="AEAAAA" w:themeColor="background2" w:themeShade="BF"/>
            </w:tcBorders>
          </w:tcPr>
          <w:p w14:paraId="3B7832A6" w14:textId="77777777" w:rsidR="00D94804" w:rsidRPr="00DE4FED" w:rsidRDefault="00D94804">
            <w:pPr>
              <w:pStyle w:val="Tabele"/>
              <w:jc w:val="center"/>
            </w:pPr>
            <w:r w:rsidRPr="00DE4FED">
              <w:t>2040</w:t>
            </w:r>
          </w:p>
        </w:tc>
      </w:tr>
      <w:tr w:rsidR="00D94804" w:rsidRPr="004669DE" w14:paraId="62222452"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71E5444" w14:textId="77777777" w:rsidR="00D94804" w:rsidRPr="00D94804" w:rsidRDefault="00D94804">
            <w:pPr>
              <w:pStyle w:val="Tabele"/>
              <w:rPr>
                <w:b/>
                <w:bCs/>
                <w:color w:val="auto"/>
              </w:rPr>
            </w:pPr>
            <w:r w:rsidRPr="00D94804">
              <w:rPr>
                <w:b/>
                <w:bCs/>
                <w:color w:val="auto"/>
              </w:rPr>
              <w:t xml:space="preserve">1. Energia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193A087" w14:textId="77777777" w:rsidR="00D94804" w:rsidRPr="00D94804" w:rsidRDefault="00D94804">
            <w:pPr>
              <w:pStyle w:val="Tabele"/>
              <w:jc w:val="right"/>
              <w:rPr>
                <w:color w:val="auto"/>
              </w:rPr>
            </w:pPr>
            <w:r w:rsidRPr="00D94804">
              <w:rPr>
                <w:rFonts w:cs="Arial"/>
                <w:b/>
                <w:bCs/>
                <w:color w:val="auto"/>
                <w:szCs w:val="16"/>
              </w:rPr>
              <w:t>762,37</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7821D21" w14:textId="77777777" w:rsidR="00D94804" w:rsidRPr="00D94804" w:rsidRDefault="00D94804">
            <w:pPr>
              <w:pStyle w:val="Tabele"/>
              <w:jc w:val="right"/>
              <w:rPr>
                <w:color w:val="auto"/>
              </w:rPr>
            </w:pPr>
            <w:r w:rsidRPr="00D94804">
              <w:rPr>
                <w:rFonts w:cs="Arial"/>
                <w:b/>
                <w:bCs/>
                <w:color w:val="auto"/>
                <w:szCs w:val="16"/>
              </w:rPr>
              <w:t>745,52</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5A45CC6" w14:textId="77777777" w:rsidR="00D94804" w:rsidRPr="00D94804" w:rsidRDefault="00D94804">
            <w:pPr>
              <w:pStyle w:val="Tabele"/>
              <w:jc w:val="right"/>
              <w:rPr>
                <w:color w:val="auto"/>
              </w:rPr>
            </w:pPr>
            <w:r w:rsidRPr="00D94804">
              <w:rPr>
                <w:rFonts w:cs="Arial"/>
                <w:b/>
                <w:bCs/>
                <w:color w:val="auto"/>
                <w:szCs w:val="16"/>
              </w:rPr>
              <w:t>579,52</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D87CCFB" w14:textId="77777777" w:rsidR="00D94804" w:rsidRPr="00D94804" w:rsidRDefault="00D94804">
            <w:pPr>
              <w:pStyle w:val="Tabele"/>
              <w:jc w:val="right"/>
              <w:rPr>
                <w:color w:val="auto"/>
              </w:rPr>
            </w:pPr>
            <w:r w:rsidRPr="00D94804">
              <w:rPr>
                <w:rFonts w:cs="Arial"/>
                <w:b/>
                <w:bCs/>
                <w:color w:val="auto"/>
                <w:szCs w:val="16"/>
              </w:rPr>
              <w:t>500,17</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CF83BD" w14:textId="77777777" w:rsidR="00D94804" w:rsidRPr="00D94804" w:rsidRDefault="00D94804">
            <w:pPr>
              <w:pStyle w:val="Tabele"/>
              <w:jc w:val="right"/>
              <w:rPr>
                <w:color w:val="auto"/>
                <w:highlight w:val="yellow"/>
              </w:rPr>
            </w:pPr>
            <w:r w:rsidRPr="00D94804">
              <w:rPr>
                <w:rFonts w:cs="Arial"/>
                <w:b/>
                <w:bCs/>
                <w:color w:val="auto"/>
                <w:szCs w:val="16"/>
              </w:rPr>
              <w:t>434,10</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FDB93D" w14:textId="77777777" w:rsidR="00D94804" w:rsidRPr="00D94804" w:rsidRDefault="00D94804">
            <w:pPr>
              <w:pStyle w:val="Tabele"/>
              <w:jc w:val="right"/>
              <w:rPr>
                <w:color w:val="auto"/>
                <w:highlight w:val="yellow"/>
              </w:rPr>
            </w:pPr>
            <w:r w:rsidRPr="00D94804">
              <w:rPr>
                <w:rFonts w:cs="Arial"/>
                <w:b/>
                <w:bCs/>
                <w:color w:val="auto"/>
                <w:szCs w:val="16"/>
              </w:rPr>
              <w:t>326,81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B808E3" w14:textId="77777777" w:rsidR="00D94804" w:rsidRPr="00D94804" w:rsidRDefault="00D94804">
            <w:pPr>
              <w:pStyle w:val="Tabele"/>
              <w:jc w:val="right"/>
              <w:rPr>
                <w:color w:val="auto"/>
                <w:highlight w:val="yellow"/>
              </w:rPr>
            </w:pPr>
            <w:r w:rsidRPr="00D94804">
              <w:rPr>
                <w:rFonts w:cs="Arial"/>
                <w:b/>
                <w:bCs/>
                <w:color w:val="auto"/>
                <w:szCs w:val="16"/>
              </w:rPr>
              <w:t>233,94</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B39E15B" w14:textId="77777777" w:rsidR="00D94804" w:rsidRPr="00D94804" w:rsidRDefault="00D94804">
            <w:pPr>
              <w:pStyle w:val="Tabele"/>
              <w:jc w:val="right"/>
              <w:rPr>
                <w:color w:val="auto"/>
                <w:highlight w:val="yellow"/>
              </w:rPr>
            </w:pPr>
            <w:r w:rsidRPr="00D94804">
              <w:rPr>
                <w:rFonts w:cs="Arial"/>
                <w:b/>
                <w:bCs/>
                <w:color w:val="auto"/>
                <w:szCs w:val="16"/>
              </w:rPr>
              <w:t>161,45</w:t>
            </w:r>
          </w:p>
        </w:tc>
      </w:tr>
      <w:tr w:rsidR="00D94804" w:rsidRPr="004669DE" w14:paraId="677338F7"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2D84AA9" w14:textId="77777777" w:rsidR="00D94804" w:rsidRPr="00D94804" w:rsidRDefault="00D94804">
            <w:pPr>
              <w:pStyle w:val="Tabele"/>
              <w:rPr>
                <w:b/>
                <w:bCs/>
                <w:color w:val="auto"/>
              </w:rPr>
            </w:pPr>
            <w:r w:rsidRPr="00D94804">
              <w:rPr>
                <w:color w:val="auto"/>
              </w:rPr>
              <w:t xml:space="preserve">A. Spalanie paliw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EB50C50" w14:textId="77777777" w:rsidR="00D94804" w:rsidRPr="00D94804" w:rsidRDefault="00D94804">
            <w:pPr>
              <w:pStyle w:val="Tabele"/>
              <w:jc w:val="right"/>
              <w:rPr>
                <w:color w:val="auto"/>
              </w:rPr>
            </w:pPr>
            <w:r w:rsidRPr="00D94804">
              <w:rPr>
                <w:rFonts w:cs="Arial"/>
                <w:color w:val="auto"/>
                <w:szCs w:val="16"/>
              </w:rPr>
              <w:t>760,58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2A62784" w14:textId="77777777" w:rsidR="00D94804" w:rsidRPr="00D94804" w:rsidRDefault="00D94804">
            <w:pPr>
              <w:pStyle w:val="Tabele"/>
              <w:jc w:val="right"/>
              <w:rPr>
                <w:color w:val="auto"/>
              </w:rPr>
            </w:pPr>
            <w:r w:rsidRPr="00D94804">
              <w:rPr>
                <w:rFonts w:cs="Arial"/>
                <w:color w:val="auto"/>
                <w:szCs w:val="16"/>
              </w:rPr>
              <w:t>740,58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B46AD40" w14:textId="77777777" w:rsidR="00D94804" w:rsidRPr="00D94804" w:rsidRDefault="00D94804">
            <w:pPr>
              <w:pStyle w:val="Tabele"/>
              <w:jc w:val="right"/>
              <w:rPr>
                <w:color w:val="auto"/>
              </w:rPr>
            </w:pPr>
            <w:r w:rsidRPr="00D94804">
              <w:rPr>
                <w:rFonts w:cs="Arial"/>
                <w:color w:val="auto"/>
                <w:szCs w:val="16"/>
              </w:rPr>
              <w:t>575,15</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1712FDE" w14:textId="77777777" w:rsidR="00D94804" w:rsidRPr="00D94804" w:rsidRDefault="00D94804">
            <w:pPr>
              <w:pStyle w:val="Tabele"/>
              <w:jc w:val="right"/>
              <w:rPr>
                <w:color w:val="auto"/>
              </w:rPr>
            </w:pPr>
            <w:r w:rsidRPr="00D94804">
              <w:rPr>
                <w:rFonts w:cs="Arial"/>
                <w:color w:val="auto"/>
                <w:szCs w:val="16"/>
              </w:rPr>
              <w:t>496,75</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E46134A" w14:textId="77777777" w:rsidR="00D94804" w:rsidRPr="00D94804" w:rsidRDefault="00D94804">
            <w:pPr>
              <w:pStyle w:val="Tabele"/>
              <w:jc w:val="right"/>
              <w:rPr>
                <w:color w:val="auto"/>
                <w:highlight w:val="yellow"/>
              </w:rPr>
            </w:pPr>
            <w:r w:rsidRPr="00D94804">
              <w:rPr>
                <w:rFonts w:cs="Arial"/>
                <w:color w:val="auto"/>
                <w:szCs w:val="16"/>
              </w:rPr>
              <w:t>430,89</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5EEE33" w14:textId="77777777" w:rsidR="00D94804" w:rsidRPr="00D94804" w:rsidRDefault="00D94804">
            <w:pPr>
              <w:pStyle w:val="Tabele"/>
              <w:jc w:val="right"/>
              <w:rPr>
                <w:color w:val="auto"/>
                <w:highlight w:val="yellow"/>
              </w:rPr>
            </w:pPr>
            <w:r w:rsidRPr="00D94804">
              <w:rPr>
                <w:rFonts w:cs="Arial"/>
                <w:color w:val="auto"/>
                <w:szCs w:val="16"/>
              </w:rPr>
              <w:t>323,79</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E4FF14" w14:textId="77777777" w:rsidR="00D94804" w:rsidRPr="00D94804" w:rsidRDefault="00D94804">
            <w:pPr>
              <w:pStyle w:val="Tabele"/>
              <w:jc w:val="right"/>
              <w:rPr>
                <w:color w:val="auto"/>
                <w:highlight w:val="yellow"/>
              </w:rPr>
            </w:pPr>
            <w:r w:rsidRPr="00D94804">
              <w:rPr>
                <w:rFonts w:cs="Arial"/>
                <w:color w:val="auto"/>
                <w:szCs w:val="16"/>
              </w:rPr>
              <w:t>231,09</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91A9953" w14:textId="77777777" w:rsidR="00D94804" w:rsidRPr="00D94804" w:rsidRDefault="00D94804">
            <w:pPr>
              <w:pStyle w:val="Tabele"/>
              <w:jc w:val="right"/>
              <w:rPr>
                <w:color w:val="auto"/>
                <w:highlight w:val="yellow"/>
              </w:rPr>
            </w:pPr>
            <w:r w:rsidRPr="00D94804">
              <w:rPr>
                <w:rFonts w:cs="Arial"/>
                <w:color w:val="auto"/>
                <w:szCs w:val="16"/>
              </w:rPr>
              <w:t>158,83</w:t>
            </w:r>
          </w:p>
        </w:tc>
      </w:tr>
      <w:tr w:rsidR="00D94804" w:rsidRPr="004669DE" w14:paraId="3FE29CB1"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A5D51BE" w14:textId="77777777" w:rsidR="00D94804" w:rsidRPr="00D94804" w:rsidRDefault="00D94804">
            <w:pPr>
              <w:pStyle w:val="Tabele"/>
              <w:rPr>
                <w:bCs/>
                <w:color w:val="auto"/>
              </w:rPr>
            </w:pPr>
            <w:r w:rsidRPr="00D94804">
              <w:rPr>
                <w:color w:val="auto"/>
              </w:rPr>
              <w:t xml:space="preserve">1. Przemysły energetyczne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915C315" w14:textId="77777777" w:rsidR="00D94804" w:rsidRPr="00D94804" w:rsidRDefault="00D94804">
            <w:pPr>
              <w:pStyle w:val="Tabele"/>
              <w:jc w:val="right"/>
              <w:rPr>
                <w:color w:val="auto"/>
              </w:rPr>
            </w:pPr>
            <w:r w:rsidRPr="00D94804">
              <w:rPr>
                <w:rFonts w:cs="Arial"/>
                <w:color w:val="auto"/>
                <w:szCs w:val="16"/>
              </w:rPr>
              <w:t>293,81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2E9ED65" w14:textId="77777777" w:rsidR="00D94804" w:rsidRPr="00D94804" w:rsidRDefault="00D94804">
            <w:pPr>
              <w:pStyle w:val="Tabele"/>
              <w:jc w:val="right"/>
              <w:rPr>
                <w:color w:val="auto"/>
              </w:rPr>
            </w:pPr>
            <w:r w:rsidRPr="00D94804">
              <w:rPr>
                <w:rFonts w:cs="Arial"/>
                <w:color w:val="auto"/>
                <w:szCs w:val="16"/>
              </w:rPr>
              <w:t>274,00</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34523C4" w14:textId="77777777" w:rsidR="00D94804" w:rsidRPr="00D94804" w:rsidRDefault="00D94804">
            <w:pPr>
              <w:pStyle w:val="Tabele"/>
              <w:jc w:val="right"/>
              <w:rPr>
                <w:color w:val="auto"/>
              </w:rPr>
            </w:pPr>
            <w:r w:rsidRPr="00D94804">
              <w:rPr>
                <w:rFonts w:cs="Arial"/>
                <w:color w:val="auto"/>
                <w:szCs w:val="16"/>
              </w:rPr>
              <w:t>202,54</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E79FB82" w14:textId="77777777" w:rsidR="00D94804" w:rsidRPr="00D94804" w:rsidRDefault="00D94804">
            <w:pPr>
              <w:pStyle w:val="Tabele"/>
              <w:jc w:val="right"/>
              <w:rPr>
                <w:color w:val="auto"/>
              </w:rPr>
            </w:pPr>
            <w:r w:rsidRPr="00D94804">
              <w:rPr>
                <w:rFonts w:cs="Arial"/>
                <w:color w:val="auto"/>
                <w:szCs w:val="16"/>
              </w:rPr>
              <w:t>113,75</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8B273E1" w14:textId="77777777" w:rsidR="00D94804" w:rsidRPr="00D94804" w:rsidRDefault="00D94804">
            <w:pPr>
              <w:pStyle w:val="Tabele"/>
              <w:jc w:val="right"/>
              <w:rPr>
                <w:color w:val="auto"/>
                <w:highlight w:val="yellow"/>
              </w:rPr>
            </w:pPr>
            <w:r w:rsidRPr="00D94804">
              <w:rPr>
                <w:rFonts w:cs="Arial"/>
                <w:color w:val="auto"/>
                <w:szCs w:val="16"/>
              </w:rPr>
              <w:t>91,79</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146DC9" w14:textId="77777777" w:rsidR="00D94804" w:rsidRPr="00D94804" w:rsidRDefault="00D94804">
            <w:pPr>
              <w:pStyle w:val="Tabele"/>
              <w:jc w:val="right"/>
              <w:rPr>
                <w:color w:val="auto"/>
                <w:highlight w:val="yellow"/>
              </w:rPr>
            </w:pPr>
            <w:r w:rsidRPr="00D94804">
              <w:rPr>
                <w:rFonts w:cs="Arial"/>
                <w:color w:val="auto"/>
                <w:szCs w:val="16"/>
              </w:rPr>
              <w:t>59,62</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7C472D7" w14:textId="77777777" w:rsidR="00D94804" w:rsidRPr="00D94804" w:rsidRDefault="00D94804">
            <w:pPr>
              <w:pStyle w:val="Tabele"/>
              <w:jc w:val="right"/>
              <w:rPr>
                <w:color w:val="auto"/>
                <w:highlight w:val="yellow"/>
              </w:rPr>
            </w:pPr>
            <w:r w:rsidRPr="00D94804">
              <w:rPr>
                <w:rFonts w:cs="Arial"/>
                <w:color w:val="auto"/>
                <w:szCs w:val="16"/>
              </w:rPr>
              <w:t>32,68</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6766C23" w14:textId="77777777" w:rsidR="00D94804" w:rsidRPr="00D94804" w:rsidRDefault="00D94804">
            <w:pPr>
              <w:pStyle w:val="Tabele"/>
              <w:jc w:val="right"/>
              <w:rPr>
                <w:color w:val="auto"/>
                <w:highlight w:val="yellow"/>
              </w:rPr>
            </w:pPr>
            <w:r w:rsidRPr="00D94804">
              <w:rPr>
                <w:rFonts w:cs="Arial"/>
                <w:color w:val="auto"/>
                <w:szCs w:val="16"/>
              </w:rPr>
              <w:t>17,01</w:t>
            </w:r>
          </w:p>
        </w:tc>
      </w:tr>
      <w:tr w:rsidR="00D94804" w:rsidRPr="004669DE" w14:paraId="6F94792C"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A21A26" w14:textId="77777777" w:rsidR="00D94804" w:rsidRPr="00D94804" w:rsidRDefault="00D94804">
            <w:pPr>
              <w:pStyle w:val="Tabele"/>
              <w:rPr>
                <w:bCs/>
                <w:color w:val="auto"/>
              </w:rPr>
            </w:pPr>
            <w:r w:rsidRPr="00D94804">
              <w:rPr>
                <w:color w:val="auto"/>
              </w:rPr>
              <w:t xml:space="preserve">2. Przemysł wytwórczy i budownictwo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CD21A91" w14:textId="77777777" w:rsidR="00D94804" w:rsidRPr="00D94804" w:rsidRDefault="00D94804">
            <w:pPr>
              <w:pStyle w:val="Tabele"/>
              <w:jc w:val="right"/>
              <w:rPr>
                <w:color w:val="auto"/>
              </w:rPr>
            </w:pPr>
            <w:r w:rsidRPr="00D94804">
              <w:rPr>
                <w:rFonts w:cs="Arial"/>
                <w:color w:val="auto"/>
                <w:szCs w:val="16"/>
              </w:rPr>
              <w:t>64,65</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35202C5" w14:textId="77777777" w:rsidR="00D94804" w:rsidRPr="00D94804" w:rsidRDefault="00D94804">
            <w:pPr>
              <w:pStyle w:val="Tabele"/>
              <w:jc w:val="right"/>
              <w:rPr>
                <w:color w:val="auto"/>
              </w:rPr>
            </w:pPr>
            <w:r w:rsidRPr="00D94804">
              <w:rPr>
                <w:rFonts w:cs="Arial"/>
                <w:color w:val="auto"/>
                <w:szCs w:val="16"/>
              </w:rPr>
              <w:t>54,51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C410E17" w14:textId="77777777" w:rsidR="00D94804" w:rsidRPr="00D94804" w:rsidRDefault="00D94804">
            <w:pPr>
              <w:pStyle w:val="Tabele"/>
              <w:jc w:val="right"/>
              <w:rPr>
                <w:color w:val="auto"/>
              </w:rPr>
            </w:pPr>
            <w:r w:rsidRPr="00D94804">
              <w:rPr>
                <w:rFonts w:cs="Arial"/>
                <w:color w:val="auto"/>
                <w:szCs w:val="16"/>
              </w:rPr>
              <w:t>48,74</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6C66FFA" w14:textId="77777777" w:rsidR="00D94804" w:rsidRPr="00D94804" w:rsidRDefault="00D94804">
            <w:pPr>
              <w:pStyle w:val="Tabele"/>
              <w:jc w:val="right"/>
              <w:rPr>
                <w:color w:val="auto"/>
              </w:rPr>
            </w:pPr>
            <w:r w:rsidRPr="00D94804">
              <w:rPr>
                <w:rFonts w:cs="Arial"/>
                <w:color w:val="auto"/>
                <w:szCs w:val="16"/>
              </w:rPr>
              <w:t>50,19</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C2D20A" w14:textId="77777777" w:rsidR="00D94804" w:rsidRPr="00D94804" w:rsidRDefault="00D94804">
            <w:pPr>
              <w:pStyle w:val="Tabele"/>
              <w:jc w:val="right"/>
              <w:rPr>
                <w:color w:val="auto"/>
                <w:highlight w:val="yellow"/>
              </w:rPr>
            </w:pPr>
            <w:r w:rsidRPr="00D94804">
              <w:rPr>
                <w:rFonts w:cs="Arial"/>
                <w:color w:val="auto"/>
                <w:szCs w:val="16"/>
              </w:rPr>
              <w:t>44,07</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00AC2B" w14:textId="77777777" w:rsidR="00D94804" w:rsidRPr="00D94804" w:rsidRDefault="00D94804">
            <w:pPr>
              <w:pStyle w:val="Tabele"/>
              <w:jc w:val="right"/>
              <w:rPr>
                <w:color w:val="auto"/>
                <w:highlight w:val="yellow"/>
              </w:rPr>
            </w:pPr>
            <w:r w:rsidRPr="00D94804">
              <w:rPr>
                <w:rFonts w:cs="Arial"/>
                <w:color w:val="auto"/>
                <w:szCs w:val="16"/>
              </w:rPr>
              <w:t>34,27</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AD99BA0" w14:textId="77777777" w:rsidR="00D94804" w:rsidRPr="00D94804" w:rsidRDefault="00D94804">
            <w:pPr>
              <w:pStyle w:val="Tabele"/>
              <w:jc w:val="right"/>
              <w:rPr>
                <w:color w:val="auto"/>
                <w:highlight w:val="yellow"/>
              </w:rPr>
            </w:pPr>
            <w:r w:rsidRPr="00D94804">
              <w:rPr>
                <w:rFonts w:cs="Arial"/>
                <w:color w:val="auto"/>
                <w:szCs w:val="16"/>
              </w:rPr>
              <w:t>28,02</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343733" w14:textId="77777777" w:rsidR="00D94804" w:rsidRPr="00D94804" w:rsidRDefault="00D94804">
            <w:pPr>
              <w:pStyle w:val="Tabele"/>
              <w:jc w:val="right"/>
              <w:rPr>
                <w:color w:val="auto"/>
                <w:highlight w:val="yellow"/>
              </w:rPr>
            </w:pPr>
            <w:r w:rsidRPr="00D94804">
              <w:rPr>
                <w:rFonts w:cs="Arial"/>
                <w:color w:val="auto"/>
                <w:szCs w:val="16"/>
              </w:rPr>
              <w:t>22,61</w:t>
            </w:r>
          </w:p>
        </w:tc>
      </w:tr>
      <w:tr w:rsidR="00D94804" w:rsidRPr="004669DE" w14:paraId="70E973B4"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F977FC" w14:textId="77777777" w:rsidR="00D94804" w:rsidRPr="00D94804" w:rsidRDefault="00D94804">
            <w:pPr>
              <w:pStyle w:val="Tabele"/>
              <w:rPr>
                <w:bCs/>
                <w:color w:val="auto"/>
              </w:rPr>
            </w:pPr>
            <w:r w:rsidRPr="00D94804">
              <w:rPr>
                <w:color w:val="auto"/>
              </w:rPr>
              <w:t xml:space="preserve">3. Transport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67CC0B5" w14:textId="77777777" w:rsidR="00D94804" w:rsidRPr="00D94804" w:rsidRDefault="00D94804">
            <w:pPr>
              <w:pStyle w:val="Tabele"/>
              <w:jc w:val="right"/>
              <w:rPr>
                <w:color w:val="auto"/>
              </w:rPr>
            </w:pPr>
            <w:r w:rsidRPr="00D94804">
              <w:rPr>
                <w:rFonts w:cs="Arial"/>
                <w:color w:val="auto"/>
                <w:szCs w:val="16"/>
              </w:rPr>
              <w:t>218,37</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AF9C882" w14:textId="77777777" w:rsidR="00D94804" w:rsidRPr="00D94804" w:rsidRDefault="00D94804">
            <w:pPr>
              <w:pStyle w:val="Tabele"/>
              <w:jc w:val="right"/>
              <w:rPr>
                <w:color w:val="auto"/>
              </w:rPr>
            </w:pPr>
            <w:r w:rsidRPr="00D94804">
              <w:rPr>
                <w:rFonts w:cs="Arial"/>
                <w:color w:val="auto"/>
                <w:szCs w:val="16"/>
              </w:rPr>
              <w:t>252,56</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B8DD428" w14:textId="77777777" w:rsidR="00D94804" w:rsidRPr="00D94804" w:rsidRDefault="00D94804">
            <w:pPr>
              <w:pStyle w:val="Tabele"/>
              <w:jc w:val="right"/>
              <w:rPr>
                <w:color w:val="auto"/>
              </w:rPr>
            </w:pPr>
            <w:r w:rsidRPr="00D94804">
              <w:rPr>
                <w:rFonts w:cs="Arial"/>
                <w:color w:val="auto"/>
                <w:szCs w:val="16"/>
              </w:rPr>
              <w:t>199,90</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B10CD75" w14:textId="77777777" w:rsidR="00D94804" w:rsidRPr="00D94804" w:rsidRDefault="00D94804">
            <w:pPr>
              <w:pStyle w:val="Tabele"/>
              <w:jc w:val="right"/>
              <w:rPr>
                <w:color w:val="auto"/>
              </w:rPr>
            </w:pPr>
            <w:r w:rsidRPr="00D94804">
              <w:rPr>
                <w:rFonts w:cs="Arial"/>
                <w:color w:val="auto"/>
                <w:szCs w:val="16"/>
              </w:rPr>
              <w:t>213,17</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EA6F3EB" w14:textId="77777777" w:rsidR="00D94804" w:rsidRPr="00D94804" w:rsidRDefault="00D94804">
            <w:pPr>
              <w:pStyle w:val="Tabele"/>
              <w:jc w:val="right"/>
              <w:rPr>
                <w:color w:val="auto"/>
                <w:highlight w:val="yellow"/>
              </w:rPr>
            </w:pPr>
            <w:r w:rsidRPr="00D94804">
              <w:rPr>
                <w:rFonts w:cs="Arial"/>
                <w:color w:val="auto"/>
                <w:szCs w:val="16"/>
              </w:rPr>
              <w:t>198,94</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5E8664B" w14:textId="77777777" w:rsidR="00D94804" w:rsidRPr="00D94804" w:rsidRDefault="00D94804">
            <w:pPr>
              <w:pStyle w:val="Tabele"/>
              <w:jc w:val="right"/>
              <w:rPr>
                <w:color w:val="auto"/>
                <w:highlight w:val="yellow"/>
              </w:rPr>
            </w:pPr>
            <w:r w:rsidRPr="00D94804">
              <w:rPr>
                <w:rFonts w:cs="Arial"/>
                <w:color w:val="auto"/>
                <w:szCs w:val="16"/>
              </w:rPr>
              <w:t>150,31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A948F9" w14:textId="77777777" w:rsidR="00D94804" w:rsidRPr="00D94804" w:rsidRDefault="00D94804">
            <w:pPr>
              <w:pStyle w:val="Tabele"/>
              <w:jc w:val="right"/>
              <w:rPr>
                <w:color w:val="auto"/>
                <w:highlight w:val="yellow"/>
              </w:rPr>
            </w:pPr>
            <w:r w:rsidRPr="00D94804">
              <w:rPr>
                <w:rFonts w:cs="Arial"/>
                <w:color w:val="auto"/>
                <w:szCs w:val="16"/>
              </w:rPr>
              <w:t>104,65</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C6170DE" w14:textId="77777777" w:rsidR="00D94804" w:rsidRPr="00D94804" w:rsidRDefault="00D94804">
            <w:pPr>
              <w:pStyle w:val="Tabele"/>
              <w:jc w:val="right"/>
              <w:rPr>
                <w:color w:val="auto"/>
                <w:highlight w:val="yellow"/>
              </w:rPr>
            </w:pPr>
            <w:r w:rsidRPr="00D94804">
              <w:rPr>
                <w:rFonts w:cs="Arial"/>
                <w:color w:val="auto"/>
                <w:szCs w:val="16"/>
              </w:rPr>
              <w:t>64,51</w:t>
            </w:r>
          </w:p>
        </w:tc>
      </w:tr>
      <w:tr w:rsidR="00D94804" w:rsidRPr="004669DE" w14:paraId="17918B94"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708A17F" w14:textId="77777777" w:rsidR="00D94804" w:rsidRPr="00D94804" w:rsidRDefault="00D94804">
            <w:pPr>
              <w:pStyle w:val="Tabele"/>
              <w:rPr>
                <w:bCs/>
                <w:color w:val="auto"/>
              </w:rPr>
            </w:pPr>
            <w:r w:rsidRPr="00D94804">
              <w:rPr>
                <w:color w:val="auto"/>
              </w:rPr>
              <w:t>4. Inne sektory (małe źródła spalania paliw, w tym gospodarstwa domowe)</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1286E90" w14:textId="77777777" w:rsidR="00D94804" w:rsidRPr="00D94804" w:rsidRDefault="00D94804">
            <w:pPr>
              <w:pStyle w:val="Tabele"/>
              <w:jc w:val="right"/>
              <w:rPr>
                <w:color w:val="auto"/>
              </w:rPr>
            </w:pPr>
            <w:r w:rsidRPr="00D94804">
              <w:rPr>
                <w:rFonts w:cs="Arial"/>
                <w:color w:val="auto"/>
                <w:szCs w:val="16"/>
              </w:rPr>
              <w:t>183,76</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7265397" w14:textId="77777777" w:rsidR="00D94804" w:rsidRPr="00D94804" w:rsidRDefault="00D94804">
            <w:pPr>
              <w:pStyle w:val="Tabele"/>
              <w:jc w:val="right"/>
              <w:rPr>
                <w:color w:val="auto"/>
              </w:rPr>
            </w:pPr>
            <w:r w:rsidRPr="00D94804">
              <w:rPr>
                <w:rFonts w:cs="Arial"/>
                <w:color w:val="auto"/>
                <w:szCs w:val="16"/>
              </w:rPr>
              <w:t>159,51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461BA6C" w14:textId="77777777" w:rsidR="00D94804" w:rsidRPr="00D94804" w:rsidRDefault="00D94804">
            <w:pPr>
              <w:pStyle w:val="Tabele"/>
              <w:jc w:val="right"/>
              <w:rPr>
                <w:color w:val="auto"/>
              </w:rPr>
            </w:pPr>
            <w:r w:rsidRPr="00D94804">
              <w:rPr>
                <w:rFonts w:cs="Arial"/>
                <w:color w:val="auto"/>
                <w:szCs w:val="16"/>
              </w:rPr>
              <w:t>123,98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43990BD" w14:textId="77777777" w:rsidR="00D94804" w:rsidRPr="00D94804" w:rsidRDefault="00D94804">
            <w:pPr>
              <w:pStyle w:val="Tabele"/>
              <w:jc w:val="right"/>
              <w:rPr>
                <w:color w:val="auto"/>
              </w:rPr>
            </w:pPr>
            <w:r w:rsidRPr="00D94804">
              <w:rPr>
                <w:rFonts w:cs="Arial"/>
                <w:color w:val="auto"/>
                <w:szCs w:val="16"/>
              </w:rPr>
              <w:t>119,65</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724B6C" w14:textId="77777777" w:rsidR="00D94804" w:rsidRPr="00D94804" w:rsidRDefault="00D94804">
            <w:pPr>
              <w:pStyle w:val="Tabele"/>
              <w:jc w:val="right"/>
              <w:rPr>
                <w:color w:val="auto"/>
                <w:highlight w:val="yellow"/>
              </w:rPr>
            </w:pPr>
            <w:r w:rsidRPr="00D94804">
              <w:rPr>
                <w:rFonts w:cs="Arial"/>
                <w:color w:val="auto"/>
                <w:szCs w:val="16"/>
              </w:rPr>
              <w:t>96,09</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EC440E1" w14:textId="77777777" w:rsidR="00D94804" w:rsidRPr="00D94804" w:rsidRDefault="00D94804">
            <w:pPr>
              <w:pStyle w:val="Tabele"/>
              <w:jc w:val="right"/>
              <w:rPr>
                <w:color w:val="auto"/>
                <w:highlight w:val="yellow"/>
              </w:rPr>
            </w:pPr>
            <w:r w:rsidRPr="00D94804">
              <w:rPr>
                <w:rFonts w:cs="Arial"/>
                <w:color w:val="auto"/>
                <w:szCs w:val="16"/>
              </w:rPr>
              <w:t>79,58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F9DEFD" w14:textId="77777777" w:rsidR="00D94804" w:rsidRPr="00D94804" w:rsidRDefault="00D94804">
            <w:pPr>
              <w:pStyle w:val="Tabele"/>
              <w:jc w:val="right"/>
              <w:rPr>
                <w:color w:val="auto"/>
                <w:highlight w:val="yellow"/>
              </w:rPr>
            </w:pPr>
            <w:r w:rsidRPr="00D94804">
              <w:rPr>
                <w:rFonts w:cs="Arial"/>
                <w:color w:val="auto"/>
                <w:szCs w:val="16"/>
              </w:rPr>
              <w:t>65,73</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1EC7549" w14:textId="77777777" w:rsidR="00D94804" w:rsidRPr="00D94804" w:rsidRDefault="00D94804">
            <w:pPr>
              <w:pStyle w:val="Tabele"/>
              <w:jc w:val="right"/>
              <w:rPr>
                <w:color w:val="auto"/>
                <w:highlight w:val="yellow"/>
              </w:rPr>
            </w:pPr>
            <w:r w:rsidRPr="00D94804">
              <w:rPr>
                <w:rFonts w:cs="Arial"/>
                <w:color w:val="auto"/>
                <w:szCs w:val="16"/>
              </w:rPr>
              <w:t>54,70</w:t>
            </w:r>
          </w:p>
        </w:tc>
      </w:tr>
      <w:tr w:rsidR="00D94804" w:rsidRPr="004669DE" w14:paraId="404FA4F9"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A47346" w14:textId="77777777" w:rsidR="00D94804" w:rsidRPr="00D94804" w:rsidRDefault="00D94804">
            <w:pPr>
              <w:pStyle w:val="Tabele"/>
              <w:rPr>
                <w:bCs/>
                <w:color w:val="auto"/>
              </w:rPr>
            </w:pPr>
            <w:r w:rsidRPr="00D94804">
              <w:rPr>
                <w:color w:val="auto"/>
              </w:rPr>
              <w:t xml:space="preserve">B. Emisja lotna z paliw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0E71B59" w14:textId="77777777" w:rsidR="00D94804" w:rsidRPr="00D94804" w:rsidRDefault="00D94804">
            <w:pPr>
              <w:pStyle w:val="Tabele"/>
              <w:jc w:val="right"/>
              <w:rPr>
                <w:color w:val="auto"/>
              </w:rPr>
            </w:pPr>
            <w:r w:rsidRPr="00D94804">
              <w:rPr>
                <w:rFonts w:cs="Arial"/>
                <w:color w:val="auto"/>
                <w:szCs w:val="16"/>
              </w:rPr>
              <w:t>1,78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D10F3C8" w14:textId="77777777" w:rsidR="00D94804" w:rsidRPr="00D94804" w:rsidRDefault="00D94804">
            <w:pPr>
              <w:pStyle w:val="Tabele"/>
              <w:jc w:val="right"/>
              <w:rPr>
                <w:color w:val="auto"/>
              </w:rPr>
            </w:pPr>
            <w:r w:rsidRPr="00D94804">
              <w:rPr>
                <w:rFonts w:cs="Arial"/>
                <w:color w:val="auto"/>
                <w:szCs w:val="16"/>
              </w:rPr>
              <w:t>4,94</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E652051" w14:textId="77777777" w:rsidR="00D94804" w:rsidRPr="00D94804" w:rsidRDefault="00D94804">
            <w:pPr>
              <w:pStyle w:val="Tabele"/>
              <w:jc w:val="right"/>
              <w:rPr>
                <w:color w:val="auto"/>
              </w:rPr>
            </w:pPr>
            <w:r w:rsidRPr="00D94804">
              <w:rPr>
                <w:rFonts w:cs="Arial"/>
                <w:color w:val="auto"/>
                <w:szCs w:val="16"/>
              </w:rPr>
              <w:t>4,36</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895830B" w14:textId="77777777" w:rsidR="00D94804" w:rsidRPr="00D94804" w:rsidRDefault="00D94804">
            <w:pPr>
              <w:pStyle w:val="Tabele"/>
              <w:jc w:val="right"/>
              <w:rPr>
                <w:color w:val="auto"/>
              </w:rPr>
            </w:pPr>
            <w:r w:rsidRPr="00D94804">
              <w:rPr>
                <w:rFonts w:cs="Arial"/>
                <w:color w:val="auto"/>
                <w:szCs w:val="16"/>
              </w:rPr>
              <w:t>3,41</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AD0F8A5" w14:textId="77777777" w:rsidR="00D94804" w:rsidRPr="00D94804" w:rsidRDefault="00D94804">
            <w:pPr>
              <w:pStyle w:val="Tabele"/>
              <w:jc w:val="right"/>
              <w:rPr>
                <w:color w:val="auto"/>
                <w:highlight w:val="yellow"/>
              </w:rPr>
            </w:pPr>
            <w:r w:rsidRPr="00D94804">
              <w:rPr>
                <w:rFonts w:cs="Arial"/>
                <w:color w:val="auto"/>
                <w:szCs w:val="16"/>
              </w:rPr>
              <w:t>3,21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DF7589" w14:textId="77777777" w:rsidR="00D94804" w:rsidRPr="00D94804" w:rsidRDefault="00D94804">
            <w:pPr>
              <w:pStyle w:val="Tabele"/>
              <w:jc w:val="right"/>
              <w:rPr>
                <w:color w:val="auto"/>
                <w:highlight w:val="yellow"/>
              </w:rPr>
            </w:pPr>
            <w:r w:rsidRPr="00D94804">
              <w:rPr>
                <w:rFonts w:cs="Arial"/>
                <w:color w:val="auto"/>
                <w:szCs w:val="16"/>
              </w:rPr>
              <w:t>3,02</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0ACC6F6" w14:textId="77777777" w:rsidR="00D94804" w:rsidRPr="00D94804" w:rsidRDefault="00D94804">
            <w:pPr>
              <w:pStyle w:val="Tabele"/>
              <w:jc w:val="right"/>
              <w:rPr>
                <w:color w:val="auto"/>
                <w:highlight w:val="yellow"/>
              </w:rPr>
            </w:pPr>
            <w:r w:rsidRPr="00D94804">
              <w:rPr>
                <w:rFonts w:cs="Arial"/>
                <w:color w:val="auto"/>
                <w:szCs w:val="16"/>
              </w:rPr>
              <w:t>2,85</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599C11" w14:textId="77777777" w:rsidR="00D94804" w:rsidRPr="00D94804" w:rsidRDefault="00D94804">
            <w:pPr>
              <w:pStyle w:val="Tabele"/>
              <w:jc w:val="right"/>
              <w:rPr>
                <w:color w:val="auto"/>
                <w:highlight w:val="yellow"/>
              </w:rPr>
            </w:pPr>
            <w:r w:rsidRPr="00D94804">
              <w:rPr>
                <w:rFonts w:cs="Arial"/>
                <w:color w:val="auto"/>
                <w:szCs w:val="16"/>
              </w:rPr>
              <w:t>2,61</w:t>
            </w:r>
          </w:p>
        </w:tc>
      </w:tr>
      <w:tr w:rsidR="00D94804" w:rsidRPr="004669DE" w14:paraId="1B1FDE7B"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A78BED2" w14:textId="77777777" w:rsidR="00D94804" w:rsidRPr="00D94804" w:rsidRDefault="00D94804">
            <w:pPr>
              <w:pStyle w:val="Tabele"/>
              <w:rPr>
                <w:bCs/>
                <w:color w:val="auto"/>
              </w:rPr>
            </w:pPr>
            <w:r w:rsidRPr="00D94804">
              <w:rPr>
                <w:color w:val="auto"/>
              </w:rPr>
              <w:t xml:space="preserve">1. Paliwa stałe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53D5A61" w14:textId="77777777" w:rsidR="00D94804" w:rsidRPr="00D94804" w:rsidRDefault="00D94804">
            <w:pPr>
              <w:pStyle w:val="Tabele"/>
              <w:jc w:val="right"/>
              <w:rPr>
                <w:color w:val="auto"/>
              </w:rPr>
            </w:pPr>
            <w:r w:rsidRPr="00D94804">
              <w:rPr>
                <w:rFonts w:cs="Arial"/>
                <w:color w:val="auto"/>
                <w:szCs w:val="16"/>
              </w:rPr>
              <w:t>0,01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DC0F7C7" w14:textId="77777777" w:rsidR="00D94804" w:rsidRPr="00D94804" w:rsidRDefault="00D94804">
            <w:pPr>
              <w:pStyle w:val="Tabele"/>
              <w:jc w:val="right"/>
              <w:rPr>
                <w:color w:val="auto"/>
              </w:rPr>
            </w:pPr>
            <w:r w:rsidRPr="00D94804">
              <w:rPr>
                <w:rFonts w:cs="Arial"/>
                <w:color w:val="auto"/>
                <w:szCs w:val="16"/>
              </w:rPr>
              <w:t>0,01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EEE8482" w14:textId="77777777" w:rsidR="00D94804" w:rsidRPr="00D94804" w:rsidRDefault="00D94804">
            <w:pPr>
              <w:pStyle w:val="Tabele"/>
              <w:jc w:val="right"/>
              <w:rPr>
                <w:color w:val="auto"/>
              </w:rPr>
            </w:pPr>
            <w:r w:rsidRPr="00D94804">
              <w:rPr>
                <w:rFonts w:cs="Arial"/>
                <w:color w:val="auto"/>
                <w:szCs w:val="16"/>
              </w:rPr>
              <w:t>0,01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F5E2267" w14:textId="77777777" w:rsidR="00D94804" w:rsidRPr="00D94804" w:rsidRDefault="00D94804">
            <w:pPr>
              <w:pStyle w:val="Tabele"/>
              <w:jc w:val="right"/>
              <w:rPr>
                <w:color w:val="auto"/>
              </w:rPr>
            </w:pPr>
            <w:r w:rsidRPr="00D94804">
              <w:rPr>
                <w:rFonts w:cs="Arial"/>
                <w:color w:val="auto"/>
                <w:szCs w:val="16"/>
              </w:rPr>
              <w:t>0,01</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5AA595" w14:textId="77777777" w:rsidR="00D94804" w:rsidRPr="00D94804" w:rsidRDefault="00D94804">
            <w:pPr>
              <w:pStyle w:val="Tabele"/>
              <w:jc w:val="right"/>
              <w:rPr>
                <w:color w:val="auto"/>
                <w:highlight w:val="yellow"/>
              </w:rPr>
            </w:pPr>
            <w:r w:rsidRPr="00D94804">
              <w:rPr>
                <w:rFonts w:cs="Arial"/>
                <w:color w:val="auto"/>
                <w:szCs w:val="16"/>
              </w:rPr>
              <w:t>0,01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8F08A4" w14:textId="77777777" w:rsidR="00D94804" w:rsidRPr="00D94804" w:rsidRDefault="00D94804">
            <w:pPr>
              <w:pStyle w:val="Tabele"/>
              <w:jc w:val="right"/>
              <w:rPr>
                <w:color w:val="auto"/>
                <w:highlight w:val="yellow"/>
              </w:rPr>
            </w:pPr>
            <w:r w:rsidRPr="00D94804">
              <w:rPr>
                <w:rFonts w:cs="Arial"/>
                <w:color w:val="auto"/>
                <w:szCs w:val="16"/>
              </w:rPr>
              <w:t>0,01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B4B484F" w14:textId="77777777" w:rsidR="00D94804" w:rsidRPr="00D94804" w:rsidRDefault="00D94804">
            <w:pPr>
              <w:pStyle w:val="Tabele"/>
              <w:jc w:val="right"/>
              <w:rPr>
                <w:color w:val="auto"/>
                <w:highlight w:val="yellow"/>
              </w:rPr>
            </w:pPr>
            <w:r w:rsidRPr="00D94804">
              <w:rPr>
                <w:rFonts w:cs="Arial"/>
                <w:color w:val="auto"/>
                <w:szCs w:val="16"/>
              </w:rPr>
              <w:t>0,01</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21B22D" w14:textId="77777777" w:rsidR="00D94804" w:rsidRPr="00D94804" w:rsidRDefault="00D94804">
            <w:pPr>
              <w:pStyle w:val="Tabele"/>
              <w:jc w:val="right"/>
              <w:rPr>
                <w:color w:val="auto"/>
                <w:highlight w:val="yellow"/>
              </w:rPr>
            </w:pPr>
            <w:r w:rsidRPr="00D94804">
              <w:rPr>
                <w:rFonts w:cs="Arial"/>
                <w:color w:val="auto"/>
                <w:szCs w:val="16"/>
              </w:rPr>
              <w:t>0,01</w:t>
            </w:r>
          </w:p>
        </w:tc>
      </w:tr>
      <w:tr w:rsidR="00D94804" w:rsidRPr="004669DE" w14:paraId="0D7CFE72"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A6E070" w14:textId="77777777" w:rsidR="00D94804" w:rsidRPr="00D94804" w:rsidRDefault="00D94804">
            <w:pPr>
              <w:pStyle w:val="Tabele"/>
              <w:rPr>
                <w:bCs/>
                <w:color w:val="auto"/>
              </w:rPr>
            </w:pPr>
            <w:r w:rsidRPr="00D94804">
              <w:rPr>
                <w:color w:val="auto"/>
              </w:rPr>
              <w:t xml:space="preserve">2. Ropa naftowa i gaz ziemny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CFCF4AB" w14:textId="77777777" w:rsidR="00D94804" w:rsidRPr="00D94804" w:rsidRDefault="00D94804">
            <w:pPr>
              <w:pStyle w:val="Tabele"/>
              <w:jc w:val="right"/>
              <w:rPr>
                <w:color w:val="auto"/>
              </w:rPr>
            </w:pPr>
            <w:r w:rsidRPr="00D94804">
              <w:rPr>
                <w:rFonts w:cs="Arial"/>
                <w:color w:val="auto"/>
                <w:szCs w:val="16"/>
              </w:rPr>
              <w:t>1,78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F42FEA3" w14:textId="77777777" w:rsidR="00D94804" w:rsidRPr="00D94804" w:rsidRDefault="00D94804">
            <w:pPr>
              <w:pStyle w:val="Tabele"/>
              <w:jc w:val="right"/>
              <w:rPr>
                <w:color w:val="auto"/>
              </w:rPr>
            </w:pPr>
            <w:r w:rsidRPr="00D94804">
              <w:rPr>
                <w:rFonts w:cs="Arial"/>
                <w:color w:val="auto"/>
                <w:szCs w:val="16"/>
              </w:rPr>
              <w:t>4,93</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82FAE19" w14:textId="77777777" w:rsidR="00D94804" w:rsidRPr="00D94804" w:rsidRDefault="00D94804">
            <w:pPr>
              <w:pStyle w:val="Tabele"/>
              <w:jc w:val="right"/>
              <w:rPr>
                <w:color w:val="auto"/>
              </w:rPr>
            </w:pPr>
            <w:r w:rsidRPr="00D94804">
              <w:rPr>
                <w:rFonts w:cs="Arial"/>
                <w:color w:val="auto"/>
                <w:szCs w:val="16"/>
              </w:rPr>
              <w:t>4,35</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836CABA" w14:textId="77777777" w:rsidR="00D94804" w:rsidRPr="00D94804" w:rsidRDefault="00D94804">
            <w:pPr>
              <w:pStyle w:val="Tabele"/>
              <w:jc w:val="right"/>
              <w:rPr>
                <w:color w:val="auto"/>
              </w:rPr>
            </w:pPr>
            <w:r w:rsidRPr="00D94804">
              <w:rPr>
                <w:rFonts w:cs="Arial"/>
                <w:color w:val="auto"/>
                <w:szCs w:val="16"/>
              </w:rPr>
              <w:t>3,40</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90C0CA5" w14:textId="77777777" w:rsidR="00D94804" w:rsidRPr="00D94804" w:rsidRDefault="00D94804">
            <w:pPr>
              <w:pStyle w:val="Tabele"/>
              <w:jc w:val="right"/>
              <w:rPr>
                <w:color w:val="auto"/>
                <w:highlight w:val="yellow"/>
              </w:rPr>
            </w:pPr>
            <w:r w:rsidRPr="00D94804">
              <w:rPr>
                <w:rFonts w:cs="Arial"/>
                <w:color w:val="auto"/>
                <w:szCs w:val="16"/>
              </w:rPr>
              <w:t>3,20</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E4E164B" w14:textId="77777777" w:rsidR="00D94804" w:rsidRPr="00D94804" w:rsidRDefault="00D94804">
            <w:pPr>
              <w:pStyle w:val="Tabele"/>
              <w:jc w:val="right"/>
              <w:rPr>
                <w:color w:val="auto"/>
                <w:highlight w:val="yellow"/>
              </w:rPr>
            </w:pPr>
            <w:r w:rsidRPr="00D94804">
              <w:rPr>
                <w:rFonts w:cs="Arial"/>
                <w:color w:val="auto"/>
                <w:szCs w:val="16"/>
              </w:rPr>
              <w:t>3,01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4BA1AED" w14:textId="77777777" w:rsidR="00D94804" w:rsidRPr="00D94804" w:rsidRDefault="00D94804">
            <w:pPr>
              <w:pStyle w:val="Tabele"/>
              <w:jc w:val="right"/>
              <w:rPr>
                <w:color w:val="auto"/>
                <w:highlight w:val="yellow"/>
              </w:rPr>
            </w:pPr>
            <w:r w:rsidRPr="00D94804">
              <w:rPr>
                <w:rFonts w:cs="Arial"/>
                <w:color w:val="auto"/>
                <w:szCs w:val="16"/>
              </w:rPr>
              <w:t>2,84</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A7F494" w14:textId="77777777" w:rsidR="00D94804" w:rsidRPr="00D94804" w:rsidRDefault="00D94804">
            <w:pPr>
              <w:pStyle w:val="Tabele"/>
              <w:jc w:val="right"/>
              <w:rPr>
                <w:color w:val="auto"/>
                <w:highlight w:val="yellow"/>
              </w:rPr>
            </w:pPr>
            <w:r w:rsidRPr="00D94804">
              <w:rPr>
                <w:rFonts w:cs="Arial"/>
                <w:color w:val="auto"/>
                <w:szCs w:val="16"/>
              </w:rPr>
              <w:t>2,61</w:t>
            </w:r>
          </w:p>
        </w:tc>
      </w:tr>
      <w:tr w:rsidR="00D94804" w:rsidRPr="004669DE" w14:paraId="0E3249BF"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3A0514" w14:textId="77777777" w:rsidR="00D94804" w:rsidRPr="00D94804" w:rsidRDefault="00D94804">
            <w:pPr>
              <w:pStyle w:val="Tabele"/>
              <w:rPr>
                <w:b/>
                <w:bCs/>
                <w:color w:val="auto"/>
              </w:rPr>
            </w:pPr>
            <w:r w:rsidRPr="00D94804">
              <w:rPr>
                <w:b/>
                <w:bCs/>
                <w:color w:val="auto"/>
              </w:rPr>
              <w:t xml:space="preserve">2. Procesy przemysłowe i użytkowanie produktów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FE18371" w14:textId="77777777" w:rsidR="00D94804" w:rsidRPr="00D94804" w:rsidRDefault="00D94804">
            <w:pPr>
              <w:pStyle w:val="Tabele"/>
              <w:jc w:val="right"/>
              <w:rPr>
                <w:color w:val="auto"/>
              </w:rPr>
            </w:pPr>
            <w:r w:rsidRPr="00D94804">
              <w:rPr>
                <w:rFonts w:cs="Arial"/>
                <w:b/>
                <w:bCs/>
                <w:color w:val="auto"/>
                <w:szCs w:val="16"/>
              </w:rPr>
              <w:t>15,99</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97C6236" w14:textId="77777777" w:rsidR="00D94804" w:rsidRPr="00D94804" w:rsidRDefault="00D94804">
            <w:pPr>
              <w:pStyle w:val="Tabele"/>
              <w:jc w:val="right"/>
              <w:rPr>
                <w:color w:val="auto"/>
              </w:rPr>
            </w:pPr>
            <w:r w:rsidRPr="00D94804">
              <w:rPr>
                <w:rFonts w:cs="Arial"/>
                <w:b/>
                <w:bCs/>
                <w:color w:val="auto"/>
                <w:szCs w:val="16"/>
              </w:rPr>
              <w:t>15,43</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3D09B7E" w14:textId="77777777" w:rsidR="00D94804" w:rsidRPr="00D94804" w:rsidRDefault="00D94804">
            <w:pPr>
              <w:pStyle w:val="Tabele"/>
              <w:jc w:val="right"/>
              <w:rPr>
                <w:color w:val="auto"/>
              </w:rPr>
            </w:pPr>
            <w:r w:rsidRPr="00D94804">
              <w:rPr>
                <w:rFonts w:cs="Arial"/>
                <w:b/>
                <w:bCs/>
                <w:color w:val="auto"/>
                <w:szCs w:val="16"/>
              </w:rPr>
              <w:t>17,48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4E9FD80" w14:textId="77777777" w:rsidR="00D94804" w:rsidRPr="00D94804" w:rsidRDefault="00D94804">
            <w:pPr>
              <w:pStyle w:val="Tabele"/>
              <w:jc w:val="right"/>
              <w:rPr>
                <w:color w:val="auto"/>
              </w:rPr>
            </w:pPr>
            <w:r w:rsidRPr="00D94804">
              <w:rPr>
                <w:rFonts w:cs="Arial"/>
                <w:b/>
                <w:bCs/>
                <w:color w:val="auto"/>
                <w:szCs w:val="16"/>
              </w:rPr>
              <w:t>17,52</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AEF158" w14:textId="77777777" w:rsidR="00D94804" w:rsidRPr="00D94804" w:rsidRDefault="00D94804">
            <w:pPr>
              <w:pStyle w:val="Tabele"/>
              <w:jc w:val="right"/>
              <w:rPr>
                <w:color w:val="auto"/>
                <w:highlight w:val="yellow"/>
              </w:rPr>
            </w:pPr>
            <w:r w:rsidRPr="00D94804">
              <w:rPr>
                <w:rFonts w:cs="Arial"/>
                <w:b/>
                <w:bCs/>
                <w:color w:val="auto"/>
                <w:szCs w:val="16"/>
              </w:rPr>
              <w:t>17,56</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6D6847" w14:textId="77777777" w:rsidR="00D94804" w:rsidRPr="00D94804" w:rsidRDefault="00D94804">
            <w:pPr>
              <w:pStyle w:val="Tabele"/>
              <w:jc w:val="right"/>
              <w:rPr>
                <w:color w:val="auto"/>
                <w:highlight w:val="yellow"/>
              </w:rPr>
            </w:pPr>
            <w:r w:rsidRPr="00D94804">
              <w:rPr>
                <w:rFonts w:cs="Arial"/>
                <w:b/>
                <w:bCs/>
                <w:color w:val="auto"/>
                <w:szCs w:val="16"/>
              </w:rPr>
              <w:t>17,88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1464530" w14:textId="77777777" w:rsidR="00D94804" w:rsidRPr="00D94804" w:rsidRDefault="00D94804">
            <w:pPr>
              <w:pStyle w:val="Tabele"/>
              <w:jc w:val="right"/>
              <w:rPr>
                <w:color w:val="auto"/>
                <w:highlight w:val="yellow"/>
              </w:rPr>
            </w:pPr>
            <w:r w:rsidRPr="00D94804">
              <w:rPr>
                <w:rFonts w:cs="Arial"/>
                <w:b/>
                <w:bCs/>
                <w:color w:val="auto"/>
                <w:szCs w:val="16"/>
              </w:rPr>
              <w:t>18,17</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FD8EA4C" w14:textId="77777777" w:rsidR="00D94804" w:rsidRPr="00D94804" w:rsidRDefault="00D94804">
            <w:pPr>
              <w:pStyle w:val="Tabele"/>
              <w:jc w:val="right"/>
              <w:rPr>
                <w:color w:val="auto"/>
                <w:highlight w:val="yellow"/>
              </w:rPr>
            </w:pPr>
            <w:r w:rsidRPr="00D94804">
              <w:rPr>
                <w:rFonts w:cs="Arial"/>
                <w:b/>
                <w:bCs/>
                <w:color w:val="auto"/>
                <w:szCs w:val="16"/>
              </w:rPr>
              <w:t>18,51</w:t>
            </w:r>
          </w:p>
        </w:tc>
      </w:tr>
      <w:tr w:rsidR="00D94804" w:rsidRPr="004669DE" w14:paraId="77E4E128"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A43D29E" w14:textId="77777777" w:rsidR="00D94804" w:rsidRPr="00D94804" w:rsidRDefault="00D94804">
            <w:pPr>
              <w:pStyle w:val="Tabele"/>
              <w:rPr>
                <w:bCs/>
                <w:color w:val="auto"/>
              </w:rPr>
            </w:pPr>
            <w:r w:rsidRPr="00D94804">
              <w:rPr>
                <w:color w:val="auto"/>
              </w:rPr>
              <w:t xml:space="preserve">B. Przemysł chemiczny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6F3D402" w14:textId="77777777" w:rsidR="00D94804" w:rsidRPr="00D94804" w:rsidRDefault="00D94804">
            <w:pPr>
              <w:pStyle w:val="Tabele"/>
              <w:jc w:val="right"/>
              <w:rPr>
                <w:color w:val="auto"/>
              </w:rPr>
            </w:pPr>
            <w:r w:rsidRPr="00D94804">
              <w:rPr>
                <w:rFonts w:cs="Arial"/>
                <w:color w:val="auto"/>
                <w:szCs w:val="16"/>
              </w:rPr>
              <w:t>13,63</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3193E0C" w14:textId="77777777" w:rsidR="00D94804" w:rsidRPr="00D94804" w:rsidRDefault="00D94804">
            <w:pPr>
              <w:pStyle w:val="Tabele"/>
              <w:jc w:val="right"/>
              <w:rPr>
                <w:color w:val="auto"/>
              </w:rPr>
            </w:pPr>
            <w:r w:rsidRPr="00D94804">
              <w:rPr>
                <w:rFonts w:cs="Arial"/>
                <w:color w:val="auto"/>
                <w:szCs w:val="16"/>
              </w:rPr>
              <w:t>13,04</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A6E2CB9" w14:textId="77777777" w:rsidR="00D94804" w:rsidRPr="00D94804" w:rsidRDefault="00D94804">
            <w:pPr>
              <w:pStyle w:val="Tabele"/>
              <w:jc w:val="right"/>
              <w:rPr>
                <w:color w:val="auto"/>
              </w:rPr>
            </w:pPr>
            <w:r w:rsidRPr="00D94804">
              <w:rPr>
                <w:rFonts w:cs="Arial"/>
                <w:color w:val="auto"/>
                <w:szCs w:val="16"/>
              </w:rPr>
              <w:t>14,91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FB6914B" w14:textId="77777777" w:rsidR="00D94804" w:rsidRPr="00D94804" w:rsidRDefault="00D94804">
            <w:pPr>
              <w:pStyle w:val="Tabele"/>
              <w:jc w:val="right"/>
              <w:rPr>
                <w:color w:val="auto"/>
              </w:rPr>
            </w:pPr>
            <w:r w:rsidRPr="00D94804">
              <w:rPr>
                <w:rFonts w:cs="Arial"/>
                <w:color w:val="auto"/>
                <w:szCs w:val="16"/>
              </w:rPr>
              <w:t>15,06</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9F0CD27" w14:textId="77777777" w:rsidR="00D94804" w:rsidRPr="00D94804" w:rsidRDefault="00D94804">
            <w:pPr>
              <w:pStyle w:val="Tabele"/>
              <w:jc w:val="right"/>
              <w:rPr>
                <w:color w:val="auto"/>
                <w:highlight w:val="yellow"/>
              </w:rPr>
            </w:pPr>
            <w:r w:rsidRPr="00D94804">
              <w:rPr>
                <w:rFonts w:cs="Arial"/>
                <w:color w:val="auto"/>
                <w:szCs w:val="16"/>
              </w:rPr>
              <w:t>15,10</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FB2205" w14:textId="77777777" w:rsidR="00D94804" w:rsidRPr="00D94804" w:rsidRDefault="00D94804">
            <w:pPr>
              <w:pStyle w:val="Tabele"/>
              <w:jc w:val="right"/>
              <w:rPr>
                <w:color w:val="auto"/>
                <w:highlight w:val="yellow"/>
              </w:rPr>
            </w:pPr>
            <w:r w:rsidRPr="00D94804">
              <w:rPr>
                <w:rFonts w:cs="Arial"/>
                <w:color w:val="auto"/>
                <w:szCs w:val="16"/>
              </w:rPr>
              <w:t>15,32</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E54CCEA" w14:textId="77777777" w:rsidR="00D94804" w:rsidRPr="00D94804" w:rsidRDefault="00D94804">
            <w:pPr>
              <w:pStyle w:val="Tabele"/>
              <w:jc w:val="right"/>
              <w:rPr>
                <w:color w:val="auto"/>
                <w:highlight w:val="yellow"/>
              </w:rPr>
            </w:pPr>
            <w:r w:rsidRPr="00D94804">
              <w:rPr>
                <w:rFonts w:cs="Arial"/>
                <w:color w:val="auto"/>
                <w:szCs w:val="16"/>
              </w:rPr>
              <w:t>15,54</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6462890" w14:textId="77777777" w:rsidR="00D94804" w:rsidRPr="00D94804" w:rsidRDefault="00D94804">
            <w:pPr>
              <w:pStyle w:val="Tabele"/>
              <w:jc w:val="right"/>
              <w:rPr>
                <w:color w:val="auto"/>
                <w:highlight w:val="yellow"/>
              </w:rPr>
            </w:pPr>
            <w:r w:rsidRPr="00D94804">
              <w:rPr>
                <w:rFonts w:cs="Arial"/>
                <w:color w:val="auto"/>
                <w:szCs w:val="16"/>
              </w:rPr>
              <w:t>15,77</w:t>
            </w:r>
          </w:p>
        </w:tc>
      </w:tr>
      <w:tr w:rsidR="00D94804" w:rsidRPr="004669DE" w14:paraId="0E1B5515"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9EA8C7" w14:textId="77777777" w:rsidR="00D94804" w:rsidRPr="00D94804" w:rsidRDefault="00D94804">
            <w:pPr>
              <w:pStyle w:val="Tabele"/>
              <w:rPr>
                <w:bCs/>
                <w:color w:val="auto"/>
              </w:rPr>
            </w:pPr>
            <w:r w:rsidRPr="00D94804">
              <w:rPr>
                <w:color w:val="auto"/>
              </w:rPr>
              <w:t xml:space="preserve">C. Produkcja metali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BBDADD7" w14:textId="77777777" w:rsidR="00D94804" w:rsidRPr="00D94804" w:rsidRDefault="00D94804">
            <w:pPr>
              <w:pStyle w:val="Tabele"/>
              <w:jc w:val="right"/>
              <w:rPr>
                <w:color w:val="auto"/>
              </w:rPr>
            </w:pPr>
            <w:r w:rsidRPr="00D94804">
              <w:rPr>
                <w:rFonts w:cs="Arial"/>
                <w:color w:val="auto"/>
                <w:szCs w:val="16"/>
              </w:rPr>
              <w:t>1,42</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6C2D8E2" w14:textId="77777777" w:rsidR="00D94804" w:rsidRPr="00D94804" w:rsidRDefault="00D94804">
            <w:pPr>
              <w:pStyle w:val="Tabele"/>
              <w:jc w:val="right"/>
              <w:rPr>
                <w:color w:val="auto"/>
              </w:rPr>
            </w:pPr>
            <w:r w:rsidRPr="00D94804">
              <w:rPr>
                <w:rFonts w:cs="Arial"/>
                <w:color w:val="auto"/>
                <w:szCs w:val="16"/>
              </w:rPr>
              <w:t>1,39</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C0756C1" w14:textId="77777777" w:rsidR="00D94804" w:rsidRPr="00D94804" w:rsidRDefault="00D94804">
            <w:pPr>
              <w:pStyle w:val="Tabele"/>
              <w:jc w:val="right"/>
              <w:rPr>
                <w:color w:val="auto"/>
              </w:rPr>
            </w:pPr>
            <w:r w:rsidRPr="00D94804">
              <w:rPr>
                <w:rFonts w:cs="Arial"/>
                <w:color w:val="auto"/>
                <w:szCs w:val="16"/>
              </w:rPr>
              <w:t>1,59</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097FF4F" w14:textId="77777777" w:rsidR="00D94804" w:rsidRPr="00D94804" w:rsidRDefault="00D94804">
            <w:pPr>
              <w:pStyle w:val="Tabele"/>
              <w:jc w:val="right"/>
              <w:rPr>
                <w:color w:val="auto"/>
              </w:rPr>
            </w:pPr>
            <w:r w:rsidRPr="00D94804">
              <w:rPr>
                <w:rFonts w:cs="Arial"/>
                <w:color w:val="auto"/>
                <w:szCs w:val="16"/>
              </w:rPr>
              <w:t>1,42</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22A4154" w14:textId="77777777" w:rsidR="00D94804" w:rsidRPr="00D94804" w:rsidRDefault="00D94804">
            <w:pPr>
              <w:pStyle w:val="Tabele"/>
              <w:jc w:val="right"/>
              <w:rPr>
                <w:color w:val="auto"/>
                <w:highlight w:val="yellow"/>
              </w:rPr>
            </w:pPr>
            <w:r w:rsidRPr="00D94804">
              <w:rPr>
                <w:rFonts w:cs="Arial"/>
                <w:color w:val="auto"/>
                <w:szCs w:val="16"/>
              </w:rPr>
              <w:t>1,69</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A19263B" w14:textId="77777777" w:rsidR="00D94804" w:rsidRPr="00D94804" w:rsidRDefault="00D94804">
            <w:pPr>
              <w:pStyle w:val="Tabele"/>
              <w:jc w:val="right"/>
              <w:rPr>
                <w:color w:val="auto"/>
                <w:highlight w:val="yellow"/>
              </w:rPr>
            </w:pPr>
            <w:r w:rsidRPr="00D94804">
              <w:rPr>
                <w:rFonts w:cs="Arial"/>
                <w:color w:val="auto"/>
                <w:szCs w:val="16"/>
              </w:rPr>
              <w:t>1,76</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DC82CB" w14:textId="77777777" w:rsidR="00D94804" w:rsidRPr="00D94804" w:rsidRDefault="00D94804">
            <w:pPr>
              <w:pStyle w:val="Tabele"/>
              <w:jc w:val="right"/>
              <w:rPr>
                <w:color w:val="auto"/>
                <w:highlight w:val="yellow"/>
              </w:rPr>
            </w:pPr>
            <w:r w:rsidRPr="00D94804">
              <w:rPr>
                <w:rFonts w:cs="Arial"/>
                <w:color w:val="auto"/>
                <w:szCs w:val="16"/>
              </w:rPr>
              <w:t>1,80</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928C06" w14:textId="77777777" w:rsidR="00D94804" w:rsidRPr="00D94804" w:rsidRDefault="00D94804">
            <w:pPr>
              <w:pStyle w:val="Tabele"/>
              <w:jc w:val="right"/>
              <w:rPr>
                <w:color w:val="auto"/>
                <w:highlight w:val="yellow"/>
              </w:rPr>
            </w:pPr>
            <w:r w:rsidRPr="00D94804">
              <w:rPr>
                <w:rFonts w:cs="Arial"/>
                <w:color w:val="auto"/>
                <w:szCs w:val="16"/>
              </w:rPr>
              <w:t>1,89</w:t>
            </w:r>
          </w:p>
        </w:tc>
      </w:tr>
      <w:tr w:rsidR="00D94804" w:rsidRPr="004669DE" w14:paraId="36198AEE"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99BC99D" w14:textId="77777777" w:rsidR="00D94804" w:rsidRPr="00D94804" w:rsidRDefault="00D94804">
            <w:pPr>
              <w:pStyle w:val="Tabele"/>
              <w:rPr>
                <w:b/>
                <w:color w:val="auto"/>
              </w:rPr>
            </w:pPr>
            <w:r w:rsidRPr="00D94804">
              <w:rPr>
                <w:color w:val="auto"/>
              </w:rPr>
              <w:t>G. – L. Inne</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89274B5" w14:textId="77777777" w:rsidR="00D94804" w:rsidRPr="00D94804" w:rsidRDefault="00D94804">
            <w:pPr>
              <w:pStyle w:val="Tabele"/>
              <w:jc w:val="right"/>
              <w:rPr>
                <w:color w:val="auto"/>
              </w:rPr>
            </w:pPr>
            <w:r w:rsidRPr="00D94804">
              <w:rPr>
                <w:rFonts w:cs="Arial"/>
                <w:color w:val="auto"/>
                <w:szCs w:val="16"/>
              </w:rPr>
              <w:t>0,94</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5943A71" w14:textId="77777777" w:rsidR="00D94804" w:rsidRPr="00D94804" w:rsidRDefault="00D94804">
            <w:pPr>
              <w:pStyle w:val="Tabele"/>
              <w:jc w:val="right"/>
              <w:rPr>
                <w:color w:val="auto"/>
              </w:rPr>
            </w:pPr>
            <w:r w:rsidRPr="00D94804">
              <w:rPr>
                <w:rFonts w:cs="Arial"/>
                <w:color w:val="auto"/>
                <w:szCs w:val="16"/>
              </w:rPr>
              <w:t>1,01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292D01A" w14:textId="77777777" w:rsidR="00D94804" w:rsidRPr="00D94804" w:rsidRDefault="00D94804">
            <w:pPr>
              <w:pStyle w:val="Tabele"/>
              <w:jc w:val="right"/>
              <w:rPr>
                <w:color w:val="auto"/>
              </w:rPr>
            </w:pPr>
            <w:r w:rsidRPr="00D94804">
              <w:rPr>
                <w:rFonts w:cs="Arial"/>
                <w:color w:val="auto"/>
                <w:szCs w:val="16"/>
              </w:rPr>
              <w:t>0,98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5464120" w14:textId="77777777" w:rsidR="00D94804" w:rsidRPr="00D94804" w:rsidRDefault="00D94804">
            <w:pPr>
              <w:pStyle w:val="Tabele"/>
              <w:jc w:val="right"/>
              <w:rPr>
                <w:color w:val="auto"/>
              </w:rPr>
            </w:pPr>
            <w:r w:rsidRPr="00D94804">
              <w:rPr>
                <w:rFonts w:cs="Arial"/>
                <w:color w:val="auto"/>
                <w:szCs w:val="16"/>
              </w:rPr>
              <w:t>1,04</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3D2DA2" w14:textId="77777777" w:rsidR="00D94804" w:rsidRPr="00D94804" w:rsidRDefault="00D94804">
            <w:pPr>
              <w:pStyle w:val="Tabele"/>
              <w:jc w:val="right"/>
              <w:rPr>
                <w:color w:val="auto"/>
                <w:highlight w:val="yellow"/>
              </w:rPr>
            </w:pPr>
            <w:r w:rsidRPr="00D94804">
              <w:rPr>
                <w:rFonts w:cs="Arial"/>
                <w:color w:val="auto"/>
                <w:szCs w:val="16"/>
              </w:rPr>
              <w:t>0,77</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D0C84DB" w14:textId="77777777" w:rsidR="00D94804" w:rsidRPr="00D94804" w:rsidRDefault="00D94804">
            <w:pPr>
              <w:pStyle w:val="Tabele"/>
              <w:jc w:val="right"/>
              <w:rPr>
                <w:color w:val="auto"/>
                <w:highlight w:val="yellow"/>
              </w:rPr>
            </w:pPr>
            <w:r w:rsidRPr="00D94804">
              <w:rPr>
                <w:rFonts w:cs="Arial"/>
                <w:color w:val="auto"/>
                <w:szCs w:val="16"/>
              </w:rPr>
              <w:t>0,80</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45199B5" w14:textId="77777777" w:rsidR="00D94804" w:rsidRPr="00D94804" w:rsidRDefault="00D94804">
            <w:pPr>
              <w:pStyle w:val="Tabele"/>
              <w:jc w:val="right"/>
              <w:rPr>
                <w:color w:val="auto"/>
                <w:highlight w:val="yellow"/>
              </w:rPr>
            </w:pPr>
            <w:r w:rsidRPr="00D94804">
              <w:rPr>
                <w:rFonts w:cs="Arial"/>
                <w:color w:val="auto"/>
                <w:szCs w:val="16"/>
              </w:rPr>
              <w:t>0,82</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982678E" w14:textId="77777777" w:rsidR="00D94804" w:rsidRPr="00D94804" w:rsidRDefault="00D94804">
            <w:pPr>
              <w:pStyle w:val="Tabele"/>
              <w:jc w:val="right"/>
              <w:rPr>
                <w:color w:val="auto"/>
                <w:highlight w:val="yellow"/>
              </w:rPr>
            </w:pPr>
            <w:r w:rsidRPr="00D94804">
              <w:rPr>
                <w:rFonts w:cs="Arial"/>
                <w:color w:val="auto"/>
                <w:szCs w:val="16"/>
              </w:rPr>
              <w:t>0,84</w:t>
            </w:r>
          </w:p>
        </w:tc>
      </w:tr>
      <w:tr w:rsidR="00D94804" w:rsidRPr="004669DE" w14:paraId="10C2968B"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F3918C" w14:textId="77777777" w:rsidR="00D94804" w:rsidRPr="00D94804" w:rsidRDefault="00D94804">
            <w:pPr>
              <w:pStyle w:val="Tabele"/>
              <w:rPr>
                <w:b/>
                <w:bCs/>
                <w:color w:val="auto"/>
              </w:rPr>
            </w:pPr>
            <w:r w:rsidRPr="00D94804">
              <w:rPr>
                <w:b/>
                <w:bCs/>
                <w:color w:val="auto"/>
              </w:rPr>
              <w:t xml:space="preserve">3. Rolnictwo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7236D77" w14:textId="77777777" w:rsidR="00D94804" w:rsidRPr="00D94804" w:rsidRDefault="00D94804">
            <w:pPr>
              <w:pStyle w:val="Tabele"/>
              <w:jc w:val="right"/>
              <w:rPr>
                <w:color w:val="auto"/>
              </w:rPr>
            </w:pPr>
            <w:r w:rsidRPr="00D94804">
              <w:rPr>
                <w:rFonts w:cs="Arial"/>
                <w:b/>
                <w:bCs/>
                <w:color w:val="auto"/>
                <w:szCs w:val="16"/>
              </w:rPr>
              <w:t>66,14</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52B649E" w14:textId="77777777" w:rsidR="00D94804" w:rsidRPr="00D94804" w:rsidRDefault="00D94804">
            <w:pPr>
              <w:pStyle w:val="Tabele"/>
              <w:jc w:val="right"/>
              <w:rPr>
                <w:color w:val="auto"/>
              </w:rPr>
            </w:pPr>
            <w:r w:rsidRPr="00D94804">
              <w:rPr>
                <w:rFonts w:cs="Arial"/>
                <w:b/>
                <w:bCs/>
                <w:color w:val="auto"/>
                <w:szCs w:val="16"/>
              </w:rPr>
              <w:t>70,01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CBFDAF1" w14:textId="77777777" w:rsidR="00D94804" w:rsidRPr="00D94804" w:rsidRDefault="00D94804">
            <w:pPr>
              <w:pStyle w:val="Tabele"/>
              <w:jc w:val="right"/>
              <w:rPr>
                <w:color w:val="auto"/>
              </w:rPr>
            </w:pPr>
            <w:r w:rsidRPr="00D94804">
              <w:rPr>
                <w:rFonts w:cs="Arial"/>
                <w:b/>
                <w:bCs/>
                <w:color w:val="auto"/>
                <w:szCs w:val="16"/>
              </w:rPr>
              <w:t>68,61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73F055A" w14:textId="77777777" w:rsidR="00D94804" w:rsidRPr="00D94804" w:rsidRDefault="00D94804">
            <w:pPr>
              <w:pStyle w:val="Tabele"/>
              <w:jc w:val="right"/>
              <w:rPr>
                <w:color w:val="auto"/>
              </w:rPr>
            </w:pPr>
            <w:r w:rsidRPr="00D94804">
              <w:rPr>
                <w:rFonts w:cs="Arial"/>
                <w:b/>
                <w:bCs/>
                <w:color w:val="auto"/>
                <w:szCs w:val="16"/>
              </w:rPr>
              <w:t>72,28</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7BD1136" w14:textId="77777777" w:rsidR="00D94804" w:rsidRPr="00D94804" w:rsidRDefault="00D94804">
            <w:pPr>
              <w:pStyle w:val="Tabele"/>
              <w:jc w:val="right"/>
              <w:rPr>
                <w:color w:val="auto"/>
                <w:highlight w:val="yellow"/>
              </w:rPr>
            </w:pPr>
            <w:r w:rsidRPr="00D94804">
              <w:rPr>
                <w:rFonts w:cs="Arial"/>
                <w:b/>
                <w:bCs/>
                <w:color w:val="auto"/>
                <w:szCs w:val="16"/>
              </w:rPr>
              <w:t>65,72</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49EAFA" w14:textId="77777777" w:rsidR="00D94804" w:rsidRPr="00D94804" w:rsidRDefault="00D94804">
            <w:pPr>
              <w:pStyle w:val="Tabele"/>
              <w:jc w:val="right"/>
              <w:rPr>
                <w:color w:val="auto"/>
                <w:highlight w:val="yellow"/>
              </w:rPr>
            </w:pPr>
            <w:r w:rsidRPr="00D94804">
              <w:rPr>
                <w:rFonts w:cs="Arial"/>
                <w:b/>
                <w:bCs/>
                <w:color w:val="auto"/>
                <w:szCs w:val="16"/>
              </w:rPr>
              <w:t>61,83</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C87905" w14:textId="77777777" w:rsidR="00D94804" w:rsidRPr="00D94804" w:rsidRDefault="00D94804">
            <w:pPr>
              <w:pStyle w:val="Tabele"/>
              <w:jc w:val="right"/>
              <w:rPr>
                <w:color w:val="auto"/>
                <w:highlight w:val="yellow"/>
              </w:rPr>
            </w:pPr>
            <w:r w:rsidRPr="00D94804">
              <w:rPr>
                <w:rFonts w:cs="Arial"/>
                <w:b/>
                <w:bCs/>
                <w:color w:val="auto"/>
                <w:szCs w:val="16"/>
              </w:rPr>
              <w:t>59,98</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D7ACED" w14:textId="77777777" w:rsidR="00D94804" w:rsidRPr="00D94804" w:rsidRDefault="00D94804">
            <w:pPr>
              <w:pStyle w:val="Tabele"/>
              <w:jc w:val="right"/>
              <w:rPr>
                <w:color w:val="auto"/>
                <w:highlight w:val="yellow"/>
              </w:rPr>
            </w:pPr>
            <w:r w:rsidRPr="00D94804">
              <w:rPr>
                <w:rFonts w:cs="Arial"/>
                <w:b/>
                <w:bCs/>
                <w:color w:val="auto"/>
                <w:szCs w:val="16"/>
              </w:rPr>
              <w:t>56,32</w:t>
            </w:r>
          </w:p>
        </w:tc>
      </w:tr>
      <w:tr w:rsidR="00D94804" w:rsidRPr="004669DE" w14:paraId="395A2ED5"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41612B6" w14:textId="77777777" w:rsidR="00D94804" w:rsidRPr="00D94804" w:rsidRDefault="00D94804">
            <w:pPr>
              <w:pStyle w:val="Tabele"/>
              <w:rPr>
                <w:bCs/>
                <w:color w:val="auto"/>
              </w:rPr>
            </w:pPr>
            <w:r w:rsidRPr="00D94804">
              <w:rPr>
                <w:color w:val="auto"/>
              </w:rPr>
              <w:t xml:space="preserve">B. Nawozy naturalne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DD89D25" w14:textId="77777777" w:rsidR="00D94804" w:rsidRPr="00D94804" w:rsidRDefault="00D94804">
            <w:pPr>
              <w:pStyle w:val="Tabele"/>
              <w:jc w:val="right"/>
              <w:rPr>
                <w:color w:val="auto"/>
              </w:rPr>
            </w:pPr>
            <w:r w:rsidRPr="00D94804">
              <w:rPr>
                <w:rFonts w:cs="Arial"/>
                <w:color w:val="auto"/>
                <w:szCs w:val="16"/>
              </w:rPr>
              <w:t>5,48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A1163CA" w14:textId="77777777" w:rsidR="00D94804" w:rsidRPr="00D94804" w:rsidRDefault="00D94804">
            <w:pPr>
              <w:pStyle w:val="Tabele"/>
              <w:jc w:val="right"/>
              <w:rPr>
                <w:color w:val="auto"/>
              </w:rPr>
            </w:pPr>
            <w:r w:rsidRPr="00D94804">
              <w:rPr>
                <w:rFonts w:cs="Arial"/>
                <w:color w:val="auto"/>
                <w:szCs w:val="16"/>
              </w:rPr>
              <w:t>4,91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82E23EF" w14:textId="77777777" w:rsidR="00D94804" w:rsidRPr="00D94804" w:rsidRDefault="00D94804">
            <w:pPr>
              <w:pStyle w:val="Tabele"/>
              <w:jc w:val="right"/>
              <w:rPr>
                <w:color w:val="auto"/>
              </w:rPr>
            </w:pPr>
            <w:r w:rsidRPr="00D94804">
              <w:rPr>
                <w:rFonts w:cs="Arial"/>
                <w:color w:val="auto"/>
                <w:szCs w:val="16"/>
              </w:rPr>
              <w:t>4,82</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D2562B6" w14:textId="77777777" w:rsidR="00D94804" w:rsidRPr="00D94804" w:rsidRDefault="00D94804">
            <w:pPr>
              <w:pStyle w:val="Tabele"/>
              <w:jc w:val="right"/>
              <w:rPr>
                <w:color w:val="auto"/>
              </w:rPr>
            </w:pPr>
            <w:r w:rsidRPr="00D94804">
              <w:rPr>
                <w:rFonts w:cs="Arial"/>
                <w:color w:val="auto"/>
                <w:szCs w:val="16"/>
              </w:rPr>
              <w:t>5,45</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E48C69E" w14:textId="77777777" w:rsidR="00D94804" w:rsidRPr="00D94804" w:rsidRDefault="00D94804">
            <w:pPr>
              <w:pStyle w:val="Tabele"/>
              <w:jc w:val="right"/>
              <w:rPr>
                <w:color w:val="auto"/>
                <w:highlight w:val="yellow"/>
              </w:rPr>
            </w:pPr>
            <w:r w:rsidRPr="00D94804">
              <w:rPr>
                <w:rFonts w:cs="Arial"/>
                <w:color w:val="auto"/>
                <w:szCs w:val="16"/>
              </w:rPr>
              <w:t>4,79</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8F887D2" w14:textId="77777777" w:rsidR="00D94804" w:rsidRPr="00D94804" w:rsidRDefault="00D94804">
            <w:pPr>
              <w:pStyle w:val="Tabele"/>
              <w:jc w:val="right"/>
              <w:rPr>
                <w:color w:val="auto"/>
                <w:highlight w:val="yellow"/>
              </w:rPr>
            </w:pPr>
            <w:r w:rsidRPr="00D94804">
              <w:rPr>
                <w:rFonts w:cs="Arial"/>
                <w:color w:val="auto"/>
                <w:szCs w:val="16"/>
              </w:rPr>
              <w:t>4,85</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7F56D7" w14:textId="77777777" w:rsidR="00D94804" w:rsidRPr="00D94804" w:rsidRDefault="00D94804">
            <w:pPr>
              <w:pStyle w:val="Tabele"/>
              <w:jc w:val="right"/>
              <w:rPr>
                <w:color w:val="auto"/>
                <w:highlight w:val="yellow"/>
              </w:rPr>
            </w:pPr>
            <w:r w:rsidRPr="00D94804">
              <w:rPr>
                <w:rFonts w:cs="Arial"/>
                <w:color w:val="auto"/>
                <w:szCs w:val="16"/>
              </w:rPr>
              <w:t>4,97</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331787" w14:textId="77777777" w:rsidR="00D94804" w:rsidRPr="00D94804" w:rsidRDefault="00D94804">
            <w:pPr>
              <w:pStyle w:val="Tabele"/>
              <w:jc w:val="right"/>
              <w:rPr>
                <w:color w:val="auto"/>
                <w:highlight w:val="yellow"/>
              </w:rPr>
            </w:pPr>
            <w:r w:rsidRPr="00D94804">
              <w:rPr>
                <w:rFonts w:cs="Arial"/>
                <w:color w:val="auto"/>
                <w:szCs w:val="16"/>
              </w:rPr>
              <w:t>5,03</w:t>
            </w:r>
          </w:p>
        </w:tc>
      </w:tr>
      <w:tr w:rsidR="00D94804" w:rsidRPr="004669DE" w14:paraId="095D8911"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C36291" w14:textId="77777777" w:rsidR="00D94804" w:rsidRPr="00D94804" w:rsidRDefault="00D94804">
            <w:pPr>
              <w:pStyle w:val="Tabele"/>
              <w:rPr>
                <w:bCs/>
                <w:color w:val="auto"/>
              </w:rPr>
            </w:pPr>
            <w:r w:rsidRPr="00D94804">
              <w:rPr>
                <w:color w:val="auto"/>
              </w:rPr>
              <w:t xml:space="preserve">D. Gleby rolne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9A92F91" w14:textId="77777777" w:rsidR="00D94804" w:rsidRPr="00D94804" w:rsidRDefault="00D94804">
            <w:pPr>
              <w:pStyle w:val="Tabele"/>
              <w:jc w:val="right"/>
              <w:rPr>
                <w:color w:val="auto"/>
              </w:rPr>
            </w:pPr>
            <w:r w:rsidRPr="00D94804">
              <w:rPr>
                <w:rFonts w:cs="Arial"/>
                <w:color w:val="auto"/>
                <w:szCs w:val="16"/>
              </w:rPr>
              <w:t>60,60</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A928DD1" w14:textId="77777777" w:rsidR="00D94804" w:rsidRPr="00D94804" w:rsidRDefault="00D94804">
            <w:pPr>
              <w:pStyle w:val="Tabele"/>
              <w:jc w:val="right"/>
              <w:rPr>
                <w:color w:val="auto"/>
              </w:rPr>
            </w:pPr>
            <w:r w:rsidRPr="00D94804">
              <w:rPr>
                <w:rFonts w:cs="Arial"/>
                <w:color w:val="auto"/>
                <w:szCs w:val="16"/>
              </w:rPr>
              <w:t>65,08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35750FC" w14:textId="77777777" w:rsidR="00D94804" w:rsidRPr="00D94804" w:rsidRDefault="00D94804">
            <w:pPr>
              <w:pStyle w:val="Tabele"/>
              <w:jc w:val="right"/>
              <w:rPr>
                <w:color w:val="auto"/>
              </w:rPr>
            </w:pPr>
            <w:r w:rsidRPr="00D94804">
              <w:rPr>
                <w:rFonts w:cs="Arial"/>
                <w:color w:val="auto"/>
                <w:szCs w:val="16"/>
              </w:rPr>
              <w:t>63,73</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7CAA704" w14:textId="77777777" w:rsidR="00D94804" w:rsidRPr="00D94804" w:rsidRDefault="00D94804">
            <w:pPr>
              <w:pStyle w:val="Tabele"/>
              <w:jc w:val="right"/>
              <w:rPr>
                <w:color w:val="auto"/>
              </w:rPr>
            </w:pPr>
            <w:r w:rsidRPr="00D94804">
              <w:rPr>
                <w:rFonts w:cs="Arial"/>
                <w:color w:val="auto"/>
                <w:szCs w:val="16"/>
              </w:rPr>
              <w:t>66,79</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762BA1" w14:textId="77777777" w:rsidR="00D94804" w:rsidRPr="00D94804" w:rsidRDefault="00D94804">
            <w:pPr>
              <w:pStyle w:val="Tabele"/>
              <w:jc w:val="right"/>
              <w:rPr>
                <w:color w:val="auto"/>
                <w:highlight w:val="yellow"/>
              </w:rPr>
            </w:pPr>
            <w:r w:rsidRPr="00D94804">
              <w:rPr>
                <w:rFonts w:cs="Arial"/>
                <w:color w:val="auto"/>
                <w:szCs w:val="16"/>
              </w:rPr>
              <w:t>60,91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749DE6" w14:textId="77777777" w:rsidR="00D94804" w:rsidRPr="00D94804" w:rsidRDefault="00D94804">
            <w:pPr>
              <w:pStyle w:val="Tabele"/>
              <w:jc w:val="right"/>
              <w:rPr>
                <w:color w:val="auto"/>
                <w:highlight w:val="yellow"/>
              </w:rPr>
            </w:pPr>
            <w:r w:rsidRPr="00D94804">
              <w:rPr>
                <w:rFonts w:cs="Arial"/>
                <w:color w:val="auto"/>
                <w:szCs w:val="16"/>
              </w:rPr>
              <w:t>56,95</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DA554D" w14:textId="77777777" w:rsidR="00D94804" w:rsidRPr="00D94804" w:rsidRDefault="00D94804">
            <w:pPr>
              <w:pStyle w:val="Tabele"/>
              <w:jc w:val="right"/>
              <w:rPr>
                <w:color w:val="auto"/>
                <w:highlight w:val="yellow"/>
              </w:rPr>
            </w:pPr>
            <w:r w:rsidRPr="00D94804">
              <w:rPr>
                <w:rFonts w:cs="Arial"/>
                <w:color w:val="auto"/>
                <w:szCs w:val="16"/>
              </w:rPr>
              <w:t>54,99</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B072F28" w14:textId="77777777" w:rsidR="00D94804" w:rsidRPr="00D94804" w:rsidRDefault="00D94804">
            <w:pPr>
              <w:pStyle w:val="Tabele"/>
              <w:jc w:val="right"/>
              <w:rPr>
                <w:color w:val="auto"/>
                <w:highlight w:val="yellow"/>
              </w:rPr>
            </w:pPr>
            <w:r w:rsidRPr="00D94804">
              <w:rPr>
                <w:rFonts w:cs="Arial"/>
                <w:color w:val="auto"/>
                <w:szCs w:val="16"/>
              </w:rPr>
              <w:t>51,27</w:t>
            </w:r>
          </w:p>
        </w:tc>
      </w:tr>
      <w:tr w:rsidR="00D94804" w:rsidRPr="004669DE" w14:paraId="4BC3D4BA"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600ADE" w14:textId="77777777" w:rsidR="00D94804" w:rsidRPr="00D94804" w:rsidRDefault="00D94804">
            <w:pPr>
              <w:pStyle w:val="Tabele"/>
              <w:rPr>
                <w:bCs/>
                <w:color w:val="auto"/>
              </w:rPr>
            </w:pPr>
            <w:r w:rsidRPr="00D94804">
              <w:rPr>
                <w:color w:val="auto"/>
              </w:rPr>
              <w:t xml:space="preserve">F. Spalanie resztek roślinnych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38DE19B" w14:textId="77777777" w:rsidR="00D94804" w:rsidRPr="00D94804" w:rsidRDefault="00D94804">
            <w:pPr>
              <w:pStyle w:val="Tabele"/>
              <w:jc w:val="right"/>
              <w:rPr>
                <w:color w:val="auto"/>
              </w:rPr>
            </w:pPr>
            <w:r w:rsidRPr="00D94804">
              <w:rPr>
                <w:rFonts w:cs="Arial"/>
                <w:color w:val="auto"/>
                <w:szCs w:val="16"/>
              </w:rPr>
              <w:t>0,07</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514D3ED" w14:textId="77777777" w:rsidR="00D94804" w:rsidRPr="00D94804" w:rsidRDefault="00D94804">
            <w:pPr>
              <w:pStyle w:val="Tabele"/>
              <w:jc w:val="right"/>
              <w:rPr>
                <w:color w:val="auto"/>
              </w:rPr>
            </w:pPr>
            <w:r w:rsidRPr="00D94804">
              <w:rPr>
                <w:rFonts w:cs="Arial"/>
                <w:color w:val="auto"/>
                <w:szCs w:val="16"/>
              </w:rPr>
              <w:t>0,02</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B12CBB2" w14:textId="77777777" w:rsidR="00D94804" w:rsidRPr="00D94804" w:rsidRDefault="00D94804">
            <w:pPr>
              <w:pStyle w:val="Tabele"/>
              <w:jc w:val="right"/>
              <w:rPr>
                <w:color w:val="auto"/>
              </w:rPr>
            </w:pPr>
            <w:r w:rsidRPr="00D94804">
              <w:rPr>
                <w:rFonts w:cs="Arial"/>
                <w:color w:val="auto"/>
                <w:szCs w:val="16"/>
              </w:rPr>
              <w:t>0,06</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B1D1FA9" w14:textId="77777777" w:rsidR="00D94804" w:rsidRPr="00D94804" w:rsidRDefault="00D94804">
            <w:pPr>
              <w:pStyle w:val="Tabele"/>
              <w:jc w:val="right"/>
              <w:rPr>
                <w:color w:val="auto"/>
              </w:rPr>
            </w:pPr>
            <w:r w:rsidRPr="00D94804">
              <w:rPr>
                <w:rFonts w:cs="Arial"/>
                <w:color w:val="auto"/>
                <w:szCs w:val="16"/>
              </w:rPr>
              <w:t>0,03</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75498D8" w14:textId="77777777" w:rsidR="00D94804" w:rsidRPr="00D94804" w:rsidRDefault="00D94804">
            <w:pPr>
              <w:pStyle w:val="Tabele"/>
              <w:jc w:val="right"/>
              <w:rPr>
                <w:color w:val="auto"/>
                <w:highlight w:val="yellow"/>
              </w:rPr>
            </w:pPr>
            <w:r w:rsidRPr="00D94804">
              <w:rPr>
                <w:rFonts w:cs="Arial"/>
                <w:color w:val="auto"/>
                <w:szCs w:val="16"/>
              </w:rPr>
              <w:t>0,02</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3787972" w14:textId="77777777" w:rsidR="00D94804" w:rsidRPr="00D94804" w:rsidRDefault="00D94804">
            <w:pPr>
              <w:pStyle w:val="Tabele"/>
              <w:jc w:val="right"/>
              <w:rPr>
                <w:color w:val="auto"/>
                <w:highlight w:val="yellow"/>
              </w:rPr>
            </w:pPr>
            <w:r w:rsidRPr="00D94804">
              <w:rPr>
                <w:rFonts w:cs="Arial"/>
                <w:color w:val="auto"/>
                <w:szCs w:val="16"/>
              </w:rPr>
              <w:t>0,02</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FD80898" w14:textId="77777777" w:rsidR="00D94804" w:rsidRPr="00D94804" w:rsidRDefault="00D94804">
            <w:pPr>
              <w:pStyle w:val="Tabele"/>
              <w:jc w:val="right"/>
              <w:rPr>
                <w:color w:val="auto"/>
                <w:highlight w:val="yellow"/>
              </w:rPr>
            </w:pPr>
            <w:r w:rsidRPr="00D94804">
              <w:rPr>
                <w:rFonts w:cs="Arial"/>
                <w:color w:val="auto"/>
                <w:szCs w:val="16"/>
              </w:rPr>
              <w:t>0,02</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DCE8490" w14:textId="77777777" w:rsidR="00D94804" w:rsidRPr="00D94804" w:rsidRDefault="00D94804">
            <w:pPr>
              <w:pStyle w:val="Tabele"/>
              <w:jc w:val="right"/>
              <w:rPr>
                <w:color w:val="auto"/>
                <w:highlight w:val="yellow"/>
              </w:rPr>
            </w:pPr>
            <w:r w:rsidRPr="00D94804">
              <w:rPr>
                <w:rFonts w:cs="Arial"/>
                <w:color w:val="auto"/>
                <w:szCs w:val="16"/>
              </w:rPr>
              <w:t>0,02</w:t>
            </w:r>
          </w:p>
        </w:tc>
      </w:tr>
      <w:tr w:rsidR="00D94804" w:rsidRPr="004669DE" w14:paraId="468A0DAD"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C4C2CE" w14:textId="77777777" w:rsidR="00D94804" w:rsidRPr="00D94804" w:rsidRDefault="00D94804">
            <w:pPr>
              <w:pStyle w:val="Tabele"/>
              <w:rPr>
                <w:b/>
                <w:bCs/>
                <w:color w:val="auto"/>
              </w:rPr>
            </w:pPr>
            <w:r w:rsidRPr="00D94804">
              <w:rPr>
                <w:b/>
                <w:bCs/>
                <w:color w:val="auto"/>
              </w:rPr>
              <w:t xml:space="preserve">5. Odpady </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1722D81" w14:textId="77777777" w:rsidR="00D94804" w:rsidRPr="00D94804" w:rsidRDefault="00D94804">
            <w:pPr>
              <w:pStyle w:val="Tabele"/>
              <w:jc w:val="right"/>
              <w:rPr>
                <w:color w:val="auto"/>
              </w:rPr>
            </w:pPr>
            <w:r w:rsidRPr="00D94804">
              <w:rPr>
                <w:rFonts w:cs="Arial"/>
                <w:b/>
                <w:bCs/>
                <w:color w:val="auto"/>
                <w:szCs w:val="16"/>
              </w:rPr>
              <w:t>1,11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4489171" w14:textId="77777777" w:rsidR="00D94804" w:rsidRPr="00D94804" w:rsidRDefault="00D94804">
            <w:pPr>
              <w:pStyle w:val="Tabele"/>
              <w:jc w:val="right"/>
              <w:rPr>
                <w:color w:val="auto"/>
              </w:rPr>
            </w:pPr>
            <w:r w:rsidRPr="00D94804">
              <w:rPr>
                <w:rFonts w:cs="Arial"/>
                <w:b/>
                <w:bCs/>
                <w:color w:val="auto"/>
                <w:szCs w:val="16"/>
              </w:rPr>
              <w:t>1,19</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F00853F" w14:textId="77777777" w:rsidR="00D94804" w:rsidRPr="00D94804" w:rsidRDefault="00D94804">
            <w:pPr>
              <w:pStyle w:val="Tabele"/>
              <w:jc w:val="right"/>
              <w:rPr>
                <w:color w:val="auto"/>
              </w:rPr>
            </w:pPr>
            <w:r w:rsidRPr="00D94804">
              <w:rPr>
                <w:rFonts w:cs="Arial"/>
                <w:b/>
                <w:bCs/>
                <w:color w:val="auto"/>
                <w:szCs w:val="16"/>
              </w:rPr>
              <w:t>1,38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204C2FD" w14:textId="77777777" w:rsidR="00D94804" w:rsidRPr="00D94804" w:rsidRDefault="00D94804">
            <w:pPr>
              <w:pStyle w:val="Tabele"/>
              <w:jc w:val="right"/>
              <w:rPr>
                <w:color w:val="auto"/>
              </w:rPr>
            </w:pPr>
            <w:r w:rsidRPr="00D94804">
              <w:rPr>
                <w:rFonts w:cs="Arial"/>
                <w:b/>
                <w:bCs/>
                <w:color w:val="auto"/>
                <w:szCs w:val="16"/>
              </w:rPr>
              <w:t>1,63</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BB93C8E" w14:textId="77777777" w:rsidR="00D94804" w:rsidRPr="00D94804" w:rsidRDefault="00D94804">
            <w:pPr>
              <w:pStyle w:val="Tabele"/>
              <w:jc w:val="right"/>
              <w:rPr>
                <w:color w:val="auto"/>
                <w:highlight w:val="yellow"/>
              </w:rPr>
            </w:pPr>
            <w:r w:rsidRPr="00D94804">
              <w:rPr>
                <w:rFonts w:cs="Arial"/>
                <w:b/>
                <w:bCs/>
                <w:color w:val="auto"/>
                <w:szCs w:val="16"/>
              </w:rPr>
              <w:t>1,78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C54C27E" w14:textId="77777777" w:rsidR="00D94804" w:rsidRPr="00D94804" w:rsidRDefault="00D94804">
            <w:pPr>
              <w:pStyle w:val="Tabele"/>
              <w:jc w:val="right"/>
              <w:rPr>
                <w:color w:val="auto"/>
                <w:highlight w:val="yellow"/>
              </w:rPr>
            </w:pPr>
            <w:r w:rsidRPr="00D94804">
              <w:rPr>
                <w:rFonts w:cs="Arial"/>
                <w:b/>
                <w:bCs/>
                <w:color w:val="auto"/>
                <w:szCs w:val="16"/>
              </w:rPr>
              <w:t>1,68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AB62A5F" w14:textId="77777777" w:rsidR="00D94804" w:rsidRPr="00D94804" w:rsidRDefault="00D94804">
            <w:pPr>
              <w:pStyle w:val="Tabele"/>
              <w:jc w:val="right"/>
              <w:rPr>
                <w:color w:val="auto"/>
                <w:highlight w:val="yellow"/>
              </w:rPr>
            </w:pPr>
            <w:r w:rsidRPr="00D94804">
              <w:rPr>
                <w:rFonts w:cs="Arial"/>
                <w:b/>
                <w:bCs/>
                <w:color w:val="auto"/>
                <w:szCs w:val="16"/>
              </w:rPr>
              <w:t>1,71</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9846D1B" w14:textId="77777777" w:rsidR="00D94804" w:rsidRPr="00D94804" w:rsidRDefault="00D94804">
            <w:pPr>
              <w:pStyle w:val="Tabele"/>
              <w:jc w:val="right"/>
              <w:rPr>
                <w:color w:val="auto"/>
                <w:highlight w:val="yellow"/>
              </w:rPr>
            </w:pPr>
            <w:r w:rsidRPr="00D94804">
              <w:rPr>
                <w:rFonts w:cs="Arial"/>
                <w:b/>
                <w:bCs/>
                <w:color w:val="auto"/>
                <w:szCs w:val="16"/>
              </w:rPr>
              <w:t>1,71</w:t>
            </w:r>
          </w:p>
        </w:tc>
      </w:tr>
      <w:tr w:rsidR="00D94804" w:rsidRPr="004669DE" w14:paraId="37F934F3"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3B6F21" w14:textId="77777777" w:rsidR="00D94804" w:rsidRPr="00D94804" w:rsidRDefault="00D94804">
            <w:pPr>
              <w:pStyle w:val="Tabele"/>
              <w:rPr>
                <w:bCs/>
                <w:color w:val="auto"/>
              </w:rPr>
            </w:pPr>
            <w:r w:rsidRPr="00D94804">
              <w:rPr>
                <w:rFonts w:cs="Calibri"/>
                <w:color w:val="auto"/>
                <w:szCs w:val="16"/>
              </w:rPr>
              <w:t>C. Spopielanie i otwarte spalanie odpadów</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8231131" w14:textId="77777777" w:rsidR="00D94804" w:rsidRPr="00D94804" w:rsidRDefault="00D94804">
            <w:pPr>
              <w:pStyle w:val="Tabele"/>
              <w:jc w:val="right"/>
              <w:rPr>
                <w:color w:val="auto"/>
              </w:rPr>
            </w:pPr>
            <w:r w:rsidRPr="00D94804">
              <w:rPr>
                <w:rFonts w:cs="Arial"/>
                <w:color w:val="auto"/>
                <w:szCs w:val="16"/>
              </w:rPr>
              <w:t>1,11</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457543A" w14:textId="77777777" w:rsidR="00D94804" w:rsidRPr="00D94804" w:rsidRDefault="00D94804">
            <w:pPr>
              <w:pStyle w:val="Tabele"/>
              <w:jc w:val="right"/>
              <w:rPr>
                <w:color w:val="auto"/>
              </w:rPr>
            </w:pPr>
            <w:r w:rsidRPr="00D94804">
              <w:rPr>
                <w:rFonts w:cs="Arial"/>
                <w:color w:val="auto"/>
                <w:szCs w:val="16"/>
              </w:rPr>
              <w:t>1,19</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546FD3B" w14:textId="77777777" w:rsidR="00D94804" w:rsidRPr="00D94804" w:rsidRDefault="00D94804">
            <w:pPr>
              <w:pStyle w:val="Tabele"/>
              <w:jc w:val="right"/>
              <w:rPr>
                <w:color w:val="auto"/>
              </w:rPr>
            </w:pPr>
            <w:r w:rsidRPr="00D94804">
              <w:rPr>
                <w:rFonts w:cs="Arial"/>
                <w:color w:val="auto"/>
                <w:szCs w:val="16"/>
              </w:rPr>
              <w:t>1,38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F6D70D6" w14:textId="77777777" w:rsidR="00D94804" w:rsidRPr="00D94804" w:rsidRDefault="00D94804">
            <w:pPr>
              <w:pStyle w:val="Tabele"/>
              <w:jc w:val="right"/>
              <w:rPr>
                <w:color w:val="auto"/>
              </w:rPr>
            </w:pPr>
            <w:r w:rsidRPr="00D94804">
              <w:rPr>
                <w:rFonts w:cs="Arial"/>
                <w:color w:val="auto"/>
                <w:szCs w:val="16"/>
              </w:rPr>
              <w:t>1,63</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48EA89F" w14:textId="77777777" w:rsidR="00D94804" w:rsidRPr="00D94804" w:rsidRDefault="00D94804">
            <w:pPr>
              <w:pStyle w:val="Tabele"/>
              <w:jc w:val="right"/>
              <w:rPr>
                <w:color w:val="auto"/>
                <w:highlight w:val="yellow"/>
              </w:rPr>
            </w:pPr>
            <w:r w:rsidRPr="00D94804">
              <w:rPr>
                <w:rFonts w:cs="Arial"/>
                <w:color w:val="auto"/>
                <w:szCs w:val="16"/>
              </w:rPr>
              <w:t>1,78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E79E4C" w14:textId="77777777" w:rsidR="00D94804" w:rsidRPr="00D94804" w:rsidRDefault="00D94804">
            <w:pPr>
              <w:pStyle w:val="Tabele"/>
              <w:jc w:val="right"/>
              <w:rPr>
                <w:color w:val="auto"/>
                <w:highlight w:val="yellow"/>
              </w:rPr>
            </w:pPr>
            <w:r w:rsidRPr="00D94804">
              <w:rPr>
                <w:rFonts w:cs="Arial"/>
                <w:color w:val="auto"/>
                <w:szCs w:val="16"/>
              </w:rPr>
              <w:t>1,68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3B0AED7" w14:textId="77777777" w:rsidR="00D94804" w:rsidRPr="00D94804" w:rsidRDefault="00D94804">
            <w:pPr>
              <w:pStyle w:val="Tabele"/>
              <w:jc w:val="right"/>
              <w:rPr>
                <w:color w:val="auto"/>
                <w:highlight w:val="yellow"/>
              </w:rPr>
            </w:pPr>
            <w:r w:rsidRPr="00D94804">
              <w:rPr>
                <w:rFonts w:cs="Arial"/>
                <w:color w:val="auto"/>
                <w:szCs w:val="16"/>
              </w:rPr>
              <w:t>1,71</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C3030DE" w14:textId="77777777" w:rsidR="00D94804" w:rsidRPr="00D94804" w:rsidRDefault="00D94804">
            <w:pPr>
              <w:pStyle w:val="Tabele"/>
              <w:jc w:val="right"/>
              <w:rPr>
                <w:color w:val="auto"/>
                <w:highlight w:val="yellow"/>
              </w:rPr>
            </w:pPr>
            <w:r w:rsidRPr="00D94804">
              <w:rPr>
                <w:rFonts w:cs="Arial"/>
                <w:color w:val="auto"/>
                <w:szCs w:val="16"/>
              </w:rPr>
              <w:t>1,71</w:t>
            </w:r>
          </w:p>
        </w:tc>
      </w:tr>
      <w:tr w:rsidR="00D94804" w:rsidRPr="00860E1E" w14:paraId="2A2C6B97" w14:textId="77777777" w:rsidTr="00497636">
        <w:trPr>
          <w:trHeight w:val="217"/>
        </w:trPr>
        <w:tc>
          <w:tcPr>
            <w:tcW w:w="230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712B7C" w14:textId="77777777" w:rsidR="00D94804" w:rsidRPr="00D94804" w:rsidRDefault="00D94804">
            <w:pPr>
              <w:pStyle w:val="Tabele"/>
              <w:rPr>
                <w:b/>
                <w:bCs/>
                <w:color w:val="auto"/>
              </w:rPr>
            </w:pPr>
            <w:r w:rsidRPr="00D94804">
              <w:rPr>
                <w:b/>
                <w:bCs/>
                <w:color w:val="auto"/>
              </w:rPr>
              <w:t>OGÓŁEM</w:t>
            </w:r>
          </w:p>
        </w:tc>
        <w:tc>
          <w:tcPr>
            <w:tcW w:w="87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69E32C1" w14:textId="77777777" w:rsidR="00D94804" w:rsidRPr="00D94804" w:rsidRDefault="00D94804">
            <w:pPr>
              <w:pStyle w:val="Tabele"/>
              <w:jc w:val="right"/>
              <w:rPr>
                <w:b/>
                <w:bCs/>
                <w:color w:val="auto"/>
              </w:rPr>
            </w:pPr>
            <w:r w:rsidRPr="00D94804">
              <w:rPr>
                <w:rFonts w:cs="Arial"/>
                <w:b/>
                <w:bCs/>
                <w:color w:val="auto"/>
                <w:szCs w:val="16"/>
              </w:rPr>
              <w:t>845,62</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E0DCF94" w14:textId="77777777" w:rsidR="00D94804" w:rsidRPr="00D94804" w:rsidRDefault="00D94804">
            <w:pPr>
              <w:pStyle w:val="Tabele"/>
              <w:jc w:val="right"/>
              <w:rPr>
                <w:b/>
                <w:bCs/>
                <w:color w:val="auto"/>
              </w:rPr>
            </w:pPr>
            <w:r w:rsidRPr="00D94804">
              <w:rPr>
                <w:rFonts w:cs="Arial"/>
                <w:b/>
                <w:bCs/>
                <w:color w:val="auto"/>
                <w:szCs w:val="16"/>
              </w:rPr>
              <w:t>832,15</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2E16D2E" w14:textId="77777777" w:rsidR="00D94804" w:rsidRPr="00D94804" w:rsidRDefault="00D94804">
            <w:pPr>
              <w:pStyle w:val="Tabele"/>
              <w:jc w:val="right"/>
              <w:rPr>
                <w:b/>
                <w:bCs/>
                <w:color w:val="auto"/>
              </w:rPr>
            </w:pPr>
            <w:r w:rsidRPr="00D94804">
              <w:rPr>
                <w:rFonts w:cs="Arial"/>
                <w:b/>
                <w:bCs/>
                <w:color w:val="auto"/>
                <w:szCs w:val="16"/>
              </w:rPr>
              <w:t>666,98</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D2666D6" w14:textId="77777777" w:rsidR="00D94804" w:rsidRPr="00D94804" w:rsidRDefault="00D94804">
            <w:pPr>
              <w:pStyle w:val="Tabele"/>
              <w:jc w:val="right"/>
              <w:rPr>
                <w:b/>
                <w:bCs/>
                <w:color w:val="auto"/>
              </w:rPr>
            </w:pPr>
            <w:r w:rsidRPr="00D94804">
              <w:rPr>
                <w:rFonts w:cs="Arial"/>
                <w:b/>
                <w:bCs/>
                <w:color w:val="auto"/>
                <w:szCs w:val="16"/>
              </w:rPr>
              <w:t>591,59</w:t>
            </w:r>
          </w:p>
        </w:tc>
        <w:tc>
          <w:tcPr>
            <w:tcW w:w="87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43F396" w14:textId="77777777" w:rsidR="00D94804" w:rsidRPr="00D94804" w:rsidRDefault="00D94804">
            <w:pPr>
              <w:pStyle w:val="Tabele"/>
              <w:jc w:val="right"/>
              <w:rPr>
                <w:b/>
                <w:bCs/>
                <w:color w:val="auto"/>
                <w:highlight w:val="yellow"/>
              </w:rPr>
            </w:pPr>
            <w:r w:rsidRPr="00D94804">
              <w:rPr>
                <w:rFonts w:cs="Arial"/>
                <w:b/>
                <w:bCs/>
                <w:color w:val="auto"/>
                <w:szCs w:val="16"/>
              </w:rPr>
              <w:t>519,15</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E4A526" w14:textId="77777777" w:rsidR="00D94804" w:rsidRPr="00D94804" w:rsidRDefault="00D94804">
            <w:pPr>
              <w:pStyle w:val="Tabele"/>
              <w:jc w:val="right"/>
              <w:rPr>
                <w:b/>
                <w:bCs/>
                <w:color w:val="auto"/>
                <w:highlight w:val="yellow"/>
              </w:rPr>
            </w:pPr>
            <w:r w:rsidRPr="00D94804">
              <w:rPr>
                <w:rFonts w:cs="Arial"/>
                <w:b/>
                <w:bCs/>
                <w:color w:val="auto"/>
                <w:szCs w:val="16"/>
              </w:rPr>
              <w:t>408,20</w:t>
            </w:r>
          </w:p>
        </w:tc>
        <w:tc>
          <w:tcPr>
            <w:tcW w:w="87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0A06C9C" w14:textId="77777777" w:rsidR="00D94804" w:rsidRPr="00D94804" w:rsidRDefault="00D94804">
            <w:pPr>
              <w:pStyle w:val="Tabele"/>
              <w:jc w:val="right"/>
              <w:rPr>
                <w:b/>
                <w:bCs/>
                <w:color w:val="auto"/>
                <w:highlight w:val="yellow"/>
              </w:rPr>
            </w:pPr>
            <w:r w:rsidRPr="00D94804">
              <w:rPr>
                <w:rFonts w:cs="Arial"/>
                <w:b/>
                <w:bCs/>
                <w:color w:val="auto"/>
                <w:szCs w:val="16"/>
              </w:rPr>
              <w:t>313,79</w:t>
            </w:r>
          </w:p>
        </w:tc>
        <w:tc>
          <w:tcPr>
            <w:tcW w:w="87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73734A" w14:textId="77777777" w:rsidR="00D94804" w:rsidRPr="00D94804" w:rsidRDefault="00D94804">
            <w:pPr>
              <w:pStyle w:val="Tabele"/>
              <w:jc w:val="right"/>
              <w:rPr>
                <w:b/>
                <w:bCs/>
                <w:color w:val="auto"/>
                <w:highlight w:val="yellow"/>
              </w:rPr>
            </w:pPr>
            <w:r w:rsidRPr="00D94804">
              <w:rPr>
                <w:rFonts w:cs="Arial"/>
                <w:b/>
                <w:bCs/>
                <w:color w:val="auto"/>
                <w:szCs w:val="16"/>
              </w:rPr>
              <w:t>237,98</w:t>
            </w:r>
          </w:p>
        </w:tc>
      </w:tr>
    </w:tbl>
    <w:p w14:paraId="0CDEF99C" w14:textId="05285787" w:rsidR="005C4144" w:rsidRPr="00BB1158" w:rsidRDefault="005C4144" w:rsidP="00D94804">
      <w:pPr>
        <w:pStyle w:val="Legenda"/>
      </w:pPr>
      <w:r w:rsidRPr="00BB1158">
        <w:t>Źródło: Opracowanie własne KOBIZE, IOŚ-PIB</w:t>
      </w:r>
    </w:p>
    <w:p w14:paraId="64DD989E" w14:textId="5C67BA51" w:rsidR="009C1697" w:rsidRPr="002463AF" w:rsidRDefault="00DD1FAA" w:rsidP="002463AF">
      <w:pPr>
        <w:pStyle w:val="Legenda"/>
        <w:keepNext/>
        <w:rPr>
          <w:i w:val="0"/>
          <w:color w:val="auto"/>
          <w:sz w:val="20"/>
          <w:szCs w:val="20"/>
        </w:rPr>
      </w:pPr>
      <w:r w:rsidRPr="002C5180">
        <w:rPr>
          <w:i w:val="0"/>
          <w:color w:val="auto"/>
          <w:sz w:val="20"/>
          <w:szCs w:val="20"/>
        </w:rPr>
        <w:t>Zgodnie z dyrektywą NEC w latach 2020-2029 Polska powinna zredukować emisję NO</w:t>
      </w:r>
      <w:r w:rsidRPr="002C5180">
        <w:rPr>
          <w:i w:val="0"/>
          <w:color w:val="auto"/>
          <w:sz w:val="20"/>
          <w:szCs w:val="20"/>
          <w:vertAlign w:val="subscript"/>
        </w:rPr>
        <w:t>x</w:t>
      </w:r>
      <w:r w:rsidRPr="002C5180">
        <w:rPr>
          <w:i w:val="0"/>
          <w:color w:val="auto"/>
          <w:sz w:val="20"/>
          <w:szCs w:val="20"/>
        </w:rPr>
        <w:t xml:space="preserve"> o minimum 30%, zaś od </w:t>
      </w:r>
      <w:r w:rsidR="00F128CB">
        <w:rPr>
          <w:i w:val="0"/>
          <w:color w:val="auto"/>
          <w:sz w:val="20"/>
          <w:szCs w:val="20"/>
        </w:rPr>
        <w:t>2030 r.</w:t>
      </w:r>
      <w:r w:rsidRPr="002C5180">
        <w:rPr>
          <w:i w:val="0"/>
          <w:color w:val="auto"/>
          <w:sz w:val="20"/>
          <w:szCs w:val="20"/>
        </w:rPr>
        <w:t xml:space="preserve"> – o minimum 39% w stosunku do roku 2005, przy czym zgodnie z art. 4 tej dyrektywy, emisja NO</w:t>
      </w:r>
      <w:r w:rsidRPr="002C5180">
        <w:rPr>
          <w:i w:val="0"/>
          <w:color w:val="auto"/>
          <w:sz w:val="20"/>
          <w:szCs w:val="20"/>
          <w:vertAlign w:val="subscript"/>
        </w:rPr>
        <w:t>x</w:t>
      </w:r>
      <w:r w:rsidRPr="002C5180">
        <w:rPr>
          <w:i w:val="0"/>
          <w:color w:val="auto"/>
          <w:sz w:val="20"/>
          <w:szCs w:val="20"/>
        </w:rPr>
        <w:t xml:space="preserve"> z sektorów 3B (nawozy naturalne) i 3D (gleby rolne) nie jest objęta celem redukcyjnym określonym dla państw członkowskich UE. Krajowa emisja NO</w:t>
      </w:r>
      <w:r w:rsidRPr="002C5180">
        <w:rPr>
          <w:i w:val="0"/>
          <w:color w:val="auto"/>
          <w:sz w:val="20"/>
          <w:szCs w:val="20"/>
          <w:vertAlign w:val="subscript"/>
        </w:rPr>
        <w:t>x</w:t>
      </w:r>
      <w:r w:rsidRPr="002C5180">
        <w:rPr>
          <w:i w:val="0"/>
          <w:color w:val="auto"/>
          <w:sz w:val="20"/>
          <w:szCs w:val="20"/>
        </w:rPr>
        <w:t xml:space="preserve"> (bez sektorów 3B i 3D) w 2020 r. była niższa od emisji w 2005 r. o 33,4%, w 2021 r. o 35,1%, a w 2022 r. o 40,8%, a zatem limit emisji tego zanieczyszczenia został w tych latach spełniony. W latach prognozy redukcja emisji NO</w:t>
      </w:r>
      <w:r w:rsidRPr="002C5180">
        <w:rPr>
          <w:i w:val="0"/>
          <w:color w:val="auto"/>
          <w:sz w:val="20"/>
          <w:szCs w:val="20"/>
          <w:vertAlign w:val="subscript"/>
        </w:rPr>
        <w:t>x</w:t>
      </w:r>
      <w:r w:rsidRPr="002C5180">
        <w:rPr>
          <w:i w:val="0"/>
          <w:color w:val="auto"/>
          <w:sz w:val="20"/>
          <w:szCs w:val="20"/>
        </w:rPr>
        <w:t xml:space="preserve"> w scenariuszu WAM osiąga wartości od 41,8% w 202</w:t>
      </w:r>
      <w:r w:rsidR="00BE2ED8">
        <w:rPr>
          <w:i w:val="0"/>
          <w:color w:val="auto"/>
          <w:sz w:val="20"/>
          <w:szCs w:val="20"/>
        </w:rPr>
        <w:t>5 r.</w:t>
      </w:r>
      <w:r w:rsidRPr="002C5180">
        <w:rPr>
          <w:i w:val="0"/>
          <w:color w:val="auto"/>
          <w:sz w:val="20"/>
          <w:szCs w:val="20"/>
        </w:rPr>
        <w:t xml:space="preserve"> do </w:t>
      </w:r>
      <w:r w:rsidR="007E1AEC" w:rsidRPr="002C5180">
        <w:rPr>
          <w:i w:val="0"/>
          <w:color w:val="auto"/>
          <w:sz w:val="20"/>
          <w:szCs w:val="20"/>
        </w:rPr>
        <w:t>76,7</w:t>
      </w:r>
      <w:r w:rsidRPr="002463AF">
        <w:rPr>
          <w:i w:val="0"/>
          <w:color w:val="auto"/>
          <w:sz w:val="20"/>
          <w:szCs w:val="20"/>
        </w:rPr>
        <w:t>% w </w:t>
      </w:r>
      <w:r w:rsidR="00F128CB">
        <w:rPr>
          <w:i w:val="0"/>
          <w:color w:val="auto"/>
          <w:sz w:val="20"/>
          <w:szCs w:val="20"/>
        </w:rPr>
        <w:t>2040 r.</w:t>
      </w:r>
      <w:r w:rsidRPr="002463AF">
        <w:rPr>
          <w:i w:val="0"/>
          <w:color w:val="auto"/>
          <w:sz w:val="20"/>
          <w:szCs w:val="20"/>
        </w:rPr>
        <w:t xml:space="preserve"> </w:t>
      </w:r>
      <w:r w:rsidR="002463AF" w:rsidRPr="002463AF">
        <w:rPr>
          <w:i w:val="0"/>
          <w:iCs w:val="0"/>
          <w:color w:val="auto"/>
          <w:sz w:val="20"/>
          <w:szCs w:val="20"/>
        </w:rPr>
        <w:t>(</w:t>
      </w:r>
      <w:r w:rsidR="002463AF" w:rsidRPr="002463AF">
        <w:rPr>
          <w:i w:val="0"/>
          <w:iCs w:val="0"/>
          <w:color w:val="auto"/>
          <w:sz w:val="20"/>
          <w:szCs w:val="20"/>
        </w:rPr>
        <w:fldChar w:fldCharType="begin"/>
      </w:r>
      <w:r w:rsidR="002463AF" w:rsidRPr="002463AF">
        <w:rPr>
          <w:i w:val="0"/>
          <w:iCs w:val="0"/>
          <w:color w:val="auto"/>
          <w:sz w:val="20"/>
          <w:szCs w:val="20"/>
        </w:rPr>
        <w:instrText xml:space="preserve"> REF _Ref195869923 \h  \* MERGEFORMAT </w:instrText>
      </w:r>
      <w:r w:rsidR="002463AF" w:rsidRPr="002463AF">
        <w:rPr>
          <w:i w:val="0"/>
          <w:iCs w:val="0"/>
          <w:color w:val="auto"/>
          <w:sz w:val="20"/>
          <w:szCs w:val="20"/>
        </w:rPr>
      </w:r>
      <w:r w:rsidR="002463AF" w:rsidRPr="002463AF">
        <w:rPr>
          <w:i w:val="0"/>
          <w:iCs w:val="0"/>
          <w:color w:val="auto"/>
          <w:sz w:val="20"/>
          <w:szCs w:val="20"/>
        </w:rPr>
        <w:fldChar w:fldCharType="separate"/>
      </w:r>
      <w:r w:rsidR="00F27D6F" w:rsidRPr="00F27D6F">
        <w:rPr>
          <w:i w:val="0"/>
          <w:iCs w:val="0"/>
          <w:color w:val="auto"/>
          <w:sz w:val="20"/>
          <w:szCs w:val="20"/>
        </w:rPr>
        <w:t xml:space="preserve">Tabela </w:t>
      </w:r>
      <w:r w:rsidR="00F27D6F" w:rsidRPr="00F27D6F">
        <w:rPr>
          <w:i w:val="0"/>
          <w:iCs w:val="0"/>
          <w:noProof/>
          <w:color w:val="auto"/>
          <w:sz w:val="20"/>
          <w:szCs w:val="20"/>
        </w:rPr>
        <w:t>1</w:t>
      </w:r>
      <w:r w:rsidR="00F27D6F" w:rsidRPr="00F27D6F">
        <w:rPr>
          <w:i w:val="0"/>
          <w:iCs w:val="0"/>
          <w:color w:val="auto"/>
          <w:sz w:val="20"/>
          <w:szCs w:val="20"/>
        </w:rPr>
        <w:t>.</w:t>
      </w:r>
      <w:r w:rsidR="00F27D6F" w:rsidRPr="00F27D6F">
        <w:rPr>
          <w:i w:val="0"/>
          <w:iCs w:val="0"/>
          <w:noProof/>
          <w:color w:val="auto"/>
          <w:sz w:val="20"/>
          <w:szCs w:val="20"/>
        </w:rPr>
        <w:t>13</w:t>
      </w:r>
      <w:r w:rsidR="002463AF" w:rsidRPr="002463AF">
        <w:rPr>
          <w:i w:val="0"/>
          <w:iCs w:val="0"/>
          <w:color w:val="auto"/>
          <w:sz w:val="20"/>
          <w:szCs w:val="20"/>
        </w:rPr>
        <w:fldChar w:fldCharType="end"/>
      </w:r>
      <w:r w:rsidR="002463AF" w:rsidRPr="002463AF">
        <w:rPr>
          <w:i w:val="0"/>
          <w:iCs w:val="0"/>
          <w:color w:val="auto"/>
          <w:sz w:val="20"/>
          <w:szCs w:val="20"/>
        </w:rPr>
        <w:t>)</w:t>
      </w:r>
      <w:r w:rsidR="00270B99">
        <w:rPr>
          <w:i w:val="0"/>
          <w:iCs w:val="0"/>
          <w:color w:val="auto"/>
          <w:sz w:val="20"/>
          <w:szCs w:val="20"/>
        </w:rPr>
        <w:t>,</w:t>
      </w:r>
      <w:r w:rsidR="005C4144" w:rsidRPr="002463AF">
        <w:rPr>
          <w:i w:val="0"/>
          <w:color w:val="auto"/>
          <w:sz w:val="20"/>
          <w:szCs w:val="20"/>
        </w:rPr>
        <w:t xml:space="preserve"> </w:t>
      </w:r>
      <w:r w:rsidR="009C1697" w:rsidRPr="002463AF">
        <w:rPr>
          <w:i w:val="0"/>
          <w:color w:val="auto"/>
          <w:sz w:val="20"/>
          <w:szCs w:val="20"/>
        </w:rPr>
        <w:t>zatem cele redukcyjne dla NO</w:t>
      </w:r>
      <w:r w:rsidR="009C1697" w:rsidRPr="002463AF">
        <w:rPr>
          <w:i w:val="0"/>
          <w:color w:val="auto"/>
          <w:sz w:val="20"/>
          <w:szCs w:val="20"/>
          <w:vertAlign w:val="subscript"/>
        </w:rPr>
        <w:t>x</w:t>
      </w:r>
      <w:r w:rsidR="009C1697" w:rsidRPr="002463AF">
        <w:rPr>
          <w:i w:val="0"/>
          <w:color w:val="auto"/>
          <w:sz w:val="20"/>
          <w:szCs w:val="20"/>
        </w:rPr>
        <w:t xml:space="preserve"> są spełnione we wszystkich latach prognozy.</w:t>
      </w:r>
      <w:r w:rsidR="00BA7C80" w:rsidRPr="002463AF">
        <w:rPr>
          <w:i w:val="0"/>
          <w:color w:val="auto"/>
          <w:sz w:val="20"/>
          <w:szCs w:val="20"/>
        </w:rPr>
        <w:tab/>
      </w:r>
    </w:p>
    <w:p w14:paraId="31DB460C" w14:textId="17619766" w:rsidR="004E65EB" w:rsidRPr="00851D83" w:rsidRDefault="004E65EB" w:rsidP="004E65EB">
      <w:bookmarkStart w:id="77" w:name="_Ref156544048"/>
      <w:bookmarkStart w:id="78" w:name="_Toc167442088"/>
      <w:bookmarkStart w:id="79" w:name="_Toc171587169"/>
      <w:bookmarkStart w:id="80" w:name="_Toc174710953"/>
      <w:r w:rsidRPr="002463AF">
        <w:rPr>
          <w:szCs w:val="20"/>
        </w:rPr>
        <w:t>Podobnie jak w przypadku dwutlenku siarki, spalanie paliw (</w:t>
      </w:r>
      <w:r>
        <w:t>kategoria 1A) jest głównym źródłem emisji tlenków azotu z udziałem 84% w emisji krajowej w </w:t>
      </w:r>
      <w:r w:rsidR="00A16CDB">
        <w:t>2020 r.</w:t>
      </w:r>
      <w:r>
        <w:t xml:space="preserve"> </w:t>
      </w:r>
      <w:r w:rsidRPr="00851D83">
        <w:t>i </w:t>
      </w:r>
      <w:r w:rsidR="002727CF" w:rsidRPr="002727CF">
        <w:t>67</w:t>
      </w:r>
      <w:r w:rsidRPr="002727CF">
        <w:t>% w </w:t>
      </w:r>
      <w:r w:rsidR="00F128CB">
        <w:t>2040 r.</w:t>
      </w:r>
      <w:r w:rsidRPr="00E12C03">
        <w:t xml:space="preserve"> Głównym powodem spadku emisji NO</w:t>
      </w:r>
      <w:r w:rsidRPr="00E12C03">
        <w:rPr>
          <w:vertAlign w:val="subscript"/>
        </w:rPr>
        <w:t>x</w:t>
      </w:r>
      <w:r w:rsidRPr="00E12C03">
        <w:t xml:space="preserve"> w latach 2025-20</w:t>
      </w:r>
      <w:r w:rsidR="003C24B9">
        <w:t>4</w:t>
      </w:r>
      <w:r w:rsidRPr="00E12C03">
        <w:t>0 jest prognozowane zmniejszenie zużycia paliw w przemysłach energetycznych (kategoria 1A1), transporcie (kategoria 1A3) i małych źródłach spalania paliw (kategoria 1A4).</w:t>
      </w:r>
    </w:p>
    <w:p w14:paraId="441AFC26" w14:textId="4881578C" w:rsidR="004E65EB" w:rsidRDefault="004E65EB" w:rsidP="004E65EB">
      <w:r w:rsidRPr="00E12C03">
        <w:t>Ponadto</w:t>
      </w:r>
      <w:r w:rsidR="005601CE">
        <w:t>, podobnie jak w przypadku SO</w:t>
      </w:r>
      <w:r w:rsidR="005601CE" w:rsidRPr="0083327B">
        <w:rPr>
          <w:vertAlign w:val="subscript"/>
        </w:rPr>
        <w:t>2</w:t>
      </w:r>
      <w:r w:rsidR="005601CE">
        <w:t>,</w:t>
      </w:r>
      <w:r w:rsidR="005601CE" w:rsidRPr="00E12C03">
        <w:t xml:space="preserve"> </w:t>
      </w:r>
      <w:r w:rsidRPr="00E12C03">
        <w:t>istotny wpływ na zmniejszenie emisji NO</w:t>
      </w:r>
      <w:r w:rsidRPr="00E12C03">
        <w:rPr>
          <w:vertAlign w:val="subscript"/>
        </w:rPr>
        <w:t>x</w:t>
      </w:r>
      <w:r w:rsidRPr="00E12C03">
        <w:t xml:space="preserve"> ma postęp techniczny w sektorze małych źródeł spalania paliw (1A4) polegający na zmieniającej się w latach prognozy strukturze urządzeń grzewczych stosowanych w tym sektorze. Zmiany te polegają na stopniowym wycofywaniu z użytkowania urządzeń wysokoemisyjnych</w:t>
      </w:r>
      <w:r w:rsidR="00C15EAE">
        <w:t xml:space="preserve"> </w:t>
      </w:r>
      <w:r w:rsidRPr="00E12C03">
        <w:t>i zastępowaniu ich</w:t>
      </w:r>
      <w:r w:rsidR="00FE1A1A">
        <w:t xml:space="preserve"> pompami ciepła oraz</w:t>
      </w:r>
      <w:r w:rsidRPr="00E12C03">
        <w:t xml:space="preserve"> urządzeniami nowoczesnymi, spełniającymi wymagania Ekoprojektu</w:t>
      </w:r>
      <w:r w:rsidR="00ED1ED2">
        <w:t>.</w:t>
      </w:r>
      <w:r w:rsidRPr="00E12C03">
        <w:t xml:space="preserve"> Zmiana struktury urządzeń została odzwierciedlona w malejących wskaźnikach emisji ze spalania paliw w tym sektorz</w:t>
      </w:r>
      <w:r w:rsidRPr="00F27E3A">
        <w:t>e.</w:t>
      </w:r>
    </w:p>
    <w:p w14:paraId="306F9B8F" w14:textId="17E64A6C" w:rsidR="005C4144" w:rsidRDefault="005C4144" w:rsidP="004574BC">
      <w:pPr>
        <w:pStyle w:val="Legenda"/>
        <w:keepNext/>
      </w:pPr>
      <w:bookmarkStart w:id="81" w:name="_Ref195773981"/>
      <w:bookmarkStart w:id="82" w:name="_Ref195869442"/>
      <w:bookmarkStart w:id="83" w:name="_Toc202966955"/>
      <w:r w:rsidRPr="00EB3130">
        <w:t xml:space="preserve">Tabela </w:t>
      </w:r>
      <w:bookmarkEnd w:id="81"/>
      <w:r w:rsidR="006C7D6C">
        <w:fldChar w:fldCharType="begin"/>
      </w:r>
      <w:r w:rsidR="006C7D6C">
        <w:instrText xml:space="preserve"> STYLEREF 1 \s </w:instrText>
      </w:r>
      <w:r w:rsidR="006C7D6C">
        <w:fldChar w:fldCharType="separate"/>
      </w:r>
      <w:r w:rsidR="00F27D6F">
        <w:rPr>
          <w:noProof/>
        </w:rPr>
        <w:t>1</w:t>
      </w:r>
      <w:r w:rsidR="006C7D6C">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10</w:t>
      </w:r>
      <w:r w:rsidR="00653D9A">
        <w:rPr>
          <w:noProof/>
        </w:rPr>
        <w:fldChar w:fldCharType="end"/>
      </w:r>
      <w:bookmarkEnd w:id="77"/>
      <w:bookmarkEnd w:id="82"/>
      <w:r w:rsidRPr="00EB3130">
        <w:t>. Projekcje emisji NMLZO, według sektorów (kategorii NFR)</w:t>
      </w:r>
      <w:r>
        <w:t>, dla scenariusza WAM</w:t>
      </w:r>
      <w:bookmarkEnd w:id="78"/>
      <w:bookmarkEnd w:id="79"/>
      <w:bookmarkEnd w:id="80"/>
      <w:bookmarkEnd w:id="83"/>
    </w:p>
    <w:tbl>
      <w:tblPr>
        <w:tblStyle w:val="KPEiK"/>
        <w:tblW w:w="5000" w:type="pct"/>
        <w:tblLook w:val="04A0" w:firstRow="1" w:lastRow="0" w:firstColumn="1" w:lastColumn="0" w:noHBand="0" w:noVBand="1"/>
      </w:tblPr>
      <w:tblGrid>
        <w:gridCol w:w="2244"/>
        <w:gridCol w:w="851"/>
        <w:gridCol w:w="852"/>
        <w:gridCol w:w="852"/>
        <w:gridCol w:w="852"/>
        <w:gridCol w:w="853"/>
        <w:gridCol w:w="852"/>
        <w:gridCol w:w="852"/>
        <w:gridCol w:w="854"/>
      </w:tblGrid>
      <w:tr w:rsidR="004F45F4" w:rsidRPr="00DE4FED" w14:paraId="3B93F101" w14:textId="77777777" w:rsidTr="004F45F4">
        <w:trPr>
          <w:cnfStyle w:val="100000000000" w:firstRow="1" w:lastRow="0" w:firstColumn="0" w:lastColumn="0" w:oddVBand="0" w:evenVBand="0" w:oddHBand="0" w:evenHBand="0" w:firstRowFirstColumn="0" w:firstRowLastColumn="0" w:lastRowFirstColumn="0" w:lastRowLastColumn="0"/>
          <w:trHeight w:val="234"/>
          <w:tblHeader/>
        </w:trPr>
        <w:tc>
          <w:tcPr>
            <w:tcW w:w="2249" w:type="dxa"/>
            <w:vMerge w:val="restart"/>
          </w:tcPr>
          <w:p w14:paraId="44AF81BC" w14:textId="77777777" w:rsidR="004F45F4" w:rsidRDefault="004F45F4">
            <w:pPr>
              <w:pStyle w:val="Tabele"/>
              <w:jc w:val="center"/>
              <w:rPr>
                <w:b w:val="0"/>
              </w:rPr>
            </w:pPr>
            <w:r w:rsidRPr="00DE4FED">
              <w:t>Sektor</w:t>
            </w:r>
          </w:p>
          <w:p w14:paraId="1C10F067" w14:textId="77777777" w:rsidR="004F45F4" w:rsidRPr="00DE4FED" w:rsidRDefault="004F45F4">
            <w:pPr>
              <w:pStyle w:val="Tabele"/>
              <w:jc w:val="center"/>
            </w:pPr>
            <w:r>
              <w:t>(kategoria NFR)</w:t>
            </w:r>
          </w:p>
        </w:tc>
        <w:tc>
          <w:tcPr>
            <w:tcW w:w="6827" w:type="dxa"/>
            <w:gridSpan w:val="8"/>
          </w:tcPr>
          <w:p w14:paraId="30B722DC" w14:textId="7F301426" w:rsidR="004F45F4" w:rsidRPr="00DE4FED" w:rsidRDefault="004F45F4">
            <w:pPr>
              <w:pStyle w:val="Tabele"/>
              <w:jc w:val="center"/>
              <w:rPr>
                <w:b w:val="0"/>
              </w:rPr>
            </w:pPr>
            <w:r>
              <w:t>Emisja NMLZO [kt</w:t>
            </w:r>
            <w:r w:rsidRPr="00DE4FED">
              <w:t>]</w:t>
            </w:r>
          </w:p>
        </w:tc>
      </w:tr>
      <w:tr w:rsidR="001734F0" w:rsidRPr="00DE4FED" w14:paraId="31DEF497" w14:textId="77777777" w:rsidTr="004F45F4">
        <w:trPr>
          <w:cnfStyle w:val="100000000000" w:firstRow="1" w:lastRow="0" w:firstColumn="0" w:lastColumn="0" w:oddVBand="0" w:evenVBand="0" w:oddHBand="0" w:evenHBand="0" w:firstRowFirstColumn="0" w:firstRowLastColumn="0" w:lastRowFirstColumn="0" w:lastRowLastColumn="0"/>
          <w:trHeight w:val="234"/>
          <w:tblHeader/>
        </w:trPr>
        <w:tc>
          <w:tcPr>
            <w:tcW w:w="2249" w:type="dxa"/>
            <w:vMerge/>
            <w:tcBorders>
              <w:bottom w:val="single" w:sz="4" w:space="0" w:color="AEAAAA" w:themeColor="background2" w:themeShade="BF"/>
            </w:tcBorders>
          </w:tcPr>
          <w:p w14:paraId="3591772D" w14:textId="77777777" w:rsidR="004F45F4" w:rsidRPr="00DE4FED" w:rsidRDefault="004F45F4">
            <w:pPr>
              <w:pStyle w:val="Tabele"/>
              <w:jc w:val="center"/>
            </w:pPr>
          </w:p>
        </w:tc>
        <w:tc>
          <w:tcPr>
            <w:tcW w:w="853" w:type="dxa"/>
            <w:tcBorders>
              <w:bottom w:val="single" w:sz="4" w:space="0" w:color="AEAAAA" w:themeColor="background2" w:themeShade="BF"/>
            </w:tcBorders>
          </w:tcPr>
          <w:p w14:paraId="2895BB96" w14:textId="77777777" w:rsidR="004F45F4" w:rsidRPr="00DE4FED" w:rsidRDefault="004F45F4">
            <w:pPr>
              <w:pStyle w:val="Tabele"/>
              <w:jc w:val="center"/>
            </w:pPr>
            <w:r w:rsidRPr="00DE4FED">
              <w:t>2005</w:t>
            </w:r>
          </w:p>
        </w:tc>
        <w:tc>
          <w:tcPr>
            <w:tcW w:w="853" w:type="dxa"/>
            <w:tcBorders>
              <w:bottom w:val="single" w:sz="4" w:space="0" w:color="AEAAAA" w:themeColor="background2" w:themeShade="BF"/>
            </w:tcBorders>
          </w:tcPr>
          <w:p w14:paraId="134A32DA" w14:textId="77777777" w:rsidR="004F45F4" w:rsidRPr="00DE4FED" w:rsidRDefault="004F45F4">
            <w:pPr>
              <w:pStyle w:val="Tabele"/>
              <w:jc w:val="center"/>
            </w:pPr>
            <w:r w:rsidRPr="00DE4FED">
              <w:t>2010</w:t>
            </w:r>
          </w:p>
        </w:tc>
        <w:tc>
          <w:tcPr>
            <w:tcW w:w="853" w:type="dxa"/>
            <w:tcBorders>
              <w:bottom w:val="single" w:sz="4" w:space="0" w:color="AEAAAA" w:themeColor="background2" w:themeShade="BF"/>
            </w:tcBorders>
          </w:tcPr>
          <w:p w14:paraId="208D8201" w14:textId="77777777" w:rsidR="004F45F4" w:rsidRPr="00DE4FED" w:rsidRDefault="004F45F4">
            <w:pPr>
              <w:pStyle w:val="Tabele"/>
              <w:jc w:val="center"/>
            </w:pPr>
            <w:r w:rsidRPr="00DE4FED">
              <w:t>2015</w:t>
            </w:r>
          </w:p>
        </w:tc>
        <w:tc>
          <w:tcPr>
            <w:tcW w:w="853" w:type="dxa"/>
            <w:tcBorders>
              <w:bottom w:val="single" w:sz="4" w:space="0" w:color="AEAAAA" w:themeColor="background2" w:themeShade="BF"/>
            </w:tcBorders>
          </w:tcPr>
          <w:p w14:paraId="6FC12BAA" w14:textId="77777777" w:rsidR="004F45F4" w:rsidRPr="00DE4FED" w:rsidRDefault="004F45F4">
            <w:pPr>
              <w:pStyle w:val="Tabele"/>
              <w:jc w:val="center"/>
            </w:pPr>
            <w:r w:rsidRPr="00DE4FED">
              <w:t>2020</w:t>
            </w:r>
          </w:p>
        </w:tc>
        <w:tc>
          <w:tcPr>
            <w:tcW w:w="854" w:type="dxa"/>
            <w:tcBorders>
              <w:bottom w:val="single" w:sz="4" w:space="0" w:color="AEAAAA" w:themeColor="background2" w:themeShade="BF"/>
            </w:tcBorders>
          </w:tcPr>
          <w:p w14:paraId="60B507A6" w14:textId="77777777" w:rsidR="004F45F4" w:rsidRPr="00DE4FED" w:rsidRDefault="004F45F4">
            <w:pPr>
              <w:pStyle w:val="Tabele"/>
              <w:jc w:val="center"/>
            </w:pPr>
            <w:r w:rsidRPr="00DE4FED">
              <w:t>2025</w:t>
            </w:r>
          </w:p>
        </w:tc>
        <w:tc>
          <w:tcPr>
            <w:tcW w:w="853" w:type="dxa"/>
            <w:tcBorders>
              <w:bottom w:val="single" w:sz="4" w:space="0" w:color="AEAAAA" w:themeColor="background2" w:themeShade="BF"/>
            </w:tcBorders>
          </w:tcPr>
          <w:p w14:paraId="1BF364EA" w14:textId="77777777" w:rsidR="004F45F4" w:rsidRPr="00DE4FED" w:rsidRDefault="004F45F4">
            <w:pPr>
              <w:pStyle w:val="Tabele"/>
              <w:jc w:val="center"/>
            </w:pPr>
            <w:r w:rsidRPr="00DE4FED">
              <w:t>2030</w:t>
            </w:r>
          </w:p>
        </w:tc>
        <w:tc>
          <w:tcPr>
            <w:tcW w:w="853" w:type="dxa"/>
            <w:tcBorders>
              <w:bottom w:val="single" w:sz="4" w:space="0" w:color="AEAAAA" w:themeColor="background2" w:themeShade="BF"/>
            </w:tcBorders>
          </w:tcPr>
          <w:p w14:paraId="63733747" w14:textId="77777777" w:rsidR="004F45F4" w:rsidRPr="00DE4FED" w:rsidRDefault="004F45F4">
            <w:pPr>
              <w:pStyle w:val="Tabele"/>
              <w:jc w:val="center"/>
            </w:pPr>
            <w:r w:rsidRPr="00DE4FED">
              <w:t>2035</w:t>
            </w:r>
          </w:p>
        </w:tc>
        <w:tc>
          <w:tcPr>
            <w:tcW w:w="853" w:type="dxa"/>
            <w:tcBorders>
              <w:bottom w:val="single" w:sz="4" w:space="0" w:color="AEAAAA" w:themeColor="background2" w:themeShade="BF"/>
            </w:tcBorders>
          </w:tcPr>
          <w:p w14:paraId="561C8991" w14:textId="77777777" w:rsidR="004F45F4" w:rsidRPr="00DE4FED" w:rsidRDefault="004F45F4">
            <w:pPr>
              <w:pStyle w:val="Tabele"/>
              <w:jc w:val="center"/>
            </w:pPr>
            <w:r w:rsidRPr="00DE4FED">
              <w:t>2040</w:t>
            </w:r>
          </w:p>
        </w:tc>
      </w:tr>
      <w:tr w:rsidR="004F45F4" w:rsidRPr="004669DE" w14:paraId="43298F4F"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5A1A7F" w14:textId="77777777" w:rsidR="004F45F4" w:rsidRPr="004669DE" w:rsidRDefault="004F45F4">
            <w:pPr>
              <w:pStyle w:val="Tabele"/>
              <w:rPr>
                <w:b/>
                <w:bCs/>
              </w:rPr>
            </w:pPr>
            <w:r>
              <w:rPr>
                <w:rFonts w:cs="Calibri"/>
                <w:b/>
                <w:bCs/>
                <w:color w:val="000000"/>
                <w:szCs w:val="16"/>
              </w:rPr>
              <w:t xml:space="preserve">1. Energia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8B76B95" w14:textId="77777777" w:rsidR="004F45F4" w:rsidRPr="000E1FBE" w:rsidRDefault="004F45F4">
            <w:pPr>
              <w:pStyle w:val="Tabele"/>
              <w:jc w:val="right"/>
            </w:pPr>
            <w:r>
              <w:rPr>
                <w:rFonts w:cs="Arial"/>
                <w:b/>
                <w:bCs/>
                <w:color w:val="000000"/>
                <w:szCs w:val="16"/>
              </w:rPr>
              <w:t>409,75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FA6E6C0" w14:textId="77777777" w:rsidR="004F45F4" w:rsidRPr="000E1FBE" w:rsidRDefault="004F45F4">
            <w:pPr>
              <w:pStyle w:val="Tabele"/>
              <w:jc w:val="right"/>
            </w:pPr>
            <w:r>
              <w:rPr>
                <w:rFonts w:cs="Arial"/>
                <w:b/>
                <w:bCs/>
                <w:color w:val="000000"/>
                <w:szCs w:val="16"/>
              </w:rPr>
              <w:t>394,75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0EF59B9" w14:textId="77777777" w:rsidR="004F45F4" w:rsidRPr="004669DE" w:rsidRDefault="004F45F4">
            <w:pPr>
              <w:pStyle w:val="Tabele"/>
              <w:jc w:val="right"/>
            </w:pPr>
            <w:r>
              <w:rPr>
                <w:rFonts w:cs="Arial"/>
                <w:b/>
                <w:bCs/>
                <w:color w:val="000000"/>
                <w:szCs w:val="16"/>
              </w:rPr>
              <w:t>334,63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951DF5B" w14:textId="77777777" w:rsidR="004F45F4" w:rsidRPr="004669DE" w:rsidRDefault="004F45F4">
            <w:pPr>
              <w:pStyle w:val="Tabele"/>
              <w:jc w:val="right"/>
            </w:pPr>
            <w:r>
              <w:rPr>
                <w:rFonts w:cs="Arial"/>
                <w:b/>
                <w:bCs/>
                <w:color w:val="000000"/>
                <w:szCs w:val="16"/>
              </w:rPr>
              <w:t>331,69</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4F27509" w14:textId="77777777" w:rsidR="004F45F4" w:rsidRPr="0007270A" w:rsidRDefault="004F45F4">
            <w:pPr>
              <w:pStyle w:val="Tabele"/>
              <w:jc w:val="right"/>
              <w:rPr>
                <w:highlight w:val="yellow"/>
              </w:rPr>
            </w:pPr>
            <w:r>
              <w:rPr>
                <w:rFonts w:cs="Arial"/>
                <w:b/>
                <w:bCs/>
                <w:color w:val="000000"/>
                <w:szCs w:val="16"/>
              </w:rPr>
              <w:t>232,37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4809EFB" w14:textId="77777777" w:rsidR="004F45F4" w:rsidRPr="0007270A" w:rsidRDefault="004F45F4">
            <w:pPr>
              <w:pStyle w:val="Tabele"/>
              <w:jc w:val="right"/>
              <w:rPr>
                <w:highlight w:val="yellow"/>
              </w:rPr>
            </w:pPr>
            <w:r>
              <w:rPr>
                <w:rFonts w:cs="Arial"/>
                <w:b/>
                <w:bCs/>
                <w:color w:val="000000"/>
                <w:szCs w:val="16"/>
              </w:rPr>
              <w:t>159,38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5FCC50" w14:textId="77777777" w:rsidR="004F45F4" w:rsidRPr="0007270A" w:rsidRDefault="004F45F4">
            <w:pPr>
              <w:pStyle w:val="Tabele"/>
              <w:jc w:val="right"/>
              <w:rPr>
                <w:highlight w:val="yellow"/>
              </w:rPr>
            </w:pPr>
            <w:r>
              <w:rPr>
                <w:rFonts w:cs="Arial"/>
                <w:b/>
                <w:bCs/>
                <w:color w:val="000000"/>
                <w:szCs w:val="16"/>
              </w:rPr>
              <w:t>99,59</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72DFDB2" w14:textId="77777777" w:rsidR="004F45F4" w:rsidRPr="0007270A" w:rsidRDefault="004F45F4">
            <w:pPr>
              <w:pStyle w:val="Tabele"/>
              <w:jc w:val="right"/>
              <w:rPr>
                <w:highlight w:val="yellow"/>
              </w:rPr>
            </w:pPr>
            <w:r>
              <w:rPr>
                <w:rFonts w:cs="Arial"/>
                <w:b/>
                <w:bCs/>
                <w:color w:val="000000"/>
                <w:szCs w:val="16"/>
              </w:rPr>
              <w:t>81,34</w:t>
            </w:r>
          </w:p>
        </w:tc>
      </w:tr>
      <w:tr w:rsidR="004F45F4" w:rsidRPr="004669DE" w14:paraId="476A2B4C"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C6BB36D" w14:textId="77777777" w:rsidR="004F45F4" w:rsidRPr="004669DE" w:rsidRDefault="004F45F4">
            <w:pPr>
              <w:pStyle w:val="Tabele"/>
              <w:rPr>
                <w:b/>
                <w:bCs/>
              </w:rPr>
            </w:pPr>
            <w:r>
              <w:rPr>
                <w:rFonts w:cs="Calibri"/>
                <w:color w:val="000000"/>
                <w:szCs w:val="16"/>
              </w:rPr>
              <w:t xml:space="preserve">A. Spalanie paliw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ACF1B63" w14:textId="77777777" w:rsidR="004F45F4" w:rsidRPr="004669DE" w:rsidRDefault="004F45F4">
            <w:pPr>
              <w:pStyle w:val="Tabele"/>
              <w:jc w:val="right"/>
            </w:pPr>
            <w:r>
              <w:rPr>
                <w:rFonts w:cs="Arial"/>
                <w:color w:val="000000"/>
                <w:szCs w:val="16"/>
              </w:rPr>
              <w:t>294,73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65A870C" w14:textId="77777777" w:rsidR="004F45F4" w:rsidRPr="004669DE" w:rsidRDefault="004F45F4">
            <w:pPr>
              <w:pStyle w:val="Tabele"/>
              <w:jc w:val="right"/>
            </w:pPr>
            <w:r>
              <w:rPr>
                <w:rFonts w:cs="Arial"/>
                <w:color w:val="000000"/>
                <w:szCs w:val="16"/>
              </w:rPr>
              <w:t>296,86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9FBA848" w14:textId="77777777" w:rsidR="004F45F4" w:rsidRPr="004669DE" w:rsidRDefault="004F45F4">
            <w:pPr>
              <w:pStyle w:val="Tabele"/>
              <w:jc w:val="right"/>
            </w:pPr>
            <w:r>
              <w:rPr>
                <w:rFonts w:cs="Arial"/>
                <w:color w:val="000000"/>
                <w:szCs w:val="16"/>
              </w:rPr>
              <w:t>239,50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673B297" w14:textId="77777777" w:rsidR="004F45F4" w:rsidRPr="004669DE" w:rsidRDefault="004F45F4">
            <w:pPr>
              <w:pStyle w:val="Tabele"/>
              <w:jc w:val="right"/>
            </w:pPr>
            <w:r>
              <w:rPr>
                <w:rFonts w:cs="Arial"/>
                <w:color w:val="000000"/>
                <w:szCs w:val="16"/>
              </w:rPr>
              <w:t>254,48</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971BEE" w14:textId="77777777" w:rsidR="004F45F4" w:rsidRPr="0007270A" w:rsidRDefault="004F45F4">
            <w:pPr>
              <w:pStyle w:val="Tabele"/>
              <w:jc w:val="right"/>
              <w:rPr>
                <w:highlight w:val="yellow"/>
              </w:rPr>
            </w:pPr>
            <w:r>
              <w:rPr>
                <w:rFonts w:cs="Arial"/>
                <w:color w:val="000000"/>
                <w:szCs w:val="16"/>
              </w:rPr>
              <w:t>161,32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174177" w14:textId="77777777" w:rsidR="004F45F4" w:rsidRPr="0007270A" w:rsidRDefault="004F45F4">
            <w:pPr>
              <w:pStyle w:val="Tabele"/>
              <w:jc w:val="right"/>
              <w:rPr>
                <w:highlight w:val="yellow"/>
              </w:rPr>
            </w:pPr>
            <w:r>
              <w:rPr>
                <w:rFonts w:cs="Arial"/>
                <w:color w:val="000000"/>
                <w:szCs w:val="16"/>
              </w:rPr>
              <w:t>104,43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37616D" w14:textId="77777777" w:rsidR="004F45F4" w:rsidRPr="0007270A" w:rsidRDefault="004F45F4">
            <w:pPr>
              <w:pStyle w:val="Tabele"/>
              <w:jc w:val="right"/>
              <w:rPr>
                <w:highlight w:val="yellow"/>
              </w:rPr>
            </w:pPr>
            <w:r>
              <w:rPr>
                <w:rFonts w:cs="Arial"/>
                <w:color w:val="000000"/>
                <w:szCs w:val="16"/>
              </w:rPr>
              <w:t>57,01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A15B5A" w14:textId="77777777" w:rsidR="004F45F4" w:rsidRPr="0007270A" w:rsidRDefault="004F45F4">
            <w:pPr>
              <w:pStyle w:val="Tabele"/>
              <w:jc w:val="right"/>
              <w:rPr>
                <w:highlight w:val="yellow"/>
              </w:rPr>
            </w:pPr>
            <w:r>
              <w:rPr>
                <w:rFonts w:cs="Arial"/>
                <w:color w:val="000000"/>
                <w:szCs w:val="16"/>
              </w:rPr>
              <w:t>48,98</w:t>
            </w:r>
          </w:p>
        </w:tc>
      </w:tr>
      <w:tr w:rsidR="004F45F4" w:rsidRPr="004669DE" w14:paraId="75873627"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F0BE9EF" w14:textId="77777777" w:rsidR="004F45F4" w:rsidRPr="004669DE" w:rsidRDefault="004F45F4">
            <w:pPr>
              <w:pStyle w:val="Tabele"/>
              <w:rPr>
                <w:bCs/>
              </w:rPr>
            </w:pPr>
            <w:r>
              <w:rPr>
                <w:rFonts w:cs="Calibri"/>
                <w:color w:val="000000"/>
                <w:szCs w:val="16"/>
              </w:rPr>
              <w:t xml:space="preserve">1. Przemysły energetyczne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71A622C" w14:textId="77777777" w:rsidR="004F45F4" w:rsidRPr="004669DE" w:rsidRDefault="004F45F4">
            <w:pPr>
              <w:pStyle w:val="Tabele"/>
              <w:jc w:val="right"/>
            </w:pPr>
            <w:r>
              <w:rPr>
                <w:rFonts w:cs="Arial"/>
                <w:color w:val="000000"/>
                <w:szCs w:val="16"/>
              </w:rPr>
              <w:t>2,73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A34FE7C" w14:textId="77777777" w:rsidR="004F45F4" w:rsidRPr="004669DE" w:rsidRDefault="004F45F4">
            <w:pPr>
              <w:pStyle w:val="Tabele"/>
              <w:jc w:val="right"/>
            </w:pPr>
            <w:r>
              <w:rPr>
                <w:rFonts w:cs="Arial"/>
                <w:color w:val="000000"/>
                <w:szCs w:val="16"/>
              </w:rPr>
              <w:t>2,86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E13C659" w14:textId="77777777" w:rsidR="004F45F4" w:rsidRPr="004669DE" w:rsidRDefault="004F45F4">
            <w:pPr>
              <w:pStyle w:val="Tabele"/>
              <w:jc w:val="right"/>
            </w:pPr>
            <w:r>
              <w:rPr>
                <w:rFonts w:cs="Arial"/>
                <w:color w:val="000000"/>
                <w:szCs w:val="16"/>
              </w:rPr>
              <w:t>3,12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7ACFC01" w14:textId="77777777" w:rsidR="004F45F4" w:rsidRPr="004669DE" w:rsidRDefault="004F45F4">
            <w:pPr>
              <w:pStyle w:val="Tabele"/>
              <w:jc w:val="right"/>
            </w:pPr>
            <w:r>
              <w:rPr>
                <w:rFonts w:cs="Arial"/>
                <w:color w:val="000000"/>
                <w:szCs w:val="16"/>
              </w:rPr>
              <w:t>3,07</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4C8AA1" w14:textId="77777777" w:rsidR="004F45F4" w:rsidRPr="0007270A" w:rsidRDefault="004F45F4">
            <w:pPr>
              <w:pStyle w:val="Tabele"/>
              <w:jc w:val="right"/>
              <w:rPr>
                <w:highlight w:val="yellow"/>
              </w:rPr>
            </w:pPr>
            <w:r>
              <w:rPr>
                <w:rFonts w:cs="Arial"/>
                <w:color w:val="000000"/>
                <w:szCs w:val="16"/>
              </w:rPr>
              <w:t>3,39</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D6F1B47" w14:textId="77777777" w:rsidR="004F45F4" w:rsidRPr="0007270A" w:rsidRDefault="004F45F4">
            <w:pPr>
              <w:pStyle w:val="Tabele"/>
              <w:jc w:val="right"/>
              <w:rPr>
                <w:highlight w:val="yellow"/>
              </w:rPr>
            </w:pPr>
            <w:r>
              <w:rPr>
                <w:rFonts w:cs="Arial"/>
                <w:color w:val="000000"/>
                <w:szCs w:val="16"/>
              </w:rPr>
              <w:t>3,16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7655FF" w14:textId="77777777" w:rsidR="004F45F4" w:rsidRPr="0007270A" w:rsidRDefault="004F45F4">
            <w:pPr>
              <w:pStyle w:val="Tabele"/>
              <w:jc w:val="right"/>
              <w:rPr>
                <w:highlight w:val="yellow"/>
              </w:rPr>
            </w:pPr>
            <w:r>
              <w:rPr>
                <w:rFonts w:cs="Arial"/>
                <w:color w:val="000000"/>
                <w:szCs w:val="16"/>
              </w:rPr>
              <w:t>2,32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8CE045B" w14:textId="77777777" w:rsidR="004F45F4" w:rsidRPr="0007270A" w:rsidRDefault="004F45F4">
            <w:pPr>
              <w:pStyle w:val="Tabele"/>
              <w:jc w:val="right"/>
              <w:rPr>
                <w:highlight w:val="yellow"/>
              </w:rPr>
            </w:pPr>
            <w:r>
              <w:rPr>
                <w:rFonts w:cs="Arial"/>
                <w:color w:val="000000"/>
                <w:szCs w:val="16"/>
              </w:rPr>
              <w:t>0,97</w:t>
            </w:r>
          </w:p>
        </w:tc>
      </w:tr>
      <w:tr w:rsidR="004F45F4" w:rsidRPr="004669DE" w14:paraId="6992855D"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F356A28" w14:textId="77777777" w:rsidR="004F45F4" w:rsidRPr="004669DE" w:rsidRDefault="004F45F4">
            <w:pPr>
              <w:pStyle w:val="Tabele"/>
              <w:rPr>
                <w:bCs/>
              </w:rPr>
            </w:pPr>
            <w:r>
              <w:rPr>
                <w:rFonts w:cs="Calibri"/>
                <w:color w:val="000000"/>
                <w:szCs w:val="16"/>
              </w:rPr>
              <w:t xml:space="preserve">2. Przemysł wytwórczy i budownictwo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F366144" w14:textId="77777777" w:rsidR="004F45F4" w:rsidRPr="004669DE" w:rsidRDefault="004F45F4">
            <w:pPr>
              <w:pStyle w:val="Tabele"/>
              <w:jc w:val="right"/>
            </w:pPr>
            <w:r>
              <w:rPr>
                <w:rFonts w:cs="Arial"/>
                <w:color w:val="000000"/>
                <w:szCs w:val="16"/>
              </w:rPr>
              <w:t>28,36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43E344A" w14:textId="77777777" w:rsidR="004F45F4" w:rsidRPr="004669DE" w:rsidRDefault="004F45F4">
            <w:pPr>
              <w:pStyle w:val="Tabele"/>
              <w:jc w:val="right"/>
            </w:pPr>
            <w:r>
              <w:rPr>
                <w:rFonts w:cs="Arial"/>
                <w:color w:val="000000"/>
                <w:szCs w:val="16"/>
              </w:rPr>
              <w:t>28,37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168B267" w14:textId="77777777" w:rsidR="004F45F4" w:rsidRPr="004669DE" w:rsidRDefault="004F45F4">
            <w:pPr>
              <w:pStyle w:val="Tabele"/>
              <w:jc w:val="right"/>
            </w:pPr>
            <w:r>
              <w:rPr>
                <w:rFonts w:cs="Arial"/>
                <w:color w:val="000000"/>
                <w:szCs w:val="16"/>
              </w:rPr>
              <w:t>31,91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8910A1D" w14:textId="77777777" w:rsidR="004F45F4" w:rsidRPr="004669DE" w:rsidRDefault="004F45F4">
            <w:pPr>
              <w:pStyle w:val="Tabele"/>
              <w:jc w:val="right"/>
            </w:pPr>
            <w:r>
              <w:rPr>
                <w:rFonts w:cs="Arial"/>
                <w:color w:val="000000"/>
                <w:szCs w:val="16"/>
              </w:rPr>
              <w:t>39,11</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3DB534" w14:textId="77777777" w:rsidR="004F45F4" w:rsidRPr="0007270A" w:rsidRDefault="004F45F4">
            <w:pPr>
              <w:pStyle w:val="Tabele"/>
              <w:jc w:val="right"/>
              <w:rPr>
                <w:highlight w:val="yellow"/>
              </w:rPr>
            </w:pPr>
            <w:r>
              <w:rPr>
                <w:rFonts w:cs="Arial"/>
                <w:color w:val="000000"/>
                <w:szCs w:val="16"/>
              </w:rPr>
              <w:t>37,77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D5D6E59" w14:textId="77777777" w:rsidR="004F45F4" w:rsidRPr="0007270A" w:rsidRDefault="004F45F4">
            <w:pPr>
              <w:pStyle w:val="Tabele"/>
              <w:jc w:val="right"/>
              <w:rPr>
                <w:highlight w:val="yellow"/>
              </w:rPr>
            </w:pPr>
            <w:r>
              <w:rPr>
                <w:rFonts w:cs="Arial"/>
                <w:color w:val="000000"/>
                <w:szCs w:val="16"/>
              </w:rPr>
              <w:t>33,17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45F19BC" w14:textId="77777777" w:rsidR="004F45F4" w:rsidRPr="0007270A" w:rsidRDefault="004F45F4">
            <w:pPr>
              <w:pStyle w:val="Tabele"/>
              <w:jc w:val="right"/>
              <w:rPr>
                <w:highlight w:val="yellow"/>
              </w:rPr>
            </w:pPr>
            <w:r>
              <w:rPr>
                <w:rFonts w:cs="Arial"/>
                <w:color w:val="000000"/>
                <w:szCs w:val="16"/>
              </w:rPr>
              <w:t>30,65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6B0D21" w14:textId="77777777" w:rsidR="004F45F4" w:rsidRPr="0007270A" w:rsidRDefault="004F45F4">
            <w:pPr>
              <w:pStyle w:val="Tabele"/>
              <w:jc w:val="right"/>
              <w:rPr>
                <w:highlight w:val="yellow"/>
              </w:rPr>
            </w:pPr>
            <w:r>
              <w:rPr>
                <w:rFonts w:cs="Arial"/>
                <w:color w:val="000000"/>
                <w:szCs w:val="16"/>
              </w:rPr>
              <w:t>28,90</w:t>
            </w:r>
          </w:p>
        </w:tc>
      </w:tr>
      <w:tr w:rsidR="004F45F4" w:rsidRPr="004669DE" w14:paraId="5F0DCAE2"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133945" w14:textId="77777777" w:rsidR="004F45F4" w:rsidRPr="004669DE" w:rsidRDefault="004F45F4">
            <w:pPr>
              <w:pStyle w:val="Tabele"/>
              <w:rPr>
                <w:bCs/>
              </w:rPr>
            </w:pPr>
            <w:r>
              <w:rPr>
                <w:rFonts w:cs="Calibri"/>
                <w:color w:val="000000"/>
                <w:szCs w:val="16"/>
              </w:rPr>
              <w:t xml:space="preserve">3. Transport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D88E8E7" w14:textId="77777777" w:rsidR="004F45F4" w:rsidRPr="004669DE" w:rsidRDefault="004F45F4">
            <w:pPr>
              <w:pStyle w:val="Tabele"/>
              <w:jc w:val="right"/>
            </w:pPr>
            <w:r>
              <w:rPr>
                <w:rFonts w:cs="Arial"/>
                <w:color w:val="000000"/>
                <w:szCs w:val="16"/>
              </w:rPr>
              <w:t>87,35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85BC1C8" w14:textId="77777777" w:rsidR="004F45F4" w:rsidRPr="004669DE" w:rsidRDefault="004F45F4">
            <w:pPr>
              <w:pStyle w:val="Tabele"/>
              <w:jc w:val="right"/>
            </w:pPr>
            <w:r>
              <w:rPr>
                <w:rFonts w:cs="Arial"/>
                <w:color w:val="000000"/>
                <w:szCs w:val="16"/>
              </w:rPr>
              <w:t>68,52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325E3A9" w14:textId="77777777" w:rsidR="004F45F4" w:rsidRPr="004669DE" w:rsidRDefault="004F45F4">
            <w:pPr>
              <w:pStyle w:val="Tabele"/>
              <w:jc w:val="right"/>
            </w:pPr>
            <w:r>
              <w:rPr>
                <w:rFonts w:cs="Arial"/>
                <w:color w:val="000000"/>
                <w:szCs w:val="16"/>
              </w:rPr>
              <w:t>44,24</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F9B813E" w14:textId="77777777" w:rsidR="004F45F4" w:rsidRPr="004669DE" w:rsidRDefault="004F45F4">
            <w:pPr>
              <w:pStyle w:val="Tabele"/>
              <w:jc w:val="right"/>
            </w:pPr>
            <w:r>
              <w:rPr>
                <w:rFonts w:cs="Arial"/>
                <w:color w:val="000000"/>
                <w:szCs w:val="16"/>
              </w:rPr>
              <w:t>37,86</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B9FFDD" w14:textId="77777777" w:rsidR="004F45F4" w:rsidRPr="0007270A" w:rsidRDefault="004F45F4">
            <w:pPr>
              <w:pStyle w:val="Tabele"/>
              <w:jc w:val="right"/>
              <w:rPr>
                <w:highlight w:val="yellow"/>
              </w:rPr>
            </w:pPr>
            <w:r>
              <w:rPr>
                <w:rFonts w:cs="Arial"/>
                <w:color w:val="000000"/>
                <w:szCs w:val="16"/>
              </w:rPr>
              <w:t>25,54</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99B80C" w14:textId="77777777" w:rsidR="004F45F4" w:rsidRPr="0007270A" w:rsidRDefault="004F45F4">
            <w:pPr>
              <w:pStyle w:val="Tabele"/>
              <w:jc w:val="right"/>
              <w:rPr>
                <w:highlight w:val="yellow"/>
              </w:rPr>
            </w:pPr>
            <w:r>
              <w:rPr>
                <w:rFonts w:cs="Arial"/>
                <w:color w:val="000000"/>
                <w:szCs w:val="16"/>
              </w:rPr>
              <w:t>20,57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9367A73" w14:textId="77777777" w:rsidR="004F45F4" w:rsidRPr="0007270A" w:rsidRDefault="004F45F4">
            <w:pPr>
              <w:pStyle w:val="Tabele"/>
              <w:jc w:val="right"/>
              <w:rPr>
                <w:highlight w:val="yellow"/>
              </w:rPr>
            </w:pPr>
            <w:r>
              <w:rPr>
                <w:rFonts w:cs="Arial"/>
                <w:color w:val="000000"/>
                <w:szCs w:val="16"/>
              </w:rPr>
              <w:t>17,36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A0482AB" w14:textId="77777777" w:rsidR="004F45F4" w:rsidRPr="0007270A" w:rsidRDefault="004F45F4">
            <w:pPr>
              <w:pStyle w:val="Tabele"/>
              <w:jc w:val="right"/>
              <w:rPr>
                <w:highlight w:val="yellow"/>
              </w:rPr>
            </w:pPr>
            <w:r>
              <w:rPr>
                <w:rFonts w:cs="Arial"/>
                <w:color w:val="000000"/>
                <w:szCs w:val="16"/>
              </w:rPr>
              <w:t>13,62</w:t>
            </w:r>
          </w:p>
        </w:tc>
      </w:tr>
      <w:tr w:rsidR="004F45F4" w:rsidRPr="004669DE" w14:paraId="55BB4F5B"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2D2CE6" w14:textId="77777777" w:rsidR="004F45F4" w:rsidRPr="00E2760F" w:rsidRDefault="004F45F4">
            <w:pPr>
              <w:pStyle w:val="Tabele"/>
              <w:rPr>
                <w:bCs/>
                <w:color w:val="auto"/>
              </w:rPr>
            </w:pPr>
            <w:r w:rsidRPr="00E2760F">
              <w:rPr>
                <w:color w:val="auto"/>
              </w:rPr>
              <w:t>4. Inne sektory (małe źródła spalania paliw, w tym gospodarstwa domowe)</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3204380" w14:textId="77777777" w:rsidR="004F45F4" w:rsidRPr="004669DE" w:rsidRDefault="004F45F4">
            <w:pPr>
              <w:pStyle w:val="Tabele"/>
              <w:jc w:val="right"/>
            </w:pPr>
            <w:r>
              <w:rPr>
                <w:rFonts w:cs="Arial"/>
                <w:color w:val="000000"/>
                <w:szCs w:val="16"/>
              </w:rPr>
              <w:t>176,30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7CA7E6F" w14:textId="77777777" w:rsidR="004F45F4" w:rsidRPr="004669DE" w:rsidRDefault="004F45F4">
            <w:pPr>
              <w:pStyle w:val="Tabele"/>
              <w:jc w:val="right"/>
            </w:pPr>
            <w:r>
              <w:rPr>
                <w:rFonts w:cs="Arial"/>
                <w:color w:val="000000"/>
                <w:szCs w:val="16"/>
              </w:rPr>
              <w:t>197,10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E6148C1" w14:textId="77777777" w:rsidR="004F45F4" w:rsidRPr="004669DE" w:rsidRDefault="004F45F4">
            <w:pPr>
              <w:pStyle w:val="Tabele"/>
              <w:jc w:val="right"/>
            </w:pPr>
            <w:r>
              <w:rPr>
                <w:rFonts w:cs="Arial"/>
                <w:color w:val="000000"/>
                <w:szCs w:val="16"/>
              </w:rPr>
              <w:t>160,22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5310B8D" w14:textId="77777777" w:rsidR="004F45F4" w:rsidRPr="004669DE" w:rsidRDefault="004F45F4">
            <w:pPr>
              <w:pStyle w:val="Tabele"/>
              <w:jc w:val="right"/>
            </w:pPr>
            <w:r>
              <w:rPr>
                <w:rFonts w:cs="Arial"/>
                <w:color w:val="000000"/>
                <w:szCs w:val="16"/>
              </w:rPr>
              <w:t>174,44</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94E860" w14:textId="77777777" w:rsidR="004F45F4" w:rsidRPr="0007270A" w:rsidRDefault="004F45F4">
            <w:pPr>
              <w:pStyle w:val="Tabele"/>
              <w:jc w:val="right"/>
              <w:rPr>
                <w:highlight w:val="yellow"/>
              </w:rPr>
            </w:pPr>
            <w:r>
              <w:rPr>
                <w:rFonts w:cs="Arial"/>
                <w:color w:val="000000"/>
                <w:szCs w:val="16"/>
              </w:rPr>
              <w:t>94,62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A3A802" w14:textId="77777777" w:rsidR="004F45F4" w:rsidRPr="0007270A" w:rsidRDefault="004F45F4">
            <w:pPr>
              <w:pStyle w:val="Tabele"/>
              <w:jc w:val="right"/>
              <w:rPr>
                <w:highlight w:val="yellow"/>
              </w:rPr>
            </w:pPr>
            <w:r>
              <w:rPr>
                <w:rFonts w:cs="Arial"/>
                <w:color w:val="000000"/>
                <w:szCs w:val="16"/>
              </w:rPr>
              <w:t>47,53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D71153D" w14:textId="77777777" w:rsidR="004F45F4" w:rsidRPr="0007270A" w:rsidRDefault="004F45F4">
            <w:pPr>
              <w:pStyle w:val="Tabele"/>
              <w:jc w:val="right"/>
              <w:rPr>
                <w:highlight w:val="yellow"/>
              </w:rPr>
            </w:pPr>
            <w:r>
              <w:rPr>
                <w:rFonts w:cs="Arial"/>
                <w:color w:val="000000"/>
                <w:szCs w:val="16"/>
              </w:rPr>
              <w:t>6,67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48AE10" w14:textId="77777777" w:rsidR="004F45F4" w:rsidRPr="0007270A" w:rsidRDefault="004F45F4">
            <w:pPr>
              <w:pStyle w:val="Tabele"/>
              <w:jc w:val="right"/>
              <w:rPr>
                <w:highlight w:val="yellow"/>
              </w:rPr>
            </w:pPr>
            <w:r>
              <w:rPr>
                <w:rFonts w:cs="Arial"/>
                <w:color w:val="000000"/>
                <w:szCs w:val="16"/>
              </w:rPr>
              <w:t>5,49</w:t>
            </w:r>
          </w:p>
        </w:tc>
      </w:tr>
      <w:tr w:rsidR="004F45F4" w:rsidRPr="004669DE" w14:paraId="009507B3"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E036DF" w14:textId="77777777" w:rsidR="004F45F4" w:rsidRPr="004669DE" w:rsidRDefault="004F45F4">
            <w:pPr>
              <w:pStyle w:val="Tabele"/>
              <w:rPr>
                <w:bCs/>
              </w:rPr>
            </w:pPr>
            <w:r>
              <w:rPr>
                <w:rFonts w:cs="Calibri"/>
                <w:color w:val="000000"/>
                <w:szCs w:val="16"/>
              </w:rPr>
              <w:t xml:space="preserve">B. Emisja lotna z paliw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DA5B032" w14:textId="77777777" w:rsidR="004F45F4" w:rsidRPr="004669DE" w:rsidRDefault="004F45F4">
            <w:pPr>
              <w:pStyle w:val="Tabele"/>
              <w:jc w:val="right"/>
            </w:pPr>
            <w:r>
              <w:rPr>
                <w:rFonts w:cs="Arial"/>
                <w:color w:val="000000"/>
                <w:szCs w:val="16"/>
              </w:rPr>
              <w:t>115,02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8656E4C" w14:textId="77777777" w:rsidR="004F45F4" w:rsidRPr="004669DE" w:rsidRDefault="004F45F4">
            <w:pPr>
              <w:pStyle w:val="Tabele"/>
              <w:jc w:val="right"/>
            </w:pPr>
            <w:r>
              <w:rPr>
                <w:rFonts w:cs="Arial"/>
                <w:color w:val="000000"/>
                <w:szCs w:val="16"/>
              </w:rPr>
              <w:t>97,89</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644FE1A" w14:textId="77777777" w:rsidR="004F45F4" w:rsidRPr="004669DE" w:rsidRDefault="004F45F4">
            <w:pPr>
              <w:pStyle w:val="Tabele"/>
              <w:jc w:val="right"/>
            </w:pPr>
            <w:r>
              <w:rPr>
                <w:rFonts w:cs="Arial"/>
                <w:color w:val="000000"/>
                <w:szCs w:val="16"/>
              </w:rPr>
              <w:t>95,13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FD4F088" w14:textId="77777777" w:rsidR="004F45F4" w:rsidRPr="004669DE" w:rsidRDefault="004F45F4">
            <w:pPr>
              <w:pStyle w:val="Tabele"/>
              <w:jc w:val="right"/>
            </w:pPr>
            <w:r>
              <w:rPr>
                <w:rFonts w:cs="Arial"/>
                <w:color w:val="000000"/>
                <w:szCs w:val="16"/>
              </w:rPr>
              <w:t>77,21</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1C5703" w14:textId="77777777" w:rsidR="004F45F4" w:rsidRPr="0007270A" w:rsidRDefault="004F45F4">
            <w:pPr>
              <w:pStyle w:val="Tabele"/>
              <w:jc w:val="right"/>
              <w:rPr>
                <w:highlight w:val="yellow"/>
              </w:rPr>
            </w:pPr>
            <w:r>
              <w:rPr>
                <w:rFonts w:cs="Arial"/>
                <w:color w:val="000000"/>
                <w:szCs w:val="16"/>
              </w:rPr>
              <w:t>71,05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43047B" w14:textId="77777777" w:rsidR="004F45F4" w:rsidRPr="0007270A" w:rsidRDefault="004F45F4">
            <w:pPr>
              <w:pStyle w:val="Tabele"/>
              <w:jc w:val="right"/>
              <w:rPr>
                <w:highlight w:val="yellow"/>
              </w:rPr>
            </w:pPr>
            <w:r>
              <w:rPr>
                <w:rFonts w:cs="Arial"/>
                <w:color w:val="000000"/>
                <w:szCs w:val="16"/>
              </w:rPr>
              <w:t>54,95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70F95DC" w14:textId="77777777" w:rsidR="004F45F4" w:rsidRPr="0007270A" w:rsidRDefault="004F45F4">
            <w:pPr>
              <w:pStyle w:val="Tabele"/>
              <w:jc w:val="right"/>
              <w:rPr>
                <w:highlight w:val="yellow"/>
              </w:rPr>
            </w:pPr>
            <w:r>
              <w:rPr>
                <w:rFonts w:cs="Arial"/>
                <w:color w:val="000000"/>
                <w:szCs w:val="16"/>
              </w:rPr>
              <w:t>42,58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BF4F516" w14:textId="77777777" w:rsidR="004F45F4" w:rsidRPr="0007270A" w:rsidRDefault="004F45F4">
            <w:pPr>
              <w:pStyle w:val="Tabele"/>
              <w:jc w:val="right"/>
              <w:rPr>
                <w:highlight w:val="yellow"/>
              </w:rPr>
            </w:pPr>
            <w:r>
              <w:rPr>
                <w:rFonts w:cs="Arial"/>
                <w:color w:val="000000"/>
                <w:szCs w:val="16"/>
              </w:rPr>
              <w:t>32,35</w:t>
            </w:r>
          </w:p>
        </w:tc>
      </w:tr>
      <w:tr w:rsidR="004F45F4" w:rsidRPr="004669DE" w14:paraId="0E8A25F3"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550955" w14:textId="77777777" w:rsidR="004F45F4" w:rsidRPr="004669DE" w:rsidRDefault="004F45F4">
            <w:pPr>
              <w:pStyle w:val="Tabele"/>
              <w:rPr>
                <w:bCs/>
              </w:rPr>
            </w:pPr>
            <w:r>
              <w:rPr>
                <w:rFonts w:cs="Calibri"/>
                <w:color w:val="000000"/>
                <w:szCs w:val="16"/>
              </w:rPr>
              <w:t xml:space="preserve">1. Paliwa stałe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95401A3" w14:textId="77777777" w:rsidR="004F45F4" w:rsidRPr="004669DE" w:rsidRDefault="004F45F4">
            <w:pPr>
              <w:pStyle w:val="Tabele"/>
              <w:jc w:val="right"/>
            </w:pPr>
            <w:r>
              <w:rPr>
                <w:rFonts w:cs="Arial"/>
                <w:color w:val="000000"/>
                <w:szCs w:val="16"/>
              </w:rPr>
              <w:t>90,08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6CF7DB0" w14:textId="77777777" w:rsidR="004F45F4" w:rsidRPr="004669DE" w:rsidRDefault="004F45F4">
            <w:pPr>
              <w:pStyle w:val="Tabele"/>
              <w:jc w:val="right"/>
            </w:pPr>
            <w:r>
              <w:rPr>
                <w:rFonts w:cs="Arial"/>
                <w:color w:val="000000"/>
                <w:szCs w:val="16"/>
              </w:rPr>
              <w:t>72,32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115C0FA" w14:textId="77777777" w:rsidR="004F45F4" w:rsidRPr="004669DE" w:rsidRDefault="004F45F4">
            <w:pPr>
              <w:pStyle w:val="Tabele"/>
              <w:jc w:val="right"/>
            </w:pPr>
            <w:r>
              <w:rPr>
                <w:rFonts w:cs="Arial"/>
                <w:color w:val="000000"/>
                <w:szCs w:val="16"/>
              </w:rPr>
              <w:t>70,44</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A98EA00" w14:textId="77777777" w:rsidR="004F45F4" w:rsidRPr="004669DE" w:rsidRDefault="004F45F4">
            <w:pPr>
              <w:pStyle w:val="Tabele"/>
              <w:jc w:val="right"/>
            </w:pPr>
            <w:r>
              <w:rPr>
                <w:rFonts w:cs="Arial"/>
                <w:color w:val="000000"/>
                <w:szCs w:val="16"/>
              </w:rPr>
              <w:t>52,77</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755B7CD" w14:textId="77777777" w:rsidR="004F45F4" w:rsidRPr="0007270A" w:rsidRDefault="004F45F4">
            <w:pPr>
              <w:pStyle w:val="Tabele"/>
              <w:jc w:val="right"/>
              <w:rPr>
                <w:highlight w:val="yellow"/>
              </w:rPr>
            </w:pPr>
            <w:r>
              <w:rPr>
                <w:rFonts w:cs="Arial"/>
                <w:color w:val="000000"/>
                <w:szCs w:val="16"/>
              </w:rPr>
              <w:t>44,37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78F6FC" w14:textId="77777777" w:rsidR="004F45F4" w:rsidRPr="0007270A" w:rsidRDefault="004F45F4">
            <w:pPr>
              <w:pStyle w:val="Tabele"/>
              <w:jc w:val="right"/>
              <w:rPr>
                <w:highlight w:val="yellow"/>
              </w:rPr>
            </w:pPr>
            <w:r>
              <w:rPr>
                <w:rFonts w:cs="Arial"/>
                <w:color w:val="000000"/>
                <w:szCs w:val="16"/>
              </w:rPr>
              <w:t>28,68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A7EE47" w14:textId="77777777" w:rsidR="004F45F4" w:rsidRPr="0007270A" w:rsidRDefault="004F45F4">
            <w:pPr>
              <w:pStyle w:val="Tabele"/>
              <w:jc w:val="right"/>
              <w:rPr>
                <w:highlight w:val="yellow"/>
              </w:rPr>
            </w:pPr>
            <w:r>
              <w:rPr>
                <w:rFonts w:cs="Arial"/>
                <w:color w:val="000000"/>
                <w:szCs w:val="16"/>
              </w:rPr>
              <w:t>19,00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26CCD45" w14:textId="77777777" w:rsidR="004F45F4" w:rsidRPr="0007270A" w:rsidRDefault="004F45F4">
            <w:pPr>
              <w:pStyle w:val="Tabele"/>
              <w:jc w:val="right"/>
              <w:rPr>
                <w:highlight w:val="yellow"/>
              </w:rPr>
            </w:pPr>
            <w:r>
              <w:rPr>
                <w:rFonts w:cs="Arial"/>
                <w:color w:val="000000"/>
                <w:szCs w:val="16"/>
              </w:rPr>
              <w:t>11,20</w:t>
            </w:r>
          </w:p>
        </w:tc>
      </w:tr>
      <w:tr w:rsidR="004F45F4" w:rsidRPr="004669DE" w14:paraId="5FF562C8"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DEA707" w14:textId="77777777" w:rsidR="004F45F4" w:rsidRPr="004669DE" w:rsidRDefault="004F45F4">
            <w:pPr>
              <w:pStyle w:val="Tabele"/>
              <w:rPr>
                <w:bCs/>
              </w:rPr>
            </w:pPr>
            <w:r>
              <w:rPr>
                <w:rFonts w:cs="Calibri"/>
                <w:color w:val="000000"/>
                <w:szCs w:val="16"/>
              </w:rPr>
              <w:t xml:space="preserve">2. Ropa naftowa i gaz ziemny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CBAA9E2" w14:textId="77777777" w:rsidR="004F45F4" w:rsidRPr="004669DE" w:rsidRDefault="004F45F4">
            <w:pPr>
              <w:pStyle w:val="Tabele"/>
              <w:jc w:val="right"/>
            </w:pPr>
            <w:r>
              <w:rPr>
                <w:rFonts w:cs="Arial"/>
                <w:color w:val="000000"/>
                <w:szCs w:val="16"/>
              </w:rPr>
              <w:t>24,94</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01423FC" w14:textId="77777777" w:rsidR="004F45F4" w:rsidRPr="004669DE" w:rsidRDefault="004F45F4">
            <w:pPr>
              <w:pStyle w:val="Tabele"/>
              <w:jc w:val="right"/>
            </w:pPr>
            <w:r>
              <w:rPr>
                <w:rFonts w:cs="Arial"/>
                <w:color w:val="000000"/>
                <w:szCs w:val="16"/>
              </w:rPr>
              <w:t>25,57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FB54F12" w14:textId="77777777" w:rsidR="004F45F4" w:rsidRPr="004669DE" w:rsidRDefault="004F45F4">
            <w:pPr>
              <w:pStyle w:val="Tabele"/>
              <w:jc w:val="right"/>
            </w:pPr>
            <w:r>
              <w:rPr>
                <w:rFonts w:cs="Arial"/>
                <w:color w:val="000000"/>
                <w:szCs w:val="16"/>
              </w:rPr>
              <w:t>24,69</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9A714D2" w14:textId="77777777" w:rsidR="004F45F4" w:rsidRPr="004669DE" w:rsidRDefault="004F45F4">
            <w:pPr>
              <w:pStyle w:val="Tabele"/>
              <w:jc w:val="right"/>
            </w:pPr>
            <w:r>
              <w:rPr>
                <w:rFonts w:cs="Arial"/>
                <w:color w:val="000000"/>
                <w:szCs w:val="16"/>
              </w:rPr>
              <w:t>24,45</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D6875E" w14:textId="77777777" w:rsidR="004F45F4" w:rsidRPr="0007270A" w:rsidRDefault="004F45F4">
            <w:pPr>
              <w:pStyle w:val="Tabele"/>
              <w:jc w:val="right"/>
              <w:rPr>
                <w:highlight w:val="yellow"/>
              </w:rPr>
            </w:pPr>
            <w:r>
              <w:rPr>
                <w:rFonts w:cs="Arial"/>
                <w:color w:val="000000"/>
                <w:szCs w:val="16"/>
              </w:rPr>
              <w:t>26,68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613FB24" w14:textId="77777777" w:rsidR="004F45F4" w:rsidRPr="0007270A" w:rsidRDefault="004F45F4">
            <w:pPr>
              <w:pStyle w:val="Tabele"/>
              <w:jc w:val="right"/>
              <w:rPr>
                <w:highlight w:val="yellow"/>
              </w:rPr>
            </w:pPr>
            <w:r>
              <w:rPr>
                <w:rFonts w:cs="Arial"/>
                <w:color w:val="000000"/>
                <w:szCs w:val="16"/>
              </w:rPr>
              <w:t>26,27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7964D53" w14:textId="77777777" w:rsidR="004F45F4" w:rsidRPr="0007270A" w:rsidRDefault="004F45F4">
            <w:pPr>
              <w:pStyle w:val="Tabele"/>
              <w:jc w:val="right"/>
              <w:rPr>
                <w:highlight w:val="yellow"/>
              </w:rPr>
            </w:pPr>
            <w:r>
              <w:rPr>
                <w:rFonts w:cs="Arial"/>
                <w:color w:val="000000"/>
                <w:szCs w:val="16"/>
              </w:rPr>
              <w:t>23,58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213A4C" w14:textId="77777777" w:rsidR="004F45F4" w:rsidRPr="0007270A" w:rsidRDefault="004F45F4">
            <w:pPr>
              <w:pStyle w:val="Tabele"/>
              <w:jc w:val="right"/>
              <w:rPr>
                <w:highlight w:val="yellow"/>
              </w:rPr>
            </w:pPr>
            <w:r>
              <w:rPr>
                <w:rFonts w:cs="Arial"/>
                <w:color w:val="000000"/>
                <w:szCs w:val="16"/>
              </w:rPr>
              <w:t>21,16</w:t>
            </w:r>
          </w:p>
        </w:tc>
      </w:tr>
      <w:tr w:rsidR="004F45F4" w:rsidRPr="004669DE" w14:paraId="78921129"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3DB6F0A" w14:textId="77777777" w:rsidR="004F45F4" w:rsidRPr="004669DE" w:rsidRDefault="004F45F4">
            <w:pPr>
              <w:pStyle w:val="Tabele"/>
              <w:rPr>
                <w:bCs/>
              </w:rPr>
            </w:pPr>
            <w:r>
              <w:rPr>
                <w:rFonts w:cs="Calibri"/>
                <w:b/>
                <w:bCs/>
                <w:color w:val="000000"/>
                <w:szCs w:val="16"/>
              </w:rPr>
              <w:t xml:space="preserve">2. Procesy przemysłowe i użytkowanie produktów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43FD169" w14:textId="77777777" w:rsidR="004F45F4" w:rsidRPr="004669DE" w:rsidRDefault="004F45F4">
            <w:pPr>
              <w:pStyle w:val="Tabele"/>
              <w:jc w:val="right"/>
            </w:pPr>
            <w:r>
              <w:rPr>
                <w:rFonts w:cs="Arial"/>
                <w:b/>
                <w:bCs/>
                <w:color w:val="000000"/>
                <w:szCs w:val="16"/>
              </w:rPr>
              <w:t>261,10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F518FDF" w14:textId="77777777" w:rsidR="004F45F4" w:rsidRPr="004669DE" w:rsidRDefault="004F45F4">
            <w:pPr>
              <w:pStyle w:val="Tabele"/>
              <w:jc w:val="right"/>
            </w:pPr>
            <w:r>
              <w:rPr>
                <w:rFonts w:cs="Arial"/>
                <w:b/>
                <w:bCs/>
                <w:color w:val="000000"/>
                <w:szCs w:val="16"/>
              </w:rPr>
              <w:t>258,73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709390E" w14:textId="77777777" w:rsidR="004F45F4" w:rsidRPr="004669DE" w:rsidRDefault="004F45F4">
            <w:pPr>
              <w:pStyle w:val="Tabele"/>
              <w:jc w:val="right"/>
            </w:pPr>
            <w:r>
              <w:rPr>
                <w:rFonts w:cs="Arial"/>
                <w:b/>
                <w:bCs/>
                <w:color w:val="000000"/>
                <w:szCs w:val="16"/>
              </w:rPr>
              <w:t>250,08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7DE75CD" w14:textId="77777777" w:rsidR="004F45F4" w:rsidRPr="004669DE" w:rsidRDefault="004F45F4">
            <w:pPr>
              <w:pStyle w:val="Tabele"/>
              <w:jc w:val="right"/>
            </w:pPr>
            <w:r>
              <w:rPr>
                <w:rFonts w:cs="Arial"/>
                <w:b/>
                <w:bCs/>
                <w:color w:val="000000"/>
                <w:szCs w:val="16"/>
              </w:rPr>
              <w:t>254,39</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59F749" w14:textId="77777777" w:rsidR="004F45F4" w:rsidRPr="0007270A" w:rsidRDefault="004F45F4">
            <w:pPr>
              <w:pStyle w:val="Tabele"/>
              <w:jc w:val="right"/>
              <w:rPr>
                <w:highlight w:val="yellow"/>
              </w:rPr>
            </w:pPr>
            <w:r>
              <w:rPr>
                <w:rFonts w:cs="Arial"/>
                <w:b/>
                <w:bCs/>
                <w:color w:val="000000"/>
                <w:szCs w:val="16"/>
              </w:rPr>
              <w:t>199,86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70A61B" w14:textId="77777777" w:rsidR="004F45F4" w:rsidRPr="0007270A" w:rsidRDefault="004F45F4">
            <w:pPr>
              <w:pStyle w:val="Tabele"/>
              <w:jc w:val="right"/>
              <w:rPr>
                <w:highlight w:val="yellow"/>
              </w:rPr>
            </w:pPr>
            <w:r>
              <w:rPr>
                <w:rFonts w:cs="Arial"/>
                <w:b/>
                <w:bCs/>
                <w:color w:val="000000"/>
                <w:szCs w:val="16"/>
              </w:rPr>
              <w:t>197,67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6A11394" w14:textId="77777777" w:rsidR="004F45F4" w:rsidRPr="0007270A" w:rsidRDefault="004F45F4">
            <w:pPr>
              <w:pStyle w:val="Tabele"/>
              <w:jc w:val="right"/>
              <w:rPr>
                <w:highlight w:val="yellow"/>
              </w:rPr>
            </w:pPr>
            <w:r>
              <w:rPr>
                <w:rFonts w:cs="Arial"/>
                <w:b/>
                <w:bCs/>
                <w:color w:val="000000"/>
                <w:szCs w:val="16"/>
              </w:rPr>
              <w:t>194,47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78F053" w14:textId="77777777" w:rsidR="004F45F4" w:rsidRPr="0007270A" w:rsidRDefault="004F45F4">
            <w:pPr>
              <w:pStyle w:val="Tabele"/>
              <w:jc w:val="right"/>
              <w:rPr>
                <w:highlight w:val="yellow"/>
              </w:rPr>
            </w:pPr>
            <w:r>
              <w:rPr>
                <w:rFonts w:cs="Arial"/>
                <w:b/>
                <w:bCs/>
                <w:color w:val="000000"/>
                <w:szCs w:val="16"/>
              </w:rPr>
              <w:t>191,91</w:t>
            </w:r>
          </w:p>
        </w:tc>
      </w:tr>
      <w:tr w:rsidR="004F45F4" w:rsidRPr="004669DE" w14:paraId="47BF3591"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6A93B9F" w14:textId="77777777" w:rsidR="004F45F4" w:rsidRPr="004669DE" w:rsidRDefault="004F45F4">
            <w:pPr>
              <w:pStyle w:val="Tabele"/>
              <w:rPr>
                <w:bCs/>
              </w:rPr>
            </w:pPr>
            <w:r>
              <w:rPr>
                <w:rFonts w:cs="Calibri"/>
                <w:color w:val="000000"/>
                <w:szCs w:val="16"/>
              </w:rPr>
              <w:t xml:space="preserve">B. Przemysł chemiczny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56101A0" w14:textId="77777777" w:rsidR="004F45F4" w:rsidRPr="004669DE" w:rsidRDefault="004F45F4">
            <w:pPr>
              <w:pStyle w:val="Tabele"/>
              <w:jc w:val="right"/>
            </w:pPr>
            <w:r>
              <w:rPr>
                <w:rFonts w:cs="Arial"/>
                <w:color w:val="000000"/>
                <w:szCs w:val="16"/>
              </w:rPr>
              <w:t>2,84</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588402D" w14:textId="77777777" w:rsidR="004F45F4" w:rsidRPr="004669DE" w:rsidRDefault="004F45F4">
            <w:pPr>
              <w:pStyle w:val="Tabele"/>
              <w:jc w:val="right"/>
            </w:pPr>
            <w:r>
              <w:rPr>
                <w:rFonts w:cs="Arial"/>
                <w:color w:val="000000"/>
                <w:szCs w:val="16"/>
              </w:rPr>
              <w:t>2,98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712CB4C" w14:textId="77777777" w:rsidR="004F45F4" w:rsidRPr="004669DE" w:rsidRDefault="004F45F4">
            <w:pPr>
              <w:pStyle w:val="Tabele"/>
              <w:jc w:val="right"/>
            </w:pPr>
            <w:r>
              <w:rPr>
                <w:rFonts w:cs="Arial"/>
                <w:color w:val="000000"/>
                <w:szCs w:val="16"/>
              </w:rPr>
              <w:t>4,18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70E115B" w14:textId="77777777" w:rsidR="004F45F4" w:rsidRPr="004669DE" w:rsidRDefault="004F45F4">
            <w:pPr>
              <w:pStyle w:val="Tabele"/>
              <w:jc w:val="right"/>
            </w:pPr>
            <w:r>
              <w:rPr>
                <w:rFonts w:cs="Arial"/>
                <w:color w:val="000000"/>
                <w:szCs w:val="16"/>
              </w:rPr>
              <w:t>5,68</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1BC9584" w14:textId="77777777" w:rsidR="004F45F4" w:rsidRPr="0007270A" w:rsidRDefault="004F45F4">
            <w:pPr>
              <w:pStyle w:val="Tabele"/>
              <w:jc w:val="right"/>
              <w:rPr>
                <w:highlight w:val="yellow"/>
              </w:rPr>
            </w:pPr>
            <w:r>
              <w:rPr>
                <w:rFonts w:cs="Arial"/>
                <w:color w:val="000000"/>
                <w:szCs w:val="16"/>
              </w:rPr>
              <w:t>6,37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C0D168" w14:textId="77777777" w:rsidR="004F45F4" w:rsidRPr="0007270A" w:rsidRDefault="004F45F4">
            <w:pPr>
              <w:pStyle w:val="Tabele"/>
              <w:jc w:val="right"/>
              <w:rPr>
                <w:highlight w:val="yellow"/>
              </w:rPr>
            </w:pPr>
            <w:r>
              <w:rPr>
                <w:rFonts w:cs="Arial"/>
                <w:color w:val="000000"/>
                <w:szCs w:val="16"/>
              </w:rPr>
              <w:t>6,40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22E3E32" w14:textId="77777777" w:rsidR="004F45F4" w:rsidRPr="0007270A" w:rsidRDefault="004F45F4">
            <w:pPr>
              <w:pStyle w:val="Tabele"/>
              <w:jc w:val="right"/>
              <w:rPr>
                <w:highlight w:val="yellow"/>
              </w:rPr>
            </w:pPr>
            <w:r>
              <w:rPr>
                <w:rFonts w:cs="Arial"/>
                <w:color w:val="000000"/>
                <w:szCs w:val="16"/>
              </w:rPr>
              <w:t>6,43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1505F0" w14:textId="77777777" w:rsidR="004F45F4" w:rsidRPr="0007270A" w:rsidRDefault="004F45F4">
            <w:pPr>
              <w:pStyle w:val="Tabele"/>
              <w:jc w:val="right"/>
              <w:rPr>
                <w:highlight w:val="yellow"/>
              </w:rPr>
            </w:pPr>
            <w:r>
              <w:rPr>
                <w:rFonts w:cs="Arial"/>
                <w:color w:val="000000"/>
                <w:szCs w:val="16"/>
              </w:rPr>
              <w:t>6,47</w:t>
            </w:r>
          </w:p>
        </w:tc>
      </w:tr>
      <w:tr w:rsidR="004F45F4" w:rsidRPr="004669DE" w14:paraId="73C12680"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76C615" w14:textId="77777777" w:rsidR="004F45F4" w:rsidRPr="004669DE" w:rsidRDefault="004F45F4">
            <w:pPr>
              <w:pStyle w:val="Tabele"/>
              <w:rPr>
                <w:bCs/>
              </w:rPr>
            </w:pPr>
            <w:r>
              <w:rPr>
                <w:rFonts w:cs="Calibri"/>
                <w:color w:val="000000"/>
                <w:szCs w:val="16"/>
              </w:rPr>
              <w:t xml:space="preserve">C. Produkcja metali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099D545" w14:textId="77777777" w:rsidR="004F45F4" w:rsidRPr="004669DE" w:rsidRDefault="004F45F4">
            <w:pPr>
              <w:pStyle w:val="Tabele"/>
              <w:jc w:val="right"/>
            </w:pPr>
            <w:r>
              <w:rPr>
                <w:rFonts w:cs="Arial"/>
                <w:color w:val="000000"/>
                <w:szCs w:val="16"/>
              </w:rPr>
              <w:t>1,07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897700A" w14:textId="77777777" w:rsidR="004F45F4" w:rsidRPr="004669DE" w:rsidRDefault="004F45F4">
            <w:pPr>
              <w:pStyle w:val="Tabele"/>
              <w:jc w:val="right"/>
            </w:pPr>
            <w:r>
              <w:rPr>
                <w:rFonts w:cs="Arial"/>
                <w:color w:val="000000"/>
                <w:szCs w:val="16"/>
              </w:rPr>
              <w:t>1,04</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4B1FD68" w14:textId="77777777" w:rsidR="004F45F4" w:rsidRPr="004669DE" w:rsidRDefault="004F45F4">
            <w:pPr>
              <w:pStyle w:val="Tabele"/>
              <w:jc w:val="right"/>
            </w:pPr>
            <w:r>
              <w:rPr>
                <w:rFonts w:cs="Arial"/>
                <w:color w:val="000000"/>
                <w:szCs w:val="16"/>
              </w:rPr>
              <w:t>1,27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B536D73" w14:textId="77777777" w:rsidR="004F45F4" w:rsidRPr="004669DE" w:rsidRDefault="004F45F4">
            <w:pPr>
              <w:pStyle w:val="Tabele"/>
              <w:jc w:val="right"/>
            </w:pPr>
            <w:r>
              <w:rPr>
                <w:rFonts w:cs="Arial"/>
                <w:color w:val="000000"/>
                <w:szCs w:val="16"/>
              </w:rPr>
              <w:t>0,91</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A9AB98D" w14:textId="77777777" w:rsidR="004F45F4" w:rsidRPr="0007270A" w:rsidRDefault="004F45F4">
            <w:pPr>
              <w:pStyle w:val="Tabele"/>
              <w:jc w:val="right"/>
              <w:rPr>
                <w:highlight w:val="yellow"/>
              </w:rPr>
            </w:pPr>
            <w:r>
              <w:rPr>
                <w:rFonts w:cs="Arial"/>
                <w:color w:val="000000"/>
                <w:szCs w:val="16"/>
              </w:rPr>
              <w:t>0,98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CD6244" w14:textId="77777777" w:rsidR="004F45F4" w:rsidRPr="0007270A" w:rsidRDefault="004F45F4">
            <w:pPr>
              <w:pStyle w:val="Tabele"/>
              <w:jc w:val="right"/>
              <w:rPr>
                <w:highlight w:val="yellow"/>
              </w:rPr>
            </w:pPr>
            <w:r>
              <w:rPr>
                <w:rFonts w:cs="Arial"/>
                <w:color w:val="000000"/>
                <w:szCs w:val="16"/>
              </w:rPr>
              <w:t>0,90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3F90EA" w14:textId="77777777" w:rsidR="004F45F4" w:rsidRPr="0007270A" w:rsidRDefault="004F45F4">
            <w:pPr>
              <w:pStyle w:val="Tabele"/>
              <w:jc w:val="right"/>
              <w:rPr>
                <w:highlight w:val="yellow"/>
              </w:rPr>
            </w:pPr>
            <w:r>
              <w:rPr>
                <w:rFonts w:cs="Arial"/>
                <w:color w:val="000000"/>
                <w:szCs w:val="16"/>
              </w:rPr>
              <w:t>0,85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A71C0D" w14:textId="77777777" w:rsidR="004F45F4" w:rsidRPr="0007270A" w:rsidRDefault="004F45F4">
            <w:pPr>
              <w:pStyle w:val="Tabele"/>
              <w:jc w:val="right"/>
              <w:rPr>
                <w:highlight w:val="yellow"/>
              </w:rPr>
            </w:pPr>
            <w:r>
              <w:rPr>
                <w:rFonts w:cs="Arial"/>
                <w:color w:val="000000"/>
                <w:szCs w:val="16"/>
              </w:rPr>
              <w:t>0,74</w:t>
            </w:r>
          </w:p>
        </w:tc>
      </w:tr>
      <w:tr w:rsidR="004F45F4" w:rsidRPr="004669DE" w14:paraId="3C1ED69F"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EEE433" w14:textId="77777777" w:rsidR="004F45F4" w:rsidRPr="004669DE" w:rsidRDefault="004F45F4">
            <w:pPr>
              <w:pStyle w:val="Tabele"/>
              <w:rPr>
                <w:bCs/>
              </w:rPr>
            </w:pPr>
            <w:r>
              <w:rPr>
                <w:rFonts w:cs="Calibri"/>
                <w:color w:val="000000"/>
                <w:szCs w:val="16"/>
              </w:rPr>
              <w:t>D. Stosowanie rozpuszczalników i innych produktów</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EB5615B" w14:textId="77777777" w:rsidR="004F45F4" w:rsidRPr="004669DE" w:rsidRDefault="004F45F4">
            <w:pPr>
              <w:pStyle w:val="Tabele"/>
              <w:jc w:val="right"/>
            </w:pPr>
            <w:r>
              <w:rPr>
                <w:rFonts w:cs="Arial"/>
                <w:color w:val="000000"/>
                <w:szCs w:val="16"/>
              </w:rPr>
              <w:t>250,56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F6497F4" w14:textId="77777777" w:rsidR="004F45F4" w:rsidRPr="004669DE" w:rsidRDefault="004F45F4">
            <w:pPr>
              <w:pStyle w:val="Tabele"/>
              <w:jc w:val="right"/>
            </w:pPr>
            <w:r>
              <w:rPr>
                <w:rFonts w:cs="Arial"/>
                <w:color w:val="000000"/>
                <w:szCs w:val="16"/>
              </w:rPr>
              <w:t>247,86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12658D0" w14:textId="77777777" w:rsidR="004F45F4" w:rsidRPr="004669DE" w:rsidRDefault="004F45F4">
            <w:pPr>
              <w:pStyle w:val="Tabele"/>
              <w:jc w:val="right"/>
            </w:pPr>
            <w:r>
              <w:rPr>
                <w:rFonts w:cs="Arial"/>
                <w:color w:val="000000"/>
                <w:szCs w:val="16"/>
              </w:rPr>
              <w:t>237,58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729EFFE" w14:textId="77777777" w:rsidR="004F45F4" w:rsidRPr="004669DE" w:rsidRDefault="004F45F4">
            <w:pPr>
              <w:pStyle w:val="Tabele"/>
              <w:jc w:val="right"/>
            </w:pPr>
            <w:r>
              <w:rPr>
                <w:rFonts w:cs="Arial"/>
                <w:color w:val="000000"/>
                <w:szCs w:val="16"/>
              </w:rPr>
              <w:t>239,85</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E8A13E" w14:textId="77777777" w:rsidR="004F45F4" w:rsidRPr="0007270A" w:rsidRDefault="004F45F4">
            <w:pPr>
              <w:pStyle w:val="Tabele"/>
              <w:jc w:val="right"/>
              <w:rPr>
                <w:highlight w:val="yellow"/>
              </w:rPr>
            </w:pPr>
            <w:r>
              <w:rPr>
                <w:rFonts w:cs="Arial"/>
                <w:color w:val="000000"/>
                <w:szCs w:val="16"/>
              </w:rPr>
              <w:t>184,37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7E8352" w14:textId="77777777" w:rsidR="004F45F4" w:rsidRPr="0007270A" w:rsidRDefault="004F45F4">
            <w:pPr>
              <w:pStyle w:val="Tabele"/>
              <w:jc w:val="right"/>
              <w:rPr>
                <w:highlight w:val="yellow"/>
              </w:rPr>
            </w:pPr>
            <w:r>
              <w:rPr>
                <w:rFonts w:cs="Arial"/>
                <w:color w:val="000000"/>
                <w:szCs w:val="16"/>
              </w:rPr>
              <w:t>182,08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9809251" w14:textId="77777777" w:rsidR="004F45F4" w:rsidRPr="0007270A" w:rsidRDefault="004F45F4">
            <w:pPr>
              <w:pStyle w:val="Tabele"/>
              <w:jc w:val="right"/>
              <w:rPr>
                <w:highlight w:val="yellow"/>
              </w:rPr>
            </w:pPr>
            <w:r>
              <w:rPr>
                <w:rFonts w:cs="Arial"/>
                <w:color w:val="000000"/>
                <w:szCs w:val="16"/>
              </w:rPr>
              <w:t>178,77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7A09BC" w14:textId="77777777" w:rsidR="004F45F4" w:rsidRPr="0007270A" w:rsidRDefault="004F45F4">
            <w:pPr>
              <w:pStyle w:val="Tabele"/>
              <w:jc w:val="right"/>
              <w:rPr>
                <w:highlight w:val="yellow"/>
              </w:rPr>
            </w:pPr>
            <w:r>
              <w:rPr>
                <w:rFonts w:cs="Arial"/>
                <w:color w:val="000000"/>
                <w:szCs w:val="16"/>
              </w:rPr>
              <w:t>176,19</w:t>
            </w:r>
          </w:p>
        </w:tc>
      </w:tr>
      <w:tr w:rsidR="004F45F4" w:rsidRPr="004669DE" w14:paraId="523AFB5B"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1C5C65" w14:textId="77777777" w:rsidR="004F45F4" w:rsidRPr="00EB3B96" w:rsidRDefault="004F45F4">
            <w:pPr>
              <w:pStyle w:val="Tabele"/>
              <w:rPr>
                <w:b/>
              </w:rPr>
            </w:pPr>
            <w:r>
              <w:rPr>
                <w:rFonts w:cs="Calibri"/>
                <w:color w:val="000000"/>
                <w:szCs w:val="16"/>
              </w:rPr>
              <w:t>G. – L. Inne</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9113EE0" w14:textId="77777777" w:rsidR="004F45F4" w:rsidRPr="004669DE" w:rsidRDefault="004F45F4">
            <w:pPr>
              <w:pStyle w:val="Tabele"/>
              <w:jc w:val="right"/>
            </w:pPr>
            <w:r>
              <w:rPr>
                <w:rFonts w:cs="Arial"/>
                <w:color w:val="000000"/>
                <w:szCs w:val="16"/>
              </w:rPr>
              <w:t>6,63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5A5C2FB" w14:textId="77777777" w:rsidR="004F45F4" w:rsidRPr="004669DE" w:rsidRDefault="004F45F4">
            <w:pPr>
              <w:pStyle w:val="Tabele"/>
              <w:jc w:val="right"/>
            </w:pPr>
            <w:r>
              <w:rPr>
                <w:rFonts w:cs="Arial"/>
                <w:color w:val="000000"/>
                <w:szCs w:val="16"/>
              </w:rPr>
              <w:t>6,86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3360C72" w14:textId="77777777" w:rsidR="004F45F4" w:rsidRPr="004669DE" w:rsidRDefault="004F45F4">
            <w:pPr>
              <w:pStyle w:val="Tabele"/>
              <w:jc w:val="right"/>
            </w:pPr>
            <w:r>
              <w:rPr>
                <w:rFonts w:cs="Arial"/>
                <w:color w:val="000000"/>
                <w:szCs w:val="16"/>
              </w:rPr>
              <w:t>7,05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B885597" w14:textId="77777777" w:rsidR="004F45F4" w:rsidRPr="004669DE" w:rsidRDefault="004F45F4">
            <w:pPr>
              <w:pStyle w:val="Tabele"/>
              <w:jc w:val="right"/>
            </w:pPr>
            <w:r>
              <w:rPr>
                <w:rFonts w:cs="Arial"/>
                <w:color w:val="000000"/>
                <w:szCs w:val="16"/>
              </w:rPr>
              <w:t>7,95</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8487C84" w14:textId="77777777" w:rsidR="004F45F4" w:rsidRPr="0007270A" w:rsidRDefault="004F45F4">
            <w:pPr>
              <w:pStyle w:val="Tabele"/>
              <w:jc w:val="right"/>
              <w:rPr>
                <w:highlight w:val="yellow"/>
              </w:rPr>
            </w:pPr>
            <w:r>
              <w:rPr>
                <w:rFonts w:cs="Arial"/>
                <w:color w:val="000000"/>
                <w:szCs w:val="16"/>
              </w:rPr>
              <w:t>8,14</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FDD94C4" w14:textId="77777777" w:rsidR="004F45F4" w:rsidRPr="0007270A" w:rsidRDefault="004F45F4">
            <w:pPr>
              <w:pStyle w:val="Tabele"/>
              <w:jc w:val="right"/>
              <w:rPr>
                <w:highlight w:val="yellow"/>
              </w:rPr>
            </w:pPr>
            <w:r>
              <w:rPr>
                <w:rFonts w:cs="Arial"/>
                <w:color w:val="000000"/>
                <w:szCs w:val="16"/>
              </w:rPr>
              <w:t>8,29</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A1019E" w14:textId="77777777" w:rsidR="004F45F4" w:rsidRPr="0007270A" w:rsidRDefault="004F45F4">
            <w:pPr>
              <w:pStyle w:val="Tabele"/>
              <w:jc w:val="right"/>
              <w:rPr>
                <w:highlight w:val="yellow"/>
              </w:rPr>
            </w:pPr>
            <w:r>
              <w:rPr>
                <w:rFonts w:cs="Arial"/>
                <w:color w:val="000000"/>
                <w:szCs w:val="16"/>
              </w:rPr>
              <w:t>8,41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5C7B8C7" w14:textId="77777777" w:rsidR="004F45F4" w:rsidRPr="0007270A" w:rsidRDefault="004F45F4">
            <w:pPr>
              <w:pStyle w:val="Tabele"/>
              <w:jc w:val="right"/>
              <w:rPr>
                <w:highlight w:val="yellow"/>
              </w:rPr>
            </w:pPr>
            <w:r>
              <w:rPr>
                <w:rFonts w:cs="Arial"/>
                <w:color w:val="000000"/>
                <w:szCs w:val="16"/>
              </w:rPr>
              <w:t>8,52</w:t>
            </w:r>
          </w:p>
        </w:tc>
      </w:tr>
      <w:tr w:rsidR="004F45F4" w:rsidRPr="004669DE" w14:paraId="2EFA80CA"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BC9A3CE" w14:textId="77777777" w:rsidR="004F45F4" w:rsidRPr="004669DE" w:rsidRDefault="004F45F4">
            <w:pPr>
              <w:pStyle w:val="Tabele"/>
              <w:rPr>
                <w:bCs/>
              </w:rPr>
            </w:pPr>
            <w:r>
              <w:rPr>
                <w:rFonts w:cs="Calibri"/>
                <w:b/>
                <w:bCs/>
                <w:color w:val="000000"/>
                <w:szCs w:val="16"/>
              </w:rPr>
              <w:t xml:space="preserve">3. Rolnictwo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19DF632" w14:textId="77777777" w:rsidR="004F45F4" w:rsidRPr="004669DE" w:rsidRDefault="004F45F4">
            <w:pPr>
              <w:pStyle w:val="Tabele"/>
              <w:jc w:val="right"/>
            </w:pPr>
            <w:r>
              <w:rPr>
                <w:rFonts w:cs="Arial"/>
                <w:b/>
                <w:bCs/>
                <w:color w:val="000000"/>
                <w:szCs w:val="16"/>
              </w:rPr>
              <w:t>111,07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3FAA644" w14:textId="77777777" w:rsidR="004F45F4" w:rsidRPr="004669DE" w:rsidRDefault="004F45F4">
            <w:pPr>
              <w:pStyle w:val="Tabele"/>
              <w:jc w:val="right"/>
            </w:pPr>
            <w:r>
              <w:rPr>
                <w:rFonts w:cs="Arial"/>
                <w:b/>
                <w:bCs/>
                <w:color w:val="000000"/>
                <w:szCs w:val="16"/>
              </w:rPr>
              <w:t>102,26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1C97132" w14:textId="77777777" w:rsidR="004F45F4" w:rsidRPr="004669DE" w:rsidRDefault="004F45F4">
            <w:pPr>
              <w:pStyle w:val="Tabele"/>
              <w:jc w:val="right"/>
            </w:pPr>
            <w:r>
              <w:rPr>
                <w:rFonts w:cs="Arial"/>
                <w:b/>
                <w:bCs/>
                <w:color w:val="000000"/>
                <w:szCs w:val="16"/>
              </w:rPr>
              <w:t>103,78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808539F" w14:textId="77777777" w:rsidR="004F45F4" w:rsidRPr="004669DE" w:rsidRDefault="004F45F4">
            <w:pPr>
              <w:pStyle w:val="Tabele"/>
              <w:jc w:val="right"/>
            </w:pPr>
            <w:r>
              <w:rPr>
                <w:rFonts w:cs="Arial"/>
                <w:b/>
                <w:bCs/>
                <w:color w:val="000000"/>
                <w:szCs w:val="16"/>
              </w:rPr>
              <w:t>124,07</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7CC70B" w14:textId="77777777" w:rsidR="004F45F4" w:rsidRPr="0007270A" w:rsidRDefault="004F45F4">
            <w:pPr>
              <w:pStyle w:val="Tabele"/>
              <w:jc w:val="right"/>
              <w:rPr>
                <w:highlight w:val="yellow"/>
              </w:rPr>
            </w:pPr>
            <w:r>
              <w:rPr>
                <w:rFonts w:cs="Arial"/>
                <w:b/>
                <w:bCs/>
                <w:color w:val="000000"/>
                <w:szCs w:val="16"/>
              </w:rPr>
              <w:t>115,34</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7ECA107" w14:textId="77777777" w:rsidR="004F45F4" w:rsidRPr="0007270A" w:rsidRDefault="004F45F4">
            <w:pPr>
              <w:pStyle w:val="Tabele"/>
              <w:jc w:val="right"/>
              <w:rPr>
                <w:highlight w:val="yellow"/>
              </w:rPr>
            </w:pPr>
            <w:r>
              <w:rPr>
                <w:rFonts w:cs="Arial"/>
                <w:b/>
                <w:bCs/>
                <w:color w:val="000000"/>
                <w:szCs w:val="16"/>
              </w:rPr>
              <w:t>107,60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BEA4D95" w14:textId="77777777" w:rsidR="004F45F4" w:rsidRPr="0007270A" w:rsidRDefault="004F45F4">
            <w:pPr>
              <w:pStyle w:val="Tabele"/>
              <w:jc w:val="right"/>
              <w:rPr>
                <w:highlight w:val="yellow"/>
              </w:rPr>
            </w:pPr>
            <w:r>
              <w:rPr>
                <w:rFonts w:cs="Arial"/>
                <w:b/>
                <w:bCs/>
                <w:color w:val="000000"/>
                <w:szCs w:val="16"/>
              </w:rPr>
              <w:t>108,24</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AF14E8" w14:textId="77777777" w:rsidR="004F45F4" w:rsidRPr="0007270A" w:rsidRDefault="004F45F4">
            <w:pPr>
              <w:pStyle w:val="Tabele"/>
              <w:jc w:val="right"/>
              <w:rPr>
                <w:highlight w:val="yellow"/>
              </w:rPr>
            </w:pPr>
            <w:r>
              <w:rPr>
                <w:rFonts w:cs="Arial"/>
                <w:b/>
                <w:bCs/>
                <w:color w:val="000000"/>
                <w:szCs w:val="16"/>
              </w:rPr>
              <w:t>108,20</w:t>
            </w:r>
          </w:p>
        </w:tc>
      </w:tr>
      <w:tr w:rsidR="004F45F4" w:rsidRPr="004669DE" w14:paraId="42069073"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B2B9661" w14:textId="77777777" w:rsidR="004F45F4" w:rsidRPr="00EB3B96" w:rsidRDefault="004F45F4">
            <w:pPr>
              <w:pStyle w:val="Tabele"/>
              <w:rPr>
                <w:bCs/>
              </w:rPr>
            </w:pPr>
            <w:r>
              <w:rPr>
                <w:rFonts w:cs="Calibri"/>
                <w:color w:val="000000"/>
                <w:szCs w:val="16"/>
              </w:rPr>
              <w:t xml:space="preserve">B. Nawozy naturalne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234EEA4" w14:textId="77777777" w:rsidR="004F45F4" w:rsidRPr="004669DE" w:rsidRDefault="004F45F4">
            <w:pPr>
              <w:pStyle w:val="Tabele"/>
              <w:jc w:val="right"/>
            </w:pPr>
            <w:r>
              <w:rPr>
                <w:rFonts w:cs="Arial"/>
                <w:color w:val="000000"/>
                <w:szCs w:val="16"/>
              </w:rPr>
              <w:t>105,01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3B3D688" w14:textId="77777777" w:rsidR="004F45F4" w:rsidRPr="004669DE" w:rsidRDefault="004F45F4">
            <w:pPr>
              <w:pStyle w:val="Tabele"/>
              <w:jc w:val="right"/>
            </w:pPr>
            <w:r>
              <w:rPr>
                <w:rFonts w:cs="Arial"/>
                <w:color w:val="000000"/>
                <w:szCs w:val="16"/>
              </w:rPr>
              <w:t>96,14</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539E7CA" w14:textId="77777777" w:rsidR="004F45F4" w:rsidRPr="004669DE" w:rsidRDefault="004F45F4">
            <w:pPr>
              <w:pStyle w:val="Tabele"/>
              <w:jc w:val="right"/>
            </w:pPr>
            <w:r>
              <w:rPr>
                <w:rFonts w:cs="Arial"/>
                <w:color w:val="000000"/>
                <w:szCs w:val="16"/>
              </w:rPr>
              <w:t>97,48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97DF5B0" w14:textId="77777777" w:rsidR="004F45F4" w:rsidRPr="004669DE" w:rsidRDefault="004F45F4">
            <w:pPr>
              <w:pStyle w:val="Tabele"/>
              <w:jc w:val="right"/>
            </w:pPr>
            <w:r>
              <w:rPr>
                <w:rFonts w:cs="Arial"/>
                <w:color w:val="000000"/>
                <w:szCs w:val="16"/>
              </w:rPr>
              <w:t>115,93</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04761D1" w14:textId="77777777" w:rsidR="004F45F4" w:rsidRPr="0007270A" w:rsidRDefault="004F45F4">
            <w:pPr>
              <w:pStyle w:val="Tabele"/>
              <w:jc w:val="right"/>
              <w:rPr>
                <w:highlight w:val="yellow"/>
              </w:rPr>
            </w:pPr>
            <w:r>
              <w:rPr>
                <w:rFonts w:cs="Arial"/>
                <w:color w:val="000000"/>
                <w:szCs w:val="16"/>
              </w:rPr>
              <w:t>107,21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805295" w14:textId="77777777" w:rsidR="004F45F4" w:rsidRPr="0007270A" w:rsidRDefault="004F45F4">
            <w:pPr>
              <w:pStyle w:val="Tabele"/>
              <w:jc w:val="right"/>
              <w:rPr>
                <w:highlight w:val="yellow"/>
              </w:rPr>
            </w:pPr>
            <w:r>
              <w:rPr>
                <w:rFonts w:cs="Arial"/>
                <w:color w:val="000000"/>
                <w:szCs w:val="16"/>
              </w:rPr>
              <w:t>99,71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ED1F27" w14:textId="77777777" w:rsidR="004F45F4" w:rsidRPr="0007270A" w:rsidRDefault="004F45F4">
            <w:pPr>
              <w:pStyle w:val="Tabele"/>
              <w:jc w:val="right"/>
              <w:rPr>
                <w:highlight w:val="yellow"/>
              </w:rPr>
            </w:pPr>
            <w:r>
              <w:rPr>
                <w:rFonts w:cs="Arial"/>
                <w:color w:val="000000"/>
                <w:szCs w:val="16"/>
              </w:rPr>
              <w:t>100,52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D11348" w14:textId="77777777" w:rsidR="004F45F4" w:rsidRPr="0007270A" w:rsidRDefault="004F45F4">
            <w:pPr>
              <w:pStyle w:val="Tabele"/>
              <w:jc w:val="right"/>
              <w:rPr>
                <w:highlight w:val="yellow"/>
              </w:rPr>
            </w:pPr>
            <w:r>
              <w:rPr>
                <w:rFonts w:cs="Arial"/>
                <w:color w:val="000000"/>
                <w:szCs w:val="16"/>
              </w:rPr>
              <w:t>100,75</w:t>
            </w:r>
          </w:p>
        </w:tc>
      </w:tr>
      <w:tr w:rsidR="004F45F4" w:rsidRPr="004669DE" w14:paraId="547E822A"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0E0549C" w14:textId="77777777" w:rsidR="004F45F4" w:rsidRPr="00EB3B96" w:rsidRDefault="004F45F4">
            <w:pPr>
              <w:pStyle w:val="Tabele"/>
              <w:rPr>
                <w:bCs/>
              </w:rPr>
            </w:pPr>
            <w:r>
              <w:rPr>
                <w:rFonts w:cs="Calibri"/>
                <w:color w:val="000000"/>
                <w:szCs w:val="16"/>
              </w:rPr>
              <w:t xml:space="preserve">D. Gleby rolne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91AAD6E" w14:textId="77777777" w:rsidR="004F45F4" w:rsidRPr="004669DE" w:rsidRDefault="004F45F4">
            <w:pPr>
              <w:pStyle w:val="Tabele"/>
              <w:jc w:val="right"/>
            </w:pPr>
            <w:r>
              <w:rPr>
                <w:rFonts w:cs="Arial"/>
                <w:color w:val="000000"/>
                <w:szCs w:val="16"/>
              </w:rPr>
              <w:t>6,05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F7C16BF" w14:textId="77777777" w:rsidR="004F45F4" w:rsidRPr="004669DE" w:rsidRDefault="004F45F4">
            <w:pPr>
              <w:pStyle w:val="Tabele"/>
              <w:jc w:val="right"/>
            </w:pPr>
            <w:r>
              <w:rPr>
                <w:rFonts w:cs="Arial"/>
                <w:color w:val="000000"/>
                <w:szCs w:val="16"/>
              </w:rPr>
              <w:t>6,12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68189A9" w14:textId="77777777" w:rsidR="004F45F4" w:rsidRPr="004669DE" w:rsidRDefault="004F45F4">
            <w:pPr>
              <w:pStyle w:val="Tabele"/>
              <w:jc w:val="right"/>
            </w:pPr>
            <w:r>
              <w:rPr>
                <w:rFonts w:cs="Arial"/>
                <w:color w:val="000000"/>
                <w:szCs w:val="16"/>
              </w:rPr>
              <w:t>6,28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28ADDEE" w14:textId="77777777" w:rsidR="004F45F4" w:rsidRPr="004669DE" w:rsidRDefault="004F45F4">
            <w:pPr>
              <w:pStyle w:val="Tabele"/>
              <w:jc w:val="right"/>
            </w:pPr>
            <w:r>
              <w:rPr>
                <w:rFonts w:cs="Arial"/>
                <w:color w:val="000000"/>
                <w:szCs w:val="16"/>
              </w:rPr>
              <w:t>8,13</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470BC84" w14:textId="77777777" w:rsidR="004F45F4" w:rsidRPr="0007270A" w:rsidRDefault="004F45F4">
            <w:pPr>
              <w:pStyle w:val="Tabele"/>
              <w:jc w:val="right"/>
              <w:rPr>
                <w:highlight w:val="yellow"/>
              </w:rPr>
            </w:pPr>
            <w:r>
              <w:rPr>
                <w:rFonts w:cs="Arial"/>
                <w:color w:val="000000"/>
                <w:szCs w:val="16"/>
              </w:rPr>
              <w:t>8,12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FCF19D" w14:textId="77777777" w:rsidR="004F45F4" w:rsidRPr="0007270A" w:rsidRDefault="004F45F4">
            <w:pPr>
              <w:pStyle w:val="Tabele"/>
              <w:jc w:val="right"/>
              <w:rPr>
                <w:highlight w:val="yellow"/>
              </w:rPr>
            </w:pPr>
            <w:r>
              <w:rPr>
                <w:rFonts w:cs="Arial"/>
                <w:color w:val="000000"/>
                <w:szCs w:val="16"/>
              </w:rPr>
              <w:t>7,89</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9CDEFD3" w14:textId="77777777" w:rsidR="004F45F4" w:rsidRPr="0007270A" w:rsidRDefault="004F45F4">
            <w:pPr>
              <w:pStyle w:val="Tabele"/>
              <w:jc w:val="right"/>
              <w:rPr>
                <w:highlight w:val="yellow"/>
              </w:rPr>
            </w:pPr>
            <w:r>
              <w:rPr>
                <w:rFonts w:cs="Arial"/>
                <w:color w:val="000000"/>
                <w:szCs w:val="16"/>
              </w:rPr>
              <w:t>7,72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7638AF" w14:textId="77777777" w:rsidR="004F45F4" w:rsidRPr="0007270A" w:rsidRDefault="004F45F4">
            <w:pPr>
              <w:pStyle w:val="Tabele"/>
              <w:jc w:val="right"/>
              <w:rPr>
                <w:highlight w:val="yellow"/>
              </w:rPr>
            </w:pPr>
            <w:r>
              <w:rPr>
                <w:rFonts w:cs="Arial"/>
                <w:color w:val="000000"/>
                <w:szCs w:val="16"/>
              </w:rPr>
              <w:t>7,44</w:t>
            </w:r>
          </w:p>
        </w:tc>
      </w:tr>
      <w:tr w:rsidR="004F45F4" w:rsidRPr="004669DE" w14:paraId="28C4B36D"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45478F3" w14:textId="77777777" w:rsidR="004F45F4" w:rsidRPr="004669DE" w:rsidRDefault="004F45F4">
            <w:pPr>
              <w:pStyle w:val="Tabele"/>
              <w:rPr>
                <w:bCs/>
              </w:rPr>
            </w:pPr>
            <w:r>
              <w:rPr>
                <w:rFonts w:cs="Calibri"/>
                <w:color w:val="000000"/>
                <w:szCs w:val="16"/>
              </w:rPr>
              <w:t xml:space="preserve">F. Spalanie resztek roślinnych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7B0C724" w14:textId="77777777" w:rsidR="004F45F4" w:rsidRPr="004669DE" w:rsidRDefault="004F45F4">
            <w:pPr>
              <w:pStyle w:val="Tabele"/>
              <w:jc w:val="right"/>
            </w:pPr>
            <w:r>
              <w:rPr>
                <w:rFonts w:cs="Arial"/>
                <w:color w:val="000000"/>
                <w:szCs w:val="16"/>
              </w:rPr>
              <w:t>0,01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3D460C9" w14:textId="77777777" w:rsidR="004F45F4" w:rsidRPr="004669DE" w:rsidRDefault="004F45F4">
            <w:pPr>
              <w:pStyle w:val="Tabele"/>
              <w:jc w:val="right"/>
            </w:pPr>
            <w:r>
              <w:rPr>
                <w:rFonts w:cs="Arial"/>
                <w:color w:val="000000"/>
                <w:szCs w:val="16"/>
              </w:rPr>
              <w:t>0,00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591B50B" w14:textId="77777777" w:rsidR="004F45F4" w:rsidRPr="004669DE" w:rsidRDefault="004F45F4">
            <w:pPr>
              <w:pStyle w:val="Tabele"/>
              <w:jc w:val="right"/>
            </w:pPr>
            <w:r>
              <w:rPr>
                <w:rFonts w:cs="Arial"/>
                <w:color w:val="000000"/>
                <w:szCs w:val="16"/>
              </w:rPr>
              <w:t>0,01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1DB3F69" w14:textId="77777777" w:rsidR="004F45F4" w:rsidRPr="004669DE" w:rsidRDefault="004F45F4">
            <w:pPr>
              <w:pStyle w:val="Tabele"/>
              <w:jc w:val="right"/>
            </w:pPr>
            <w:r>
              <w:rPr>
                <w:rFonts w:cs="Arial"/>
                <w:color w:val="000000"/>
                <w:szCs w:val="16"/>
              </w:rPr>
              <w:t>0,01</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1C85DF" w14:textId="77777777" w:rsidR="004F45F4" w:rsidRPr="0007270A" w:rsidRDefault="004F45F4">
            <w:pPr>
              <w:pStyle w:val="Tabele"/>
              <w:jc w:val="right"/>
              <w:rPr>
                <w:highlight w:val="yellow"/>
              </w:rPr>
            </w:pPr>
            <w:r>
              <w:rPr>
                <w:rFonts w:cs="Arial"/>
                <w:color w:val="000000"/>
                <w:szCs w:val="16"/>
              </w:rPr>
              <w:t>0,00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84896F9" w14:textId="77777777" w:rsidR="004F45F4" w:rsidRPr="0007270A" w:rsidRDefault="004F45F4">
            <w:pPr>
              <w:pStyle w:val="Tabele"/>
              <w:jc w:val="right"/>
              <w:rPr>
                <w:highlight w:val="yellow"/>
              </w:rPr>
            </w:pPr>
            <w:r>
              <w:rPr>
                <w:rFonts w:cs="Arial"/>
                <w:color w:val="000000"/>
                <w:szCs w:val="16"/>
              </w:rPr>
              <w:t>0,00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D4BBED" w14:textId="77777777" w:rsidR="004F45F4" w:rsidRPr="0007270A" w:rsidRDefault="004F45F4">
            <w:pPr>
              <w:pStyle w:val="Tabele"/>
              <w:jc w:val="right"/>
              <w:rPr>
                <w:highlight w:val="yellow"/>
              </w:rPr>
            </w:pPr>
            <w:r>
              <w:rPr>
                <w:rFonts w:cs="Arial"/>
                <w:color w:val="000000"/>
                <w:szCs w:val="16"/>
              </w:rPr>
              <w:t>0,00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3A5B66" w14:textId="77777777" w:rsidR="004F45F4" w:rsidRPr="0007270A" w:rsidRDefault="004F45F4">
            <w:pPr>
              <w:pStyle w:val="Tabele"/>
              <w:jc w:val="right"/>
              <w:rPr>
                <w:highlight w:val="yellow"/>
              </w:rPr>
            </w:pPr>
            <w:r>
              <w:rPr>
                <w:rFonts w:cs="Arial"/>
                <w:color w:val="000000"/>
                <w:szCs w:val="16"/>
              </w:rPr>
              <w:t>0,00</w:t>
            </w:r>
          </w:p>
        </w:tc>
      </w:tr>
      <w:tr w:rsidR="004F45F4" w:rsidRPr="004669DE" w14:paraId="0206F2B6"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D241878" w14:textId="77777777" w:rsidR="004F45F4" w:rsidRPr="004669DE" w:rsidRDefault="004F45F4">
            <w:pPr>
              <w:pStyle w:val="Tabele"/>
              <w:rPr>
                <w:bCs/>
              </w:rPr>
            </w:pPr>
            <w:r>
              <w:rPr>
                <w:rFonts w:cs="Calibri"/>
                <w:b/>
                <w:bCs/>
                <w:color w:val="000000"/>
                <w:szCs w:val="16"/>
              </w:rPr>
              <w:t xml:space="preserve">5. Odpady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CCB6C18" w14:textId="77777777" w:rsidR="004F45F4" w:rsidRPr="004669DE" w:rsidRDefault="004F45F4">
            <w:pPr>
              <w:pStyle w:val="Tabele"/>
              <w:jc w:val="right"/>
            </w:pPr>
            <w:r>
              <w:rPr>
                <w:rFonts w:cs="Arial"/>
                <w:b/>
                <w:bCs/>
                <w:color w:val="000000"/>
                <w:szCs w:val="16"/>
              </w:rPr>
              <w:t>4,35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2FE868B" w14:textId="77777777" w:rsidR="004F45F4" w:rsidRPr="004669DE" w:rsidRDefault="004F45F4">
            <w:pPr>
              <w:pStyle w:val="Tabele"/>
              <w:jc w:val="right"/>
            </w:pPr>
            <w:r>
              <w:rPr>
                <w:rFonts w:cs="Arial"/>
                <w:b/>
                <w:bCs/>
                <w:color w:val="000000"/>
                <w:szCs w:val="16"/>
              </w:rPr>
              <w:t>2,53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97C7AAF" w14:textId="77777777" w:rsidR="004F45F4" w:rsidRPr="004669DE" w:rsidRDefault="004F45F4">
            <w:pPr>
              <w:pStyle w:val="Tabele"/>
              <w:jc w:val="right"/>
            </w:pPr>
            <w:r>
              <w:rPr>
                <w:rFonts w:cs="Arial"/>
                <w:b/>
                <w:bCs/>
                <w:color w:val="000000"/>
                <w:szCs w:val="16"/>
              </w:rPr>
              <w:t>1,66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77B4C8A" w14:textId="77777777" w:rsidR="004F45F4" w:rsidRPr="004669DE" w:rsidRDefault="004F45F4">
            <w:pPr>
              <w:pStyle w:val="Tabele"/>
              <w:jc w:val="right"/>
            </w:pPr>
            <w:r>
              <w:rPr>
                <w:rFonts w:cs="Arial"/>
                <w:b/>
                <w:bCs/>
                <w:color w:val="000000"/>
                <w:szCs w:val="16"/>
              </w:rPr>
              <w:t>1,25</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034101E" w14:textId="77777777" w:rsidR="004F45F4" w:rsidRPr="0007270A" w:rsidRDefault="004F45F4">
            <w:pPr>
              <w:pStyle w:val="Tabele"/>
              <w:jc w:val="right"/>
              <w:rPr>
                <w:highlight w:val="yellow"/>
              </w:rPr>
            </w:pPr>
            <w:r>
              <w:rPr>
                <w:rFonts w:cs="Arial"/>
                <w:b/>
                <w:bCs/>
                <w:color w:val="000000"/>
                <w:szCs w:val="16"/>
              </w:rPr>
              <w:t>0,92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5B1B67" w14:textId="77777777" w:rsidR="004F45F4" w:rsidRPr="0007270A" w:rsidRDefault="004F45F4">
            <w:pPr>
              <w:pStyle w:val="Tabele"/>
              <w:jc w:val="right"/>
              <w:rPr>
                <w:highlight w:val="yellow"/>
              </w:rPr>
            </w:pPr>
            <w:r>
              <w:rPr>
                <w:rFonts w:cs="Arial"/>
                <w:b/>
                <w:bCs/>
                <w:color w:val="000000"/>
                <w:szCs w:val="16"/>
              </w:rPr>
              <w:t>0,68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A37035A" w14:textId="77777777" w:rsidR="004F45F4" w:rsidRPr="0007270A" w:rsidRDefault="004F45F4">
            <w:pPr>
              <w:pStyle w:val="Tabele"/>
              <w:jc w:val="right"/>
              <w:rPr>
                <w:highlight w:val="yellow"/>
              </w:rPr>
            </w:pPr>
            <w:r>
              <w:rPr>
                <w:rFonts w:cs="Arial"/>
                <w:b/>
                <w:bCs/>
                <w:color w:val="000000"/>
                <w:szCs w:val="16"/>
              </w:rPr>
              <w:t>0,56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B8871BB" w14:textId="77777777" w:rsidR="004F45F4" w:rsidRPr="0007270A" w:rsidRDefault="004F45F4">
            <w:pPr>
              <w:pStyle w:val="Tabele"/>
              <w:jc w:val="right"/>
              <w:rPr>
                <w:highlight w:val="yellow"/>
              </w:rPr>
            </w:pPr>
            <w:r>
              <w:rPr>
                <w:rFonts w:cs="Arial"/>
                <w:b/>
                <w:bCs/>
                <w:color w:val="000000"/>
                <w:szCs w:val="16"/>
              </w:rPr>
              <w:t>0,48</w:t>
            </w:r>
          </w:p>
        </w:tc>
      </w:tr>
      <w:tr w:rsidR="004F45F4" w:rsidRPr="004669DE" w14:paraId="53DF2DD4"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F99D714" w14:textId="77777777" w:rsidR="004F45F4" w:rsidRPr="00EB3B96" w:rsidRDefault="004F45F4">
            <w:pPr>
              <w:pStyle w:val="Tabele"/>
              <w:rPr>
                <w:bCs/>
              </w:rPr>
            </w:pPr>
            <w:r>
              <w:rPr>
                <w:rFonts w:cs="Calibri"/>
                <w:color w:val="000000"/>
                <w:szCs w:val="16"/>
              </w:rPr>
              <w:t xml:space="preserve">A. Składowanie odpadów stałych </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BDD057E" w14:textId="77777777" w:rsidR="004F45F4" w:rsidRPr="004669DE" w:rsidRDefault="004F45F4">
            <w:pPr>
              <w:pStyle w:val="Tabele"/>
              <w:jc w:val="right"/>
            </w:pPr>
            <w:r>
              <w:rPr>
                <w:rFonts w:cs="Arial"/>
                <w:color w:val="000000"/>
                <w:szCs w:val="16"/>
              </w:rPr>
              <w:t>4,01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9287A7B" w14:textId="77777777" w:rsidR="004F45F4" w:rsidRPr="004669DE" w:rsidRDefault="004F45F4">
            <w:pPr>
              <w:pStyle w:val="Tabele"/>
              <w:jc w:val="right"/>
            </w:pPr>
            <w:r>
              <w:rPr>
                <w:rFonts w:cs="Arial"/>
                <w:color w:val="000000"/>
                <w:szCs w:val="16"/>
              </w:rPr>
              <w:t>2,16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0EF9402" w14:textId="77777777" w:rsidR="004F45F4" w:rsidRPr="004669DE" w:rsidRDefault="004F45F4">
            <w:pPr>
              <w:pStyle w:val="Tabele"/>
              <w:jc w:val="right"/>
            </w:pPr>
            <w:r>
              <w:rPr>
                <w:rFonts w:cs="Arial"/>
                <w:color w:val="000000"/>
                <w:szCs w:val="16"/>
              </w:rPr>
              <w:t>1,25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20DC39B" w14:textId="77777777" w:rsidR="004F45F4" w:rsidRPr="004669DE" w:rsidRDefault="004F45F4">
            <w:pPr>
              <w:pStyle w:val="Tabele"/>
              <w:jc w:val="right"/>
            </w:pPr>
            <w:r>
              <w:rPr>
                <w:rFonts w:cs="Arial"/>
                <w:color w:val="000000"/>
                <w:szCs w:val="16"/>
              </w:rPr>
              <w:t>0,77</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15D199" w14:textId="77777777" w:rsidR="004F45F4" w:rsidRPr="0007270A" w:rsidRDefault="004F45F4">
            <w:pPr>
              <w:pStyle w:val="Tabele"/>
              <w:jc w:val="right"/>
              <w:rPr>
                <w:highlight w:val="yellow"/>
              </w:rPr>
            </w:pPr>
            <w:r>
              <w:rPr>
                <w:rFonts w:cs="Arial"/>
                <w:color w:val="000000"/>
                <w:szCs w:val="16"/>
              </w:rPr>
              <w:t>0,43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116BA14" w14:textId="77777777" w:rsidR="004F45F4" w:rsidRPr="0007270A" w:rsidRDefault="004F45F4">
            <w:pPr>
              <w:pStyle w:val="Tabele"/>
              <w:jc w:val="right"/>
              <w:rPr>
                <w:highlight w:val="yellow"/>
              </w:rPr>
            </w:pPr>
            <w:r>
              <w:rPr>
                <w:rFonts w:cs="Arial"/>
                <w:color w:val="000000"/>
                <w:szCs w:val="16"/>
              </w:rPr>
              <w:t>0,22</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ED542E" w14:textId="77777777" w:rsidR="004F45F4" w:rsidRPr="0007270A" w:rsidRDefault="004F45F4">
            <w:pPr>
              <w:pStyle w:val="Tabele"/>
              <w:jc w:val="right"/>
              <w:rPr>
                <w:highlight w:val="yellow"/>
              </w:rPr>
            </w:pPr>
            <w:r>
              <w:rPr>
                <w:rFonts w:cs="Arial"/>
                <w:color w:val="000000"/>
                <w:szCs w:val="16"/>
              </w:rPr>
              <w:t>0,10</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C3240E" w14:textId="77777777" w:rsidR="004F45F4" w:rsidRPr="0007270A" w:rsidRDefault="004F45F4">
            <w:pPr>
              <w:pStyle w:val="Tabele"/>
              <w:jc w:val="right"/>
              <w:rPr>
                <w:highlight w:val="yellow"/>
              </w:rPr>
            </w:pPr>
            <w:r>
              <w:rPr>
                <w:rFonts w:cs="Arial"/>
                <w:color w:val="000000"/>
                <w:szCs w:val="16"/>
              </w:rPr>
              <w:t>0,04</w:t>
            </w:r>
          </w:p>
        </w:tc>
      </w:tr>
      <w:tr w:rsidR="004F45F4" w:rsidRPr="004669DE" w14:paraId="5D0281FE"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EDF7A2" w14:textId="77777777" w:rsidR="004F45F4" w:rsidRPr="00EB3B96" w:rsidRDefault="004F45F4">
            <w:pPr>
              <w:pStyle w:val="Tabele"/>
              <w:rPr>
                <w:bCs/>
              </w:rPr>
            </w:pPr>
            <w:r>
              <w:rPr>
                <w:rFonts w:cs="Calibri"/>
                <w:color w:val="000000"/>
                <w:szCs w:val="16"/>
              </w:rPr>
              <w:t>C. Spopielanie i otwarte spalanie odpadów</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B41BE9E" w14:textId="77777777" w:rsidR="004F45F4" w:rsidRPr="004669DE" w:rsidRDefault="004F45F4">
            <w:pPr>
              <w:pStyle w:val="Tabele"/>
              <w:jc w:val="right"/>
            </w:pPr>
            <w:r>
              <w:rPr>
                <w:rFonts w:cs="Arial"/>
                <w:color w:val="000000"/>
                <w:szCs w:val="16"/>
              </w:rPr>
              <w:t>0,31</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43A9927" w14:textId="77777777" w:rsidR="004F45F4" w:rsidRPr="004669DE" w:rsidRDefault="004F45F4">
            <w:pPr>
              <w:pStyle w:val="Tabele"/>
              <w:jc w:val="right"/>
            </w:pPr>
            <w:r>
              <w:rPr>
                <w:rFonts w:cs="Arial"/>
                <w:color w:val="000000"/>
                <w:szCs w:val="16"/>
              </w:rPr>
              <w:t>0,34</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7123A45" w14:textId="77777777" w:rsidR="004F45F4" w:rsidRPr="004669DE" w:rsidRDefault="004F45F4">
            <w:pPr>
              <w:pStyle w:val="Tabele"/>
              <w:jc w:val="right"/>
            </w:pPr>
            <w:r>
              <w:rPr>
                <w:rFonts w:cs="Arial"/>
                <w:color w:val="000000"/>
                <w:szCs w:val="16"/>
              </w:rPr>
              <w:t>0,38</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1523F63" w14:textId="77777777" w:rsidR="004F45F4" w:rsidRPr="004669DE" w:rsidRDefault="004F45F4">
            <w:pPr>
              <w:pStyle w:val="Tabele"/>
              <w:jc w:val="right"/>
            </w:pPr>
            <w:r>
              <w:rPr>
                <w:rFonts w:cs="Arial"/>
                <w:color w:val="000000"/>
                <w:szCs w:val="16"/>
              </w:rPr>
              <w:t>0,44</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567607" w14:textId="77777777" w:rsidR="004F45F4" w:rsidRPr="0007270A" w:rsidRDefault="004F45F4">
            <w:pPr>
              <w:pStyle w:val="Tabele"/>
              <w:jc w:val="right"/>
              <w:rPr>
                <w:highlight w:val="yellow"/>
              </w:rPr>
            </w:pPr>
            <w:r>
              <w:rPr>
                <w:rFonts w:cs="Arial"/>
                <w:color w:val="000000"/>
                <w:szCs w:val="16"/>
              </w:rPr>
              <w:t>0,46</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FAEC2B" w14:textId="77777777" w:rsidR="004F45F4" w:rsidRPr="0007270A" w:rsidRDefault="004F45F4">
            <w:pPr>
              <w:pStyle w:val="Tabele"/>
              <w:jc w:val="right"/>
              <w:rPr>
                <w:highlight w:val="yellow"/>
              </w:rPr>
            </w:pPr>
            <w:r>
              <w:rPr>
                <w:rFonts w:cs="Arial"/>
                <w:color w:val="000000"/>
                <w:szCs w:val="16"/>
              </w:rPr>
              <w:t>0,43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B4310C1" w14:textId="77777777" w:rsidR="004F45F4" w:rsidRPr="0007270A" w:rsidRDefault="004F45F4">
            <w:pPr>
              <w:pStyle w:val="Tabele"/>
              <w:jc w:val="right"/>
              <w:rPr>
                <w:highlight w:val="yellow"/>
              </w:rPr>
            </w:pPr>
            <w:r>
              <w:rPr>
                <w:rFonts w:cs="Arial"/>
                <w:color w:val="000000"/>
                <w:szCs w:val="16"/>
              </w:rPr>
              <w:t>0,43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E67B94" w14:textId="77777777" w:rsidR="004F45F4" w:rsidRPr="0007270A" w:rsidRDefault="004F45F4">
            <w:pPr>
              <w:pStyle w:val="Tabele"/>
              <w:jc w:val="right"/>
              <w:rPr>
                <w:highlight w:val="yellow"/>
              </w:rPr>
            </w:pPr>
            <w:r>
              <w:rPr>
                <w:rFonts w:cs="Arial"/>
                <w:color w:val="000000"/>
                <w:szCs w:val="16"/>
              </w:rPr>
              <w:t>0,41</w:t>
            </w:r>
          </w:p>
        </w:tc>
      </w:tr>
      <w:tr w:rsidR="004F45F4" w:rsidRPr="004669DE" w14:paraId="7A45CC79"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441C504" w14:textId="77777777" w:rsidR="004F45F4" w:rsidRPr="00EB3B96" w:rsidRDefault="004F45F4">
            <w:pPr>
              <w:pStyle w:val="Tabele"/>
              <w:rPr>
                <w:bCs/>
              </w:rPr>
            </w:pPr>
            <w:r>
              <w:rPr>
                <w:rFonts w:cs="Calibri"/>
                <w:color w:val="000000"/>
                <w:szCs w:val="16"/>
              </w:rPr>
              <w:t>D. Gospodarka ściekami</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A2FF8D4" w14:textId="77777777" w:rsidR="004F45F4" w:rsidRPr="004669DE" w:rsidRDefault="004F45F4">
            <w:pPr>
              <w:pStyle w:val="Tabele"/>
              <w:jc w:val="right"/>
            </w:pPr>
            <w:r>
              <w:rPr>
                <w:rFonts w:cs="Arial"/>
                <w:color w:val="000000"/>
                <w:szCs w:val="16"/>
              </w:rPr>
              <w:t>0,03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D69B6B5" w14:textId="77777777" w:rsidR="004F45F4" w:rsidRPr="004669DE" w:rsidRDefault="004F45F4">
            <w:pPr>
              <w:pStyle w:val="Tabele"/>
              <w:jc w:val="right"/>
            </w:pPr>
            <w:r>
              <w:rPr>
                <w:rFonts w:cs="Arial"/>
                <w:color w:val="000000"/>
                <w:szCs w:val="16"/>
              </w:rPr>
              <w:t>0,03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B93017E" w14:textId="77777777" w:rsidR="004F45F4" w:rsidRPr="004669DE" w:rsidRDefault="004F45F4">
            <w:pPr>
              <w:pStyle w:val="Tabele"/>
              <w:jc w:val="right"/>
            </w:pPr>
            <w:r>
              <w:rPr>
                <w:rFonts w:cs="Arial"/>
                <w:color w:val="000000"/>
                <w:szCs w:val="16"/>
              </w:rPr>
              <w:t>0,03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1ACFA0B" w14:textId="77777777" w:rsidR="004F45F4" w:rsidRPr="004669DE" w:rsidRDefault="004F45F4">
            <w:pPr>
              <w:pStyle w:val="Tabele"/>
              <w:jc w:val="right"/>
            </w:pPr>
            <w:r>
              <w:rPr>
                <w:rFonts w:cs="Arial"/>
                <w:color w:val="000000"/>
                <w:szCs w:val="16"/>
              </w:rPr>
              <w:t>0,03</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014579" w14:textId="77777777" w:rsidR="004F45F4" w:rsidRPr="0007270A" w:rsidRDefault="004F45F4">
            <w:pPr>
              <w:pStyle w:val="Tabele"/>
              <w:jc w:val="right"/>
              <w:rPr>
                <w:highlight w:val="yellow"/>
              </w:rPr>
            </w:pPr>
            <w:r>
              <w:rPr>
                <w:rFonts w:cs="Arial"/>
                <w:color w:val="000000"/>
                <w:szCs w:val="16"/>
              </w:rPr>
              <w:t>0,03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FD305C0" w14:textId="77777777" w:rsidR="004F45F4" w:rsidRPr="0007270A" w:rsidRDefault="004F45F4">
            <w:pPr>
              <w:pStyle w:val="Tabele"/>
              <w:jc w:val="right"/>
              <w:rPr>
                <w:highlight w:val="yellow"/>
              </w:rPr>
            </w:pPr>
            <w:r>
              <w:rPr>
                <w:rFonts w:cs="Arial"/>
                <w:color w:val="000000"/>
                <w:szCs w:val="16"/>
              </w:rPr>
              <w:t>0,03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D908BF0" w14:textId="77777777" w:rsidR="004F45F4" w:rsidRPr="0007270A" w:rsidRDefault="004F45F4">
            <w:pPr>
              <w:pStyle w:val="Tabele"/>
              <w:jc w:val="right"/>
              <w:rPr>
                <w:highlight w:val="yellow"/>
              </w:rPr>
            </w:pPr>
            <w:r>
              <w:rPr>
                <w:rFonts w:cs="Arial"/>
                <w:color w:val="000000"/>
                <w:szCs w:val="16"/>
              </w:rPr>
              <w:t>0,03</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555352" w14:textId="77777777" w:rsidR="004F45F4" w:rsidRPr="0007270A" w:rsidRDefault="004F45F4">
            <w:pPr>
              <w:pStyle w:val="Tabele"/>
              <w:jc w:val="right"/>
              <w:rPr>
                <w:highlight w:val="yellow"/>
              </w:rPr>
            </w:pPr>
            <w:r>
              <w:rPr>
                <w:rFonts w:cs="Arial"/>
                <w:color w:val="000000"/>
                <w:szCs w:val="16"/>
              </w:rPr>
              <w:t>0,03</w:t>
            </w:r>
          </w:p>
        </w:tc>
      </w:tr>
      <w:tr w:rsidR="004F45F4" w:rsidRPr="001A4E8B" w14:paraId="4B2E4024" w14:textId="77777777" w:rsidTr="004F45F4">
        <w:trPr>
          <w:trHeight w:val="234"/>
        </w:trPr>
        <w:tc>
          <w:tcPr>
            <w:tcW w:w="224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2C22D60" w14:textId="77777777" w:rsidR="004F45F4" w:rsidRPr="001A4E8B" w:rsidRDefault="004F45F4">
            <w:pPr>
              <w:pStyle w:val="Tabele"/>
              <w:rPr>
                <w:b/>
                <w:bCs/>
              </w:rPr>
            </w:pPr>
            <w:r w:rsidRPr="001A4E8B">
              <w:rPr>
                <w:rFonts w:cs="Calibri"/>
                <w:b/>
                <w:bCs/>
                <w:color w:val="000000"/>
                <w:szCs w:val="16"/>
              </w:rPr>
              <w:t>OGÓŁEM</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E53999C" w14:textId="77777777" w:rsidR="004F45F4" w:rsidRPr="001A4E8B" w:rsidRDefault="004F45F4">
            <w:pPr>
              <w:pStyle w:val="Tabele"/>
              <w:jc w:val="right"/>
              <w:rPr>
                <w:b/>
                <w:bCs/>
              </w:rPr>
            </w:pPr>
            <w:r>
              <w:rPr>
                <w:rFonts w:cs="Arial"/>
                <w:b/>
                <w:bCs/>
                <w:color w:val="000000"/>
                <w:szCs w:val="16"/>
              </w:rPr>
              <w:t>786,27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838D86D" w14:textId="77777777" w:rsidR="004F45F4" w:rsidRPr="001A4E8B" w:rsidRDefault="004F45F4">
            <w:pPr>
              <w:pStyle w:val="Tabele"/>
              <w:jc w:val="right"/>
              <w:rPr>
                <w:b/>
                <w:bCs/>
              </w:rPr>
            </w:pPr>
            <w:r>
              <w:rPr>
                <w:rFonts w:cs="Arial"/>
                <w:b/>
                <w:bCs/>
                <w:color w:val="000000"/>
                <w:szCs w:val="16"/>
              </w:rPr>
              <w:t>758,27</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7D3B6DF" w14:textId="77777777" w:rsidR="004F45F4" w:rsidRPr="001A4E8B" w:rsidRDefault="004F45F4">
            <w:pPr>
              <w:pStyle w:val="Tabele"/>
              <w:jc w:val="right"/>
              <w:rPr>
                <w:b/>
                <w:bCs/>
              </w:rPr>
            </w:pPr>
            <w:r>
              <w:rPr>
                <w:rFonts w:cs="Arial"/>
                <w:b/>
                <w:bCs/>
                <w:color w:val="000000"/>
                <w:szCs w:val="16"/>
              </w:rPr>
              <w:t>690,15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01B6ACB" w14:textId="77777777" w:rsidR="004F45F4" w:rsidRPr="001A4E8B" w:rsidRDefault="004F45F4">
            <w:pPr>
              <w:pStyle w:val="Tabele"/>
              <w:jc w:val="right"/>
              <w:rPr>
                <w:b/>
                <w:bCs/>
              </w:rPr>
            </w:pPr>
            <w:r>
              <w:rPr>
                <w:rFonts w:cs="Arial"/>
                <w:b/>
                <w:bCs/>
                <w:color w:val="000000"/>
                <w:szCs w:val="16"/>
              </w:rPr>
              <w:t>711,40</w:t>
            </w:r>
          </w:p>
        </w:tc>
        <w:tc>
          <w:tcPr>
            <w:tcW w:w="8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DCC929" w14:textId="77777777" w:rsidR="004F45F4" w:rsidRPr="0007270A" w:rsidRDefault="004F45F4">
            <w:pPr>
              <w:pStyle w:val="Tabele"/>
              <w:jc w:val="right"/>
              <w:rPr>
                <w:b/>
                <w:bCs/>
                <w:highlight w:val="yellow"/>
              </w:rPr>
            </w:pPr>
            <w:r>
              <w:rPr>
                <w:rFonts w:cs="Arial"/>
                <w:b/>
                <w:bCs/>
                <w:color w:val="000000"/>
                <w:szCs w:val="16"/>
              </w:rPr>
              <w:t>548,49</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F1DF473" w14:textId="77777777" w:rsidR="004F45F4" w:rsidRPr="0007270A" w:rsidRDefault="004F45F4">
            <w:pPr>
              <w:pStyle w:val="Tabele"/>
              <w:jc w:val="right"/>
              <w:rPr>
                <w:b/>
                <w:bCs/>
                <w:highlight w:val="yellow"/>
              </w:rPr>
            </w:pPr>
            <w:r>
              <w:rPr>
                <w:rFonts w:cs="Arial"/>
                <w:b/>
                <w:bCs/>
                <w:color w:val="000000"/>
                <w:szCs w:val="16"/>
              </w:rPr>
              <w:t>465,34</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B37AF5A" w14:textId="77777777" w:rsidR="004F45F4" w:rsidRPr="0007270A" w:rsidRDefault="004F45F4">
            <w:pPr>
              <w:pStyle w:val="Tabele"/>
              <w:jc w:val="right"/>
              <w:rPr>
                <w:b/>
                <w:bCs/>
                <w:highlight w:val="yellow"/>
              </w:rPr>
            </w:pPr>
            <w:r>
              <w:rPr>
                <w:rFonts w:cs="Arial"/>
                <w:b/>
                <w:bCs/>
                <w:color w:val="000000"/>
                <w:szCs w:val="16"/>
              </w:rPr>
              <w:t>402,85</w:t>
            </w:r>
          </w:p>
        </w:tc>
        <w:tc>
          <w:tcPr>
            <w:tcW w:w="85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4EE5CB" w14:textId="77777777" w:rsidR="004F45F4" w:rsidRPr="0007270A" w:rsidRDefault="004F45F4">
            <w:pPr>
              <w:pStyle w:val="Tabele"/>
              <w:jc w:val="right"/>
              <w:rPr>
                <w:b/>
                <w:bCs/>
                <w:highlight w:val="yellow"/>
              </w:rPr>
            </w:pPr>
            <w:r>
              <w:rPr>
                <w:rFonts w:cs="Arial"/>
                <w:b/>
                <w:bCs/>
                <w:color w:val="000000"/>
                <w:szCs w:val="16"/>
              </w:rPr>
              <w:t>381,93</w:t>
            </w:r>
          </w:p>
        </w:tc>
      </w:tr>
    </w:tbl>
    <w:p w14:paraId="326BAB69" w14:textId="485F7E64" w:rsidR="005C4144" w:rsidRPr="00BB1158" w:rsidRDefault="005C4144" w:rsidP="00842655">
      <w:pPr>
        <w:pStyle w:val="Legenda"/>
      </w:pPr>
      <w:r w:rsidRPr="00BB1158">
        <w:t>Źródło: Opracowanie własne KOBIZE, IOŚ-PIB</w:t>
      </w:r>
    </w:p>
    <w:p w14:paraId="1EAEC239" w14:textId="28ACF1F0" w:rsidR="000D34E5" w:rsidRDefault="006E029C" w:rsidP="000D34E5">
      <w:r w:rsidRPr="00FE104C">
        <w:t>Zgodnie</w:t>
      </w:r>
      <w:r>
        <w:t xml:space="preserve"> z </w:t>
      </w:r>
      <w:r w:rsidRPr="00FE104C">
        <w:t>dyrektywą NEC</w:t>
      </w:r>
      <w:r>
        <w:t xml:space="preserve"> w </w:t>
      </w:r>
      <w:r w:rsidRPr="00FE104C">
        <w:t>latach 2020-2029 Polska powinna zredukować emisję NMLZO</w:t>
      </w:r>
      <w:r>
        <w:t xml:space="preserve"> o </w:t>
      </w:r>
      <w:r w:rsidRPr="00FE104C">
        <w:t xml:space="preserve">minimum 25%, zaś od </w:t>
      </w:r>
      <w:r w:rsidR="00F128CB">
        <w:t>2030 r.</w:t>
      </w:r>
      <w:r w:rsidRPr="00FE104C">
        <w:t xml:space="preserve"> –</w:t>
      </w:r>
      <w:r>
        <w:t xml:space="preserve"> o </w:t>
      </w:r>
      <w:r w:rsidRPr="00FE104C">
        <w:t>minimum 26%</w:t>
      </w:r>
      <w:r>
        <w:t xml:space="preserve"> w </w:t>
      </w:r>
      <w:r w:rsidRPr="00FE104C">
        <w:t>stosunku do roku 2005, przy czym zgodnie</w:t>
      </w:r>
      <w:r>
        <w:t xml:space="preserve"> z </w:t>
      </w:r>
      <w:r w:rsidRPr="00FE104C">
        <w:t>art. 4 tej dyrektywy, emisja NMLZO</w:t>
      </w:r>
      <w:r>
        <w:t xml:space="preserve"> z </w:t>
      </w:r>
      <w:r w:rsidRPr="00FE104C">
        <w:t>sektorów 3B (nawozy naturalne)</w:t>
      </w:r>
      <w:r>
        <w:t xml:space="preserve"> i </w:t>
      </w:r>
      <w:r w:rsidRPr="00FE104C">
        <w:t>3D (gleby rolne) nie jest objęta celem redukcyjnym określonym dla państw członkowskich UE. Krajowa emisja NMLZO (bez sektorów 3B</w:t>
      </w:r>
      <w:r>
        <w:t xml:space="preserve"> i </w:t>
      </w:r>
      <w:r w:rsidRPr="00FE104C">
        <w:t>3D)</w:t>
      </w:r>
      <w:r>
        <w:t xml:space="preserve"> w </w:t>
      </w:r>
      <w:r w:rsidRPr="00FE104C">
        <w:t>2020</w:t>
      </w:r>
      <w:r>
        <w:t> r.</w:t>
      </w:r>
      <w:r w:rsidRPr="00FE104C">
        <w:t xml:space="preserve"> była niższa od emisji</w:t>
      </w:r>
      <w:r>
        <w:t xml:space="preserve"> w </w:t>
      </w:r>
      <w:r w:rsidRPr="00FE104C">
        <w:t>2005</w:t>
      </w:r>
      <w:r>
        <w:t> r. o 13,0</w:t>
      </w:r>
      <w:r w:rsidRPr="00FE104C">
        <w:t>%,</w:t>
      </w:r>
      <w:r>
        <w:t> w </w:t>
      </w:r>
      <w:r w:rsidRPr="00FE104C">
        <w:t>2021</w:t>
      </w:r>
      <w:r>
        <w:t xml:space="preserve"> o </w:t>
      </w:r>
      <w:r w:rsidRPr="00FE104C">
        <w:t>1</w:t>
      </w:r>
      <w:r>
        <w:t>8,3</w:t>
      </w:r>
      <w:r w:rsidRPr="00FE104C">
        <w:t>%,</w:t>
      </w:r>
      <w:r>
        <w:t xml:space="preserve"> a w 2022 o 27,7%, a </w:t>
      </w:r>
      <w:r w:rsidRPr="00FE104C">
        <w:t xml:space="preserve">zatem Polska </w:t>
      </w:r>
      <w:r>
        <w:t xml:space="preserve">dopiero w 2022 roku </w:t>
      </w:r>
      <w:r w:rsidRPr="00FE104C">
        <w:t>spełniła</w:t>
      </w:r>
      <w:r>
        <w:t xml:space="preserve"> cel dotyczący</w:t>
      </w:r>
      <w:r w:rsidRPr="00FE104C">
        <w:t xml:space="preserve"> redukcji emisji NMLZO</w:t>
      </w:r>
      <w:r>
        <w:t xml:space="preserve"> obowiązujący od 2020 </w:t>
      </w:r>
      <w:r w:rsidR="00BE2ED8">
        <w:t>r.</w:t>
      </w:r>
      <w:r>
        <w:t xml:space="preserve"> W </w:t>
      </w:r>
      <w:r w:rsidRPr="00FE104C">
        <w:t>latach prognozy redukcja emisji NMLZO</w:t>
      </w:r>
      <w:r>
        <w:t xml:space="preserve"> w scenariuszu WA</w:t>
      </w:r>
      <w:r w:rsidRPr="002C451B">
        <w:t xml:space="preserve">M osiąga wartości </w:t>
      </w:r>
      <w:r w:rsidRPr="00E12C03">
        <w:t xml:space="preserve">od </w:t>
      </w:r>
      <w:r>
        <w:t>35,8</w:t>
      </w:r>
      <w:r w:rsidRPr="00E12C03">
        <w:t>% w 202</w:t>
      </w:r>
      <w:r w:rsidR="00BE2ED8">
        <w:t>5 r.</w:t>
      </w:r>
      <w:r w:rsidRPr="00E12C03">
        <w:t xml:space="preserve"> </w:t>
      </w:r>
      <w:r w:rsidRPr="00FB6778">
        <w:t xml:space="preserve">do </w:t>
      </w:r>
      <w:r w:rsidR="00FB6778" w:rsidRPr="00FB6778">
        <w:t>59,5</w:t>
      </w:r>
      <w:r w:rsidRPr="00FB6778">
        <w:t>% w </w:t>
      </w:r>
      <w:r w:rsidR="00F128CB">
        <w:t>2040 r.</w:t>
      </w:r>
      <w:r w:rsidRPr="002C451B">
        <w:t xml:space="preserve"> </w:t>
      </w:r>
      <w:r w:rsidR="005C4144">
        <w:t>(</w:t>
      </w:r>
      <w:r w:rsidR="004675C2">
        <w:fldChar w:fldCharType="begin"/>
      </w:r>
      <w:r w:rsidR="004675C2">
        <w:instrText xml:space="preserve"> REF _Ref195869923 \h </w:instrText>
      </w:r>
      <w:r w:rsidR="004675C2">
        <w:fldChar w:fldCharType="separate"/>
      </w:r>
      <w:r w:rsidR="00F27D6F">
        <w:t xml:space="preserve">Tabela </w:t>
      </w:r>
      <w:r w:rsidR="00F27D6F">
        <w:rPr>
          <w:noProof/>
        </w:rPr>
        <w:t>1</w:t>
      </w:r>
      <w:r w:rsidR="00F27D6F">
        <w:t>.</w:t>
      </w:r>
      <w:r w:rsidR="00F27D6F">
        <w:rPr>
          <w:noProof/>
        </w:rPr>
        <w:t>13</w:t>
      </w:r>
      <w:r w:rsidR="004675C2">
        <w:fldChar w:fldCharType="end"/>
      </w:r>
      <w:r w:rsidR="005C4144">
        <w:t xml:space="preserve">), </w:t>
      </w:r>
      <w:r w:rsidR="000D34E5" w:rsidRPr="002C451B">
        <w:t>zatem cele</w:t>
      </w:r>
      <w:r w:rsidR="000D34E5" w:rsidRPr="00FE104C">
        <w:t xml:space="preserve"> redukcyjne dla NMLZO są spełnione we</w:t>
      </w:r>
      <w:r w:rsidR="000D34E5">
        <w:t> </w:t>
      </w:r>
      <w:r w:rsidR="000D34E5" w:rsidRPr="00FE104C">
        <w:t>wszystkich latach prognozy.</w:t>
      </w:r>
    </w:p>
    <w:p w14:paraId="315DDA0D" w14:textId="7CB6B64B" w:rsidR="000D34E5" w:rsidRDefault="000D34E5" w:rsidP="000D34E5">
      <w:r>
        <w:t>Źródła emisji NMLZO są bardziej rozproszone niż źródła emisji SO</w:t>
      </w:r>
      <w:r w:rsidRPr="00AA2CF1">
        <w:rPr>
          <w:vertAlign w:val="subscript"/>
        </w:rPr>
        <w:t>2</w:t>
      </w:r>
      <w:r>
        <w:t xml:space="preserve"> i NO</w:t>
      </w:r>
      <w:r w:rsidRPr="00AA2CF1">
        <w:rPr>
          <w:vertAlign w:val="subscript"/>
        </w:rPr>
        <w:t>x</w:t>
      </w:r>
      <w:r>
        <w:t>. W 202</w:t>
      </w:r>
      <w:r w:rsidR="00BE2ED8">
        <w:t>0 r.</w:t>
      </w:r>
      <w:r>
        <w:t xml:space="preserve"> największy jednostkowy udział w emisji miały kategorie: zużycie rozpuszczalników i innych produktów (kat</w:t>
      </w:r>
      <w:r w:rsidR="00520060">
        <w:t>eg</w:t>
      </w:r>
      <w:r w:rsidR="00B6017D">
        <w:t xml:space="preserve">oria </w:t>
      </w:r>
      <w:r>
        <w:t>2D) – 34%, spalanie paliw w małych źródłach (</w:t>
      </w:r>
      <w:r w:rsidR="00B6017D">
        <w:t>kategoria</w:t>
      </w:r>
      <w:r>
        <w:t xml:space="preserve"> 1A4) – 25%, zużycie nawozów w rolnictwie (</w:t>
      </w:r>
      <w:r w:rsidR="00B6017D">
        <w:t>kategoria</w:t>
      </w:r>
      <w:r>
        <w:t xml:space="preserve"> 3B) – 16% i emisja lotna z paliw (</w:t>
      </w:r>
      <w:r w:rsidR="00B6017D">
        <w:t>kategoria</w:t>
      </w:r>
      <w:r>
        <w:t xml:space="preserve"> 1B) – 11%. Udział całej kategorii 1A (Spalanie paliw) w emisji NMLZO wyniósł w 202</w:t>
      </w:r>
      <w:r w:rsidR="00BE2ED8">
        <w:t>0 r.</w:t>
      </w:r>
      <w:r>
        <w:t xml:space="preserve"> 36%, zaś całego sektora 1 (Energia) – 47% i to właśnie zmiany w kategorii 1</w:t>
      </w:r>
      <w:r w:rsidR="006E236D">
        <w:t> </w:t>
      </w:r>
      <w:r>
        <w:t xml:space="preserve">(Energia) mają największy wpływ na spadek emisji w latach prognozy. Dotyczy to przede wszystkim spadku zużycia paliw we wszystkich podkategoriach sektora 1. Energia oraz spadku emisji lotnej z paliw (a więc emisji związanej z wydobyciem, składowaniem i transportem paliw). </w:t>
      </w:r>
    </w:p>
    <w:p w14:paraId="36F63BEE" w14:textId="1E19480B" w:rsidR="002E64EB" w:rsidRDefault="000D34E5" w:rsidP="000D34E5">
      <w:r>
        <w:t>Również emisje NMLZO ze zużycia rozpuszczalników systematycznie zmniejszają się w stosunku do 2020 </w:t>
      </w:r>
      <w:r w:rsidR="00BE2ED8">
        <w:t>r.</w:t>
      </w:r>
      <w:r>
        <w:t xml:space="preserve"> Jest to związane głównie z prognozowanym zmniejszaniem się liczby ludności i związanym z tym spadkiem zużycia rozpuszczalników w gospodarstwach domowych, a także z prognozowanym zmniejszaniem się zużycia farb rozpuszczalnikowych na korzyść farb wodnorozcieńczalnych, które mają znacznie niższą zawartość NMLZO.</w:t>
      </w:r>
    </w:p>
    <w:p w14:paraId="1AE2F4F9" w14:textId="27E2C33D" w:rsidR="005C4144" w:rsidRDefault="005C4144" w:rsidP="005C4144">
      <w:pPr>
        <w:pStyle w:val="Legenda"/>
      </w:pPr>
      <w:bookmarkStart w:id="84" w:name="_Ref156544536"/>
      <w:bookmarkStart w:id="85" w:name="_Ref195869457"/>
      <w:bookmarkStart w:id="86" w:name="_Toc167442089"/>
      <w:bookmarkStart w:id="87" w:name="_Toc171587170"/>
      <w:bookmarkStart w:id="88" w:name="_Toc174710954"/>
      <w:bookmarkStart w:id="89" w:name="_Toc202966956"/>
      <w:r w:rsidRPr="00EB3130">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11</w:t>
      </w:r>
      <w:r w:rsidR="00653D9A">
        <w:rPr>
          <w:noProof/>
        </w:rPr>
        <w:fldChar w:fldCharType="end"/>
      </w:r>
      <w:bookmarkEnd w:id="84"/>
      <w:bookmarkEnd w:id="85"/>
      <w:r w:rsidRPr="00EB3130">
        <w:t>. Projekcje emisji amoniaku, według sektorów (kategorii NFR)</w:t>
      </w:r>
      <w:r>
        <w:t>, dla scenariusza WAM</w:t>
      </w:r>
      <w:bookmarkEnd w:id="86"/>
      <w:bookmarkEnd w:id="87"/>
      <w:bookmarkEnd w:id="88"/>
      <w:bookmarkEnd w:id="89"/>
    </w:p>
    <w:tbl>
      <w:tblPr>
        <w:tblStyle w:val="KPEiK"/>
        <w:tblW w:w="4962" w:type="pct"/>
        <w:tblLook w:val="04A0" w:firstRow="1" w:lastRow="0" w:firstColumn="1" w:lastColumn="0" w:noHBand="0" w:noVBand="1"/>
      </w:tblPr>
      <w:tblGrid>
        <w:gridCol w:w="2226"/>
        <w:gridCol w:w="856"/>
        <w:gridCol w:w="856"/>
        <w:gridCol w:w="856"/>
        <w:gridCol w:w="856"/>
        <w:gridCol w:w="857"/>
        <w:gridCol w:w="856"/>
        <w:gridCol w:w="856"/>
        <w:gridCol w:w="774"/>
      </w:tblGrid>
      <w:tr w:rsidR="002E6DB8" w:rsidRPr="0096293C" w14:paraId="329D0C44" w14:textId="77777777" w:rsidTr="00FB6778">
        <w:trPr>
          <w:cnfStyle w:val="100000000000" w:firstRow="1" w:lastRow="0" w:firstColumn="0" w:lastColumn="0" w:oddVBand="0" w:evenVBand="0" w:oddHBand="0" w:evenHBand="0" w:firstRowFirstColumn="0" w:firstRowLastColumn="0" w:lastRowFirstColumn="0" w:lastRowLastColumn="0"/>
          <w:trHeight w:val="226"/>
          <w:tblHeader/>
        </w:trPr>
        <w:tc>
          <w:tcPr>
            <w:tcW w:w="2226" w:type="dxa"/>
            <w:vMerge w:val="restart"/>
          </w:tcPr>
          <w:p w14:paraId="0FDCA264" w14:textId="77777777" w:rsidR="002E6DB8" w:rsidRDefault="002E6DB8">
            <w:pPr>
              <w:pStyle w:val="Tabele"/>
              <w:jc w:val="center"/>
              <w:rPr>
                <w:b w:val="0"/>
              </w:rPr>
            </w:pPr>
            <w:r w:rsidRPr="00DE4FED">
              <w:t>Sektor</w:t>
            </w:r>
          </w:p>
          <w:p w14:paraId="1E4E9712" w14:textId="77777777" w:rsidR="002E6DB8" w:rsidRPr="0096293C" w:rsidRDefault="002E6DB8">
            <w:pPr>
              <w:pStyle w:val="Tabele"/>
              <w:jc w:val="center"/>
            </w:pPr>
            <w:r>
              <w:t>(kategoria NFR)</w:t>
            </w:r>
          </w:p>
        </w:tc>
        <w:tc>
          <w:tcPr>
            <w:tcW w:w="6767" w:type="dxa"/>
            <w:gridSpan w:val="8"/>
          </w:tcPr>
          <w:p w14:paraId="31606D93" w14:textId="67455390" w:rsidR="00274A7A" w:rsidRDefault="00274A7A">
            <w:pPr>
              <w:pStyle w:val="Tabele"/>
              <w:jc w:val="center"/>
            </w:pPr>
            <w:r>
              <w:t>Emisja amoniaku [kt</w:t>
            </w:r>
            <w:r w:rsidRPr="0096293C">
              <w:t>]</w:t>
            </w:r>
          </w:p>
        </w:tc>
      </w:tr>
      <w:tr w:rsidR="001734F0" w:rsidRPr="0096293C" w14:paraId="286748F7" w14:textId="77777777" w:rsidTr="00FB6778">
        <w:trPr>
          <w:cnfStyle w:val="100000000000" w:firstRow="1" w:lastRow="0" w:firstColumn="0" w:lastColumn="0" w:oddVBand="0" w:evenVBand="0" w:oddHBand="0" w:evenHBand="0" w:firstRowFirstColumn="0" w:firstRowLastColumn="0" w:lastRowFirstColumn="0" w:lastRowLastColumn="0"/>
          <w:trHeight w:val="226"/>
          <w:tblHeader/>
        </w:trPr>
        <w:tc>
          <w:tcPr>
            <w:tcW w:w="2226" w:type="dxa"/>
            <w:vMerge/>
            <w:tcBorders>
              <w:bottom w:val="single" w:sz="4" w:space="0" w:color="AEAAAA" w:themeColor="background2" w:themeShade="BF"/>
            </w:tcBorders>
          </w:tcPr>
          <w:p w14:paraId="4DEC5083" w14:textId="77777777" w:rsidR="002E6DB8" w:rsidRPr="0096293C" w:rsidRDefault="002E6DB8">
            <w:pPr>
              <w:pStyle w:val="Tabele"/>
              <w:jc w:val="center"/>
            </w:pPr>
          </w:p>
        </w:tc>
        <w:tc>
          <w:tcPr>
            <w:tcW w:w="856" w:type="dxa"/>
            <w:tcBorders>
              <w:bottom w:val="single" w:sz="4" w:space="0" w:color="AEAAAA" w:themeColor="background2" w:themeShade="BF"/>
            </w:tcBorders>
          </w:tcPr>
          <w:p w14:paraId="7DD99A30" w14:textId="77777777" w:rsidR="002E6DB8" w:rsidRPr="0096293C" w:rsidRDefault="002E6DB8">
            <w:pPr>
              <w:pStyle w:val="Tabele"/>
              <w:jc w:val="center"/>
            </w:pPr>
            <w:r w:rsidRPr="0096293C">
              <w:t>2005</w:t>
            </w:r>
          </w:p>
        </w:tc>
        <w:tc>
          <w:tcPr>
            <w:tcW w:w="856" w:type="dxa"/>
            <w:tcBorders>
              <w:bottom w:val="single" w:sz="4" w:space="0" w:color="AEAAAA" w:themeColor="background2" w:themeShade="BF"/>
            </w:tcBorders>
          </w:tcPr>
          <w:p w14:paraId="1FFD1328" w14:textId="77777777" w:rsidR="002E6DB8" w:rsidRPr="0096293C" w:rsidRDefault="002E6DB8">
            <w:pPr>
              <w:pStyle w:val="Tabele"/>
              <w:jc w:val="center"/>
            </w:pPr>
            <w:r w:rsidRPr="0096293C">
              <w:t>2010</w:t>
            </w:r>
          </w:p>
        </w:tc>
        <w:tc>
          <w:tcPr>
            <w:tcW w:w="856" w:type="dxa"/>
            <w:tcBorders>
              <w:bottom w:val="single" w:sz="4" w:space="0" w:color="AEAAAA" w:themeColor="background2" w:themeShade="BF"/>
            </w:tcBorders>
          </w:tcPr>
          <w:p w14:paraId="4AD4B8C7" w14:textId="77777777" w:rsidR="002E6DB8" w:rsidRPr="0096293C" w:rsidRDefault="002E6DB8">
            <w:pPr>
              <w:pStyle w:val="Tabele"/>
              <w:jc w:val="center"/>
            </w:pPr>
            <w:r w:rsidRPr="0096293C">
              <w:t>2015</w:t>
            </w:r>
          </w:p>
        </w:tc>
        <w:tc>
          <w:tcPr>
            <w:tcW w:w="856" w:type="dxa"/>
            <w:tcBorders>
              <w:bottom w:val="single" w:sz="4" w:space="0" w:color="AEAAAA" w:themeColor="background2" w:themeShade="BF"/>
            </w:tcBorders>
          </w:tcPr>
          <w:p w14:paraId="5DC17C90" w14:textId="77777777" w:rsidR="002E6DB8" w:rsidRPr="0096293C" w:rsidRDefault="002E6DB8">
            <w:pPr>
              <w:pStyle w:val="Tabele"/>
              <w:jc w:val="center"/>
            </w:pPr>
            <w:r w:rsidRPr="0096293C">
              <w:t>2020</w:t>
            </w:r>
          </w:p>
        </w:tc>
        <w:tc>
          <w:tcPr>
            <w:tcW w:w="857" w:type="dxa"/>
            <w:tcBorders>
              <w:bottom w:val="single" w:sz="4" w:space="0" w:color="AEAAAA" w:themeColor="background2" w:themeShade="BF"/>
            </w:tcBorders>
          </w:tcPr>
          <w:p w14:paraId="62D48B15" w14:textId="77777777" w:rsidR="002E6DB8" w:rsidRPr="0096293C" w:rsidRDefault="002E6DB8">
            <w:pPr>
              <w:pStyle w:val="Tabele"/>
              <w:jc w:val="center"/>
            </w:pPr>
            <w:r w:rsidRPr="0096293C">
              <w:t>2025</w:t>
            </w:r>
          </w:p>
        </w:tc>
        <w:tc>
          <w:tcPr>
            <w:tcW w:w="856" w:type="dxa"/>
            <w:tcBorders>
              <w:bottom w:val="single" w:sz="4" w:space="0" w:color="AEAAAA" w:themeColor="background2" w:themeShade="BF"/>
            </w:tcBorders>
          </w:tcPr>
          <w:p w14:paraId="0EE89E9E" w14:textId="77777777" w:rsidR="002E6DB8" w:rsidRPr="0096293C" w:rsidRDefault="002E6DB8">
            <w:pPr>
              <w:pStyle w:val="Tabele"/>
              <w:jc w:val="center"/>
            </w:pPr>
            <w:r w:rsidRPr="0096293C">
              <w:t>2030</w:t>
            </w:r>
          </w:p>
        </w:tc>
        <w:tc>
          <w:tcPr>
            <w:tcW w:w="856" w:type="dxa"/>
            <w:tcBorders>
              <w:bottom w:val="single" w:sz="4" w:space="0" w:color="AEAAAA" w:themeColor="background2" w:themeShade="BF"/>
            </w:tcBorders>
          </w:tcPr>
          <w:p w14:paraId="0D19BBCA" w14:textId="77777777" w:rsidR="002E6DB8" w:rsidRPr="0096293C" w:rsidRDefault="002E6DB8">
            <w:pPr>
              <w:pStyle w:val="Tabele"/>
              <w:jc w:val="center"/>
            </w:pPr>
            <w:r w:rsidRPr="0096293C">
              <w:t>2035</w:t>
            </w:r>
          </w:p>
        </w:tc>
        <w:tc>
          <w:tcPr>
            <w:tcW w:w="771" w:type="dxa"/>
            <w:tcBorders>
              <w:bottom w:val="single" w:sz="4" w:space="0" w:color="AEAAAA" w:themeColor="background2" w:themeShade="BF"/>
            </w:tcBorders>
          </w:tcPr>
          <w:p w14:paraId="2F45E430" w14:textId="77777777" w:rsidR="002E6DB8" w:rsidRPr="0096293C" w:rsidRDefault="002E6DB8">
            <w:pPr>
              <w:pStyle w:val="Tabele"/>
              <w:jc w:val="center"/>
            </w:pPr>
            <w:r w:rsidRPr="0096293C">
              <w:t>2040</w:t>
            </w:r>
          </w:p>
        </w:tc>
      </w:tr>
      <w:tr w:rsidR="002E6DB8" w:rsidRPr="004669DE" w14:paraId="12CDBD45"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D66E43B" w14:textId="77777777" w:rsidR="002E6DB8" w:rsidRPr="004669DE" w:rsidRDefault="002E6DB8">
            <w:pPr>
              <w:pStyle w:val="Tabele"/>
              <w:rPr>
                <w:b/>
                <w:bCs/>
              </w:rPr>
            </w:pPr>
            <w:r>
              <w:rPr>
                <w:rFonts w:cs="Calibri"/>
                <w:b/>
                <w:bCs/>
                <w:color w:val="000000"/>
                <w:szCs w:val="16"/>
              </w:rPr>
              <w:t xml:space="preserve">1. Energia </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F4E5D44" w14:textId="77777777" w:rsidR="002E6DB8" w:rsidRPr="000E1FBE" w:rsidRDefault="002E6DB8">
            <w:pPr>
              <w:pStyle w:val="Tabele"/>
              <w:jc w:val="right"/>
            </w:pPr>
            <w:r>
              <w:rPr>
                <w:rFonts w:cs="Arial"/>
                <w:b/>
                <w:bCs/>
                <w:color w:val="000000"/>
                <w:szCs w:val="16"/>
              </w:rPr>
              <w:t>6,67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C5CA529" w14:textId="77777777" w:rsidR="002E6DB8" w:rsidRPr="000E1FBE" w:rsidRDefault="002E6DB8">
            <w:pPr>
              <w:pStyle w:val="Tabele"/>
              <w:jc w:val="right"/>
            </w:pPr>
            <w:r>
              <w:rPr>
                <w:rFonts w:cs="Arial"/>
                <w:b/>
                <w:bCs/>
                <w:color w:val="000000"/>
                <w:szCs w:val="16"/>
              </w:rPr>
              <w:t>6,91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938FD39" w14:textId="77777777" w:rsidR="002E6DB8" w:rsidRPr="004669DE" w:rsidRDefault="002E6DB8">
            <w:pPr>
              <w:pStyle w:val="Tabele"/>
              <w:jc w:val="right"/>
            </w:pPr>
            <w:r>
              <w:rPr>
                <w:rFonts w:cs="Arial"/>
                <w:b/>
                <w:bCs/>
                <w:color w:val="000000"/>
                <w:szCs w:val="16"/>
              </w:rPr>
              <w:t>5,21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A5739B1" w14:textId="77777777" w:rsidR="002E6DB8" w:rsidRPr="004669DE" w:rsidRDefault="002E6DB8">
            <w:pPr>
              <w:pStyle w:val="Tabele"/>
              <w:jc w:val="right"/>
            </w:pPr>
            <w:r>
              <w:rPr>
                <w:rFonts w:cs="Arial"/>
                <w:b/>
                <w:bCs/>
                <w:color w:val="000000"/>
                <w:szCs w:val="16"/>
              </w:rPr>
              <w:t>4,54</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4D07CE" w14:textId="77777777" w:rsidR="002E6DB8" w:rsidRPr="00506C63" w:rsidRDefault="002E6DB8">
            <w:pPr>
              <w:pStyle w:val="Tabele"/>
              <w:jc w:val="right"/>
              <w:rPr>
                <w:highlight w:val="yellow"/>
              </w:rPr>
            </w:pPr>
            <w:r>
              <w:rPr>
                <w:rFonts w:cs="Arial"/>
                <w:b/>
                <w:bCs/>
                <w:color w:val="000000"/>
                <w:szCs w:val="16"/>
              </w:rPr>
              <w:t>3,71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9312EC6" w14:textId="77777777" w:rsidR="002E6DB8" w:rsidRPr="00506C63" w:rsidRDefault="002E6DB8">
            <w:pPr>
              <w:pStyle w:val="Tabele"/>
              <w:jc w:val="right"/>
              <w:rPr>
                <w:highlight w:val="yellow"/>
              </w:rPr>
            </w:pPr>
            <w:r>
              <w:rPr>
                <w:rFonts w:cs="Arial"/>
                <w:b/>
                <w:bCs/>
                <w:color w:val="000000"/>
                <w:szCs w:val="16"/>
              </w:rPr>
              <w:t>3,15</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DC199A" w14:textId="77777777" w:rsidR="002E6DB8" w:rsidRPr="00506C63" w:rsidRDefault="002E6DB8">
            <w:pPr>
              <w:pStyle w:val="Tabele"/>
              <w:jc w:val="right"/>
              <w:rPr>
                <w:highlight w:val="yellow"/>
              </w:rPr>
            </w:pPr>
            <w:r>
              <w:rPr>
                <w:rFonts w:cs="Arial"/>
                <w:b/>
                <w:bCs/>
                <w:color w:val="000000"/>
                <w:szCs w:val="16"/>
              </w:rPr>
              <w:t>2,86</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CF0137" w14:textId="77777777" w:rsidR="002E6DB8" w:rsidRPr="00506C63" w:rsidRDefault="002E6DB8">
            <w:pPr>
              <w:pStyle w:val="Tabele"/>
              <w:jc w:val="right"/>
              <w:rPr>
                <w:highlight w:val="yellow"/>
              </w:rPr>
            </w:pPr>
            <w:r>
              <w:rPr>
                <w:rFonts w:cs="Arial"/>
                <w:b/>
                <w:bCs/>
                <w:color w:val="000000"/>
                <w:szCs w:val="16"/>
              </w:rPr>
              <w:t>2,60</w:t>
            </w:r>
          </w:p>
        </w:tc>
      </w:tr>
      <w:tr w:rsidR="002E6DB8" w:rsidRPr="004669DE" w14:paraId="4F0DA3C9"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9E2C90B" w14:textId="77777777" w:rsidR="002E6DB8" w:rsidRPr="004669DE" w:rsidRDefault="002E6DB8">
            <w:pPr>
              <w:pStyle w:val="Tabele"/>
              <w:rPr>
                <w:b/>
                <w:bCs/>
              </w:rPr>
            </w:pPr>
            <w:r>
              <w:rPr>
                <w:rFonts w:cs="Calibri"/>
                <w:color w:val="000000"/>
                <w:szCs w:val="16"/>
              </w:rPr>
              <w:t xml:space="preserve">A. Spalanie paliw </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C47A80E" w14:textId="77777777" w:rsidR="002E6DB8" w:rsidRPr="004669DE" w:rsidRDefault="002E6DB8">
            <w:pPr>
              <w:pStyle w:val="Tabele"/>
              <w:jc w:val="right"/>
            </w:pPr>
            <w:r>
              <w:rPr>
                <w:rFonts w:cs="Arial"/>
                <w:color w:val="000000"/>
                <w:szCs w:val="16"/>
              </w:rPr>
              <w:t>6,64</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406DAB5" w14:textId="77777777" w:rsidR="002E6DB8" w:rsidRPr="004669DE" w:rsidRDefault="002E6DB8">
            <w:pPr>
              <w:pStyle w:val="Tabele"/>
              <w:jc w:val="right"/>
            </w:pPr>
            <w:r>
              <w:rPr>
                <w:rFonts w:cs="Arial"/>
                <w:color w:val="000000"/>
                <w:szCs w:val="16"/>
              </w:rPr>
              <w:t>6,87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6011F62" w14:textId="77777777" w:rsidR="002E6DB8" w:rsidRPr="004669DE" w:rsidRDefault="002E6DB8">
            <w:pPr>
              <w:pStyle w:val="Tabele"/>
              <w:jc w:val="right"/>
            </w:pPr>
            <w:r>
              <w:rPr>
                <w:rFonts w:cs="Arial"/>
                <w:color w:val="000000"/>
                <w:szCs w:val="16"/>
              </w:rPr>
              <w:t>5,17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41DACF8" w14:textId="77777777" w:rsidR="002E6DB8" w:rsidRPr="004669DE" w:rsidRDefault="002E6DB8">
            <w:pPr>
              <w:pStyle w:val="Tabele"/>
              <w:jc w:val="right"/>
            </w:pPr>
            <w:r>
              <w:rPr>
                <w:rFonts w:cs="Arial"/>
                <w:color w:val="000000"/>
                <w:szCs w:val="16"/>
              </w:rPr>
              <w:t>4,51</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81930A" w14:textId="77777777" w:rsidR="002E6DB8" w:rsidRPr="00506C63" w:rsidRDefault="002E6DB8">
            <w:pPr>
              <w:pStyle w:val="Tabele"/>
              <w:jc w:val="right"/>
              <w:rPr>
                <w:highlight w:val="yellow"/>
              </w:rPr>
            </w:pPr>
            <w:r>
              <w:rPr>
                <w:rFonts w:cs="Arial"/>
                <w:color w:val="000000"/>
                <w:szCs w:val="16"/>
              </w:rPr>
              <w:t>3,68</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2F2C4AB" w14:textId="77777777" w:rsidR="002E6DB8" w:rsidRPr="00506C63" w:rsidRDefault="002E6DB8">
            <w:pPr>
              <w:pStyle w:val="Tabele"/>
              <w:jc w:val="right"/>
              <w:rPr>
                <w:highlight w:val="yellow"/>
              </w:rPr>
            </w:pPr>
            <w:r>
              <w:rPr>
                <w:rFonts w:cs="Arial"/>
                <w:color w:val="000000"/>
                <w:szCs w:val="16"/>
              </w:rPr>
              <w:t>3,12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6FAC63" w14:textId="77777777" w:rsidR="002E6DB8" w:rsidRPr="00506C63" w:rsidRDefault="002E6DB8">
            <w:pPr>
              <w:pStyle w:val="Tabele"/>
              <w:jc w:val="right"/>
              <w:rPr>
                <w:highlight w:val="yellow"/>
              </w:rPr>
            </w:pPr>
            <w:r>
              <w:rPr>
                <w:rFonts w:cs="Arial"/>
                <w:color w:val="000000"/>
                <w:szCs w:val="16"/>
              </w:rPr>
              <w:t>2,83</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352AC1" w14:textId="77777777" w:rsidR="002E6DB8" w:rsidRPr="00506C63" w:rsidRDefault="002E6DB8">
            <w:pPr>
              <w:pStyle w:val="Tabele"/>
              <w:jc w:val="right"/>
              <w:rPr>
                <w:highlight w:val="yellow"/>
              </w:rPr>
            </w:pPr>
            <w:r>
              <w:rPr>
                <w:rFonts w:cs="Arial"/>
                <w:color w:val="000000"/>
                <w:szCs w:val="16"/>
              </w:rPr>
              <w:t>2,57</w:t>
            </w:r>
          </w:p>
        </w:tc>
      </w:tr>
      <w:tr w:rsidR="002E6DB8" w:rsidRPr="004669DE" w14:paraId="0E647AD3"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512CB6" w14:textId="77777777" w:rsidR="002E6DB8" w:rsidRDefault="002E6DB8">
            <w:pPr>
              <w:pStyle w:val="Tabele"/>
              <w:rPr>
                <w:rFonts w:cs="Calibri"/>
                <w:color w:val="000000"/>
                <w:szCs w:val="16"/>
              </w:rPr>
            </w:pPr>
            <w:r w:rsidRPr="00A61619">
              <w:rPr>
                <w:rFonts w:cs="Calibri"/>
                <w:color w:val="000000"/>
                <w:szCs w:val="16"/>
              </w:rPr>
              <w:t>1. Przemysły energetyczne</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A2D2207" w14:textId="77777777" w:rsidR="002E6DB8" w:rsidRDefault="002E6DB8">
            <w:pPr>
              <w:pStyle w:val="Tabele"/>
              <w:jc w:val="right"/>
              <w:rPr>
                <w:rFonts w:cs="Calibri"/>
                <w:color w:val="000000"/>
                <w:szCs w:val="16"/>
              </w:rPr>
            </w:pPr>
            <w:r>
              <w:rPr>
                <w:rFonts w:cs="Arial"/>
                <w:color w:val="000000"/>
                <w:szCs w:val="16"/>
              </w:rPr>
              <w:t>0,01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07F2D33" w14:textId="77777777" w:rsidR="002E6DB8" w:rsidRDefault="002E6DB8">
            <w:pPr>
              <w:pStyle w:val="Tabele"/>
              <w:jc w:val="right"/>
              <w:rPr>
                <w:rFonts w:cs="Calibri"/>
                <w:color w:val="000000"/>
                <w:szCs w:val="16"/>
              </w:rPr>
            </w:pPr>
            <w:r>
              <w:rPr>
                <w:rFonts w:cs="Arial"/>
                <w:color w:val="000000"/>
                <w:szCs w:val="16"/>
              </w:rPr>
              <w:t>0,02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9F5E262" w14:textId="77777777" w:rsidR="002E6DB8" w:rsidRDefault="002E6DB8">
            <w:pPr>
              <w:pStyle w:val="Tabele"/>
              <w:jc w:val="right"/>
              <w:rPr>
                <w:rFonts w:cs="Calibri"/>
                <w:color w:val="000000"/>
                <w:szCs w:val="16"/>
              </w:rPr>
            </w:pPr>
            <w:r>
              <w:rPr>
                <w:rFonts w:cs="Arial"/>
                <w:color w:val="000000"/>
                <w:szCs w:val="16"/>
              </w:rPr>
              <w:t>0,02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8FA8FD0" w14:textId="77777777" w:rsidR="002E6DB8" w:rsidRDefault="002E6DB8">
            <w:pPr>
              <w:pStyle w:val="Tabele"/>
              <w:jc w:val="right"/>
              <w:rPr>
                <w:rFonts w:cs="Calibri"/>
                <w:color w:val="000000"/>
                <w:szCs w:val="16"/>
              </w:rPr>
            </w:pPr>
            <w:r>
              <w:rPr>
                <w:rFonts w:cs="Arial"/>
                <w:color w:val="000000"/>
                <w:szCs w:val="16"/>
              </w:rPr>
              <w:t>0,02</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6BD99B" w14:textId="77777777" w:rsidR="002E6DB8" w:rsidRDefault="002E6DB8">
            <w:pPr>
              <w:pStyle w:val="Tabele"/>
              <w:jc w:val="right"/>
              <w:rPr>
                <w:rFonts w:cs="Calibri"/>
                <w:color w:val="000000"/>
                <w:szCs w:val="16"/>
              </w:rPr>
            </w:pPr>
            <w:r>
              <w:rPr>
                <w:rFonts w:cs="Arial"/>
                <w:color w:val="000000"/>
                <w:szCs w:val="16"/>
              </w:rPr>
              <w:t>0,02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787EE3E" w14:textId="77777777" w:rsidR="002E6DB8" w:rsidRDefault="002E6DB8">
            <w:pPr>
              <w:pStyle w:val="Tabele"/>
              <w:jc w:val="right"/>
              <w:rPr>
                <w:rFonts w:cs="Calibri"/>
                <w:color w:val="000000"/>
                <w:szCs w:val="16"/>
              </w:rPr>
            </w:pPr>
            <w:r>
              <w:rPr>
                <w:rFonts w:cs="Arial"/>
                <w:color w:val="000000"/>
                <w:szCs w:val="16"/>
              </w:rPr>
              <w:t>0,02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4CB9FAF" w14:textId="77777777" w:rsidR="002E6DB8" w:rsidRDefault="002E6DB8">
            <w:pPr>
              <w:pStyle w:val="Tabele"/>
              <w:jc w:val="right"/>
              <w:rPr>
                <w:rFonts w:cs="Calibri"/>
                <w:color w:val="000000"/>
                <w:szCs w:val="16"/>
              </w:rPr>
            </w:pPr>
            <w:r>
              <w:rPr>
                <w:rFonts w:cs="Arial"/>
                <w:color w:val="000000"/>
                <w:szCs w:val="16"/>
              </w:rPr>
              <w:t>0,02</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2B9CA46" w14:textId="77777777" w:rsidR="002E6DB8" w:rsidRDefault="002E6DB8">
            <w:pPr>
              <w:pStyle w:val="Tabele"/>
              <w:jc w:val="right"/>
              <w:rPr>
                <w:rFonts w:cs="Calibri"/>
                <w:color w:val="000000"/>
                <w:szCs w:val="16"/>
              </w:rPr>
            </w:pPr>
            <w:r>
              <w:rPr>
                <w:rFonts w:cs="Arial"/>
                <w:color w:val="000000"/>
                <w:szCs w:val="16"/>
              </w:rPr>
              <w:t>0,02</w:t>
            </w:r>
          </w:p>
        </w:tc>
      </w:tr>
      <w:tr w:rsidR="002E6DB8" w:rsidRPr="004669DE" w14:paraId="4549D6C8"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C8B776" w14:textId="77777777" w:rsidR="002E6DB8" w:rsidRPr="004669DE" w:rsidRDefault="002E6DB8">
            <w:pPr>
              <w:pStyle w:val="Tabele"/>
              <w:rPr>
                <w:bCs/>
              </w:rPr>
            </w:pPr>
            <w:r>
              <w:rPr>
                <w:rFonts w:cs="Calibri"/>
                <w:color w:val="000000"/>
                <w:szCs w:val="16"/>
              </w:rPr>
              <w:t xml:space="preserve">2. Przemysł wytwórczy i budownictwo </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232F64C" w14:textId="77777777" w:rsidR="002E6DB8" w:rsidRPr="004669DE" w:rsidRDefault="002E6DB8">
            <w:pPr>
              <w:pStyle w:val="Tabele"/>
              <w:jc w:val="right"/>
            </w:pPr>
            <w:r>
              <w:rPr>
                <w:rFonts w:cs="Arial"/>
                <w:color w:val="000000"/>
                <w:szCs w:val="16"/>
              </w:rPr>
              <w:t>0,04</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81F7F93" w14:textId="77777777" w:rsidR="002E6DB8" w:rsidRPr="004669DE" w:rsidRDefault="002E6DB8">
            <w:pPr>
              <w:pStyle w:val="Tabele"/>
              <w:jc w:val="right"/>
            </w:pPr>
            <w:r>
              <w:rPr>
                <w:rFonts w:cs="Arial"/>
                <w:color w:val="000000"/>
                <w:szCs w:val="16"/>
              </w:rPr>
              <w:t>0,05</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B6E0C8E" w14:textId="77777777" w:rsidR="002E6DB8" w:rsidRPr="004669DE" w:rsidRDefault="002E6DB8">
            <w:pPr>
              <w:pStyle w:val="Tabele"/>
              <w:jc w:val="right"/>
            </w:pPr>
            <w:r>
              <w:rPr>
                <w:rFonts w:cs="Arial"/>
                <w:color w:val="000000"/>
                <w:szCs w:val="16"/>
              </w:rPr>
              <w:t>0,07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7E4A1D7" w14:textId="77777777" w:rsidR="002E6DB8" w:rsidRPr="004669DE" w:rsidRDefault="002E6DB8">
            <w:pPr>
              <w:pStyle w:val="Tabele"/>
              <w:jc w:val="right"/>
            </w:pPr>
            <w:r>
              <w:rPr>
                <w:rFonts w:cs="Arial"/>
                <w:color w:val="000000"/>
                <w:szCs w:val="16"/>
              </w:rPr>
              <w:t>0,10</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921917E" w14:textId="77777777" w:rsidR="002E6DB8" w:rsidRPr="00506C63" w:rsidRDefault="002E6DB8">
            <w:pPr>
              <w:pStyle w:val="Tabele"/>
              <w:jc w:val="right"/>
              <w:rPr>
                <w:highlight w:val="yellow"/>
              </w:rPr>
            </w:pPr>
            <w:r>
              <w:rPr>
                <w:rFonts w:cs="Arial"/>
                <w:color w:val="000000"/>
                <w:szCs w:val="16"/>
              </w:rPr>
              <w:t>0,12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7D76731" w14:textId="77777777" w:rsidR="002E6DB8" w:rsidRPr="00506C63" w:rsidRDefault="002E6DB8">
            <w:pPr>
              <w:pStyle w:val="Tabele"/>
              <w:jc w:val="right"/>
              <w:rPr>
                <w:highlight w:val="yellow"/>
              </w:rPr>
            </w:pPr>
            <w:r>
              <w:rPr>
                <w:rFonts w:cs="Arial"/>
                <w:color w:val="000000"/>
                <w:szCs w:val="16"/>
              </w:rPr>
              <w:t>0,11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9E8329" w14:textId="77777777" w:rsidR="002E6DB8" w:rsidRPr="00506C63" w:rsidRDefault="002E6DB8">
            <w:pPr>
              <w:pStyle w:val="Tabele"/>
              <w:jc w:val="right"/>
              <w:rPr>
                <w:highlight w:val="yellow"/>
              </w:rPr>
            </w:pPr>
            <w:r>
              <w:rPr>
                <w:rFonts w:cs="Arial"/>
                <w:color w:val="000000"/>
                <w:szCs w:val="16"/>
              </w:rPr>
              <w:t>0,11</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51ABD38" w14:textId="77777777" w:rsidR="002E6DB8" w:rsidRPr="00506C63" w:rsidRDefault="002E6DB8">
            <w:pPr>
              <w:pStyle w:val="Tabele"/>
              <w:jc w:val="right"/>
              <w:rPr>
                <w:highlight w:val="yellow"/>
              </w:rPr>
            </w:pPr>
            <w:r>
              <w:rPr>
                <w:rFonts w:cs="Arial"/>
                <w:color w:val="000000"/>
                <w:szCs w:val="16"/>
              </w:rPr>
              <w:t>0,11</w:t>
            </w:r>
          </w:p>
        </w:tc>
      </w:tr>
      <w:tr w:rsidR="002E6DB8" w:rsidRPr="004669DE" w14:paraId="577BA465"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C196F1" w14:textId="77777777" w:rsidR="002E6DB8" w:rsidRPr="00E2760F" w:rsidRDefault="002E6DB8">
            <w:pPr>
              <w:pStyle w:val="Tabele"/>
              <w:rPr>
                <w:bCs/>
                <w:color w:val="auto"/>
              </w:rPr>
            </w:pPr>
            <w:r w:rsidRPr="00E2760F">
              <w:rPr>
                <w:rFonts w:cs="Calibri"/>
                <w:color w:val="auto"/>
                <w:szCs w:val="16"/>
              </w:rPr>
              <w:t xml:space="preserve">3. Transport </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9C85EAF" w14:textId="77777777" w:rsidR="002E6DB8" w:rsidRPr="004669DE" w:rsidRDefault="002E6DB8">
            <w:pPr>
              <w:pStyle w:val="Tabele"/>
              <w:jc w:val="right"/>
            </w:pPr>
            <w:r>
              <w:rPr>
                <w:rFonts w:cs="Arial"/>
                <w:color w:val="000000"/>
                <w:szCs w:val="16"/>
              </w:rPr>
              <w:t>6,23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6E55630" w14:textId="77777777" w:rsidR="002E6DB8" w:rsidRPr="004669DE" w:rsidRDefault="002E6DB8">
            <w:pPr>
              <w:pStyle w:val="Tabele"/>
              <w:jc w:val="right"/>
            </w:pPr>
            <w:r>
              <w:rPr>
                <w:rFonts w:cs="Arial"/>
                <w:color w:val="000000"/>
                <w:szCs w:val="16"/>
              </w:rPr>
              <w:t>6,40</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7283784" w14:textId="77777777" w:rsidR="002E6DB8" w:rsidRPr="004669DE" w:rsidRDefault="002E6DB8">
            <w:pPr>
              <w:pStyle w:val="Tabele"/>
              <w:jc w:val="right"/>
            </w:pPr>
            <w:r>
              <w:rPr>
                <w:rFonts w:cs="Arial"/>
                <w:color w:val="000000"/>
                <w:szCs w:val="16"/>
              </w:rPr>
              <w:t>4,72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CE6B91E" w14:textId="77777777" w:rsidR="002E6DB8" w:rsidRPr="004669DE" w:rsidRDefault="002E6DB8">
            <w:pPr>
              <w:pStyle w:val="Tabele"/>
              <w:jc w:val="right"/>
            </w:pPr>
            <w:r>
              <w:rPr>
                <w:rFonts w:cs="Arial"/>
                <w:color w:val="000000"/>
                <w:szCs w:val="16"/>
              </w:rPr>
              <w:t>3,92</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A587889" w14:textId="77777777" w:rsidR="002E6DB8" w:rsidRPr="00506C63" w:rsidRDefault="002E6DB8">
            <w:pPr>
              <w:pStyle w:val="Tabele"/>
              <w:jc w:val="right"/>
              <w:rPr>
                <w:highlight w:val="yellow"/>
              </w:rPr>
            </w:pPr>
            <w:r>
              <w:rPr>
                <w:rFonts w:cs="Arial"/>
                <w:color w:val="000000"/>
                <w:szCs w:val="16"/>
              </w:rPr>
              <w:t>3,27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F14E1ED" w14:textId="77777777" w:rsidR="002E6DB8" w:rsidRPr="00506C63" w:rsidRDefault="002E6DB8">
            <w:pPr>
              <w:pStyle w:val="Tabele"/>
              <w:jc w:val="right"/>
              <w:rPr>
                <w:highlight w:val="yellow"/>
              </w:rPr>
            </w:pPr>
            <w:r>
              <w:rPr>
                <w:rFonts w:cs="Arial"/>
                <w:color w:val="000000"/>
                <w:szCs w:val="16"/>
              </w:rPr>
              <w:t>2,83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F2C5036" w14:textId="77777777" w:rsidR="002E6DB8" w:rsidRPr="00506C63" w:rsidRDefault="002E6DB8">
            <w:pPr>
              <w:pStyle w:val="Tabele"/>
              <w:jc w:val="right"/>
              <w:rPr>
                <w:highlight w:val="yellow"/>
              </w:rPr>
            </w:pPr>
            <w:r>
              <w:rPr>
                <w:rFonts w:cs="Arial"/>
                <w:color w:val="000000"/>
                <w:szCs w:val="16"/>
              </w:rPr>
              <w:t>2,67</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20DFF0F" w14:textId="77777777" w:rsidR="002E6DB8" w:rsidRPr="00506C63" w:rsidRDefault="002E6DB8">
            <w:pPr>
              <w:pStyle w:val="Tabele"/>
              <w:jc w:val="right"/>
              <w:rPr>
                <w:highlight w:val="yellow"/>
              </w:rPr>
            </w:pPr>
            <w:r>
              <w:rPr>
                <w:rFonts w:cs="Arial"/>
                <w:color w:val="000000"/>
                <w:szCs w:val="16"/>
              </w:rPr>
              <w:t>2,42</w:t>
            </w:r>
          </w:p>
        </w:tc>
      </w:tr>
      <w:tr w:rsidR="002E6DB8" w:rsidRPr="004669DE" w14:paraId="75E4385A"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D5EA669" w14:textId="2E399472" w:rsidR="002E6DB8" w:rsidRPr="00E2760F" w:rsidRDefault="002E6DB8">
            <w:pPr>
              <w:pStyle w:val="Tabele"/>
              <w:rPr>
                <w:bCs/>
                <w:color w:val="auto"/>
              </w:rPr>
            </w:pPr>
            <w:r w:rsidRPr="00E2760F">
              <w:rPr>
                <w:color w:val="auto"/>
              </w:rPr>
              <w:t>4. Inne sektory (małe źródła spalania paliw, w tym gospodarstwa domowe)</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322DD50" w14:textId="77777777" w:rsidR="002E6DB8" w:rsidRPr="004669DE" w:rsidRDefault="002E6DB8">
            <w:pPr>
              <w:pStyle w:val="Tabele"/>
              <w:jc w:val="right"/>
            </w:pPr>
            <w:r>
              <w:rPr>
                <w:rFonts w:cs="Arial"/>
                <w:color w:val="000000"/>
                <w:szCs w:val="16"/>
              </w:rPr>
              <w:t>0,36</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B9137BB" w14:textId="77777777" w:rsidR="002E6DB8" w:rsidRPr="004669DE" w:rsidRDefault="002E6DB8">
            <w:pPr>
              <w:pStyle w:val="Tabele"/>
              <w:jc w:val="right"/>
            </w:pPr>
            <w:r>
              <w:rPr>
                <w:rFonts w:cs="Arial"/>
                <w:color w:val="000000"/>
                <w:szCs w:val="16"/>
              </w:rPr>
              <w:t>0,41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D13C98A" w14:textId="77777777" w:rsidR="002E6DB8" w:rsidRPr="004669DE" w:rsidRDefault="002E6DB8">
            <w:pPr>
              <w:pStyle w:val="Tabele"/>
              <w:jc w:val="right"/>
            </w:pPr>
            <w:r>
              <w:rPr>
                <w:rFonts w:cs="Arial"/>
                <w:color w:val="000000"/>
                <w:szCs w:val="16"/>
              </w:rPr>
              <w:t>0,36</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B278D58" w14:textId="77777777" w:rsidR="002E6DB8" w:rsidRPr="004669DE" w:rsidRDefault="002E6DB8">
            <w:pPr>
              <w:pStyle w:val="Tabele"/>
              <w:jc w:val="right"/>
            </w:pPr>
            <w:r>
              <w:rPr>
                <w:rFonts w:cs="Arial"/>
                <w:color w:val="000000"/>
                <w:szCs w:val="16"/>
              </w:rPr>
              <w:t>0,47</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7665D7B" w14:textId="77777777" w:rsidR="002E6DB8" w:rsidRPr="00506C63" w:rsidRDefault="002E6DB8">
            <w:pPr>
              <w:pStyle w:val="Tabele"/>
              <w:jc w:val="right"/>
              <w:rPr>
                <w:highlight w:val="yellow"/>
              </w:rPr>
            </w:pPr>
            <w:r>
              <w:rPr>
                <w:rFonts w:cs="Arial"/>
                <w:color w:val="000000"/>
                <w:szCs w:val="16"/>
              </w:rPr>
              <w:t>0,27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1D22E8" w14:textId="77777777" w:rsidR="002E6DB8" w:rsidRPr="00506C63" w:rsidRDefault="002E6DB8">
            <w:pPr>
              <w:pStyle w:val="Tabele"/>
              <w:jc w:val="right"/>
              <w:rPr>
                <w:highlight w:val="yellow"/>
              </w:rPr>
            </w:pPr>
            <w:r>
              <w:rPr>
                <w:rFonts w:cs="Arial"/>
                <w:color w:val="000000"/>
                <w:szCs w:val="16"/>
              </w:rPr>
              <w:t>0,15</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D0F559" w14:textId="77777777" w:rsidR="002E6DB8" w:rsidRPr="00506C63" w:rsidRDefault="002E6DB8">
            <w:pPr>
              <w:pStyle w:val="Tabele"/>
              <w:jc w:val="right"/>
              <w:rPr>
                <w:highlight w:val="yellow"/>
              </w:rPr>
            </w:pPr>
            <w:r>
              <w:rPr>
                <w:rFonts w:cs="Arial"/>
                <w:color w:val="000000"/>
                <w:szCs w:val="16"/>
              </w:rPr>
              <w:t>0,03</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6133B9" w14:textId="77777777" w:rsidR="002E6DB8" w:rsidRPr="00506C63" w:rsidRDefault="002E6DB8">
            <w:pPr>
              <w:pStyle w:val="Tabele"/>
              <w:jc w:val="right"/>
              <w:rPr>
                <w:highlight w:val="yellow"/>
              </w:rPr>
            </w:pPr>
            <w:r>
              <w:rPr>
                <w:rFonts w:cs="Arial"/>
                <w:color w:val="000000"/>
                <w:szCs w:val="16"/>
              </w:rPr>
              <w:t>0,02</w:t>
            </w:r>
          </w:p>
        </w:tc>
      </w:tr>
      <w:tr w:rsidR="002E6DB8" w:rsidRPr="004669DE" w14:paraId="11B1BA49"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F52C22A" w14:textId="77777777" w:rsidR="002E6DB8" w:rsidRPr="004669DE" w:rsidRDefault="002E6DB8">
            <w:pPr>
              <w:pStyle w:val="Tabele"/>
              <w:rPr>
                <w:bCs/>
              </w:rPr>
            </w:pPr>
            <w:r>
              <w:rPr>
                <w:rFonts w:cs="Calibri"/>
                <w:color w:val="000000"/>
                <w:szCs w:val="16"/>
              </w:rPr>
              <w:t xml:space="preserve">B. Emisja lotna z paliw </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4EFADA2" w14:textId="77777777" w:rsidR="002E6DB8" w:rsidRPr="004669DE" w:rsidRDefault="002E6DB8">
            <w:pPr>
              <w:pStyle w:val="Tabele"/>
              <w:jc w:val="right"/>
            </w:pPr>
            <w:r>
              <w:rPr>
                <w:rFonts w:cs="Arial"/>
                <w:color w:val="000000"/>
                <w:szCs w:val="16"/>
              </w:rPr>
              <w:t>0,03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9E4FAAA" w14:textId="77777777" w:rsidR="002E6DB8" w:rsidRPr="004669DE" w:rsidRDefault="002E6DB8">
            <w:pPr>
              <w:pStyle w:val="Tabele"/>
              <w:jc w:val="right"/>
            </w:pPr>
            <w:r>
              <w:rPr>
                <w:rFonts w:cs="Arial"/>
                <w:color w:val="000000"/>
                <w:szCs w:val="16"/>
              </w:rPr>
              <w:t>0,04</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0712B4B" w14:textId="77777777" w:rsidR="002E6DB8" w:rsidRPr="004669DE" w:rsidRDefault="002E6DB8">
            <w:pPr>
              <w:pStyle w:val="Tabele"/>
              <w:jc w:val="right"/>
            </w:pPr>
            <w:r>
              <w:rPr>
                <w:rFonts w:cs="Arial"/>
                <w:color w:val="000000"/>
                <w:szCs w:val="16"/>
              </w:rPr>
              <w:t>0,04</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096A66C" w14:textId="77777777" w:rsidR="002E6DB8" w:rsidRPr="004669DE" w:rsidRDefault="002E6DB8">
            <w:pPr>
              <w:pStyle w:val="Tabele"/>
              <w:jc w:val="right"/>
            </w:pPr>
            <w:r>
              <w:rPr>
                <w:rFonts w:cs="Arial"/>
                <w:color w:val="000000"/>
                <w:szCs w:val="16"/>
              </w:rPr>
              <w:t>0,03</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7B76B2" w14:textId="77777777" w:rsidR="002E6DB8" w:rsidRPr="00506C63" w:rsidRDefault="002E6DB8">
            <w:pPr>
              <w:pStyle w:val="Tabele"/>
              <w:jc w:val="right"/>
              <w:rPr>
                <w:highlight w:val="yellow"/>
              </w:rPr>
            </w:pPr>
            <w:r>
              <w:rPr>
                <w:rFonts w:cs="Arial"/>
                <w:color w:val="000000"/>
                <w:szCs w:val="16"/>
              </w:rPr>
              <w:t>0,03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854F00" w14:textId="77777777" w:rsidR="002E6DB8" w:rsidRPr="00506C63" w:rsidRDefault="002E6DB8">
            <w:pPr>
              <w:pStyle w:val="Tabele"/>
              <w:jc w:val="right"/>
              <w:rPr>
                <w:highlight w:val="yellow"/>
              </w:rPr>
            </w:pPr>
            <w:r>
              <w:rPr>
                <w:rFonts w:cs="Arial"/>
                <w:color w:val="000000"/>
                <w:szCs w:val="16"/>
              </w:rPr>
              <w:t>0,03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2347FA6" w14:textId="77777777" w:rsidR="002E6DB8" w:rsidRPr="00506C63" w:rsidRDefault="002E6DB8">
            <w:pPr>
              <w:pStyle w:val="Tabele"/>
              <w:jc w:val="right"/>
              <w:rPr>
                <w:highlight w:val="yellow"/>
              </w:rPr>
            </w:pPr>
            <w:r>
              <w:rPr>
                <w:rFonts w:cs="Arial"/>
                <w:color w:val="000000"/>
                <w:szCs w:val="16"/>
              </w:rPr>
              <w:t>0,03</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11FC8B" w14:textId="77777777" w:rsidR="002E6DB8" w:rsidRPr="00506C63" w:rsidRDefault="002E6DB8">
            <w:pPr>
              <w:pStyle w:val="Tabele"/>
              <w:jc w:val="right"/>
              <w:rPr>
                <w:highlight w:val="yellow"/>
              </w:rPr>
            </w:pPr>
            <w:r>
              <w:rPr>
                <w:rFonts w:cs="Arial"/>
                <w:color w:val="000000"/>
                <w:szCs w:val="16"/>
              </w:rPr>
              <w:t>0,03</w:t>
            </w:r>
          </w:p>
        </w:tc>
      </w:tr>
      <w:tr w:rsidR="002E6DB8" w:rsidRPr="004669DE" w14:paraId="391FD497"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443C83" w14:textId="77777777" w:rsidR="002E6DB8" w:rsidRPr="004669DE" w:rsidRDefault="002E6DB8">
            <w:pPr>
              <w:pStyle w:val="Tabele"/>
              <w:rPr>
                <w:bCs/>
              </w:rPr>
            </w:pPr>
            <w:r>
              <w:rPr>
                <w:rFonts w:cs="Calibri"/>
                <w:color w:val="000000"/>
                <w:szCs w:val="16"/>
              </w:rPr>
              <w:t xml:space="preserve">1. Paliwa stałe </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6D25E0E" w14:textId="77777777" w:rsidR="002E6DB8" w:rsidRPr="004669DE" w:rsidRDefault="002E6DB8">
            <w:pPr>
              <w:pStyle w:val="Tabele"/>
              <w:jc w:val="right"/>
            </w:pPr>
            <w:r>
              <w:rPr>
                <w:rFonts w:cs="Arial"/>
                <w:color w:val="000000"/>
                <w:szCs w:val="16"/>
              </w:rPr>
              <w:t>0,03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F6F3193" w14:textId="77777777" w:rsidR="002E6DB8" w:rsidRPr="004669DE" w:rsidRDefault="002E6DB8">
            <w:pPr>
              <w:pStyle w:val="Tabele"/>
              <w:jc w:val="right"/>
            </w:pPr>
            <w:r>
              <w:rPr>
                <w:rFonts w:cs="Arial"/>
                <w:color w:val="000000"/>
                <w:szCs w:val="16"/>
              </w:rPr>
              <w:t>0,04</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7CDC339" w14:textId="77777777" w:rsidR="002E6DB8" w:rsidRPr="004669DE" w:rsidRDefault="002E6DB8">
            <w:pPr>
              <w:pStyle w:val="Tabele"/>
              <w:jc w:val="right"/>
            </w:pPr>
            <w:r>
              <w:rPr>
                <w:rFonts w:cs="Arial"/>
                <w:color w:val="000000"/>
                <w:szCs w:val="16"/>
              </w:rPr>
              <w:t>0,04</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BC72DFC" w14:textId="77777777" w:rsidR="002E6DB8" w:rsidRPr="004669DE" w:rsidRDefault="002E6DB8">
            <w:pPr>
              <w:pStyle w:val="Tabele"/>
              <w:jc w:val="right"/>
            </w:pPr>
            <w:r>
              <w:rPr>
                <w:rFonts w:cs="Arial"/>
                <w:color w:val="000000"/>
                <w:szCs w:val="16"/>
              </w:rPr>
              <w:t>0,03</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33BF2F0" w14:textId="77777777" w:rsidR="002E6DB8" w:rsidRPr="00506C63" w:rsidRDefault="002E6DB8">
            <w:pPr>
              <w:pStyle w:val="Tabele"/>
              <w:jc w:val="right"/>
              <w:rPr>
                <w:highlight w:val="yellow"/>
              </w:rPr>
            </w:pPr>
            <w:r>
              <w:rPr>
                <w:rFonts w:cs="Arial"/>
                <w:color w:val="000000"/>
                <w:szCs w:val="16"/>
              </w:rPr>
              <w:t>0,03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E3CB97" w14:textId="77777777" w:rsidR="002E6DB8" w:rsidRPr="00506C63" w:rsidRDefault="002E6DB8">
            <w:pPr>
              <w:pStyle w:val="Tabele"/>
              <w:jc w:val="right"/>
              <w:rPr>
                <w:highlight w:val="yellow"/>
              </w:rPr>
            </w:pPr>
            <w:r>
              <w:rPr>
                <w:rFonts w:cs="Arial"/>
                <w:color w:val="000000"/>
                <w:szCs w:val="16"/>
              </w:rPr>
              <w:t>0,03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0610A1" w14:textId="77777777" w:rsidR="002E6DB8" w:rsidRPr="00506C63" w:rsidRDefault="002E6DB8">
            <w:pPr>
              <w:pStyle w:val="Tabele"/>
              <w:jc w:val="right"/>
              <w:rPr>
                <w:highlight w:val="yellow"/>
              </w:rPr>
            </w:pPr>
            <w:r>
              <w:rPr>
                <w:rFonts w:cs="Arial"/>
                <w:color w:val="000000"/>
                <w:szCs w:val="16"/>
              </w:rPr>
              <w:t>0,03</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B8FA35" w14:textId="77777777" w:rsidR="002E6DB8" w:rsidRPr="00506C63" w:rsidRDefault="002E6DB8">
            <w:pPr>
              <w:pStyle w:val="Tabele"/>
              <w:jc w:val="right"/>
              <w:rPr>
                <w:highlight w:val="yellow"/>
              </w:rPr>
            </w:pPr>
            <w:r>
              <w:rPr>
                <w:rFonts w:cs="Arial"/>
                <w:color w:val="000000"/>
                <w:szCs w:val="16"/>
              </w:rPr>
              <w:t>0,03</w:t>
            </w:r>
          </w:p>
        </w:tc>
      </w:tr>
      <w:tr w:rsidR="002E6DB8" w:rsidRPr="004669DE" w14:paraId="7E6B851F"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2B7E79" w14:textId="77777777" w:rsidR="002E6DB8" w:rsidRPr="004669DE" w:rsidRDefault="002E6DB8">
            <w:pPr>
              <w:pStyle w:val="Tabele"/>
              <w:rPr>
                <w:bCs/>
              </w:rPr>
            </w:pPr>
            <w:r>
              <w:rPr>
                <w:rFonts w:cs="Calibri"/>
                <w:b/>
                <w:bCs/>
                <w:color w:val="000000"/>
                <w:szCs w:val="16"/>
              </w:rPr>
              <w:t xml:space="preserve">2. Procesy przemysłowe i użytkowanie produktów </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09FA4B9" w14:textId="77777777" w:rsidR="002E6DB8" w:rsidRPr="004669DE" w:rsidRDefault="002E6DB8">
            <w:pPr>
              <w:pStyle w:val="Tabele"/>
              <w:jc w:val="right"/>
            </w:pPr>
            <w:r>
              <w:rPr>
                <w:rFonts w:cs="Arial"/>
                <w:b/>
                <w:bCs/>
                <w:color w:val="000000"/>
                <w:szCs w:val="16"/>
              </w:rPr>
              <w:t>3,03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77F32F6" w14:textId="77777777" w:rsidR="002E6DB8" w:rsidRPr="004669DE" w:rsidRDefault="002E6DB8">
            <w:pPr>
              <w:pStyle w:val="Tabele"/>
              <w:jc w:val="right"/>
            </w:pPr>
            <w:r>
              <w:rPr>
                <w:rFonts w:cs="Arial"/>
                <w:b/>
                <w:bCs/>
                <w:color w:val="000000"/>
                <w:szCs w:val="16"/>
              </w:rPr>
              <w:t>3,11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5D2D477" w14:textId="77777777" w:rsidR="002E6DB8" w:rsidRPr="004669DE" w:rsidRDefault="002E6DB8">
            <w:pPr>
              <w:pStyle w:val="Tabele"/>
              <w:jc w:val="right"/>
            </w:pPr>
            <w:r>
              <w:rPr>
                <w:rFonts w:cs="Arial"/>
                <w:b/>
                <w:bCs/>
                <w:color w:val="000000"/>
                <w:szCs w:val="16"/>
              </w:rPr>
              <w:t>4,29</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42DD5EA" w14:textId="77777777" w:rsidR="002E6DB8" w:rsidRPr="004669DE" w:rsidRDefault="002E6DB8">
            <w:pPr>
              <w:pStyle w:val="Tabele"/>
              <w:jc w:val="right"/>
            </w:pPr>
            <w:r>
              <w:rPr>
                <w:rFonts w:cs="Arial"/>
                <w:b/>
                <w:bCs/>
                <w:color w:val="000000"/>
                <w:szCs w:val="16"/>
              </w:rPr>
              <w:t>4,37</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742F13" w14:textId="77777777" w:rsidR="002E6DB8" w:rsidRPr="00506C63" w:rsidRDefault="002E6DB8">
            <w:pPr>
              <w:pStyle w:val="Tabele"/>
              <w:jc w:val="right"/>
              <w:rPr>
                <w:highlight w:val="yellow"/>
              </w:rPr>
            </w:pPr>
            <w:r>
              <w:rPr>
                <w:rFonts w:cs="Arial"/>
                <w:b/>
                <w:bCs/>
                <w:color w:val="000000"/>
                <w:szCs w:val="16"/>
              </w:rPr>
              <w:t>4,05</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D3EC72A" w14:textId="77777777" w:rsidR="002E6DB8" w:rsidRPr="00506C63" w:rsidRDefault="002E6DB8">
            <w:pPr>
              <w:pStyle w:val="Tabele"/>
              <w:jc w:val="right"/>
              <w:rPr>
                <w:highlight w:val="yellow"/>
              </w:rPr>
            </w:pPr>
            <w:r>
              <w:rPr>
                <w:rFonts w:cs="Arial"/>
                <w:b/>
                <w:bCs/>
                <w:color w:val="000000"/>
                <w:szCs w:val="16"/>
              </w:rPr>
              <w:t>4,23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6B793C" w14:textId="77777777" w:rsidR="002E6DB8" w:rsidRPr="00506C63" w:rsidRDefault="002E6DB8">
            <w:pPr>
              <w:pStyle w:val="Tabele"/>
              <w:jc w:val="right"/>
              <w:rPr>
                <w:highlight w:val="yellow"/>
              </w:rPr>
            </w:pPr>
            <w:r>
              <w:rPr>
                <w:rFonts w:cs="Arial"/>
                <w:b/>
                <w:bCs/>
                <w:color w:val="000000"/>
                <w:szCs w:val="16"/>
              </w:rPr>
              <w:t>4,43</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216F0FA" w14:textId="77777777" w:rsidR="002E6DB8" w:rsidRPr="00506C63" w:rsidRDefault="002E6DB8">
            <w:pPr>
              <w:pStyle w:val="Tabele"/>
              <w:jc w:val="right"/>
              <w:rPr>
                <w:highlight w:val="yellow"/>
              </w:rPr>
            </w:pPr>
            <w:r>
              <w:rPr>
                <w:rFonts w:cs="Arial"/>
                <w:b/>
                <w:bCs/>
                <w:color w:val="000000"/>
                <w:szCs w:val="16"/>
              </w:rPr>
              <w:t>4,65</w:t>
            </w:r>
          </w:p>
        </w:tc>
      </w:tr>
      <w:tr w:rsidR="002E6DB8" w:rsidRPr="004669DE" w14:paraId="069B6429"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DDEFABB" w14:textId="77777777" w:rsidR="002E6DB8" w:rsidRPr="004669DE" w:rsidRDefault="002E6DB8">
            <w:pPr>
              <w:pStyle w:val="Tabele"/>
              <w:rPr>
                <w:bCs/>
              </w:rPr>
            </w:pPr>
            <w:r>
              <w:rPr>
                <w:rFonts w:cs="Calibri"/>
                <w:color w:val="000000"/>
                <w:szCs w:val="16"/>
              </w:rPr>
              <w:t xml:space="preserve">B. Przemysł chemiczny </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E45DD87" w14:textId="77777777" w:rsidR="002E6DB8" w:rsidRPr="004669DE" w:rsidRDefault="002E6DB8">
            <w:pPr>
              <w:pStyle w:val="Tabele"/>
              <w:jc w:val="right"/>
            </w:pPr>
            <w:r>
              <w:rPr>
                <w:rFonts w:cs="Arial"/>
                <w:color w:val="000000"/>
                <w:szCs w:val="16"/>
              </w:rPr>
              <w:t>2,71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9507F27" w14:textId="77777777" w:rsidR="002E6DB8" w:rsidRPr="004669DE" w:rsidRDefault="002E6DB8">
            <w:pPr>
              <w:pStyle w:val="Tabele"/>
              <w:jc w:val="right"/>
            </w:pPr>
            <w:r>
              <w:rPr>
                <w:rFonts w:cs="Arial"/>
                <w:color w:val="000000"/>
                <w:szCs w:val="16"/>
              </w:rPr>
              <w:t>2,82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02ABF6D" w14:textId="77777777" w:rsidR="002E6DB8" w:rsidRPr="004669DE" w:rsidRDefault="002E6DB8">
            <w:pPr>
              <w:pStyle w:val="Tabele"/>
              <w:jc w:val="right"/>
            </w:pPr>
            <w:r>
              <w:rPr>
                <w:rFonts w:cs="Arial"/>
                <w:color w:val="000000"/>
                <w:szCs w:val="16"/>
              </w:rPr>
              <w:t>4,05</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2FEA4A5" w14:textId="77777777" w:rsidR="002E6DB8" w:rsidRPr="004669DE" w:rsidRDefault="002E6DB8">
            <w:pPr>
              <w:pStyle w:val="Tabele"/>
              <w:jc w:val="right"/>
            </w:pPr>
            <w:r>
              <w:rPr>
                <w:rFonts w:cs="Arial"/>
                <w:color w:val="000000"/>
                <w:szCs w:val="16"/>
              </w:rPr>
              <w:t>4,22</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FF2515" w14:textId="77777777" w:rsidR="002E6DB8" w:rsidRPr="00506C63" w:rsidRDefault="002E6DB8">
            <w:pPr>
              <w:pStyle w:val="Tabele"/>
              <w:jc w:val="right"/>
              <w:rPr>
                <w:highlight w:val="yellow"/>
              </w:rPr>
            </w:pPr>
            <w:r>
              <w:rPr>
                <w:rFonts w:cs="Arial"/>
                <w:color w:val="000000"/>
                <w:szCs w:val="16"/>
              </w:rPr>
              <w:t>3,86</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3E79FB" w14:textId="77777777" w:rsidR="002E6DB8" w:rsidRPr="00506C63" w:rsidRDefault="002E6DB8">
            <w:pPr>
              <w:pStyle w:val="Tabele"/>
              <w:jc w:val="right"/>
              <w:rPr>
                <w:highlight w:val="yellow"/>
              </w:rPr>
            </w:pPr>
            <w:r>
              <w:rPr>
                <w:rFonts w:cs="Arial"/>
                <w:color w:val="000000"/>
                <w:szCs w:val="16"/>
              </w:rPr>
              <w:t>4,07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7DA8CFE" w14:textId="77777777" w:rsidR="002E6DB8" w:rsidRPr="00506C63" w:rsidRDefault="002E6DB8">
            <w:pPr>
              <w:pStyle w:val="Tabele"/>
              <w:jc w:val="right"/>
              <w:rPr>
                <w:highlight w:val="yellow"/>
              </w:rPr>
            </w:pPr>
            <w:r>
              <w:rPr>
                <w:rFonts w:cs="Arial"/>
                <w:color w:val="000000"/>
                <w:szCs w:val="16"/>
              </w:rPr>
              <w:t>4,29</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5FBB07" w14:textId="77777777" w:rsidR="002E6DB8" w:rsidRPr="00506C63" w:rsidRDefault="002E6DB8">
            <w:pPr>
              <w:pStyle w:val="Tabele"/>
              <w:jc w:val="right"/>
              <w:rPr>
                <w:highlight w:val="yellow"/>
              </w:rPr>
            </w:pPr>
            <w:r>
              <w:rPr>
                <w:rFonts w:cs="Arial"/>
                <w:color w:val="000000"/>
                <w:szCs w:val="16"/>
              </w:rPr>
              <w:t>4,52</w:t>
            </w:r>
          </w:p>
        </w:tc>
      </w:tr>
      <w:tr w:rsidR="002E6DB8" w:rsidRPr="004669DE" w14:paraId="1D3AC4FD"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25E34C4" w14:textId="77777777" w:rsidR="002E6DB8" w:rsidRPr="004669DE" w:rsidRDefault="002E6DB8">
            <w:pPr>
              <w:pStyle w:val="Tabele"/>
              <w:rPr>
                <w:bCs/>
              </w:rPr>
            </w:pPr>
            <w:r>
              <w:rPr>
                <w:rFonts w:cs="Calibri"/>
                <w:color w:val="000000"/>
                <w:szCs w:val="16"/>
              </w:rPr>
              <w:t>D. Stosowanie rozpuszczalników i innych produktów</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31AFBB3" w14:textId="77777777" w:rsidR="002E6DB8" w:rsidRPr="004669DE" w:rsidRDefault="002E6DB8">
            <w:pPr>
              <w:pStyle w:val="Tabele"/>
              <w:jc w:val="right"/>
            </w:pPr>
            <w:r>
              <w:rPr>
                <w:rFonts w:cs="Arial"/>
                <w:color w:val="000000"/>
                <w:szCs w:val="16"/>
              </w:rPr>
              <w:t>0,01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D36DA37" w14:textId="77777777" w:rsidR="002E6DB8" w:rsidRPr="004669DE" w:rsidRDefault="002E6DB8">
            <w:pPr>
              <w:pStyle w:val="Tabele"/>
              <w:jc w:val="right"/>
            </w:pPr>
            <w:r>
              <w:rPr>
                <w:rFonts w:cs="Arial"/>
                <w:color w:val="000000"/>
                <w:szCs w:val="16"/>
              </w:rPr>
              <w:t>0,01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C5E682A" w14:textId="77777777" w:rsidR="002E6DB8" w:rsidRPr="004669DE" w:rsidRDefault="002E6DB8">
            <w:pPr>
              <w:pStyle w:val="Tabele"/>
              <w:jc w:val="right"/>
            </w:pPr>
            <w:r>
              <w:rPr>
                <w:rFonts w:cs="Arial"/>
                <w:color w:val="000000"/>
                <w:szCs w:val="16"/>
              </w:rPr>
              <w:t>0,01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CCEFA96" w14:textId="77777777" w:rsidR="002E6DB8" w:rsidRPr="004669DE" w:rsidRDefault="002E6DB8">
            <w:pPr>
              <w:pStyle w:val="Tabele"/>
              <w:jc w:val="right"/>
            </w:pPr>
            <w:r>
              <w:rPr>
                <w:rFonts w:cs="Arial"/>
                <w:color w:val="000000"/>
                <w:szCs w:val="16"/>
              </w:rPr>
              <w:t>0,01</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701279" w14:textId="77777777" w:rsidR="002E6DB8" w:rsidRPr="00506C63" w:rsidRDefault="002E6DB8">
            <w:pPr>
              <w:pStyle w:val="Tabele"/>
              <w:jc w:val="right"/>
              <w:rPr>
                <w:highlight w:val="yellow"/>
              </w:rPr>
            </w:pPr>
            <w:r>
              <w:rPr>
                <w:rFonts w:cs="Arial"/>
                <w:color w:val="000000"/>
                <w:szCs w:val="16"/>
              </w:rPr>
              <w:t>0,01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819ED3" w14:textId="77777777" w:rsidR="002E6DB8" w:rsidRPr="00506C63" w:rsidRDefault="002E6DB8">
            <w:pPr>
              <w:pStyle w:val="Tabele"/>
              <w:jc w:val="right"/>
              <w:rPr>
                <w:highlight w:val="yellow"/>
              </w:rPr>
            </w:pPr>
            <w:r>
              <w:rPr>
                <w:rFonts w:cs="Arial"/>
                <w:color w:val="000000"/>
                <w:szCs w:val="16"/>
              </w:rPr>
              <w:t>0,01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B6C9AA" w14:textId="77777777" w:rsidR="002E6DB8" w:rsidRPr="00506C63" w:rsidRDefault="002E6DB8">
            <w:pPr>
              <w:pStyle w:val="Tabele"/>
              <w:jc w:val="right"/>
              <w:rPr>
                <w:highlight w:val="yellow"/>
              </w:rPr>
            </w:pPr>
            <w:r>
              <w:rPr>
                <w:rFonts w:cs="Arial"/>
                <w:color w:val="000000"/>
                <w:szCs w:val="16"/>
              </w:rPr>
              <w:t>0,01</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7633D67" w14:textId="77777777" w:rsidR="002E6DB8" w:rsidRPr="00506C63" w:rsidRDefault="002E6DB8">
            <w:pPr>
              <w:pStyle w:val="Tabele"/>
              <w:jc w:val="right"/>
              <w:rPr>
                <w:highlight w:val="yellow"/>
              </w:rPr>
            </w:pPr>
            <w:r>
              <w:rPr>
                <w:rFonts w:cs="Arial"/>
                <w:color w:val="000000"/>
                <w:szCs w:val="16"/>
              </w:rPr>
              <w:t>0,01</w:t>
            </w:r>
          </w:p>
        </w:tc>
      </w:tr>
      <w:tr w:rsidR="002E6DB8" w:rsidRPr="004669DE" w14:paraId="4C7ABDFE"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2A3CFA9" w14:textId="77777777" w:rsidR="002E6DB8" w:rsidRPr="00EB3B96" w:rsidRDefault="002E6DB8">
            <w:pPr>
              <w:pStyle w:val="Tabele"/>
              <w:rPr>
                <w:b/>
              </w:rPr>
            </w:pPr>
            <w:r>
              <w:rPr>
                <w:rFonts w:cs="Calibri"/>
                <w:color w:val="000000"/>
                <w:szCs w:val="16"/>
              </w:rPr>
              <w:t>G. – L. Inne</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162779D" w14:textId="77777777" w:rsidR="002E6DB8" w:rsidRPr="004669DE" w:rsidRDefault="002E6DB8">
            <w:pPr>
              <w:pStyle w:val="Tabele"/>
              <w:jc w:val="right"/>
            </w:pPr>
            <w:r>
              <w:rPr>
                <w:rFonts w:cs="Arial"/>
                <w:color w:val="000000"/>
                <w:szCs w:val="16"/>
              </w:rPr>
              <w:t>0,31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9938733" w14:textId="77777777" w:rsidR="002E6DB8" w:rsidRPr="004669DE" w:rsidRDefault="002E6DB8">
            <w:pPr>
              <w:pStyle w:val="Tabele"/>
              <w:jc w:val="right"/>
            </w:pPr>
            <w:r>
              <w:rPr>
                <w:rFonts w:cs="Arial"/>
                <w:color w:val="000000"/>
                <w:szCs w:val="16"/>
              </w:rPr>
              <w:t>0,29</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BB655BD" w14:textId="77777777" w:rsidR="002E6DB8" w:rsidRPr="004669DE" w:rsidRDefault="002E6DB8">
            <w:pPr>
              <w:pStyle w:val="Tabele"/>
              <w:jc w:val="right"/>
            </w:pPr>
            <w:r>
              <w:rPr>
                <w:rFonts w:cs="Arial"/>
                <w:color w:val="000000"/>
                <w:szCs w:val="16"/>
              </w:rPr>
              <w:t>0,23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D0425EE" w14:textId="77777777" w:rsidR="002E6DB8" w:rsidRPr="004669DE" w:rsidRDefault="002E6DB8">
            <w:pPr>
              <w:pStyle w:val="Tabele"/>
              <w:jc w:val="right"/>
            </w:pPr>
            <w:r>
              <w:rPr>
                <w:rFonts w:cs="Arial"/>
                <w:color w:val="000000"/>
                <w:szCs w:val="16"/>
              </w:rPr>
              <w:t>0,14</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32FCF16" w14:textId="77777777" w:rsidR="002E6DB8" w:rsidRPr="00506C63" w:rsidRDefault="002E6DB8">
            <w:pPr>
              <w:pStyle w:val="Tabele"/>
              <w:jc w:val="right"/>
              <w:rPr>
                <w:highlight w:val="yellow"/>
              </w:rPr>
            </w:pPr>
            <w:r>
              <w:rPr>
                <w:rFonts w:cs="Arial"/>
                <w:color w:val="000000"/>
                <w:szCs w:val="16"/>
              </w:rPr>
              <w:t>0,17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285E9A" w14:textId="77777777" w:rsidR="002E6DB8" w:rsidRPr="00506C63" w:rsidRDefault="002E6DB8">
            <w:pPr>
              <w:pStyle w:val="Tabele"/>
              <w:jc w:val="right"/>
              <w:rPr>
                <w:highlight w:val="yellow"/>
              </w:rPr>
            </w:pPr>
            <w:r>
              <w:rPr>
                <w:rFonts w:cs="Arial"/>
                <w:color w:val="000000"/>
                <w:szCs w:val="16"/>
              </w:rPr>
              <w:t>0,15</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C20B17" w14:textId="77777777" w:rsidR="002E6DB8" w:rsidRPr="00506C63" w:rsidRDefault="002E6DB8">
            <w:pPr>
              <w:pStyle w:val="Tabele"/>
              <w:jc w:val="right"/>
              <w:rPr>
                <w:highlight w:val="yellow"/>
              </w:rPr>
            </w:pPr>
            <w:r>
              <w:rPr>
                <w:rFonts w:cs="Arial"/>
                <w:color w:val="000000"/>
                <w:szCs w:val="16"/>
              </w:rPr>
              <w:t>0,13</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63066B1" w14:textId="77777777" w:rsidR="002E6DB8" w:rsidRPr="00506C63" w:rsidRDefault="002E6DB8">
            <w:pPr>
              <w:pStyle w:val="Tabele"/>
              <w:jc w:val="right"/>
              <w:rPr>
                <w:highlight w:val="yellow"/>
              </w:rPr>
            </w:pPr>
            <w:r>
              <w:rPr>
                <w:rFonts w:cs="Arial"/>
                <w:color w:val="000000"/>
                <w:szCs w:val="16"/>
              </w:rPr>
              <w:t>0,12</w:t>
            </w:r>
          </w:p>
        </w:tc>
      </w:tr>
      <w:tr w:rsidR="002E6DB8" w:rsidRPr="004669DE" w14:paraId="21BAE59D"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BD790F1" w14:textId="77777777" w:rsidR="002E6DB8" w:rsidRPr="004669DE" w:rsidRDefault="002E6DB8">
            <w:pPr>
              <w:pStyle w:val="Tabele"/>
              <w:rPr>
                <w:bCs/>
              </w:rPr>
            </w:pPr>
            <w:r>
              <w:rPr>
                <w:rFonts w:cs="Calibri"/>
                <w:b/>
                <w:bCs/>
                <w:color w:val="000000"/>
                <w:szCs w:val="16"/>
              </w:rPr>
              <w:t xml:space="preserve">3. Rolnictwo </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7E034F5" w14:textId="77777777" w:rsidR="002E6DB8" w:rsidRPr="004669DE" w:rsidRDefault="002E6DB8">
            <w:pPr>
              <w:pStyle w:val="Tabele"/>
              <w:jc w:val="right"/>
            </w:pPr>
            <w:r>
              <w:rPr>
                <w:rFonts w:cs="Arial"/>
                <w:b/>
                <w:bCs/>
                <w:color w:val="000000"/>
                <w:szCs w:val="16"/>
              </w:rPr>
              <w:t>316,92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F5C78D1" w14:textId="77777777" w:rsidR="002E6DB8" w:rsidRPr="004669DE" w:rsidRDefault="002E6DB8">
            <w:pPr>
              <w:pStyle w:val="Tabele"/>
              <w:jc w:val="right"/>
            </w:pPr>
            <w:r>
              <w:rPr>
                <w:rFonts w:cs="Arial"/>
                <w:b/>
                <w:bCs/>
                <w:color w:val="000000"/>
                <w:szCs w:val="16"/>
              </w:rPr>
              <w:t>292,70</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993AD4A" w14:textId="77777777" w:rsidR="002E6DB8" w:rsidRPr="004669DE" w:rsidRDefault="002E6DB8">
            <w:pPr>
              <w:pStyle w:val="Tabele"/>
              <w:jc w:val="right"/>
            </w:pPr>
            <w:r>
              <w:rPr>
                <w:rFonts w:cs="Arial"/>
                <w:b/>
                <w:bCs/>
                <w:color w:val="000000"/>
                <w:szCs w:val="16"/>
              </w:rPr>
              <w:t>281,56</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16BAEAD" w14:textId="77777777" w:rsidR="002E6DB8" w:rsidRPr="004669DE" w:rsidRDefault="002E6DB8">
            <w:pPr>
              <w:pStyle w:val="Tabele"/>
              <w:jc w:val="right"/>
            </w:pPr>
            <w:r>
              <w:rPr>
                <w:rFonts w:cs="Arial"/>
                <w:b/>
                <w:bCs/>
                <w:color w:val="000000"/>
                <w:szCs w:val="16"/>
              </w:rPr>
              <w:t>303,33</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B18DE91" w14:textId="77777777" w:rsidR="002E6DB8" w:rsidRPr="00506C63" w:rsidRDefault="002E6DB8">
            <w:pPr>
              <w:pStyle w:val="Tabele"/>
              <w:jc w:val="right"/>
              <w:rPr>
                <w:highlight w:val="yellow"/>
              </w:rPr>
            </w:pPr>
            <w:r>
              <w:rPr>
                <w:rFonts w:cs="Arial"/>
                <w:b/>
                <w:bCs/>
                <w:color w:val="000000"/>
                <w:szCs w:val="16"/>
              </w:rPr>
              <w:t>267,87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1F319A" w14:textId="77777777" w:rsidR="002E6DB8" w:rsidRPr="00506C63" w:rsidRDefault="002E6DB8">
            <w:pPr>
              <w:pStyle w:val="Tabele"/>
              <w:jc w:val="right"/>
              <w:rPr>
                <w:highlight w:val="yellow"/>
              </w:rPr>
            </w:pPr>
            <w:r>
              <w:rPr>
                <w:rFonts w:cs="Arial"/>
                <w:b/>
                <w:bCs/>
                <w:color w:val="000000"/>
                <w:szCs w:val="16"/>
              </w:rPr>
              <w:t>262,94</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BBEA684" w14:textId="77777777" w:rsidR="002E6DB8" w:rsidRPr="00506C63" w:rsidRDefault="002E6DB8">
            <w:pPr>
              <w:pStyle w:val="Tabele"/>
              <w:jc w:val="right"/>
              <w:rPr>
                <w:highlight w:val="yellow"/>
              </w:rPr>
            </w:pPr>
            <w:r>
              <w:rPr>
                <w:rFonts w:cs="Arial"/>
                <w:b/>
                <w:bCs/>
                <w:color w:val="000000"/>
                <w:szCs w:val="16"/>
              </w:rPr>
              <w:t>263,54</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06F5AD" w14:textId="77777777" w:rsidR="002E6DB8" w:rsidRPr="00506C63" w:rsidRDefault="002E6DB8">
            <w:pPr>
              <w:pStyle w:val="Tabele"/>
              <w:jc w:val="right"/>
              <w:rPr>
                <w:highlight w:val="yellow"/>
              </w:rPr>
            </w:pPr>
            <w:r>
              <w:rPr>
                <w:rFonts w:cs="Arial"/>
                <w:b/>
                <w:bCs/>
                <w:color w:val="000000"/>
                <w:szCs w:val="16"/>
              </w:rPr>
              <w:t>259,85</w:t>
            </w:r>
          </w:p>
        </w:tc>
      </w:tr>
      <w:tr w:rsidR="002E6DB8" w:rsidRPr="004669DE" w14:paraId="63564D78"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0782AB" w14:textId="77777777" w:rsidR="002E6DB8" w:rsidRPr="00EB3B96" w:rsidRDefault="002E6DB8">
            <w:pPr>
              <w:pStyle w:val="Tabele"/>
              <w:rPr>
                <w:bCs/>
              </w:rPr>
            </w:pPr>
            <w:r>
              <w:rPr>
                <w:rFonts w:cs="Calibri"/>
                <w:color w:val="000000"/>
                <w:szCs w:val="16"/>
              </w:rPr>
              <w:t xml:space="preserve">B. Nawozy naturalne </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D2C8A4D" w14:textId="77777777" w:rsidR="002E6DB8" w:rsidRPr="004669DE" w:rsidRDefault="002E6DB8">
            <w:pPr>
              <w:pStyle w:val="Tabele"/>
              <w:jc w:val="right"/>
            </w:pPr>
            <w:r>
              <w:rPr>
                <w:rFonts w:cs="Arial"/>
                <w:color w:val="000000"/>
                <w:szCs w:val="16"/>
              </w:rPr>
              <w:t>156,91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0C27DF2" w14:textId="77777777" w:rsidR="002E6DB8" w:rsidRPr="004669DE" w:rsidRDefault="002E6DB8">
            <w:pPr>
              <w:pStyle w:val="Tabele"/>
              <w:jc w:val="right"/>
            </w:pPr>
            <w:r>
              <w:rPr>
                <w:rFonts w:cs="Arial"/>
                <w:color w:val="000000"/>
                <w:szCs w:val="16"/>
              </w:rPr>
              <w:t>130,38</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0667BD0" w14:textId="77777777" w:rsidR="002E6DB8" w:rsidRPr="004669DE" w:rsidRDefault="002E6DB8">
            <w:pPr>
              <w:pStyle w:val="Tabele"/>
              <w:jc w:val="right"/>
            </w:pPr>
            <w:r>
              <w:rPr>
                <w:rFonts w:cs="Arial"/>
                <w:color w:val="000000"/>
                <w:szCs w:val="16"/>
              </w:rPr>
              <w:t>124,93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6A8BEAA" w14:textId="77777777" w:rsidR="002E6DB8" w:rsidRPr="004669DE" w:rsidRDefault="002E6DB8">
            <w:pPr>
              <w:pStyle w:val="Tabele"/>
              <w:jc w:val="right"/>
            </w:pPr>
            <w:r>
              <w:rPr>
                <w:rFonts w:cs="Arial"/>
                <w:color w:val="000000"/>
                <w:szCs w:val="16"/>
              </w:rPr>
              <w:t>140,29</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A77360" w14:textId="77777777" w:rsidR="002E6DB8" w:rsidRPr="00506C63" w:rsidRDefault="002E6DB8">
            <w:pPr>
              <w:pStyle w:val="Tabele"/>
              <w:jc w:val="right"/>
              <w:rPr>
                <w:highlight w:val="yellow"/>
              </w:rPr>
            </w:pPr>
            <w:r>
              <w:rPr>
                <w:rFonts w:cs="Arial"/>
                <w:color w:val="000000"/>
                <w:szCs w:val="16"/>
              </w:rPr>
              <w:t>130,61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01E7C5" w14:textId="77777777" w:rsidR="002E6DB8" w:rsidRPr="00506C63" w:rsidRDefault="002E6DB8">
            <w:pPr>
              <w:pStyle w:val="Tabele"/>
              <w:jc w:val="right"/>
              <w:rPr>
                <w:highlight w:val="yellow"/>
              </w:rPr>
            </w:pPr>
            <w:r>
              <w:rPr>
                <w:rFonts w:cs="Arial"/>
                <w:color w:val="000000"/>
                <w:szCs w:val="16"/>
              </w:rPr>
              <w:t>131,54</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D252565" w14:textId="77777777" w:rsidR="002E6DB8" w:rsidRPr="00506C63" w:rsidRDefault="002E6DB8">
            <w:pPr>
              <w:pStyle w:val="Tabele"/>
              <w:jc w:val="right"/>
              <w:rPr>
                <w:highlight w:val="yellow"/>
              </w:rPr>
            </w:pPr>
            <w:r>
              <w:rPr>
                <w:rFonts w:cs="Arial"/>
                <w:color w:val="000000"/>
                <w:szCs w:val="16"/>
              </w:rPr>
              <w:t>133,62</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184957" w14:textId="77777777" w:rsidR="002E6DB8" w:rsidRPr="00506C63" w:rsidRDefault="002E6DB8">
            <w:pPr>
              <w:pStyle w:val="Tabele"/>
              <w:jc w:val="right"/>
              <w:rPr>
                <w:highlight w:val="yellow"/>
              </w:rPr>
            </w:pPr>
            <w:r>
              <w:rPr>
                <w:rFonts w:cs="Arial"/>
                <w:color w:val="000000"/>
                <w:szCs w:val="16"/>
              </w:rPr>
              <w:t>134,43</w:t>
            </w:r>
          </w:p>
        </w:tc>
      </w:tr>
      <w:tr w:rsidR="002E6DB8" w:rsidRPr="004669DE" w14:paraId="21ABA814"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0E6DB40" w14:textId="77777777" w:rsidR="002E6DB8" w:rsidRPr="00EB3B96" w:rsidRDefault="002E6DB8">
            <w:pPr>
              <w:pStyle w:val="Tabele"/>
              <w:rPr>
                <w:bCs/>
              </w:rPr>
            </w:pPr>
            <w:r>
              <w:rPr>
                <w:rFonts w:cs="Calibri"/>
                <w:color w:val="000000"/>
                <w:szCs w:val="16"/>
              </w:rPr>
              <w:t xml:space="preserve">D. Gleby rolne </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375D3E2" w14:textId="77777777" w:rsidR="002E6DB8" w:rsidRPr="004669DE" w:rsidRDefault="002E6DB8">
            <w:pPr>
              <w:pStyle w:val="Tabele"/>
              <w:jc w:val="right"/>
            </w:pPr>
            <w:r>
              <w:rPr>
                <w:rFonts w:cs="Arial"/>
                <w:color w:val="000000"/>
                <w:szCs w:val="16"/>
              </w:rPr>
              <w:t>159,94</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A4E5055" w14:textId="77777777" w:rsidR="002E6DB8" w:rsidRPr="004669DE" w:rsidRDefault="002E6DB8">
            <w:pPr>
              <w:pStyle w:val="Tabele"/>
              <w:jc w:val="right"/>
            </w:pPr>
            <w:r>
              <w:rPr>
                <w:rFonts w:cs="Arial"/>
                <w:color w:val="000000"/>
                <w:szCs w:val="16"/>
              </w:rPr>
              <w:t>162,30</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96C99F2" w14:textId="77777777" w:rsidR="002E6DB8" w:rsidRPr="004669DE" w:rsidRDefault="002E6DB8">
            <w:pPr>
              <w:pStyle w:val="Tabele"/>
              <w:jc w:val="right"/>
            </w:pPr>
            <w:r>
              <w:rPr>
                <w:rFonts w:cs="Arial"/>
                <w:color w:val="000000"/>
                <w:szCs w:val="16"/>
              </w:rPr>
              <w:t>156,56</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65A989B" w14:textId="77777777" w:rsidR="002E6DB8" w:rsidRPr="004669DE" w:rsidRDefault="002E6DB8">
            <w:pPr>
              <w:pStyle w:val="Tabele"/>
              <w:jc w:val="right"/>
            </w:pPr>
            <w:r>
              <w:rPr>
                <w:rFonts w:cs="Arial"/>
                <w:color w:val="000000"/>
                <w:szCs w:val="16"/>
              </w:rPr>
              <w:t>163,00</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C9D34EC" w14:textId="77777777" w:rsidR="002E6DB8" w:rsidRPr="00506C63" w:rsidRDefault="002E6DB8">
            <w:pPr>
              <w:pStyle w:val="Tabele"/>
              <w:jc w:val="right"/>
              <w:rPr>
                <w:highlight w:val="yellow"/>
              </w:rPr>
            </w:pPr>
            <w:r>
              <w:rPr>
                <w:rFonts w:cs="Arial"/>
                <w:color w:val="000000"/>
                <w:szCs w:val="16"/>
              </w:rPr>
              <w:t>137,24</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040792" w14:textId="77777777" w:rsidR="002E6DB8" w:rsidRPr="00506C63" w:rsidRDefault="002E6DB8">
            <w:pPr>
              <w:pStyle w:val="Tabele"/>
              <w:jc w:val="right"/>
              <w:rPr>
                <w:highlight w:val="yellow"/>
              </w:rPr>
            </w:pPr>
            <w:r>
              <w:rPr>
                <w:rFonts w:cs="Arial"/>
                <w:color w:val="000000"/>
                <w:szCs w:val="16"/>
              </w:rPr>
              <w:t>131,37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3A32A9C" w14:textId="77777777" w:rsidR="002E6DB8" w:rsidRPr="00506C63" w:rsidRDefault="002E6DB8">
            <w:pPr>
              <w:pStyle w:val="Tabele"/>
              <w:jc w:val="right"/>
              <w:rPr>
                <w:highlight w:val="yellow"/>
              </w:rPr>
            </w:pPr>
            <w:r>
              <w:rPr>
                <w:rFonts w:cs="Arial"/>
                <w:color w:val="000000"/>
                <w:szCs w:val="16"/>
              </w:rPr>
              <w:t>129,89</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5A6497D" w14:textId="77777777" w:rsidR="002E6DB8" w:rsidRPr="00506C63" w:rsidRDefault="002E6DB8">
            <w:pPr>
              <w:pStyle w:val="Tabele"/>
              <w:jc w:val="right"/>
              <w:rPr>
                <w:highlight w:val="yellow"/>
              </w:rPr>
            </w:pPr>
            <w:r>
              <w:rPr>
                <w:rFonts w:cs="Arial"/>
                <w:color w:val="000000"/>
                <w:szCs w:val="16"/>
              </w:rPr>
              <w:t>125,39</w:t>
            </w:r>
          </w:p>
        </w:tc>
      </w:tr>
      <w:tr w:rsidR="002E6DB8" w:rsidRPr="004669DE" w14:paraId="71E31EA0"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5BC06F" w14:textId="77777777" w:rsidR="002E6DB8" w:rsidRPr="004669DE" w:rsidRDefault="002E6DB8">
            <w:pPr>
              <w:pStyle w:val="Tabele"/>
              <w:rPr>
                <w:bCs/>
              </w:rPr>
            </w:pPr>
            <w:r>
              <w:rPr>
                <w:rFonts w:cs="Calibri"/>
                <w:color w:val="000000"/>
                <w:szCs w:val="16"/>
              </w:rPr>
              <w:t xml:space="preserve">F. Spalanie resztek roślinnych </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7F252DE" w14:textId="77777777" w:rsidR="002E6DB8" w:rsidRPr="004669DE" w:rsidRDefault="002E6DB8">
            <w:pPr>
              <w:pStyle w:val="Tabele"/>
              <w:jc w:val="right"/>
            </w:pPr>
            <w:r>
              <w:rPr>
                <w:rFonts w:cs="Arial"/>
                <w:color w:val="000000"/>
                <w:szCs w:val="16"/>
              </w:rPr>
              <w:t>0,07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661E1BF" w14:textId="77777777" w:rsidR="002E6DB8" w:rsidRPr="004669DE" w:rsidRDefault="002E6DB8">
            <w:pPr>
              <w:pStyle w:val="Tabele"/>
              <w:jc w:val="right"/>
            </w:pPr>
            <w:r>
              <w:rPr>
                <w:rFonts w:cs="Arial"/>
                <w:color w:val="000000"/>
                <w:szCs w:val="16"/>
              </w:rPr>
              <w:t>0,02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41E20B8" w14:textId="77777777" w:rsidR="002E6DB8" w:rsidRPr="004669DE" w:rsidRDefault="002E6DB8">
            <w:pPr>
              <w:pStyle w:val="Tabele"/>
              <w:jc w:val="right"/>
            </w:pPr>
            <w:r>
              <w:rPr>
                <w:rFonts w:cs="Arial"/>
                <w:color w:val="000000"/>
                <w:szCs w:val="16"/>
              </w:rPr>
              <w:t>0,06</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2DA25DB" w14:textId="77777777" w:rsidR="002E6DB8" w:rsidRPr="004669DE" w:rsidRDefault="002E6DB8">
            <w:pPr>
              <w:pStyle w:val="Tabele"/>
              <w:jc w:val="right"/>
            </w:pPr>
            <w:r>
              <w:rPr>
                <w:rFonts w:cs="Arial"/>
                <w:color w:val="000000"/>
                <w:szCs w:val="16"/>
              </w:rPr>
              <w:t>0,04</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EB3BCB" w14:textId="77777777" w:rsidR="002E6DB8" w:rsidRPr="00506C63" w:rsidRDefault="002E6DB8">
            <w:pPr>
              <w:pStyle w:val="Tabele"/>
              <w:jc w:val="right"/>
              <w:rPr>
                <w:highlight w:val="yellow"/>
              </w:rPr>
            </w:pPr>
            <w:r>
              <w:rPr>
                <w:rFonts w:cs="Arial"/>
                <w:color w:val="000000"/>
                <w:szCs w:val="16"/>
              </w:rPr>
              <w:t>0,02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61B0B1" w14:textId="77777777" w:rsidR="002E6DB8" w:rsidRPr="00506C63" w:rsidRDefault="002E6DB8">
            <w:pPr>
              <w:pStyle w:val="Tabele"/>
              <w:jc w:val="right"/>
              <w:rPr>
                <w:highlight w:val="yellow"/>
              </w:rPr>
            </w:pPr>
            <w:r>
              <w:rPr>
                <w:rFonts w:cs="Arial"/>
                <w:color w:val="000000"/>
                <w:szCs w:val="16"/>
              </w:rPr>
              <w:t>0,02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C436E3" w14:textId="77777777" w:rsidR="002E6DB8" w:rsidRPr="00506C63" w:rsidRDefault="002E6DB8">
            <w:pPr>
              <w:pStyle w:val="Tabele"/>
              <w:jc w:val="right"/>
              <w:rPr>
                <w:highlight w:val="yellow"/>
              </w:rPr>
            </w:pPr>
            <w:r>
              <w:rPr>
                <w:rFonts w:cs="Arial"/>
                <w:color w:val="000000"/>
                <w:szCs w:val="16"/>
              </w:rPr>
              <w:t>0,02</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47A9256" w14:textId="77777777" w:rsidR="002E6DB8" w:rsidRPr="00506C63" w:rsidRDefault="002E6DB8">
            <w:pPr>
              <w:pStyle w:val="Tabele"/>
              <w:jc w:val="right"/>
              <w:rPr>
                <w:highlight w:val="yellow"/>
              </w:rPr>
            </w:pPr>
            <w:r>
              <w:rPr>
                <w:rFonts w:cs="Arial"/>
                <w:color w:val="000000"/>
                <w:szCs w:val="16"/>
              </w:rPr>
              <w:t>0,02</w:t>
            </w:r>
          </w:p>
        </w:tc>
      </w:tr>
      <w:tr w:rsidR="002E6DB8" w:rsidRPr="004669DE" w14:paraId="5EAE36A0"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1AD311" w14:textId="77777777" w:rsidR="002E6DB8" w:rsidRPr="004669DE" w:rsidRDefault="002E6DB8">
            <w:pPr>
              <w:pStyle w:val="Tabele"/>
              <w:rPr>
                <w:bCs/>
              </w:rPr>
            </w:pPr>
            <w:r>
              <w:rPr>
                <w:rFonts w:cs="Calibri"/>
                <w:b/>
                <w:bCs/>
                <w:color w:val="000000"/>
                <w:szCs w:val="16"/>
              </w:rPr>
              <w:t xml:space="preserve">5. Odpady </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D1FFF3A" w14:textId="77777777" w:rsidR="002E6DB8" w:rsidRPr="004669DE" w:rsidRDefault="002E6DB8">
            <w:pPr>
              <w:pStyle w:val="Tabele"/>
              <w:jc w:val="right"/>
            </w:pPr>
            <w:r>
              <w:rPr>
                <w:rFonts w:cs="Arial"/>
                <w:b/>
                <w:bCs/>
                <w:color w:val="000000"/>
                <w:szCs w:val="16"/>
              </w:rPr>
              <w:t>5,75</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F8F3BEB" w14:textId="77777777" w:rsidR="002E6DB8" w:rsidRPr="004669DE" w:rsidRDefault="002E6DB8">
            <w:pPr>
              <w:pStyle w:val="Tabele"/>
              <w:jc w:val="right"/>
            </w:pPr>
            <w:r>
              <w:rPr>
                <w:rFonts w:cs="Arial"/>
                <w:b/>
                <w:bCs/>
                <w:color w:val="000000"/>
                <w:szCs w:val="16"/>
              </w:rPr>
              <w:t>4,45</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4FA9D49" w14:textId="77777777" w:rsidR="002E6DB8" w:rsidRPr="004669DE" w:rsidRDefault="002E6DB8">
            <w:pPr>
              <w:pStyle w:val="Tabele"/>
              <w:jc w:val="right"/>
            </w:pPr>
            <w:r>
              <w:rPr>
                <w:rFonts w:cs="Arial"/>
                <w:b/>
                <w:bCs/>
                <w:color w:val="000000"/>
                <w:szCs w:val="16"/>
              </w:rPr>
              <w:t>4,08</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D70B730" w14:textId="77777777" w:rsidR="002E6DB8" w:rsidRPr="004669DE" w:rsidRDefault="002E6DB8">
            <w:pPr>
              <w:pStyle w:val="Tabele"/>
              <w:jc w:val="right"/>
            </w:pPr>
            <w:r>
              <w:rPr>
                <w:rFonts w:cs="Arial"/>
                <w:b/>
                <w:bCs/>
                <w:color w:val="000000"/>
                <w:szCs w:val="16"/>
              </w:rPr>
              <w:t>3,39</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83072B9" w14:textId="77777777" w:rsidR="002E6DB8" w:rsidRPr="00506C63" w:rsidRDefault="002E6DB8">
            <w:pPr>
              <w:pStyle w:val="Tabele"/>
              <w:jc w:val="right"/>
              <w:rPr>
                <w:highlight w:val="yellow"/>
              </w:rPr>
            </w:pPr>
            <w:r>
              <w:rPr>
                <w:rFonts w:cs="Arial"/>
                <w:b/>
                <w:bCs/>
                <w:color w:val="000000"/>
                <w:szCs w:val="16"/>
              </w:rPr>
              <w:t>3,33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ADE538" w14:textId="77777777" w:rsidR="002E6DB8" w:rsidRPr="00506C63" w:rsidRDefault="002E6DB8">
            <w:pPr>
              <w:pStyle w:val="Tabele"/>
              <w:jc w:val="right"/>
              <w:rPr>
                <w:highlight w:val="yellow"/>
              </w:rPr>
            </w:pPr>
            <w:r>
              <w:rPr>
                <w:rFonts w:cs="Arial"/>
                <w:b/>
                <w:bCs/>
                <w:color w:val="000000"/>
                <w:szCs w:val="16"/>
              </w:rPr>
              <w:t>4,47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3F7028" w14:textId="77777777" w:rsidR="002E6DB8" w:rsidRPr="00506C63" w:rsidRDefault="002E6DB8">
            <w:pPr>
              <w:pStyle w:val="Tabele"/>
              <w:jc w:val="right"/>
              <w:rPr>
                <w:highlight w:val="yellow"/>
              </w:rPr>
            </w:pPr>
            <w:r>
              <w:rPr>
                <w:rFonts w:cs="Arial"/>
                <w:b/>
                <w:bCs/>
                <w:color w:val="000000"/>
                <w:szCs w:val="16"/>
              </w:rPr>
              <w:t>5,00</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BE8E10" w14:textId="77777777" w:rsidR="002E6DB8" w:rsidRPr="00506C63" w:rsidRDefault="002E6DB8">
            <w:pPr>
              <w:pStyle w:val="Tabele"/>
              <w:jc w:val="right"/>
              <w:rPr>
                <w:highlight w:val="yellow"/>
              </w:rPr>
            </w:pPr>
            <w:r>
              <w:rPr>
                <w:rFonts w:cs="Arial"/>
                <w:b/>
                <w:bCs/>
                <w:color w:val="000000"/>
                <w:szCs w:val="16"/>
              </w:rPr>
              <w:t>5,83</w:t>
            </w:r>
          </w:p>
        </w:tc>
      </w:tr>
      <w:tr w:rsidR="002E6DB8" w:rsidRPr="004669DE" w14:paraId="6529323C"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C72878B" w14:textId="77777777" w:rsidR="002E6DB8" w:rsidRPr="00EB3B96" w:rsidRDefault="002E6DB8">
            <w:pPr>
              <w:pStyle w:val="Tabele"/>
              <w:rPr>
                <w:bCs/>
              </w:rPr>
            </w:pPr>
            <w:r>
              <w:rPr>
                <w:rFonts w:cs="Calibri"/>
                <w:color w:val="000000"/>
                <w:szCs w:val="16"/>
              </w:rPr>
              <w:t>B. Kompostowanie</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0C6BD28" w14:textId="77777777" w:rsidR="002E6DB8" w:rsidRPr="004669DE" w:rsidRDefault="002E6DB8">
            <w:pPr>
              <w:pStyle w:val="Tabele"/>
              <w:jc w:val="right"/>
            </w:pPr>
            <w:r>
              <w:rPr>
                <w:rFonts w:cs="Arial"/>
                <w:color w:val="000000"/>
                <w:szCs w:val="16"/>
              </w:rPr>
              <w:t>0,23</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3538351" w14:textId="77777777" w:rsidR="002E6DB8" w:rsidRPr="004669DE" w:rsidRDefault="002E6DB8">
            <w:pPr>
              <w:pStyle w:val="Tabele"/>
              <w:jc w:val="right"/>
            </w:pPr>
            <w:r>
              <w:rPr>
                <w:rFonts w:cs="Arial"/>
                <w:color w:val="000000"/>
                <w:szCs w:val="16"/>
              </w:rPr>
              <w:t>0,28</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5E1A7D2" w14:textId="77777777" w:rsidR="002E6DB8" w:rsidRPr="004669DE" w:rsidRDefault="002E6DB8">
            <w:pPr>
              <w:pStyle w:val="Tabele"/>
              <w:jc w:val="right"/>
            </w:pPr>
            <w:r>
              <w:rPr>
                <w:rFonts w:cs="Arial"/>
                <w:color w:val="000000"/>
                <w:szCs w:val="16"/>
              </w:rPr>
              <w:t>1,26</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CF0049E" w14:textId="77777777" w:rsidR="002E6DB8" w:rsidRPr="004669DE" w:rsidRDefault="002E6DB8">
            <w:pPr>
              <w:pStyle w:val="Tabele"/>
              <w:jc w:val="right"/>
            </w:pPr>
            <w:r>
              <w:rPr>
                <w:rFonts w:cs="Arial"/>
                <w:color w:val="000000"/>
                <w:szCs w:val="16"/>
              </w:rPr>
              <w:t>1,91</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EE1FBB" w14:textId="77777777" w:rsidR="002E6DB8" w:rsidRPr="00506C63" w:rsidRDefault="002E6DB8">
            <w:pPr>
              <w:pStyle w:val="Tabele"/>
              <w:jc w:val="right"/>
              <w:rPr>
                <w:highlight w:val="yellow"/>
              </w:rPr>
            </w:pPr>
            <w:r>
              <w:rPr>
                <w:rFonts w:cs="Arial"/>
                <w:color w:val="000000"/>
                <w:szCs w:val="16"/>
              </w:rPr>
              <w:t>2,48</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440600" w14:textId="77777777" w:rsidR="002E6DB8" w:rsidRPr="00506C63" w:rsidRDefault="002E6DB8">
            <w:pPr>
              <w:pStyle w:val="Tabele"/>
              <w:jc w:val="right"/>
              <w:rPr>
                <w:highlight w:val="yellow"/>
              </w:rPr>
            </w:pPr>
            <w:r>
              <w:rPr>
                <w:rFonts w:cs="Arial"/>
                <w:color w:val="000000"/>
                <w:szCs w:val="16"/>
              </w:rPr>
              <w:t>3,76</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A70943" w14:textId="77777777" w:rsidR="002E6DB8" w:rsidRPr="00506C63" w:rsidRDefault="002E6DB8">
            <w:pPr>
              <w:pStyle w:val="Tabele"/>
              <w:jc w:val="right"/>
              <w:rPr>
                <w:highlight w:val="yellow"/>
              </w:rPr>
            </w:pPr>
            <w:r>
              <w:rPr>
                <w:rFonts w:cs="Arial"/>
                <w:color w:val="000000"/>
                <w:szCs w:val="16"/>
              </w:rPr>
              <w:t>4,43</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1B3251" w14:textId="77777777" w:rsidR="002E6DB8" w:rsidRPr="00506C63" w:rsidRDefault="002E6DB8">
            <w:pPr>
              <w:pStyle w:val="Tabele"/>
              <w:jc w:val="right"/>
              <w:rPr>
                <w:highlight w:val="yellow"/>
              </w:rPr>
            </w:pPr>
            <w:r>
              <w:rPr>
                <w:rFonts w:cs="Arial"/>
                <w:color w:val="000000"/>
                <w:szCs w:val="16"/>
              </w:rPr>
              <w:t>5,41</w:t>
            </w:r>
          </w:p>
        </w:tc>
      </w:tr>
      <w:tr w:rsidR="002E6DB8" w:rsidRPr="004669DE" w14:paraId="15BEA35D"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8791DBB" w14:textId="77777777" w:rsidR="002E6DB8" w:rsidRPr="00F826ED" w:rsidRDefault="002E6DB8">
            <w:pPr>
              <w:pStyle w:val="Tabele"/>
              <w:rPr>
                <w:b/>
                <w:bCs/>
              </w:rPr>
            </w:pPr>
            <w:r>
              <w:rPr>
                <w:rFonts w:cs="Calibri"/>
                <w:color w:val="000000"/>
                <w:szCs w:val="16"/>
              </w:rPr>
              <w:t>D. Gospodarka ściekami</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9768B63" w14:textId="77777777" w:rsidR="002E6DB8" w:rsidRPr="004669DE" w:rsidRDefault="002E6DB8">
            <w:pPr>
              <w:pStyle w:val="Tabele"/>
              <w:jc w:val="right"/>
            </w:pPr>
            <w:r>
              <w:rPr>
                <w:rFonts w:cs="Arial"/>
                <w:color w:val="000000"/>
                <w:szCs w:val="16"/>
              </w:rPr>
              <w:t>5,52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3CE49EE" w14:textId="77777777" w:rsidR="002E6DB8" w:rsidRPr="004669DE" w:rsidRDefault="002E6DB8">
            <w:pPr>
              <w:pStyle w:val="Tabele"/>
              <w:jc w:val="right"/>
            </w:pPr>
            <w:r>
              <w:rPr>
                <w:rFonts w:cs="Arial"/>
                <w:color w:val="000000"/>
                <w:szCs w:val="16"/>
              </w:rPr>
              <w:t>4,17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BF6F7B2" w14:textId="77777777" w:rsidR="002E6DB8" w:rsidRPr="004669DE" w:rsidRDefault="002E6DB8">
            <w:pPr>
              <w:pStyle w:val="Tabele"/>
              <w:jc w:val="right"/>
            </w:pPr>
            <w:r>
              <w:rPr>
                <w:rFonts w:cs="Arial"/>
                <w:color w:val="000000"/>
                <w:szCs w:val="16"/>
              </w:rPr>
              <w:t>2,82</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C891F0A" w14:textId="77777777" w:rsidR="002E6DB8" w:rsidRPr="004669DE" w:rsidRDefault="002E6DB8">
            <w:pPr>
              <w:pStyle w:val="Tabele"/>
              <w:jc w:val="right"/>
            </w:pPr>
            <w:r>
              <w:rPr>
                <w:rFonts w:cs="Arial"/>
                <w:color w:val="000000"/>
                <w:szCs w:val="16"/>
              </w:rPr>
              <w:t>1,48</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787F06" w14:textId="77777777" w:rsidR="002E6DB8" w:rsidRPr="00506C63" w:rsidRDefault="002E6DB8">
            <w:pPr>
              <w:pStyle w:val="Tabele"/>
              <w:jc w:val="right"/>
              <w:rPr>
                <w:highlight w:val="yellow"/>
              </w:rPr>
            </w:pPr>
            <w:r>
              <w:rPr>
                <w:rFonts w:cs="Arial"/>
                <w:color w:val="000000"/>
                <w:szCs w:val="16"/>
              </w:rPr>
              <w:t>0,85</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0ADF274" w14:textId="77777777" w:rsidR="002E6DB8" w:rsidRPr="00506C63" w:rsidRDefault="002E6DB8">
            <w:pPr>
              <w:pStyle w:val="Tabele"/>
              <w:jc w:val="right"/>
              <w:rPr>
                <w:highlight w:val="yellow"/>
              </w:rPr>
            </w:pPr>
            <w:r>
              <w:rPr>
                <w:rFonts w:cs="Arial"/>
                <w:color w:val="000000"/>
                <w:szCs w:val="16"/>
              </w:rPr>
              <w:t>0,71</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3B2DD9" w14:textId="77777777" w:rsidR="002E6DB8" w:rsidRPr="00506C63" w:rsidRDefault="002E6DB8">
            <w:pPr>
              <w:pStyle w:val="Tabele"/>
              <w:jc w:val="right"/>
              <w:rPr>
                <w:highlight w:val="yellow"/>
              </w:rPr>
            </w:pPr>
            <w:r>
              <w:rPr>
                <w:rFonts w:cs="Arial"/>
                <w:color w:val="000000"/>
                <w:szCs w:val="16"/>
              </w:rPr>
              <w:t>0,57</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5AB247" w14:textId="77777777" w:rsidR="002E6DB8" w:rsidRPr="00506C63" w:rsidRDefault="002E6DB8">
            <w:pPr>
              <w:pStyle w:val="Tabele"/>
              <w:jc w:val="right"/>
              <w:rPr>
                <w:highlight w:val="yellow"/>
              </w:rPr>
            </w:pPr>
            <w:r>
              <w:rPr>
                <w:rFonts w:cs="Arial"/>
                <w:color w:val="000000"/>
                <w:szCs w:val="16"/>
              </w:rPr>
              <w:t>0,42</w:t>
            </w:r>
          </w:p>
        </w:tc>
      </w:tr>
      <w:tr w:rsidR="002E6DB8" w:rsidRPr="001F4C51" w14:paraId="5F3F1130" w14:textId="77777777" w:rsidTr="00FB6778">
        <w:trPr>
          <w:trHeight w:val="226"/>
        </w:trPr>
        <w:tc>
          <w:tcPr>
            <w:tcW w:w="222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D8DE38D" w14:textId="77777777" w:rsidR="002E6DB8" w:rsidRPr="001F4C51" w:rsidRDefault="002E6DB8">
            <w:pPr>
              <w:pStyle w:val="Tabele"/>
              <w:rPr>
                <w:rFonts w:cs="Calibri"/>
                <w:b/>
                <w:bCs/>
                <w:color w:val="000000"/>
                <w:szCs w:val="16"/>
              </w:rPr>
            </w:pPr>
            <w:r w:rsidRPr="001F4C51">
              <w:rPr>
                <w:rFonts w:cs="Calibri"/>
                <w:b/>
                <w:bCs/>
                <w:color w:val="000000"/>
                <w:szCs w:val="16"/>
              </w:rPr>
              <w:t>OGÓŁEM</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75F7DF9" w14:textId="77777777" w:rsidR="002E6DB8" w:rsidRPr="001F4C51" w:rsidRDefault="002E6DB8">
            <w:pPr>
              <w:pStyle w:val="Tabele"/>
              <w:jc w:val="right"/>
              <w:rPr>
                <w:b/>
                <w:bCs/>
              </w:rPr>
            </w:pPr>
            <w:r>
              <w:rPr>
                <w:rFonts w:cs="Arial"/>
                <w:b/>
                <w:bCs/>
                <w:color w:val="000000"/>
                <w:szCs w:val="16"/>
              </w:rPr>
              <w:t>332,37</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570ACED" w14:textId="77777777" w:rsidR="002E6DB8" w:rsidRPr="001F4C51" w:rsidRDefault="002E6DB8">
            <w:pPr>
              <w:pStyle w:val="Tabele"/>
              <w:jc w:val="right"/>
              <w:rPr>
                <w:b/>
                <w:bCs/>
              </w:rPr>
            </w:pPr>
            <w:r>
              <w:rPr>
                <w:rFonts w:cs="Arial"/>
                <w:b/>
                <w:bCs/>
                <w:color w:val="000000"/>
                <w:szCs w:val="16"/>
              </w:rPr>
              <w:t>307,18</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EA6B00D" w14:textId="77777777" w:rsidR="002E6DB8" w:rsidRPr="001F4C51" w:rsidRDefault="002E6DB8">
            <w:pPr>
              <w:pStyle w:val="Tabele"/>
              <w:jc w:val="right"/>
              <w:rPr>
                <w:b/>
                <w:bCs/>
              </w:rPr>
            </w:pPr>
            <w:r>
              <w:rPr>
                <w:rFonts w:cs="Arial"/>
                <w:b/>
                <w:bCs/>
                <w:color w:val="000000"/>
                <w:szCs w:val="16"/>
              </w:rPr>
              <w:t>295,14</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BBCC626" w14:textId="77777777" w:rsidR="002E6DB8" w:rsidRPr="001F4C51" w:rsidRDefault="002E6DB8">
            <w:pPr>
              <w:pStyle w:val="Tabele"/>
              <w:jc w:val="right"/>
              <w:rPr>
                <w:b/>
                <w:bCs/>
              </w:rPr>
            </w:pPr>
            <w:r>
              <w:rPr>
                <w:rFonts w:cs="Arial"/>
                <w:b/>
                <w:bCs/>
                <w:color w:val="000000"/>
                <w:szCs w:val="16"/>
              </w:rPr>
              <w:t>315,63</w:t>
            </w:r>
          </w:p>
        </w:tc>
        <w:tc>
          <w:tcPr>
            <w:tcW w:w="85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40AA16E" w14:textId="77777777" w:rsidR="002E6DB8" w:rsidRPr="00506C63" w:rsidRDefault="002E6DB8">
            <w:pPr>
              <w:pStyle w:val="Tabele"/>
              <w:jc w:val="right"/>
              <w:rPr>
                <w:b/>
                <w:bCs/>
                <w:highlight w:val="yellow"/>
              </w:rPr>
            </w:pPr>
            <w:r>
              <w:rPr>
                <w:rFonts w:cs="Arial"/>
                <w:b/>
                <w:bCs/>
                <w:color w:val="000000"/>
                <w:szCs w:val="16"/>
              </w:rPr>
              <w:t>278,95</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6DFDC17" w14:textId="77777777" w:rsidR="002E6DB8" w:rsidRPr="00506C63" w:rsidRDefault="002E6DB8">
            <w:pPr>
              <w:pStyle w:val="Tabele"/>
              <w:jc w:val="right"/>
              <w:rPr>
                <w:b/>
                <w:bCs/>
                <w:highlight w:val="yellow"/>
              </w:rPr>
            </w:pPr>
            <w:r>
              <w:rPr>
                <w:rFonts w:cs="Arial"/>
                <w:b/>
                <w:bCs/>
                <w:color w:val="000000"/>
                <w:szCs w:val="16"/>
              </w:rPr>
              <w:t>274,79</w:t>
            </w:r>
          </w:p>
        </w:tc>
        <w:tc>
          <w:tcPr>
            <w:tcW w:w="8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0B441C" w14:textId="77777777" w:rsidR="002E6DB8" w:rsidRPr="00506C63" w:rsidRDefault="002E6DB8">
            <w:pPr>
              <w:pStyle w:val="Tabele"/>
              <w:jc w:val="right"/>
              <w:rPr>
                <w:b/>
                <w:bCs/>
                <w:highlight w:val="yellow"/>
              </w:rPr>
            </w:pPr>
            <w:r>
              <w:rPr>
                <w:rFonts w:cs="Arial"/>
                <w:b/>
                <w:bCs/>
                <w:color w:val="000000"/>
                <w:szCs w:val="16"/>
              </w:rPr>
              <w:t>275,83</w:t>
            </w:r>
          </w:p>
        </w:tc>
        <w:tc>
          <w:tcPr>
            <w:tcW w:w="7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40B347" w14:textId="77777777" w:rsidR="002E6DB8" w:rsidRPr="00506C63" w:rsidRDefault="002E6DB8">
            <w:pPr>
              <w:pStyle w:val="Tabele"/>
              <w:jc w:val="right"/>
              <w:rPr>
                <w:b/>
                <w:bCs/>
                <w:highlight w:val="yellow"/>
              </w:rPr>
            </w:pPr>
            <w:r>
              <w:rPr>
                <w:rFonts w:cs="Arial"/>
                <w:b/>
                <w:bCs/>
                <w:color w:val="000000"/>
                <w:szCs w:val="16"/>
              </w:rPr>
              <w:t>272,93</w:t>
            </w:r>
          </w:p>
        </w:tc>
      </w:tr>
    </w:tbl>
    <w:p w14:paraId="59628466" w14:textId="1183416C" w:rsidR="005C4144" w:rsidRPr="00BB1158" w:rsidRDefault="005C4144" w:rsidP="002E6DB8">
      <w:pPr>
        <w:pStyle w:val="Legenda"/>
      </w:pPr>
      <w:r w:rsidRPr="00BB1158">
        <w:t>Źródło: Opracowanie własne KOBIZE, IOŚ-PIB</w:t>
      </w:r>
    </w:p>
    <w:p w14:paraId="337E10D3" w14:textId="24B750CE" w:rsidR="00A2585C" w:rsidRPr="00AC6992" w:rsidRDefault="007430C3" w:rsidP="00A2585C">
      <w:r w:rsidRPr="007F0D2B">
        <w:t xml:space="preserve">Zgodnie z dyrektywą NEC w latach 2020-2029 Polska powinna zredukować emisję amoniaku o minimum 1%, zaś od </w:t>
      </w:r>
      <w:r w:rsidR="00F128CB">
        <w:t>2030 r.</w:t>
      </w:r>
      <w:r w:rsidRPr="007F0D2B">
        <w:t xml:space="preserve"> – o minimum 17% w stosunku do roku 2005. Redukcja tego zanieczyszczenia w latach 2020</w:t>
      </w:r>
      <w:r w:rsidRPr="005A3B8D">
        <w:t>,</w:t>
      </w:r>
      <w:r w:rsidRPr="007F0D2B">
        <w:t> 2021</w:t>
      </w:r>
      <w:r w:rsidRPr="005A3B8D">
        <w:t xml:space="preserve"> i 2022 w</w:t>
      </w:r>
      <w:r w:rsidRPr="007F0D2B">
        <w:t xml:space="preserve"> odniesieniu do 200</w:t>
      </w:r>
      <w:r w:rsidR="00BE2ED8">
        <w:t>5 r.</w:t>
      </w:r>
      <w:r w:rsidRPr="007F0D2B">
        <w:t xml:space="preserve"> przekroczyła wymagany poziom i wyniosła w 202</w:t>
      </w:r>
      <w:r w:rsidR="00BE2ED8">
        <w:t>0 r.</w:t>
      </w:r>
      <w:r w:rsidRPr="007F0D2B">
        <w:t xml:space="preserve"> </w:t>
      </w:r>
      <w:r w:rsidRPr="005A3B8D">
        <w:t>5,0</w:t>
      </w:r>
      <w:r w:rsidRPr="007F0D2B">
        <w:t>%, w 2021 r 10,</w:t>
      </w:r>
      <w:r w:rsidRPr="005A3B8D">
        <w:t>3</w:t>
      </w:r>
      <w:r w:rsidRPr="007F0D2B">
        <w:t>%</w:t>
      </w:r>
      <w:r w:rsidRPr="005A3B8D">
        <w:t>,</w:t>
      </w:r>
      <w:r w:rsidR="00412138" w:rsidRPr="005A3B8D">
        <w:t xml:space="preserve"> </w:t>
      </w:r>
      <w:r w:rsidRPr="005A3B8D">
        <w:t>a w 2022 r</w:t>
      </w:r>
      <w:r w:rsidR="000558A4">
        <w:t>.</w:t>
      </w:r>
      <w:r w:rsidRPr="005A3B8D">
        <w:t xml:space="preserve"> 16,6%</w:t>
      </w:r>
      <w:r w:rsidRPr="007F0D2B">
        <w:t xml:space="preserve">. W latach prognozy redukcja emisji amoniaku w scenariuszu WAM </w:t>
      </w:r>
      <w:r w:rsidR="00876A1A" w:rsidRPr="007F0D2B">
        <w:t>osiąg</w:t>
      </w:r>
      <w:r w:rsidR="00876A1A">
        <w:t>nie</w:t>
      </w:r>
      <w:r w:rsidR="00876A1A" w:rsidRPr="007F0D2B">
        <w:t xml:space="preserve"> </w:t>
      </w:r>
      <w:r w:rsidR="00876A1A" w:rsidRPr="005A3B8D">
        <w:t>16</w:t>
      </w:r>
      <w:r w:rsidRPr="005A3B8D">
        <w:t>,1</w:t>
      </w:r>
      <w:r w:rsidRPr="007F0D2B">
        <w:t>% w 202</w:t>
      </w:r>
      <w:r w:rsidR="00BE2ED8">
        <w:t>5 r.</w:t>
      </w:r>
      <w:r w:rsidR="004D186A" w:rsidRPr="005A3B8D">
        <w:t xml:space="preserve">, </w:t>
      </w:r>
      <w:r w:rsidR="00F566FF" w:rsidRPr="005A3B8D">
        <w:t>17,3% w 203</w:t>
      </w:r>
      <w:r w:rsidR="00BE2ED8">
        <w:t>0 r.</w:t>
      </w:r>
      <w:r w:rsidR="00F566FF" w:rsidRPr="005A3B8D">
        <w:t>,</w:t>
      </w:r>
      <w:r w:rsidRPr="007F0D2B">
        <w:t xml:space="preserve"> </w:t>
      </w:r>
      <w:r w:rsidR="009F77DD" w:rsidRPr="005A3B8D">
        <w:t>17,9</w:t>
      </w:r>
      <w:r w:rsidRPr="005A3B8D">
        <w:t>% w </w:t>
      </w:r>
      <w:r w:rsidR="00F128CB">
        <w:t>2040 r.</w:t>
      </w:r>
      <w:r w:rsidRPr="005A3B8D">
        <w:t xml:space="preserve"> </w:t>
      </w:r>
      <w:r w:rsidR="0076758F">
        <w:t xml:space="preserve">względem </w:t>
      </w:r>
      <w:r w:rsidR="00325714">
        <w:t xml:space="preserve">2005 </w:t>
      </w:r>
      <w:r w:rsidR="00EF7100">
        <w:t xml:space="preserve">r. </w:t>
      </w:r>
      <w:r w:rsidR="005C4144" w:rsidRPr="007F0D2B">
        <w:t>(</w:t>
      </w:r>
      <w:r w:rsidR="004675C2" w:rsidRPr="005A3B8D">
        <w:fldChar w:fldCharType="begin"/>
      </w:r>
      <w:r w:rsidR="004675C2" w:rsidRPr="005A3B8D">
        <w:instrText xml:space="preserve"> REF _Ref195869923 \h </w:instrText>
      </w:r>
      <w:r w:rsidR="00D31008" w:rsidRPr="005A3B8D">
        <w:instrText xml:space="preserve"> \* MERGEFORMAT </w:instrText>
      </w:r>
      <w:r w:rsidR="004675C2" w:rsidRPr="005A3B8D">
        <w:fldChar w:fldCharType="separate"/>
      </w:r>
      <w:r w:rsidR="00F27D6F">
        <w:t>Tabela 1.13</w:t>
      </w:r>
      <w:r w:rsidR="004675C2" w:rsidRPr="005A3B8D">
        <w:fldChar w:fldCharType="end"/>
      </w:r>
      <w:r w:rsidR="005C4144" w:rsidRPr="007F0D2B">
        <w:t xml:space="preserve">), </w:t>
      </w:r>
      <w:bookmarkStart w:id="90" w:name="_Ref156544865"/>
      <w:bookmarkStart w:id="91" w:name="_Toc167442090"/>
      <w:r w:rsidR="00A2585C" w:rsidRPr="007F0D2B">
        <w:t>zatem cele redukcyjne dla NH</w:t>
      </w:r>
      <w:r w:rsidR="00A2585C" w:rsidRPr="00F81156">
        <w:rPr>
          <w:vertAlign w:val="subscript"/>
        </w:rPr>
        <w:t>3</w:t>
      </w:r>
      <w:r w:rsidR="00A2585C" w:rsidRPr="007F0D2B">
        <w:t xml:space="preserve"> są spełnione we wszystkich latach prognozy.</w:t>
      </w:r>
    </w:p>
    <w:p w14:paraId="06584B58" w14:textId="55BACA55" w:rsidR="00A2585C" w:rsidRPr="00AC6992" w:rsidRDefault="00A2585C" w:rsidP="00A2585C">
      <w:r w:rsidRPr="00AC6992">
        <w:t>Rolnictwo jest głównym źródłem emisji amoniaku w Polsce, odpowiedzialnym za około 9</w:t>
      </w:r>
      <w:r>
        <w:t>6</w:t>
      </w:r>
      <w:r w:rsidRPr="00AC6992">
        <w:t xml:space="preserve">% emisji krajowej w 2020 r. i prognozuje się utrzymanie udziału </w:t>
      </w:r>
      <w:r w:rsidR="005C5EE8" w:rsidRPr="005C5EE8">
        <w:t>95</w:t>
      </w:r>
      <w:r w:rsidRPr="005C5EE8">
        <w:t>% do 20</w:t>
      </w:r>
      <w:r w:rsidR="002B5ED5" w:rsidRPr="005C5EE8">
        <w:t>4</w:t>
      </w:r>
      <w:r w:rsidRPr="005C5EE8">
        <w:t>0 r</w:t>
      </w:r>
      <w:r w:rsidRPr="00AC6992">
        <w:t>. W 2020 r. dominowały tu dwa źródła: odchody zwierząt gospodarskich (kat. 3B nawozy naturalne), odpowiadające za 4</w:t>
      </w:r>
      <w:r>
        <w:t>4</w:t>
      </w:r>
      <w:r w:rsidRPr="00AC6992">
        <w:t>% emisji NH</w:t>
      </w:r>
      <w:r w:rsidRPr="00217231">
        <w:rPr>
          <w:vertAlign w:val="subscript"/>
        </w:rPr>
        <w:t>3</w:t>
      </w:r>
      <w:r w:rsidRPr="00AC6992">
        <w:t xml:space="preserve"> oraz stosowanie nawozów naturalnych i mineralnych na gleby rolne (kat. 3D gleby rolne), z czego pochodziło 52% emisji NH</w:t>
      </w:r>
      <w:r w:rsidRPr="00217231">
        <w:rPr>
          <w:vertAlign w:val="subscript"/>
        </w:rPr>
        <w:t>3</w:t>
      </w:r>
      <w:r>
        <w:t>.</w:t>
      </w:r>
      <w:r w:rsidRPr="00AC6992">
        <w:t xml:space="preserve"> </w:t>
      </w:r>
      <w:r w:rsidRPr="00124697">
        <w:t>W scenariuszu WAM prognozuje się w tym sektorze spadek emisji NH</w:t>
      </w:r>
      <w:r w:rsidRPr="00124697">
        <w:rPr>
          <w:vertAlign w:val="subscript"/>
        </w:rPr>
        <w:t>3</w:t>
      </w:r>
      <w:r w:rsidRPr="00124697">
        <w:t xml:space="preserve"> o ok. 17% w 2030 r. oraz </w:t>
      </w:r>
      <w:r w:rsidRPr="00D31ED9">
        <w:t xml:space="preserve">o </w:t>
      </w:r>
      <w:r w:rsidR="00D31ED9" w:rsidRPr="00D31ED9">
        <w:t>18</w:t>
      </w:r>
      <w:r w:rsidRPr="00D31ED9">
        <w:t>% w 20</w:t>
      </w:r>
      <w:r w:rsidR="002B5ED5" w:rsidRPr="00D31ED9">
        <w:t>4</w:t>
      </w:r>
      <w:r w:rsidRPr="00D31ED9">
        <w:t>0</w:t>
      </w:r>
      <w:r w:rsidRPr="00124697">
        <w:t xml:space="preserve"> r. w stosunku do 2005 r.</w:t>
      </w:r>
      <w:r w:rsidRPr="00E5316F">
        <w:t xml:space="preserve"> W </w:t>
      </w:r>
      <w:r>
        <w:t>przypadku</w:t>
      </w:r>
      <w:r w:rsidRPr="00E5316F">
        <w:t> stosowania nawozów mineralnych, zgodnie z nowelizacją ustawy o nawozach i nawożeniu [U</w:t>
      </w:r>
      <w:r>
        <w:t>stawa z dnia 10 lipca 2007 r. o </w:t>
      </w:r>
      <w:r w:rsidRPr="00E5316F">
        <w:t>nawozach i nawożeniu] wskazującą na konieczność stosowania mocznika w formie granulowanej wyłącznie z inhibitorem ureazy lub z powłoką biodegradowalną założono, że 100% mocznika będzie stosowane z inhibitorem.</w:t>
      </w:r>
      <w:r>
        <w:t xml:space="preserve"> Stąd </w:t>
      </w:r>
      <w:r w:rsidRPr="00E5316F">
        <w:t>prognozowana jest znacząca redukcja emisji NH</w:t>
      </w:r>
      <w:r w:rsidRPr="00E5316F">
        <w:rPr>
          <w:vertAlign w:val="subscript"/>
        </w:rPr>
        <w:t>3</w:t>
      </w:r>
      <w:r>
        <w:t xml:space="preserve"> ze stosowania nawozów mineralnych</w:t>
      </w:r>
      <w:r w:rsidRPr="00E5316F">
        <w:t xml:space="preserve">: o ok. 47% w 2030 r. </w:t>
      </w:r>
      <w:r>
        <w:t>W</w:t>
      </w:r>
      <w:r w:rsidRPr="00DD43D2">
        <w:t xml:space="preserve"> scenariuszu WAM uwzględniono </w:t>
      </w:r>
      <w:r>
        <w:t>także</w:t>
      </w:r>
      <w:r w:rsidRPr="00DD43D2">
        <w:t xml:space="preserve"> dodatkowe działanie wpływające na zmniejszenie emisji NH</w:t>
      </w:r>
      <w:r w:rsidRPr="00DD43D2">
        <w:rPr>
          <w:vertAlign w:val="subscript"/>
        </w:rPr>
        <w:t>3</w:t>
      </w:r>
      <w:r w:rsidRPr="00DD43D2">
        <w:t xml:space="preserve"> w sektorze rolnictwa, określone w dyrektywie NEC (zał. III cz.2), a propagowane do wdrażania wśród rolników w </w:t>
      </w:r>
      <w:r w:rsidRPr="00DD43D2">
        <w:rPr>
          <w:i/>
        </w:rPr>
        <w:t>Kodeksie doradczym dobrej praktyki rolniczej dotyczącym ograniczania emisji amoniaku</w:t>
      </w:r>
      <w:r w:rsidRPr="00DD43D2">
        <w:t xml:space="preserve"> (ITP 2019), obejmujące aplikację gnojowicy innymi metodami niż rozbryzgowo.</w:t>
      </w:r>
      <w:r w:rsidR="00505918">
        <w:t xml:space="preserve"> </w:t>
      </w:r>
      <w:r w:rsidR="00E50FFF">
        <w:t>Zakłada się</w:t>
      </w:r>
      <w:r w:rsidR="001A1827">
        <w:t xml:space="preserve"> zgodnie z </w:t>
      </w:r>
      <w:r w:rsidR="001A1827" w:rsidRPr="004F47D3">
        <w:rPr>
          <w:i/>
          <w:iCs/>
        </w:rPr>
        <w:t>Krajowym Programem Ograniczania Zanieczyszczeń Powietrza</w:t>
      </w:r>
      <w:r w:rsidR="001A1827">
        <w:t xml:space="preserve"> </w:t>
      </w:r>
      <w:r w:rsidR="000B42B0">
        <w:t>–</w:t>
      </w:r>
      <w:r w:rsidR="00682492">
        <w:t xml:space="preserve"> </w:t>
      </w:r>
      <w:r w:rsidR="000B42B0">
        <w:t>aktualizacja,</w:t>
      </w:r>
      <w:r w:rsidR="00E50FFF">
        <w:t xml:space="preserve"> że </w:t>
      </w:r>
      <w:r w:rsidR="0087407C">
        <w:t xml:space="preserve">w 2030 r. </w:t>
      </w:r>
      <w:r w:rsidR="00E50FFF">
        <w:t xml:space="preserve">rozlewnie gnojowicy innymi metodami niż </w:t>
      </w:r>
      <w:r w:rsidR="00A0161C">
        <w:t xml:space="preserve">rozbryzgowo </w:t>
      </w:r>
      <w:r w:rsidR="004115C9">
        <w:t>obejmie</w:t>
      </w:r>
      <w:r w:rsidR="009A21AE">
        <w:t xml:space="preserve"> 60% ogółu </w:t>
      </w:r>
      <w:r w:rsidR="00D37182">
        <w:t>stosowanej</w:t>
      </w:r>
      <w:r w:rsidR="009A21AE">
        <w:t xml:space="preserve"> gnojowicy</w:t>
      </w:r>
      <w:r w:rsidR="00213D57">
        <w:t xml:space="preserve">, </w:t>
      </w:r>
      <w:r w:rsidR="0087407C">
        <w:t>a przyorywanie obornika w ciągu 12</w:t>
      </w:r>
      <w:r w:rsidR="004F47D3">
        <w:t xml:space="preserve"> </w:t>
      </w:r>
      <w:r w:rsidR="0087407C">
        <w:t>h po aplikacji na pol</w:t>
      </w:r>
      <w:r w:rsidR="000B42B0">
        <w:t>u</w:t>
      </w:r>
      <w:r w:rsidR="0087407C">
        <w:t xml:space="preserve"> </w:t>
      </w:r>
      <w:r w:rsidR="001B50C3">
        <w:t>dotyczyło będzie</w:t>
      </w:r>
      <w:r w:rsidR="0087407C">
        <w:t xml:space="preserve"> 90% stosowanego obornika</w:t>
      </w:r>
      <w:r w:rsidR="009A21AE">
        <w:t xml:space="preserve">. </w:t>
      </w:r>
    </w:p>
    <w:p w14:paraId="61764F3A" w14:textId="52B77A06" w:rsidR="005C4144" w:rsidRDefault="005C4144" w:rsidP="00895347">
      <w:pPr>
        <w:pStyle w:val="Legenda"/>
        <w:keepNext/>
      </w:pPr>
      <w:bookmarkStart w:id="92" w:name="_Ref169814084"/>
      <w:bookmarkStart w:id="93" w:name="_Ref195869470"/>
      <w:bookmarkStart w:id="94" w:name="_Toc171587171"/>
      <w:bookmarkStart w:id="95" w:name="_Toc174710955"/>
      <w:bookmarkStart w:id="96" w:name="_Toc202966957"/>
      <w:r w:rsidRPr="00EB3130">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12</w:t>
      </w:r>
      <w:r w:rsidR="00653D9A">
        <w:rPr>
          <w:noProof/>
        </w:rPr>
        <w:fldChar w:fldCharType="end"/>
      </w:r>
      <w:bookmarkEnd w:id="90"/>
      <w:bookmarkEnd w:id="92"/>
      <w:bookmarkEnd w:id="93"/>
      <w:r w:rsidRPr="00EB3130">
        <w:t>. Projekcje emisji pyłu PM2.5, według sektorów (kategorii NFR)</w:t>
      </w:r>
      <w:r>
        <w:t>, dla scenariusza WAM</w:t>
      </w:r>
      <w:bookmarkEnd w:id="91"/>
      <w:bookmarkEnd w:id="94"/>
      <w:bookmarkEnd w:id="95"/>
      <w:bookmarkEnd w:id="96"/>
    </w:p>
    <w:tbl>
      <w:tblPr>
        <w:tblStyle w:val="KPEiK"/>
        <w:tblW w:w="4925" w:type="pct"/>
        <w:tblLook w:val="04A0" w:firstRow="1" w:lastRow="0" w:firstColumn="1" w:lastColumn="0" w:noHBand="0" w:noVBand="1"/>
      </w:tblPr>
      <w:tblGrid>
        <w:gridCol w:w="2139"/>
        <w:gridCol w:w="821"/>
        <w:gridCol w:w="822"/>
        <w:gridCol w:w="822"/>
        <w:gridCol w:w="822"/>
        <w:gridCol w:w="822"/>
        <w:gridCol w:w="822"/>
        <w:gridCol w:w="815"/>
        <w:gridCol w:w="1041"/>
      </w:tblGrid>
      <w:tr w:rsidR="00895347" w:rsidRPr="00BD2123" w14:paraId="1A1F4100" w14:textId="77777777" w:rsidTr="000E00A2">
        <w:trPr>
          <w:cnfStyle w:val="100000000000" w:firstRow="1" w:lastRow="0" w:firstColumn="0" w:lastColumn="0" w:oddVBand="0" w:evenVBand="0" w:oddHBand="0" w:evenHBand="0" w:firstRowFirstColumn="0" w:firstRowLastColumn="0" w:lastRowFirstColumn="0" w:lastRowLastColumn="0"/>
          <w:trHeight w:val="227"/>
          <w:tblHeader/>
        </w:trPr>
        <w:tc>
          <w:tcPr>
            <w:tcW w:w="2139" w:type="dxa"/>
            <w:vMerge w:val="restart"/>
          </w:tcPr>
          <w:p w14:paraId="12CA3C31" w14:textId="77777777" w:rsidR="00895347" w:rsidRDefault="00895347">
            <w:pPr>
              <w:pStyle w:val="Tabele"/>
              <w:jc w:val="center"/>
              <w:rPr>
                <w:b w:val="0"/>
              </w:rPr>
            </w:pPr>
            <w:r w:rsidRPr="00DE4FED">
              <w:t>Sektor</w:t>
            </w:r>
          </w:p>
          <w:p w14:paraId="7373DF4B" w14:textId="77777777" w:rsidR="00895347" w:rsidRPr="00BD2123" w:rsidRDefault="00895347">
            <w:pPr>
              <w:pStyle w:val="Tabele"/>
              <w:jc w:val="center"/>
            </w:pPr>
            <w:r>
              <w:t>(kategoria NFR)</w:t>
            </w:r>
          </w:p>
        </w:tc>
        <w:tc>
          <w:tcPr>
            <w:tcW w:w="6787" w:type="dxa"/>
            <w:gridSpan w:val="8"/>
          </w:tcPr>
          <w:p w14:paraId="42AB56CB" w14:textId="61054F4A" w:rsidR="00E1174A" w:rsidRDefault="00E1174A">
            <w:pPr>
              <w:pStyle w:val="Tabele"/>
              <w:jc w:val="center"/>
            </w:pPr>
            <w:r>
              <w:t>Emisja pyłu PM2.5 [kt</w:t>
            </w:r>
            <w:r w:rsidRPr="00BD2123">
              <w:t>]</w:t>
            </w:r>
          </w:p>
        </w:tc>
      </w:tr>
      <w:tr w:rsidR="001734F0" w:rsidRPr="00BD2123" w14:paraId="069043B2" w14:textId="77777777" w:rsidTr="000E00A2">
        <w:trPr>
          <w:cnfStyle w:val="100000000000" w:firstRow="1" w:lastRow="0" w:firstColumn="0" w:lastColumn="0" w:oddVBand="0" w:evenVBand="0" w:oddHBand="0" w:evenHBand="0" w:firstRowFirstColumn="0" w:firstRowLastColumn="0" w:lastRowFirstColumn="0" w:lastRowLastColumn="0"/>
          <w:trHeight w:val="227"/>
          <w:tblHeader/>
        </w:trPr>
        <w:tc>
          <w:tcPr>
            <w:tcW w:w="2139" w:type="dxa"/>
            <w:vMerge/>
            <w:tcBorders>
              <w:bottom w:val="single" w:sz="4" w:space="0" w:color="AEAAAA" w:themeColor="background2" w:themeShade="BF"/>
            </w:tcBorders>
          </w:tcPr>
          <w:p w14:paraId="3C0D4D8E" w14:textId="77777777" w:rsidR="00895347" w:rsidRPr="00BD2123" w:rsidRDefault="00895347">
            <w:pPr>
              <w:pStyle w:val="Tabele"/>
              <w:jc w:val="center"/>
            </w:pPr>
          </w:p>
        </w:tc>
        <w:tc>
          <w:tcPr>
            <w:tcW w:w="821" w:type="dxa"/>
            <w:tcBorders>
              <w:bottom w:val="single" w:sz="4" w:space="0" w:color="AEAAAA" w:themeColor="background2" w:themeShade="BF"/>
            </w:tcBorders>
          </w:tcPr>
          <w:p w14:paraId="65650F09" w14:textId="77777777" w:rsidR="00895347" w:rsidRPr="00BD2123" w:rsidRDefault="00895347">
            <w:pPr>
              <w:pStyle w:val="Tabele"/>
              <w:jc w:val="center"/>
            </w:pPr>
            <w:r w:rsidRPr="00BD2123">
              <w:t>2005</w:t>
            </w:r>
          </w:p>
        </w:tc>
        <w:tc>
          <w:tcPr>
            <w:tcW w:w="822" w:type="dxa"/>
            <w:tcBorders>
              <w:bottom w:val="single" w:sz="4" w:space="0" w:color="AEAAAA" w:themeColor="background2" w:themeShade="BF"/>
            </w:tcBorders>
          </w:tcPr>
          <w:p w14:paraId="70FEACED" w14:textId="77777777" w:rsidR="00895347" w:rsidRPr="00BD2123" w:rsidRDefault="00895347">
            <w:pPr>
              <w:pStyle w:val="Tabele"/>
              <w:jc w:val="center"/>
            </w:pPr>
            <w:r w:rsidRPr="00BD2123">
              <w:t>2010</w:t>
            </w:r>
          </w:p>
        </w:tc>
        <w:tc>
          <w:tcPr>
            <w:tcW w:w="822" w:type="dxa"/>
            <w:tcBorders>
              <w:bottom w:val="single" w:sz="4" w:space="0" w:color="AEAAAA" w:themeColor="background2" w:themeShade="BF"/>
            </w:tcBorders>
          </w:tcPr>
          <w:p w14:paraId="753CE612" w14:textId="77777777" w:rsidR="00895347" w:rsidRPr="00BD2123" w:rsidRDefault="00895347">
            <w:pPr>
              <w:pStyle w:val="Tabele"/>
              <w:jc w:val="center"/>
            </w:pPr>
            <w:r w:rsidRPr="00BD2123">
              <w:t>2015</w:t>
            </w:r>
          </w:p>
        </w:tc>
        <w:tc>
          <w:tcPr>
            <w:tcW w:w="822" w:type="dxa"/>
            <w:tcBorders>
              <w:bottom w:val="single" w:sz="4" w:space="0" w:color="AEAAAA" w:themeColor="background2" w:themeShade="BF"/>
            </w:tcBorders>
          </w:tcPr>
          <w:p w14:paraId="3C5348FC" w14:textId="77777777" w:rsidR="00895347" w:rsidRPr="00BD2123" w:rsidRDefault="00895347">
            <w:pPr>
              <w:pStyle w:val="Tabele"/>
              <w:jc w:val="center"/>
            </w:pPr>
            <w:r w:rsidRPr="00BD2123">
              <w:t>2020</w:t>
            </w:r>
          </w:p>
        </w:tc>
        <w:tc>
          <w:tcPr>
            <w:tcW w:w="822" w:type="dxa"/>
            <w:tcBorders>
              <w:bottom w:val="single" w:sz="4" w:space="0" w:color="AEAAAA" w:themeColor="background2" w:themeShade="BF"/>
            </w:tcBorders>
          </w:tcPr>
          <w:p w14:paraId="6223BC8B" w14:textId="77777777" w:rsidR="00895347" w:rsidRPr="00BD2123" w:rsidRDefault="00895347">
            <w:pPr>
              <w:pStyle w:val="Tabele"/>
              <w:jc w:val="center"/>
            </w:pPr>
            <w:r w:rsidRPr="00BD2123">
              <w:t>2025</w:t>
            </w:r>
          </w:p>
        </w:tc>
        <w:tc>
          <w:tcPr>
            <w:tcW w:w="822" w:type="dxa"/>
            <w:tcBorders>
              <w:bottom w:val="single" w:sz="4" w:space="0" w:color="AEAAAA" w:themeColor="background2" w:themeShade="BF"/>
            </w:tcBorders>
          </w:tcPr>
          <w:p w14:paraId="100507E6" w14:textId="77777777" w:rsidR="00895347" w:rsidRPr="00BD2123" w:rsidRDefault="00895347">
            <w:pPr>
              <w:pStyle w:val="Tabele"/>
              <w:jc w:val="center"/>
            </w:pPr>
            <w:r w:rsidRPr="00BD2123">
              <w:t>2030</w:t>
            </w:r>
          </w:p>
        </w:tc>
        <w:tc>
          <w:tcPr>
            <w:tcW w:w="815" w:type="dxa"/>
            <w:tcBorders>
              <w:bottom w:val="single" w:sz="4" w:space="0" w:color="AEAAAA" w:themeColor="background2" w:themeShade="BF"/>
            </w:tcBorders>
          </w:tcPr>
          <w:p w14:paraId="2C0CCF82" w14:textId="77777777" w:rsidR="00895347" w:rsidRPr="00BD2123" w:rsidRDefault="00895347">
            <w:pPr>
              <w:pStyle w:val="Tabele"/>
              <w:jc w:val="center"/>
            </w:pPr>
            <w:r w:rsidRPr="00BD2123">
              <w:t>2035</w:t>
            </w:r>
          </w:p>
        </w:tc>
        <w:tc>
          <w:tcPr>
            <w:tcW w:w="1041" w:type="dxa"/>
            <w:tcBorders>
              <w:bottom w:val="single" w:sz="4" w:space="0" w:color="AEAAAA" w:themeColor="background2" w:themeShade="BF"/>
            </w:tcBorders>
          </w:tcPr>
          <w:p w14:paraId="0281769D" w14:textId="77777777" w:rsidR="00895347" w:rsidRPr="00BD2123" w:rsidRDefault="00895347">
            <w:pPr>
              <w:pStyle w:val="Tabele"/>
              <w:jc w:val="center"/>
            </w:pPr>
            <w:r w:rsidRPr="00BD2123">
              <w:t>2040</w:t>
            </w:r>
          </w:p>
        </w:tc>
      </w:tr>
      <w:tr w:rsidR="00895347" w:rsidRPr="004669DE" w14:paraId="371D003C"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781AEE5" w14:textId="77777777" w:rsidR="00895347" w:rsidRPr="004669DE" w:rsidRDefault="00895347">
            <w:pPr>
              <w:pStyle w:val="Tabele"/>
              <w:rPr>
                <w:b/>
                <w:bCs/>
              </w:rPr>
            </w:pPr>
            <w:r>
              <w:rPr>
                <w:rFonts w:cs="Calibri"/>
                <w:b/>
                <w:bCs/>
                <w:color w:val="000000"/>
                <w:szCs w:val="16"/>
              </w:rPr>
              <w:t xml:space="preserve">1. Energia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51F7FF9" w14:textId="77777777" w:rsidR="00895347" w:rsidRPr="000E1FBE" w:rsidRDefault="00895347">
            <w:pPr>
              <w:pStyle w:val="Tabele"/>
              <w:jc w:val="right"/>
            </w:pPr>
            <w:r>
              <w:rPr>
                <w:rFonts w:cs="Arial"/>
                <w:b/>
                <w:bCs/>
                <w:color w:val="000000"/>
                <w:szCs w:val="16"/>
              </w:rPr>
              <w:t>306,52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47D6C2A" w14:textId="77777777" w:rsidR="00895347" w:rsidRPr="000E1FBE" w:rsidRDefault="00895347">
            <w:pPr>
              <w:pStyle w:val="Tabele"/>
              <w:jc w:val="right"/>
            </w:pPr>
            <w:r>
              <w:rPr>
                <w:rFonts w:cs="Arial"/>
                <w:b/>
                <w:bCs/>
                <w:color w:val="000000"/>
                <w:szCs w:val="16"/>
              </w:rPr>
              <w:t>344,53</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AAB7912" w14:textId="77777777" w:rsidR="00895347" w:rsidRPr="004669DE" w:rsidRDefault="00895347">
            <w:pPr>
              <w:pStyle w:val="Tabele"/>
              <w:jc w:val="right"/>
            </w:pPr>
            <w:r>
              <w:rPr>
                <w:rFonts w:cs="Arial"/>
                <w:b/>
                <w:bCs/>
                <w:color w:val="000000"/>
                <w:szCs w:val="16"/>
              </w:rPr>
              <w:t>279,45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F50A45E" w14:textId="77777777" w:rsidR="00895347" w:rsidRPr="004669DE" w:rsidRDefault="00895347">
            <w:pPr>
              <w:pStyle w:val="Tabele"/>
              <w:jc w:val="right"/>
            </w:pPr>
            <w:r>
              <w:rPr>
                <w:rFonts w:cs="Arial"/>
                <w:b/>
                <w:bCs/>
                <w:color w:val="000000"/>
                <w:szCs w:val="16"/>
              </w:rPr>
              <w:t>290,11</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3BE9B83" w14:textId="77777777" w:rsidR="00895347" w:rsidRPr="000F1B12" w:rsidRDefault="00895347">
            <w:pPr>
              <w:pStyle w:val="Tabele"/>
              <w:jc w:val="right"/>
              <w:rPr>
                <w:highlight w:val="yellow"/>
              </w:rPr>
            </w:pPr>
            <w:r>
              <w:rPr>
                <w:rFonts w:cs="Arial"/>
                <w:b/>
                <w:bCs/>
                <w:color w:val="000000"/>
                <w:szCs w:val="16"/>
              </w:rPr>
              <w:t>173,66</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60E9FA" w14:textId="77777777" w:rsidR="00895347" w:rsidRPr="000F1B12" w:rsidRDefault="00895347">
            <w:pPr>
              <w:pStyle w:val="Tabele"/>
              <w:jc w:val="right"/>
              <w:rPr>
                <w:highlight w:val="yellow"/>
              </w:rPr>
            </w:pPr>
            <w:r>
              <w:rPr>
                <w:rFonts w:cs="Arial"/>
                <w:b/>
                <w:bCs/>
                <w:color w:val="000000"/>
                <w:szCs w:val="16"/>
              </w:rPr>
              <w:t>91,83</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AFCD92F" w14:textId="77777777" w:rsidR="00895347" w:rsidRPr="000F1B12" w:rsidRDefault="00895347">
            <w:pPr>
              <w:pStyle w:val="Tabele"/>
              <w:jc w:val="right"/>
              <w:rPr>
                <w:highlight w:val="yellow"/>
              </w:rPr>
            </w:pPr>
            <w:r>
              <w:rPr>
                <w:rFonts w:cs="Arial"/>
                <w:b/>
                <w:bCs/>
                <w:color w:val="000000"/>
                <w:szCs w:val="16"/>
              </w:rPr>
              <w:t>20,21</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24D736" w14:textId="77777777" w:rsidR="00895347" w:rsidRPr="000F1B12" w:rsidRDefault="00895347">
            <w:pPr>
              <w:pStyle w:val="Tabele"/>
              <w:jc w:val="right"/>
              <w:rPr>
                <w:highlight w:val="yellow"/>
              </w:rPr>
            </w:pPr>
            <w:r>
              <w:rPr>
                <w:rFonts w:cs="Arial"/>
                <w:b/>
                <w:bCs/>
                <w:color w:val="000000"/>
                <w:szCs w:val="16"/>
              </w:rPr>
              <w:t>16,62</w:t>
            </w:r>
          </w:p>
        </w:tc>
      </w:tr>
      <w:tr w:rsidR="00895347" w:rsidRPr="004669DE" w14:paraId="3FB3ECD3"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9ECE6B" w14:textId="77777777" w:rsidR="00895347" w:rsidRPr="004669DE" w:rsidRDefault="00895347">
            <w:pPr>
              <w:pStyle w:val="Tabele"/>
              <w:rPr>
                <w:b/>
                <w:bCs/>
              </w:rPr>
            </w:pPr>
            <w:r>
              <w:rPr>
                <w:rFonts w:cs="Calibri"/>
                <w:color w:val="000000"/>
                <w:szCs w:val="16"/>
              </w:rPr>
              <w:t xml:space="preserve">A. Spalanie paliw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D61C9CB" w14:textId="77777777" w:rsidR="00895347" w:rsidRPr="004669DE" w:rsidRDefault="00895347">
            <w:pPr>
              <w:pStyle w:val="Tabele"/>
              <w:jc w:val="right"/>
            </w:pPr>
            <w:r>
              <w:rPr>
                <w:rFonts w:cs="Arial"/>
                <w:color w:val="000000"/>
                <w:szCs w:val="16"/>
              </w:rPr>
              <w:t>304,50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B875262" w14:textId="77777777" w:rsidR="00895347" w:rsidRPr="004669DE" w:rsidRDefault="00895347">
            <w:pPr>
              <w:pStyle w:val="Tabele"/>
              <w:jc w:val="right"/>
            </w:pPr>
            <w:r>
              <w:rPr>
                <w:rFonts w:cs="Arial"/>
                <w:color w:val="000000"/>
                <w:szCs w:val="16"/>
              </w:rPr>
              <w:t>342,66</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17020B6" w14:textId="77777777" w:rsidR="00895347" w:rsidRPr="004669DE" w:rsidRDefault="00895347">
            <w:pPr>
              <w:pStyle w:val="Tabele"/>
              <w:jc w:val="right"/>
            </w:pPr>
            <w:r>
              <w:rPr>
                <w:rFonts w:cs="Arial"/>
                <w:color w:val="000000"/>
                <w:szCs w:val="16"/>
              </w:rPr>
              <w:t>277,58</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5A3DF47" w14:textId="77777777" w:rsidR="00895347" w:rsidRPr="004669DE" w:rsidRDefault="00895347">
            <w:pPr>
              <w:pStyle w:val="Tabele"/>
              <w:jc w:val="right"/>
            </w:pPr>
            <w:r>
              <w:rPr>
                <w:rFonts w:cs="Arial"/>
                <w:color w:val="000000"/>
                <w:szCs w:val="16"/>
              </w:rPr>
              <w:t>288,67</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B9759F" w14:textId="77777777" w:rsidR="00895347" w:rsidRPr="000F1B12" w:rsidRDefault="00895347">
            <w:pPr>
              <w:pStyle w:val="Tabele"/>
              <w:jc w:val="right"/>
              <w:rPr>
                <w:highlight w:val="yellow"/>
              </w:rPr>
            </w:pPr>
            <w:r>
              <w:rPr>
                <w:rFonts w:cs="Arial"/>
                <w:color w:val="000000"/>
                <w:szCs w:val="16"/>
              </w:rPr>
              <w:t>172,36</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7E20B88" w14:textId="77777777" w:rsidR="00895347" w:rsidRPr="000F1B12" w:rsidRDefault="00895347">
            <w:pPr>
              <w:pStyle w:val="Tabele"/>
              <w:jc w:val="right"/>
              <w:rPr>
                <w:highlight w:val="yellow"/>
              </w:rPr>
            </w:pPr>
            <w:r>
              <w:rPr>
                <w:rFonts w:cs="Arial"/>
                <w:color w:val="000000"/>
                <w:szCs w:val="16"/>
              </w:rPr>
              <w:t>90,81</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E15825" w14:textId="77777777" w:rsidR="00895347" w:rsidRPr="000F1B12" w:rsidRDefault="00895347">
            <w:pPr>
              <w:pStyle w:val="Tabele"/>
              <w:jc w:val="right"/>
              <w:rPr>
                <w:highlight w:val="yellow"/>
              </w:rPr>
            </w:pPr>
            <w:r>
              <w:rPr>
                <w:rFonts w:cs="Arial"/>
                <w:color w:val="000000"/>
                <w:szCs w:val="16"/>
              </w:rPr>
              <w:t>19,37</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0FF40F6" w14:textId="77777777" w:rsidR="00895347" w:rsidRPr="000F1B12" w:rsidRDefault="00895347">
            <w:pPr>
              <w:pStyle w:val="Tabele"/>
              <w:jc w:val="right"/>
              <w:rPr>
                <w:highlight w:val="yellow"/>
              </w:rPr>
            </w:pPr>
            <w:r>
              <w:rPr>
                <w:rFonts w:cs="Arial"/>
                <w:color w:val="000000"/>
                <w:szCs w:val="16"/>
              </w:rPr>
              <w:t>15,91</w:t>
            </w:r>
          </w:p>
        </w:tc>
      </w:tr>
      <w:tr w:rsidR="00895347" w:rsidRPr="004669DE" w14:paraId="41DFD26B"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4913935" w14:textId="77777777" w:rsidR="00895347" w:rsidRPr="004669DE" w:rsidRDefault="00895347">
            <w:pPr>
              <w:pStyle w:val="Tabele"/>
              <w:rPr>
                <w:bCs/>
              </w:rPr>
            </w:pPr>
            <w:r>
              <w:rPr>
                <w:rFonts w:cs="Calibri"/>
                <w:color w:val="000000"/>
                <w:szCs w:val="16"/>
              </w:rPr>
              <w:t xml:space="preserve">1. Przemysły energetyczne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24CAF4D" w14:textId="77777777" w:rsidR="00895347" w:rsidRPr="004669DE" w:rsidRDefault="00895347">
            <w:pPr>
              <w:pStyle w:val="Tabele"/>
              <w:jc w:val="right"/>
            </w:pPr>
            <w:r>
              <w:rPr>
                <w:rFonts w:cs="Arial"/>
                <w:color w:val="000000"/>
                <w:szCs w:val="16"/>
              </w:rPr>
              <w:t>10,19</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2EDD8FD" w14:textId="77777777" w:rsidR="00895347" w:rsidRPr="004669DE" w:rsidRDefault="00895347">
            <w:pPr>
              <w:pStyle w:val="Tabele"/>
              <w:jc w:val="right"/>
            </w:pPr>
            <w:r>
              <w:rPr>
                <w:rFonts w:cs="Arial"/>
                <w:color w:val="000000"/>
                <w:szCs w:val="16"/>
              </w:rPr>
              <w:t>9,05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9AA4EB6" w14:textId="77777777" w:rsidR="00895347" w:rsidRPr="004669DE" w:rsidRDefault="00895347">
            <w:pPr>
              <w:pStyle w:val="Tabele"/>
              <w:jc w:val="right"/>
            </w:pPr>
            <w:r>
              <w:rPr>
                <w:rFonts w:cs="Arial"/>
                <w:color w:val="000000"/>
                <w:szCs w:val="16"/>
              </w:rPr>
              <w:t>6,50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59A5CB4" w14:textId="77777777" w:rsidR="00895347" w:rsidRPr="004669DE" w:rsidRDefault="00895347">
            <w:pPr>
              <w:pStyle w:val="Tabele"/>
              <w:jc w:val="right"/>
            </w:pPr>
            <w:r>
              <w:rPr>
                <w:rFonts w:cs="Arial"/>
                <w:color w:val="000000"/>
                <w:szCs w:val="16"/>
              </w:rPr>
              <w:t>3,62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E35542" w14:textId="77777777" w:rsidR="00895347" w:rsidRPr="000F1B12" w:rsidRDefault="00895347">
            <w:pPr>
              <w:pStyle w:val="Tabele"/>
              <w:jc w:val="right"/>
              <w:rPr>
                <w:highlight w:val="yellow"/>
              </w:rPr>
            </w:pPr>
            <w:r>
              <w:rPr>
                <w:rFonts w:cs="Arial"/>
                <w:color w:val="000000"/>
                <w:szCs w:val="16"/>
              </w:rPr>
              <w:t>2,04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4AA615" w14:textId="77777777" w:rsidR="00895347" w:rsidRPr="000F1B12" w:rsidRDefault="00895347">
            <w:pPr>
              <w:pStyle w:val="Tabele"/>
              <w:jc w:val="right"/>
              <w:rPr>
                <w:highlight w:val="yellow"/>
              </w:rPr>
            </w:pPr>
            <w:r>
              <w:rPr>
                <w:rFonts w:cs="Arial"/>
                <w:color w:val="000000"/>
                <w:szCs w:val="16"/>
              </w:rPr>
              <w:t>1,24</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BD25D0D" w14:textId="77777777" w:rsidR="00895347" w:rsidRPr="000F1B12" w:rsidRDefault="00895347">
            <w:pPr>
              <w:pStyle w:val="Tabele"/>
              <w:jc w:val="right"/>
              <w:rPr>
                <w:highlight w:val="yellow"/>
              </w:rPr>
            </w:pPr>
            <w:r>
              <w:rPr>
                <w:rFonts w:cs="Arial"/>
                <w:color w:val="000000"/>
                <w:szCs w:val="16"/>
              </w:rPr>
              <w:t>0,78</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48AB5E" w14:textId="77777777" w:rsidR="00895347" w:rsidRPr="000F1B12" w:rsidRDefault="00895347">
            <w:pPr>
              <w:pStyle w:val="Tabele"/>
              <w:jc w:val="right"/>
              <w:rPr>
                <w:highlight w:val="yellow"/>
              </w:rPr>
            </w:pPr>
            <w:r>
              <w:rPr>
                <w:rFonts w:cs="Arial"/>
                <w:color w:val="000000"/>
                <w:szCs w:val="16"/>
              </w:rPr>
              <w:t>0,43</w:t>
            </w:r>
          </w:p>
        </w:tc>
      </w:tr>
      <w:tr w:rsidR="00895347" w:rsidRPr="004669DE" w14:paraId="230F25A6"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29829A3" w14:textId="77777777" w:rsidR="00895347" w:rsidRPr="004669DE" w:rsidRDefault="00895347">
            <w:pPr>
              <w:pStyle w:val="Tabele"/>
              <w:rPr>
                <w:bCs/>
              </w:rPr>
            </w:pPr>
            <w:r>
              <w:rPr>
                <w:rFonts w:cs="Calibri"/>
                <w:color w:val="000000"/>
                <w:szCs w:val="16"/>
              </w:rPr>
              <w:t xml:space="preserve">2. Przemysł wytwórczy i budownictwo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2823917" w14:textId="77777777" w:rsidR="00895347" w:rsidRPr="004669DE" w:rsidRDefault="00895347">
            <w:pPr>
              <w:pStyle w:val="Tabele"/>
              <w:jc w:val="right"/>
            </w:pPr>
            <w:r>
              <w:rPr>
                <w:rFonts w:cs="Arial"/>
                <w:color w:val="000000"/>
                <w:szCs w:val="16"/>
              </w:rPr>
              <w:t>19,85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8D51041" w14:textId="77777777" w:rsidR="00895347" w:rsidRPr="004669DE" w:rsidRDefault="00895347">
            <w:pPr>
              <w:pStyle w:val="Tabele"/>
              <w:jc w:val="right"/>
            </w:pPr>
            <w:r>
              <w:rPr>
                <w:rFonts w:cs="Arial"/>
                <w:color w:val="000000"/>
                <w:szCs w:val="16"/>
              </w:rPr>
              <w:t>12,71</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0DD72D7" w14:textId="77777777" w:rsidR="00895347" w:rsidRPr="004669DE" w:rsidRDefault="00895347">
            <w:pPr>
              <w:pStyle w:val="Tabele"/>
              <w:jc w:val="right"/>
            </w:pPr>
            <w:r>
              <w:rPr>
                <w:rFonts w:cs="Arial"/>
                <w:color w:val="000000"/>
                <w:szCs w:val="16"/>
              </w:rPr>
              <w:t>11,02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A8B8B28" w14:textId="77777777" w:rsidR="00895347" w:rsidRPr="004669DE" w:rsidRDefault="00895347">
            <w:pPr>
              <w:pStyle w:val="Tabele"/>
              <w:jc w:val="right"/>
            </w:pPr>
            <w:r>
              <w:rPr>
                <w:rFonts w:cs="Arial"/>
                <w:color w:val="000000"/>
                <w:szCs w:val="16"/>
              </w:rPr>
              <w:t>8,20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664A55" w14:textId="77777777" w:rsidR="00895347" w:rsidRPr="000F1B12" w:rsidRDefault="00895347">
            <w:pPr>
              <w:pStyle w:val="Tabele"/>
              <w:jc w:val="right"/>
              <w:rPr>
                <w:highlight w:val="yellow"/>
              </w:rPr>
            </w:pPr>
            <w:r>
              <w:rPr>
                <w:rFonts w:cs="Arial"/>
                <w:color w:val="000000"/>
                <w:szCs w:val="16"/>
              </w:rPr>
              <w:t>6,39</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3E7FAF" w14:textId="77777777" w:rsidR="00895347" w:rsidRPr="000F1B12" w:rsidRDefault="00895347">
            <w:pPr>
              <w:pStyle w:val="Tabele"/>
              <w:jc w:val="right"/>
              <w:rPr>
                <w:highlight w:val="yellow"/>
              </w:rPr>
            </w:pPr>
            <w:r>
              <w:rPr>
                <w:rFonts w:cs="Arial"/>
                <w:color w:val="000000"/>
                <w:szCs w:val="16"/>
              </w:rPr>
              <w:t>4,39</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B5507D" w14:textId="77777777" w:rsidR="00895347" w:rsidRPr="000F1B12" w:rsidRDefault="00895347">
            <w:pPr>
              <w:pStyle w:val="Tabele"/>
              <w:jc w:val="right"/>
              <w:rPr>
                <w:highlight w:val="yellow"/>
              </w:rPr>
            </w:pPr>
            <w:r>
              <w:rPr>
                <w:rFonts w:cs="Arial"/>
                <w:color w:val="000000"/>
                <w:szCs w:val="16"/>
              </w:rPr>
              <w:t>3,52</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3DDA52C" w14:textId="77777777" w:rsidR="00895347" w:rsidRPr="000F1B12" w:rsidRDefault="00895347">
            <w:pPr>
              <w:pStyle w:val="Tabele"/>
              <w:jc w:val="right"/>
              <w:rPr>
                <w:highlight w:val="yellow"/>
              </w:rPr>
            </w:pPr>
            <w:r>
              <w:rPr>
                <w:rFonts w:cs="Arial"/>
                <w:color w:val="000000"/>
                <w:szCs w:val="16"/>
              </w:rPr>
              <w:t>3,11</w:t>
            </w:r>
          </w:p>
        </w:tc>
      </w:tr>
      <w:tr w:rsidR="00895347" w:rsidRPr="004669DE" w14:paraId="3F65DDA6"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72420A8" w14:textId="77777777" w:rsidR="00895347" w:rsidRPr="004669DE" w:rsidRDefault="00895347">
            <w:pPr>
              <w:pStyle w:val="Tabele"/>
              <w:rPr>
                <w:bCs/>
              </w:rPr>
            </w:pPr>
            <w:r>
              <w:rPr>
                <w:rFonts w:cs="Calibri"/>
                <w:color w:val="000000"/>
                <w:szCs w:val="16"/>
              </w:rPr>
              <w:t xml:space="preserve">3. Transport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0058E38" w14:textId="77777777" w:rsidR="00895347" w:rsidRPr="004669DE" w:rsidRDefault="00895347">
            <w:pPr>
              <w:pStyle w:val="Tabele"/>
              <w:jc w:val="right"/>
            </w:pPr>
            <w:r>
              <w:rPr>
                <w:rFonts w:cs="Arial"/>
                <w:color w:val="000000"/>
                <w:szCs w:val="16"/>
              </w:rPr>
              <w:t>10,45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02DD53B" w14:textId="77777777" w:rsidR="00895347" w:rsidRPr="004669DE" w:rsidRDefault="00895347">
            <w:pPr>
              <w:pStyle w:val="Tabele"/>
              <w:jc w:val="right"/>
            </w:pPr>
            <w:r>
              <w:rPr>
                <w:rFonts w:cs="Arial"/>
                <w:color w:val="000000"/>
                <w:szCs w:val="16"/>
              </w:rPr>
              <w:t>13,18</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95A1EF0" w14:textId="77777777" w:rsidR="00895347" w:rsidRPr="004669DE" w:rsidRDefault="00895347">
            <w:pPr>
              <w:pStyle w:val="Tabele"/>
              <w:jc w:val="right"/>
            </w:pPr>
            <w:r>
              <w:rPr>
                <w:rFonts w:cs="Arial"/>
                <w:color w:val="000000"/>
                <w:szCs w:val="16"/>
              </w:rPr>
              <w:t>10,07</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161A33E" w14:textId="77777777" w:rsidR="00895347" w:rsidRPr="004669DE" w:rsidRDefault="00895347">
            <w:pPr>
              <w:pStyle w:val="Tabele"/>
              <w:jc w:val="right"/>
            </w:pPr>
            <w:r>
              <w:rPr>
                <w:rFonts w:cs="Arial"/>
                <w:color w:val="000000"/>
                <w:szCs w:val="16"/>
              </w:rPr>
              <w:t>11,72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9C07B5B" w14:textId="77777777" w:rsidR="00895347" w:rsidRPr="000F1B12" w:rsidRDefault="00895347">
            <w:pPr>
              <w:pStyle w:val="Tabele"/>
              <w:jc w:val="right"/>
              <w:rPr>
                <w:highlight w:val="yellow"/>
              </w:rPr>
            </w:pPr>
            <w:r>
              <w:rPr>
                <w:rFonts w:cs="Arial"/>
                <w:color w:val="000000"/>
                <w:szCs w:val="16"/>
              </w:rPr>
              <w:t>10,50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849393C" w14:textId="77777777" w:rsidR="00895347" w:rsidRPr="000F1B12" w:rsidRDefault="00895347">
            <w:pPr>
              <w:pStyle w:val="Tabele"/>
              <w:jc w:val="right"/>
              <w:rPr>
                <w:highlight w:val="yellow"/>
              </w:rPr>
            </w:pPr>
            <w:r>
              <w:rPr>
                <w:rFonts w:cs="Arial"/>
                <w:color w:val="000000"/>
                <w:szCs w:val="16"/>
              </w:rPr>
              <w:t>8,60</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C259148" w14:textId="77777777" w:rsidR="00895347" w:rsidRPr="000F1B12" w:rsidRDefault="00895347">
            <w:pPr>
              <w:pStyle w:val="Tabele"/>
              <w:jc w:val="right"/>
              <w:rPr>
                <w:highlight w:val="yellow"/>
              </w:rPr>
            </w:pPr>
            <w:r>
              <w:rPr>
                <w:rFonts w:cs="Arial"/>
                <w:color w:val="000000"/>
                <w:szCs w:val="16"/>
              </w:rPr>
              <w:t>7,18</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4352DF" w14:textId="77777777" w:rsidR="00895347" w:rsidRPr="000F1B12" w:rsidRDefault="00895347">
            <w:pPr>
              <w:pStyle w:val="Tabele"/>
              <w:jc w:val="right"/>
              <w:rPr>
                <w:highlight w:val="yellow"/>
              </w:rPr>
            </w:pPr>
            <w:r>
              <w:rPr>
                <w:rFonts w:cs="Arial"/>
                <w:color w:val="000000"/>
                <w:szCs w:val="16"/>
              </w:rPr>
              <w:t>6,09</w:t>
            </w:r>
          </w:p>
        </w:tc>
      </w:tr>
      <w:tr w:rsidR="00895347" w:rsidRPr="004669DE" w14:paraId="2EBB7758"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F5101B" w14:textId="49B9DCB9" w:rsidR="00895347" w:rsidRPr="004669DE" w:rsidRDefault="00895347">
            <w:pPr>
              <w:pStyle w:val="Tabele"/>
              <w:rPr>
                <w:bCs/>
              </w:rPr>
            </w:pPr>
            <w:r w:rsidRPr="004E200C">
              <w:rPr>
                <w:color w:val="auto"/>
              </w:rPr>
              <w:t>4. Inne sektory (małe źródła spalania paliw, w tym gospodarstwa domowe</w:t>
            </w:r>
            <w:r w:rsidRPr="00860E1E">
              <w:t>)</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177BDBD" w14:textId="77777777" w:rsidR="00895347" w:rsidRPr="004669DE" w:rsidRDefault="00895347">
            <w:pPr>
              <w:pStyle w:val="Tabele"/>
              <w:jc w:val="right"/>
            </w:pPr>
            <w:r>
              <w:rPr>
                <w:rFonts w:cs="Arial"/>
                <w:color w:val="000000"/>
                <w:szCs w:val="16"/>
              </w:rPr>
              <w:t>264,01</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9B6E503" w14:textId="77777777" w:rsidR="00895347" w:rsidRPr="004669DE" w:rsidRDefault="00895347">
            <w:pPr>
              <w:pStyle w:val="Tabele"/>
              <w:jc w:val="right"/>
            </w:pPr>
            <w:r>
              <w:rPr>
                <w:rFonts w:cs="Arial"/>
                <w:color w:val="000000"/>
                <w:szCs w:val="16"/>
              </w:rPr>
              <w:t>307,72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87C668E" w14:textId="77777777" w:rsidR="00895347" w:rsidRPr="004669DE" w:rsidRDefault="00895347">
            <w:pPr>
              <w:pStyle w:val="Tabele"/>
              <w:jc w:val="right"/>
            </w:pPr>
            <w:r>
              <w:rPr>
                <w:rFonts w:cs="Arial"/>
                <w:color w:val="000000"/>
                <w:szCs w:val="16"/>
              </w:rPr>
              <w:t>249,99</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7770D7B" w14:textId="77777777" w:rsidR="00895347" w:rsidRPr="004669DE" w:rsidRDefault="00895347">
            <w:pPr>
              <w:pStyle w:val="Tabele"/>
              <w:jc w:val="right"/>
            </w:pPr>
            <w:r>
              <w:rPr>
                <w:rFonts w:cs="Arial"/>
                <w:color w:val="000000"/>
                <w:szCs w:val="16"/>
              </w:rPr>
              <w:t>265,13</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4D14DB" w14:textId="77777777" w:rsidR="00895347" w:rsidRPr="000F1B12" w:rsidRDefault="00895347">
            <w:pPr>
              <w:pStyle w:val="Tabele"/>
              <w:jc w:val="right"/>
              <w:rPr>
                <w:highlight w:val="yellow"/>
              </w:rPr>
            </w:pPr>
            <w:r>
              <w:rPr>
                <w:rFonts w:cs="Arial"/>
                <w:color w:val="000000"/>
                <w:szCs w:val="16"/>
              </w:rPr>
              <w:t>153,42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25E211" w14:textId="77777777" w:rsidR="00895347" w:rsidRPr="000F1B12" w:rsidRDefault="00895347">
            <w:pPr>
              <w:pStyle w:val="Tabele"/>
              <w:jc w:val="right"/>
              <w:rPr>
                <w:highlight w:val="yellow"/>
              </w:rPr>
            </w:pPr>
            <w:r>
              <w:rPr>
                <w:rFonts w:cs="Arial"/>
                <w:color w:val="000000"/>
                <w:szCs w:val="16"/>
              </w:rPr>
              <w:t>76,58</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55E44C0" w14:textId="77777777" w:rsidR="00895347" w:rsidRPr="000F1B12" w:rsidRDefault="00895347">
            <w:pPr>
              <w:pStyle w:val="Tabele"/>
              <w:jc w:val="right"/>
              <w:rPr>
                <w:highlight w:val="yellow"/>
              </w:rPr>
            </w:pPr>
            <w:r>
              <w:rPr>
                <w:rFonts w:cs="Arial"/>
                <w:color w:val="000000"/>
                <w:szCs w:val="16"/>
              </w:rPr>
              <w:t>7,88</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C80316D" w14:textId="77777777" w:rsidR="00895347" w:rsidRPr="000F1B12" w:rsidRDefault="00895347">
            <w:pPr>
              <w:pStyle w:val="Tabele"/>
              <w:jc w:val="right"/>
              <w:rPr>
                <w:highlight w:val="yellow"/>
              </w:rPr>
            </w:pPr>
            <w:r>
              <w:rPr>
                <w:rFonts w:cs="Arial"/>
                <w:color w:val="000000"/>
                <w:szCs w:val="16"/>
              </w:rPr>
              <w:t>6,28</w:t>
            </w:r>
          </w:p>
        </w:tc>
      </w:tr>
      <w:tr w:rsidR="00895347" w:rsidRPr="004669DE" w14:paraId="0FDFE997"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8DE34C5" w14:textId="77777777" w:rsidR="00895347" w:rsidRPr="004669DE" w:rsidRDefault="00895347">
            <w:pPr>
              <w:pStyle w:val="Tabele"/>
              <w:rPr>
                <w:bCs/>
              </w:rPr>
            </w:pPr>
            <w:r>
              <w:rPr>
                <w:rFonts w:cs="Calibri"/>
                <w:color w:val="000000"/>
                <w:szCs w:val="16"/>
              </w:rPr>
              <w:t xml:space="preserve">B. Emisja lotna z paliw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F9B668C" w14:textId="77777777" w:rsidR="00895347" w:rsidRPr="004669DE" w:rsidRDefault="00895347">
            <w:pPr>
              <w:pStyle w:val="Tabele"/>
              <w:jc w:val="right"/>
            </w:pPr>
            <w:r>
              <w:rPr>
                <w:rFonts w:cs="Arial"/>
                <w:color w:val="000000"/>
                <w:szCs w:val="16"/>
              </w:rPr>
              <w:t>2,02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7B9E1CC" w14:textId="77777777" w:rsidR="00895347" w:rsidRPr="004669DE" w:rsidRDefault="00895347">
            <w:pPr>
              <w:pStyle w:val="Tabele"/>
              <w:jc w:val="right"/>
            </w:pPr>
            <w:r>
              <w:rPr>
                <w:rFonts w:cs="Arial"/>
                <w:color w:val="000000"/>
                <w:szCs w:val="16"/>
              </w:rPr>
              <w:t>1,87</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1184041" w14:textId="77777777" w:rsidR="00895347" w:rsidRPr="004669DE" w:rsidRDefault="00895347">
            <w:pPr>
              <w:pStyle w:val="Tabele"/>
              <w:jc w:val="right"/>
            </w:pPr>
            <w:r>
              <w:rPr>
                <w:rFonts w:cs="Arial"/>
                <w:color w:val="000000"/>
                <w:szCs w:val="16"/>
              </w:rPr>
              <w:t>1,87</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A65BBE2" w14:textId="77777777" w:rsidR="00895347" w:rsidRPr="004669DE" w:rsidRDefault="00895347">
            <w:pPr>
              <w:pStyle w:val="Tabele"/>
              <w:jc w:val="right"/>
            </w:pPr>
            <w:r>
              <w:rPr>
                <w:rFonts w:cs="Arial"/>
                <w:color w:val="000000"/>
                <w:szCs w:val="16"/>
              </w:rPr>
              <w:t>1,44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E57E67" w14:textId="77777777" w:rsidR="00895347" w:rsidRPr="000F1B12" w:rsidRDefault="00895347">
            <w:pPr>
              <w:pStyle w:val="Tabele"/>
              <w:jc w:val="right"/>
              <w:rPr>
                <w:highlight w:val="yellow"/>
              </w:rPr>
            </w:pPr>
            <w:r>
              <w:rPr>
                <w:rFonts w:cs="Arial"/>
                <w:color w:val="000000"/>
                <w:szCs w:val="16"/>
              </w:rPr>
              <w:t>1,31</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2F2330" w14:textId="77777777" w:rsidR="00895347" w:rsidRPr="000F1B12" w:rsidRDefault="00895347">
            <w:pPr>
              <w:pStyle w:val="Tabele"/>
              <w:jc w:val="right"/>
              <w:rPr>
                <w:highlight w:val="yellow"/>
              </w:rPr>
            </w:pPr>
            <w:r>
              <w:rPr>
                <w:rFonts w:cs="Arial"/>
                <w:color w:val="000000"/>
                <w:szCs w:val="16"/>
              </w:rPr>
              <w:t>1,02</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165C652" w14:textId="77777777" w:rsidR="00895347" w:rsidRPr="000F1B12" w:rsidRDefault="00895347">
            <w:pPr>
              <w:pStyle w:val="Tabele"/>
              <w:jc w:val="right"/>
              <w:rPr>
                <w:highlight w:val="yellow"/>
              </w:rPr>
            </w:pPr>
            <w:r>
              <w:rPr>
                <w:rFonts w:cs="Arial"/>
                <w:color w:val="000000"/>
                <w:szCs w:val="16"/>
              </w:rPr>
              <w:t>0,85</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76287C" w14:textId="77777777" w:rsidR="00895347" w:rsidRPr="000F1B12" w:rsidRDefault="00895347">
            <w:pPr>
              <w:pStyle w:val="Tabele"/>
              <w:jc w:val="right"/>
              <w:rPr>
                <w:highlight w:val="yellow"/>
              </w:rPr>
            </w:pPr>
            <w:r>
              <w:rPr>
                <w:rFonts w:cs="Arial"/>
                <w:color w:val="000000"/>
                <w:szCs w:val="16"/>
              </w:rPr>
              <w:t>0,71</w:t>
            </w:r>
          </w:p>
        </w:tc>
      </w:tr>
      <w:tr w:rsidR="00895347" w:rsidRPr="004669DE" w14:paraId="613E57BF"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1111AF" w14:textId="77777777" w:rsidR="00895347" w:rsidRPr="004669DE" w:rsidRDefault="00895347">
            <w:pPr>
              <w:pStyle w:val="Tabele"/>
              <w:rPr>
                <w:bCs/>
              </w:rPr>
            </w:pPr>
            <w:r>
              <w:rPr>
                <w:rFonts w:cs="Calibri"/>
                <w:color w:val="000000"/>
                <w:szCs w:val="16"/>
              </w:rPr>
              <w:t xml:space="preserve">1. Paliwa stałe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5E03985" w14:textId="77777777" w:rsidR="00895347" w:rsidRPr="004669DE" w:rsidRDefault="00895347">
            <w:pPr>
              <w:pStyle w:val="Tabele"/>
              <w:jc w:val="right"/>
            </w:pPr>
            <w:r>
              <w:rPr>
                <w:rFonts w:cs="Arial"/>
                <w:color w:val="000000"/>
                <w:szCs w:val="16"/>
              </w:rPr>
              <w:t>1,99</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60B8015" w14:textId="77777777" w:rsidR="00895347" w:rsidRPr="004669DE" w:rsidRDefault="00895347">
            <w:pPr>
              <w:pStyle w:val="Tabele"/>
              <w:jc w:val="right"/>
            </w:pPr>
            <w:r>
              <w:rPr>
                <w:rFonts w:cs="Arial"/>
                <w:color w:val="000000"/>
                <w:szCs w:val="16"/>
              </w:rPr>
              <w:t>1,82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23D5429" w14:textId="77777777" w:rsidR="00895347" w:rsidRPr="004669DE" w:rsidRDefault="00895347">
            <w:pPr>
              <w:pStyle w:val="Tabele"/>
              <w:jc w:val="right"/>
            </w:pPr>
            <w:r>
              <w:rPr>
                <w:rFonts w:cs="Arial"/>
                <w:color w:val="000000"/>
                <w:szCs w:val="16"/>
              </w:rPr>
              <w:t>1,82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5D27B05" w14:textId="77777777" w:rsidR="00895347" w:rsidRPr="004669DE" w:rsidRDefault="00895347">
            <w:pPr>
              <w:pStyle w:val="Tabele"/>
              <w:jc w:val="right"/>
            </w:pPr>
            <w:r>
              <w:rPr>
                <w:rFonts w:cs="Arial"/>
                <w:color w:val="000000"/>
                <w:szCs w:val="16"/>
              </w:rPr>
              <w:t>1,39</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C6254A" w14:textId="77777777" w:rsidR="00895347" w:rsidRPr="000F1B12" w:rsidRDefault="00895347">
            <w:pPr>
              <w:pStyle w:val="Tabele"/>
              <w:jc w:val="right"/>
              <w:rPr>
                <w:highlight w:val="yellow"/>
              </w:rPr>
            </w:pPr>
            <w:r>
              <w:rPr>
                <w:rFonts w:cs="Arial"/>
                <w:color w:val="000000"/>
                <w:szCs w:val="16"/>
              </w:rPr>
              <w:t>1,26</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A9163BF" w14:textId="77777777" w:rsidR="00895347" w:rsidRPr="000F1B12" w:rsidRDefault="00895347">
            <w:pPr>
              <w:pStyle w:val="Tabele"/>
              <w:jc w:val="right"/>
              <w:rPr>
                <w:highlight w:val="yellow"/>
              </w:rPr>
            </w:pPr>
            <w:r>
              <w:rPr>
                <w:rFonts w:cs="Arial"/>
                <w:color w:val="000000"/>
                <w:szCs w:val="16"/>
              </w:rPr>
              <w:t>0,97</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6AC6462" w14:textId="77777777" w:rsidR="00895347" w:rsidRPr="000F1B12" w:rsidRDefault="00895347">
            <w:pPr>
              <w:pStyle w:val="Tabele"/>
              <w:jc w:val="right"/>
              <w:rPr>
                <w:highlight w:val="yellow"/>
              </w:rPr>
            </w:pPr>
            <w:r>
              <w:rPr>
                <w:rFonts w:cs="Arial"/>
                <w:color w:val="000000"/>
                <w:szCs w:val="16"/>
              </w:rPr>
              <w:t>0,80</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E94072D" w14:textId="77777777" w:rsidR="00895347" w:rsidRPr="000F1B12" w:rsidRDefault="00895347">
            <w:pPr>
              <w:pStyle w:val="Tabele"/>
              <w:jc w:val="right"/>
              <w:rPr>
                <w:highlight w:val="yellow"/>
              </w:rPr>
            </w:pPr>
            <w:r>
              <w:rPr>
                <w:rFonts w:cs="Arial"/>
                <w:color w:val="000000"/>
                <w:szCs w:val="16"/>
              </w:rPr>
              <w:t>0,67</w:t>
            </w:r>
          </w:p>
        </w:tc>
      </w:tr>
      <w:tr w:rsidR="00895347" w:rsidRPr="004669DE" w14:paraId="27F41BDE"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B9277C" w14:textId="77777777" w:rsidR="00895347" w:rsidRPr="004669DE" w:rsidRDefault="00895347">
            <w:pPr>
              <w:pStyle w:val="Tabele"/>
              <w:rPr>
                <w:bCs/>
              </w:rPr>
            </w:pPr>
            <w:r>
              <w:rPr>
                <w:rFonts w:cs="Calibri"/>
                <w:color w:val="000000"/>
                <w:szCs w:val="16"/>
              </w:rPr>
              <w:t xml:space="preserve">2. Ropa naftowa i gaz ziemny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D2C8581" w14:textId="77777777" w:rsidR="00895347" w:rsidRPr="004669DE" w:rsidRDefault="00895347">
            <w:pPr>
              <w:pStyle w:val="Tabele"/>
              <w:jc w:val="right"/>
            </w:pPr>
            <w:r>
              <w:rPr>
                <w:rFonts w:cs="Arial"/>
                <w:color w:val="000000"/>
                <w:szCs w:val="16"/>
              </w:rPr>
              <w:t>0,04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00A8E50" w14:textId="77777777" w:rsidR="00895347" w:rsidRPr="004669DE" w:rsidRDefault="00895347">
            <w:pPr>
              <w:pStyle w:val="Tabele"/>
              <w:jc w:val="right"/>
            </w:pPr>
            <w:r>
              <w:rPr>
                <w:rFonts w:cs="Arial"/>
                <w:color w:val="000000"/>
                <w:szCs w:val="16"/>
              </w:rPr>
              <w:t>0,05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00274FF" w14:textId="77777777" w:rsidR="00895347" w:rsidRPr="004669DE" w:rsidRDefault="00895347">
            <w:pPr>
              <w:pStyle w:val="Tabele"/>
              <w:jc w:val="right"/>
            </w:pPr>
            <w:r>
              <w:rPr>
                <w:rFonts w:cs="Arial"/>
                <w:color w:val="000000"/>
                <w:szCs w:val="16"/>
              </w:rPr>
              <w:t>0,05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94F1D9F" w14:textId="77777777" w:rsidR="00895347" w:rsidRPr="004669DE" w:rsidRDefault="00895347">
            <w:pPr>
              <w:pStyle w:val="Tabele"/>
              <w:jc w:val="right"/>
            </w:pPr>
            <w:r>
              <w:rPr>
                <w:rFonts w:cs="Arial"/>
                <w:color w:val="000000"/>
                <w:szCs w:val="16"/>
              </w:rPr>
              <w:t>0,05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30456F" w14:textId="77777777" w:rsidR="00895347" w:rsidRPr="000F1B12" w:rsidRDefault="00895347">
            <w:pPr>
              <w:pStyle w:val="Tabele"/>
              <w:jc w:val="right"/>
              <w:rPr>
                <w:highlight w:val="yellow"/>
              </w:rPr>
            </w:pPr>
            <w:r>
              <w:rPr>
                <w:rFonts w:cs="Arial"/>
                <w:color w:val="000000"/>
                <w:szCs w:val="16"/>
              </w:rPr>
              <w:t>0,05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E4AA04" w14:textId="77777777" w:rsidR="00895347" w:rsidRPr="000F1B12" w:rsidRDefault="00895347">
            <w:pPr>
              <w:pStyle w:val="Tabele"/>
              <w:jc w:val="right"/>
              <w:rPr>
                <w:highlight w:val="yellow"/>
              </w:rPr>
            </w:pPr>
            <w:r>
              <w:rPr>
                <w:rFonts w:cs="Arial"/>
                <w:color w:val="000000"/>
                <w:szCs w:val="16"/>
              </w:rPr>
              <w:t>0,05</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5B0424" w14:textId="77777777" w:rsidR="00895347" w:rsidRPr="000F1B12" w:rsidRDefault="00895347">
            <w:pPr>
              <w:pStyle w:val="Tabele"/>
              <w:jc w:val="right"/>
              <w:rPr>
                <w:highlight w:val="yellow"/>
              </w:rPr>
            </w:pPr>
            <w:r>
              <w:rPr>
                <w:rFonts w:cs="Arial"/>
                <w:color w:val="000000"/>
                <w:szCs w:val="16"/>
              </w:rPr>
              <w:t>0,04</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BAA4C2" w14:textId="77777777" w:rsidR="00895347" w:rsidRPr="000F1B12" w:rsidRDefault="00895347">
            <w:pPr>
              <w:pStyle w:val="Tabele"/>
              <w:jc w:val="right"/>
              <w:rPr>
                <w:highlight w:val="yellow"/>
              </w:rPr>
            </w:pPr>
            <w:r>
              <w:rPr>
                <w:rFonts w:cs="Arial"/>
                <w:color w:val="000000"/>
                <w:szCs w:val="16"/>
              </w:rPr>
              <w:t>0,04</w:t>
            </w:r>
          </w:p>
        </w:tc>
      </w:tr>
      <w:tr w:rsidR="00895347" w:rsidRPr="004669DE" w14:paraId="5CA001DF"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DDECD0" w14:textId="77777777" w:rsidR="00895347" w:rsidRPr="004669DE" w:rsidRDefault="00895347">
            <w:pPr>
              <w:pStyle w:val="Tabele"/>
              <w:rPr>
                <w:bCs/>
              </w:rPr>
            </w:pPr>
            <w:r>
              <w:rPr>
                <w:rFonts w:cs="Calibri"/>
                <w:b/>
                <w:bCs/>
                <w:color w:val="000000"/>
                <w:szCs w:val="16"/>
              </w:rPr>
              <w:t xml:space="preserve">2. Procesy przemysłowe i użytkowanie produktów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ED2C740" w14:textId="77777777" w:rsidR="00895347" w:rsidRPr="004669DE" w:rsidRDefault="00895347">
            <w:pPr>
              <w:pStyle w:val="Tabele"/>
              <w:jc w:val="right"/>
            </w:pPr>
            <w:r>
              <w:rPr>
                <w:rFonts w:cs="Arial"/>
                <w:b/>
                <w:bCs/>
                <w:color w:val="000000"/>
                <w:szCs w:val="16"/>
              </w:rPr>
              <w:t>8,53</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7329401" w14:textId="77777777" w:rsidR="00895347" w:rsidRPr="004669DE" w:rsidRDefault="00895347">
            <w:pPr>
              <w:pStyle w:val="Tabele"/>
              <w:jc w:val="right"/>
            </w:pPr>
            <w:r>
              <w:rPr>
                <w:rFonts w:cs="Arial"/>
                <w:b/>
                <w:bCs/>
                <w:color w:val="000000"/>
                <w:szCs w:val="16"/>
              </w:rPr>
              <w:t>8,65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A64B537" w14:textId="77777777" w:rsidR="00895347" w:rsidRPr="004669DE" w:rsidRDefault="00895347">
            <w:pPr>
              <w:pStyle w:val="Tabele"/>
              <w:jc w:val="right"/>
            </w:pPr>
            <w:r>
              <w:rPr>
                <w:rFonts w:cs="Arial"/>
                <w:b/>
                <w:bCs/>
                <w:color w:val="000000"/>
                <w:szCs w:val="16"/>
              </w:rPr>
              <w:t>9,07</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488EA6E" w14:textId="77777777" w:rsidR="00895347" w:rsidRPr="004669DE" w:rsidRDefault="00895347">
            <w:pPr>
              <w:pStyle w:val="Tabele"/>
              <w:jc w:val="right"/>
            </w:pPr>
            <w:r>
              <w:rPr>
                <w:rFonts w:cs="Arial"/>
                <w:b/>
                <w:bCs/>
                <w:color w:val="000000"/>
                <w:szCs w:val="16"/>
              </w:rPr>
              <w:t>8,54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9643B9" w14:textId="77777777" w:rsidR="00895347" w:rsidRPr="000F1B12" w:rsidRDefault="00895347">
            <w:pPr>
              <w:pStyle w:val="Tabele"/>
              <w:jc w:val="right"/>
              <w:rPr>
                <w:highlight w:val="yellow"/>
              </w:rPr>
            </w:pPr>
            <w:r>
              <w:rPr>
                <w:rFonts w:cs="Arial"/>
                <w:b/>
                <w:bCs/>
                <w:color w:val="000000"/>
                <w:szCs w:val="16"/>
              </w:rPr>
              <w:t>8,84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B0C7CF" w14:textId="77777777" w:rsidR="00895347" w:rsidRPr="000F1B12" w:rsidRDefault="00895347">
            <w:pPr>
              <w:pStyle w:val="Tabele"/>
              <w:jc w:val="right"/>
              <w:rPr>
                <w:highlight w:val="yellow"/>
              </w:rPr>
            </w:pPr>
            <w:r>
              <w:rPr>
                <w:rFonts w:cs="Arial"/>
                <w:b/>
                <w:bCs/>
                <w:color w:val="000000"/>
                <w:szCs w:val="16"/>
              </w:rPr>
              <w:t>8,81</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EDFB22" w14:textId="77777777" w:rsidR="00895347" w:rsidRPr="000F1B12" w:rsidRDefault="00895347">
            <w:pPr>
              <w:pStyle w:val="Tabele"/>
              <w:jc w:val="right"/>
              <w:rPr>
                <w:highlight w:val="yellow"/>
              </w:rPr>
            </w:pPr>
            <w:r>
              <w:rPr>
                <w:rFonts w:cs="Arial"/>
                <w:b/>
                <w:bCs/>
                <w:color w:val="000000"/>
                <w:szCs w:val="16"/>
              </w:rPr>
              <w:t>8,84</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C82444" w14:textId="77777777" w:rsidR="00895347" w:rsidRPr="000F1B12" w:rsidRDefault="00895347">
            <w:pPr>
              <w:pStyle w:val="Tabele"/>
              <w:jc w:val="right"/>
              <w:rPr>
                <w:highlight w:val="yellow"/>
              </w:rPr>
            </w:pPr>
            <w:r>
              <w:rPr>
                <w:rFonts w:cs="Arial"/>
                <w:b/>
                <w:bCs/>
                <w:color w:val="000000"/>
                <w:szCs w:val="16"/>
              </w:rPr>
              <w:t>8,83</w:t>
            </w:r>
          </w:p>
        </w:tc>
      </w:tr>
      <w:tr w:rsidR="00895347" w:rsidRPr="004669DE" w14:paraId="52B4FA77"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749CD6" w14:textId="77777777" w:rsidR="00895347" w:rsidRPr="004669DE" w:rsidRDefault="00895347">
            <w:pPr>
              <w:pStyle w:val="Tabele"/>
              <w:rPr>
                <w:bCs/>
              </w:rPr>
            </w:pPr>
            <w:r>
              <w:rPr>
                <w:rFonts w:cs="Calibri"/>
                <w:color w:val="000000"/>
                <w:szCs w:val="16"/>
              </w:rPr>
              <w:t xml:space="preserve">A. Produkty mineralne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1B16287" w14:textId="77777777" w:rsidR="00895347" w:rsidRPr="004669DE" w:rsidRDefault="00895347">
            <w:pPr>
              <w:pStyle w:val="Tabele"/>
              <w:jc w:val="right"/>
            </w:pPr>
            <w:r>
              <w:rPr>
                <w:rFonts w:cs="Arial"/>
                <w:color w:val="000000"/>
                <w:szCs w:val="16"/>
              </w:rPr>
              <w:t>2,74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D1DDC5D" w14:textId="77777777" w:rsidR="00895347" w:rsidRPr="004669DE" w:rsidRDefault="00895347">
            <w:pPr>
              <w:pStyle w:val="Tabele"/>
              <w:jc w:val="right"/>
            </w:pPr>
            <w:r>
              <w:rPr>
                <w:rFonts w:cs="Arial"/>
                <w:color w:val="000000"/>
                <w:szCs w:val="16"/>
              </w:rPr>
              <w:t>2,96</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D9BC2D0" w14:textId="77777777" w:rsidR="00895347" w:rsidRPr="004669DE" w:rsidRDefault="00895347">
            <w:pPr>
              <w:pStyle w:val="Tabele"/>
              <w:jc w:val="right"/>
            </w:pPr>
            <w:r>
              <w:rPr>
                <w:rFonts w:cs="Arial"/>
                <w:color w:val="000000"/>
                <w:szCs w:val="16"/>
              </w:rPr>
              <w:t>2,77</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B8D760A" w14:textId="77777777" w:rsidR="00895347" w:rsidRPr="004669DE" w:rsidRDefault="00895347">
            <w:pPr>
              <w:pStyle w:val="Tabele"/>
              <w:jc w:val="right"/>
            </w:pPr>
            <w:r>
              <w:rPr>
                <w:rFonts w:cs="Arial"/>
                <w:color w:val="000000"/>
                <w:szCs w:val="16"/>
              </w:rPr>
              <w:t>3,00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F61442" w14:textId="77777777" w:rsidR="00895347" w:rsidRPr="000F1B12" w:rsidRDefault="00895347">
            <w:pPr>
              <w:pStyle w:val="Tabele"/>
              <w:jc w:val="right"/>
              <w:rPr>
                <w:highlight w:val="yellow"/>
              </w:rPr>
            </w:pPr>
            <w:r>
              <w:rPr>
                <w:rFonts w:cs="Arial"/>
                <w:color w:val="000000"/>
                <w:szCs w:val="16"/>
              </w:rPr>
              <w:t>3,46</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773EB6A" w14:textId="77777777" w:rsidR="00895347" w:rsidRPr="000F1B12" w:rsidRDefault="00895347">
            <w:pPr>
              <w:pStyle w:val="Tabele"/>
              <w:jc w:val="right"/>
              <w:rPr>
                <w:highlight w:val="yellow"/>
              </w:rPr>
            </w:pPr>
            <w:r>
              <w:rPr>
                <w:rFonts w:cs="Arial"/>
                <w:color w:val="000000"/>
                <w:szCs w:val="16"/>
              </w:rPr>
              <w:t>3,48</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51B0745" w14:textId="77777777" w:rsidR="00895347" w:rsidRPr="000F1B12" w:rsidRDefault="00895347">
            <w:pPr>
              <w:pStyle w:val="Tabele"/>
              <w:jc w:val="right"/>
              <w:rPr>
                <w:highlight w:val="yellow"/>
              </w:rPr>
            </w:pPr>
            <w:r>
              <w:rPr>
                <w:rFonts w:cs="Arial"/>
                <w:color w:val="000000"/>
                <w:szCs w:val="16"/>
              </w:rPr>
              <w:t>3,51</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F299AA" w14:textId="77777777" w:rsidR="00895347" w:rsidRPr="000F1B12" w:rsidRDefault="00895347">
            <w:pPr>
              <w:pStyle w:val="Tabele"/>
              <w:jc w:val="right"/>
              <w:rPr>
                <w:highlight w:val="yellow"/>
              </w:rPr>
            </w:pPr>
            <w:r>
              <w:rPr>
                <w:rFonts w:cs="Arial"/>
                <w:color w:val="000000"/>
                <w:szCs w:val="16"/>
              </w:rPr>
              <w:t>3,52</w:t>
            </w:r>
          </w:p>
        </w:tc>
      </w:tr>
      <w:tr w:rsidR="00895347" w:rsidRPr="004669DE" w14:paraId="384CBC4A"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3F9978D" w14:textId="77777777" w:rsidR="00895347" w:rsidRPr="004669DE" w:rsidRDefault="00895347">
            <w:pPr>
              <w:pStyle w:val="Tabele"/>
              <w:rPr>
                <w:bCs/>
              </w:rPr>
            </w:pPr>
            <w:r>
              <w:rPr>
                <w:rFonts w:cs="Calibri"/>
                <w:color w:val="000000"/>
                <w:szCs w:val="16"/>
              </w:rPr>
              <w:t xml:space="preserve">B. Przemysł chemiczny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937BA6A" w14:textId="77777777" w:rsidR="00895347" w:rsidRPr="004669DE" w:rsidRDefault="00895347">
            <w:pPr>
              <w:pStyle w:val="Tabele"/>
              <w:jc w:val="right"/>
            </w:pPr>
            <w:r>
              <w:rPr>
                <w:rFonts w:cs="Arial"/>
                <w:color w:val="000000"/>
                <w:szCs w:val="16"/>
              </w:rPr>
              <w:t>1,62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9F74536" w14:textId="77777777" w:rsidR="00895347" w:rsidRPr="004669DE" w:rsidRDefault="00895347">
            <w:pPr>
              <w:pStyle w:val="Tabele"/>
              <w:jc w:val="right"/>
            </w:pPr>
            <w:r>
              <w:rPr>
                <w:rFonts w:cs="Arial"/>
                <w:color w:val="000000"/>
                <w:szCs w:val="16"/>
              </w:rPr>
              <w:t>1,58</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E26CDC7" w14:textId="77777777" w:rsidR="00895347" w:rsidRPr="004669DE" w:rsidRDefault="00895347">
            <w:pPr>
              <w:pStyle w:val="Tabele"/>
              <w:jc w:val="right"/>
            </w:pPr>
            <w:r>
              <w:rPr>
                <w:rFonts w:cs="Arial"/>
                <w:color w:val="000000"/>
                <w:szCs w:val="16"/>
              </w:rPr>
              <w:t>2,20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1B14F17" w14:textId="77777777" w:rsidR="00895347" w:rsidRPr="004669DE" w:rsidRDefault="00895347">
            <w:pPr>
              <w:pStyle w:val="Tabele"/>
              <w:jc w:val="right"/>
            </w:pPr>
            <w:r>
              <w:rPr>
                <w:rFonts w:cs="Arial"/>
                <w:color w:val="000000"/>
                <w:szCs w:val="16"/>
              </w:rPr>
              <w:t>2,32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3412AC" w14:textId="77777777" w:rsidR="00895347" w:rsidRPr="000F1B12" w:rsidRDefault="00895347">
            <w:pPr>
              <w:pStyle w:val="Tabele"/>
              <w:jc w:val="right"/>
              <w:rPr>
                <w:highlight w:val="yellow"/>
              </w:rPr>
            </w:pPr>
            <w:r>
              <w:rPr>
                <w:rFonts w:cs="Arial"/>
                <w:color w:val="000000"/>
                <w:szCs w:val="16"/>
              </w:rPr>
              <w:t>2,04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BD5135" w14:textId="77777777" w:rsidR="00895347" w:rsidRPr="000F1B12" w:rsidRDefault="00895347">
            <w:pPr>
              <w:pStyle w:val="Tabele"/>
              <w:jc w:val="right"/>
              <w:rPr>
                <w:highlight w:val="yellow"/>
              </w:rPr>
            </w:pPr>
            <w:r>
              <w:rPr>
                <w:rFonts w:cs="Arial"/>
                <w:color w:val="000000"/>
                <w:szCs w:val="16"/>
              </w:rPr>
              <w:t>2,19</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E160B3" w14:textId="77777777" w:rsidR="00895347" w:rsidRPr="000F1B12" w:rsidRDefault="00895347">
            <w:pPr>
              <w:pStyle w:val="Tabele"/>
              <w:jc w:val="right"/>
              <w:rPr>
                <w:highlight w:val="yellow"/>
              </w:rPr>
            </w:pPr>
            <w:r>
              <w:rPr>
                <w:rFonts w:cs="Arial"/>
                <w:color w:val="000000"/>
                <w:szCs w:val="16"/>
              </w:rPr>
              <w:t>2,34</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047BC4D" w14:textId="77777777" w:rsidR="00895347" w:rsidRPr="000F1B12" w:rsidRDefault="00895347">
            <w:pPr>
              <w:pStyle w:val="Tabele"/>
              <w:jc w:val="right"/>
              <w:rPr>
                <w:highlight w:val="yellow"/>
              </w:rPr>
            </w:pPr>
            <w:r>
              <w:rPr>
                <w:rFonts w:cs="Arial"/>
                <w:color w:val="000000"/>
                <w:szCs w:val="16"/>
              </w:rPr>
              <w:t>2,51</w:t>
            </w:r>
          </w:p>
        </w:tc>
      </w:tr>
      <w:tr w:rsidR="00895347" w:rsidRPr="004669DE" w14:paraId="09F44CC6"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2E02A83" w14:textId="77777777" w:rsidR="00895347" w:rsidRPr="004669DE" w:rsidRDefault="00895347">
            <w:pPr>
              <w:pStyle w:val="Tabele"/>
              <w:rPr>
                <w:bCs/>
              </w:rPr>
            </w:pPr>
            <w:r>
              <w:rPr>
                <w:rFonts w:cs="Calibri"/>
                <w:color w:val="000000"/>
                <w:szCs w:val="16"/>
              </w:rPr>
              <w:t xml:space="preserve">C. Produkcja metali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CCBD64F" w14:textId="77777777" w:rsidR="00895347" w:rsidRPr="004669DE" w:rsidRDefault="00895347">
            <w:pPr>
              <w:pStyle w:val="Tabele"/>
              <w:jc w:val="right"/>
            </w:pPr>
            <w:r>
              <w:rPr>
                <w:rFonts w:cs="Arial"/>
                <w:color w:val="000000"/>
                <w:szCs w:val="16"/>
              </w:rPr>
              <w:t>1,17</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2E94BC5" w14:textId="77777777" w:rsidR="00895347" w:rsidRPr="004669DE" w:rsidRDefault="00895347">
            <w:pPr>
              <w:pStyle w:val="Tabele"/>
              <w:jc w:val="right"/>
            </w:pPr>
            <w:r>
              <w:rPr>
                <w:rFonts w:cs="Arial"/>
                <w:color w:val="000000"/>
                <w:szCs w:val="16"/>
              </w:rPr>
              <w:t>1,04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B0CB1CF" w14:textId="77777777" w:rsidR="00895347" w:rsidRPr="004669DE" w:rsidRDefault="00895347">
            <w:pPr>
              <w:pStyle w:val="Tabele"/>
              <w:jc w:val="right"/>
            </w:pPr>
            <w:r>
              <w:rPr>
                <w:rFonts w:cs="Arial"/>
                <w:color w:val="000000"/>
                <w:szCs w:val="16"/>
              </w:rPr>
              <w:t>1,44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10E4BF6" w14:textId="77777777" w:rsidR="00895347" w:rsidRPr="004669DE" w:rsidRDefault="00895347">
            <w:pPr>
              <w:pStyle w:val="Tabele"/>
              <w:jc w:val="right"/>
            </w:pPr>
            <w:r>
              <w:rPr>
                <w:rFonts w:cs="Arial"/>
                <w:color w:val="000000"/>
                <w:szCs w:val="16"/>
              </w:rPr>
              <w:t>1,09</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C84D636" w14:textId="77777777" w:rsidR="00895347" w:rsidRPr="000F1B12" w:rsidRDefault="00895347">
            <w:pPr>
              <w:pStyle w:val="Tabele"/>
              <w:jc w:val="right"/>
              <w:rPr>
                <w:highlight w:val="yellow"/>
              </w:rPr>
            </w:pPr>
            <w:r>
              <w:rPr>
                <w:rFonts w:cs="Arial"/>
                <w:color w:val="000000"/>
                <w:szCs w:val="16"/>
              </w:rPr>
              <w:t>1,15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1AB826" w14:textId="77777777" w:rsidR="00895347" w:rsidRPr="000F1B12" w:rsidRDefault="00895347">
            <w:pPr>
              <w:pStyle w:val="Tabele"/>
              <w:jc w:val="right"/>
              <w:rPr>
                <w:highlight w:val="yellow"/>
              </w:rPr>
            </w:pPr>
            <w:r>
              <w:rPr>
                <w:rFonts w:cs="Arial"/>
                <w:color w:val="000000"/>
                <w:szCs w:val="16"/>
              </w:rPr>
              <w:t>1,08</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F175E3F" w14:textId="77777777" w:rsidR="00895347" w:rsidRPr="000F1B12" w:rsidRDefault="00895347">
            <w:pPr>
              <w:pStyle w:val="Tabele"/>
              <w:jc w:val="right"/>
              <w:rPr>
                <w:highlight w:val="yellow"/>
              </w:rPr>
            </w:pPr>
            <w:r>
              <w:rPr>
                <w:rFonts w:cs="Arial"/>
                <w:color w:val="000000"/>
                <w:szCs w:val="16"/>
              </w:rPr>
              <w:t>1,03</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878BED" w14:textId="77777777" w:rsidR="00895347" w:rsidRPr="000F1B12" w:rsidRDefault="00895347">
            <w:pPr>
              <w:pStyle w:val="Tabele"/>
              <w:jc w:val="right"/>
              <w:rPr>
                <w:highlight w:val="yellow"/>
              </w:rPr>
            </w:pPr>
            <w:r>
              <w:rPr>
                <w:rFonts w:cs="Arial"/>
                <w:color w:val="000000"/>
                <w:szCs w:val="16"/>
              </w:rPr>
              <w:t>0,93</w:t>
            </w:r>
          </w:p>
        </w:tc>
      </w:tr>
      <w:tr w:rsidR="00895347" w:rsidRPr="004669DE" w14:paraId="00DD369F"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31EFA3" w14:textId="77777777" w:rsidR="00895347" w:rsidRPr="004669DE" w:rsidRDefault="00895347">
            <w:pPr>
              <w:pStyle w:val="Tabele"/>
              <w:rPr>
                <w:bCs/>
              </w:rPr>
            </w:pPr>
            <w:r>
              <w:rPr>
                <w:rFonts w:cs="Calibri"/>
                <w:color w:val="000000"/>
                <w:szCs w:val="16"/>
              </w:rPr>
              <w:t>D. Stosowanie rozpuszczalników i innych produktów</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2C34AC2" w14:textId="77777777" w:rsidR="00895347" w:rsidRPr="004669DE" w:rsidRDefault="00895347">
            <w:pPr>
              <w:pStyle w:val="Tabele"/>
              <w:jc w:val="right"/>
            </w:pPr>
            <w:r>
              <w:rPr>
                <w:rFonts w:cs="Arial"/>
                <w:color w:val="000000"/>
                <w:szCs w:val="16"/>
              </w:rPr>
              <w:t>0,49</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917C8C6" w14:textId="77777777" w:rsidR="00895347" w:rsidRPr="004669DE" w:rsidRDefault="00895347">
            <w:pPr>
              <w:pStyle w:val="Tabele"/>
              <w:jc w:val="right"/>
            </w:pPr>
            <w:r>
              <w:rPr>
                <w:rFonts w:cs="Arial"/>
                <w:color w:val="000000"/>
                <w:szCs w:val="16"/>
              </w:rPr>
              <w:t>0,66</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07E14AB" w14:textId="77777777" w:rsidR="00895347" w:rsidRPr="004669DE" w:rsidRDefault="00895347">
            <w:pPr>
              <w:pStyle w:val="Tabele"/>
              <w:jc w:val="right"/>
            </w:pPr>
            <w:r>
              <w:rPr>
                <w:rFonts w:cs="Arial"/>
                <w:color w:val="000000"/>
                <w:szCs w:val="16"/>
              </w:rPr>
              <w:t>0,62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FEBBB90" w14:textId="77777777" w:rsidR="00895347" w:rsidRPr="004669DE" w:rsidRDefault="00895347">
            <w:pPr>
              <w:pStyle w:val="Tabele"/>
              <w:jc w:val="right"/>
            </w:pPr>
            <w:r>
              <w:rPr>
                <w:rFonts w:cs="Arial"/>
                <w:color w:val="000000"/>
                <w:szCs w:val="16"/>
              </w:rPr>
              <w:t>0,64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875C2D" w14:textId="77777777" w:rsidR="00895347" w:rsidRPr="000F1B12" w:rsidRDefault="00895347">
            <w:pPr>
              <w:pStyle w:val="Tabele"/>
              <w:jc w:val="right"/>
              <w:rPr>
                <w:highlight w:val="yellow"/>
              </w:rPr>
            </w:pPr>
            <w:r>
              <w:rPr>
                <w:rFonts w:cs="Arial"/>
                <w:color w:val="000000"/>
                <w:szCs w:val="16"/>
              </w:rPr>
              <w:t>0,64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E81485" w14:textId="77777777" w:rsidR="00895347" w:rsidRPr="000F1B12" w:rsidRDefault="00895347">
            <w:pPr>
              <w:pStyle w:val="Tabele"/>
              <w:jc w:val="right"/>
              <w:rPr>
                <w:highlight w:val="yellow"/>
              </w:rPr>
            </w:pPr>
            <w:r>
              <w:rPr>
                <w:rFonts w:cs="Arial"/>
                <w:color w:val="000000"/>
                <w:szCs w:val="16"/>
              </w:rPr>
              <w:t>0,64</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2681AFF" w14:textId="77777777" w:rsidR="00895347" w:rsidRPr="000F1B12" w:rsidRDefault="00895347">
            <w:pPr>
              <w:pStyle w:val="Tabele"/>
              <w:jc w:val="right"/>
              <w:rPr>
                <w:highlight w:val="yellow"/>
              </w:rPr>
            </w:pPr>
            <w:r>
              <w:rPr>
                <w:rFonts w:cs="Arial"/>
                <w:color w:val="000000"/>
                <w:szCs w:val="16"/>
              </w:rPr>
              <w:t>0,64</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E052AC" w14:textId="77777777" w:rsidR="00895347" w:rsidRPr="000F1B12" w:rsidRDefault="00895347">
            <w:pPr>
              <w:pStyle w:val="Tabele"/>
              <w:jc w:val="right"/>
              <w:rPr>
                <w:highlight w:val="yellow"/>
              </w:rPr>
            </w:pPr>
            <w:r>
              <w:rPr>
                <w:rFonts w:cs="Arial"/>
                <w:color w:val="000000"/>
                <w:szCs w:val="16"/>
              </w:rPr>
              <w:t>0,64</w:t>
            </w:r>
          </w:p>
        </w:tc>
      </w:tr>
      <w:tr w:rsidR="00895347" w:rsidRPr="004669DE" w14:paraId="45E9F077"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852CE1" w14:textId="77777777" w:rsidR="00895347" w:rsidRPr="00EB3B96" w:rsidRDefault="00895347">
            <w:pPr>
              <w:pStyle w:val="Tabele"/>
              <w:rPr>
                <w:b/>
              </w:rPr>
            </w:pPr>
            <w:r>
              <w:rPr>
                <w:rFonts w:cs="Calibri"/>
                <w:color w:val="000000"/>
                <w:szCs w:val="16"/>
              </w:rPr>
              <w:t>G. – L. Inne</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D1799A5" w14:textId="77777777" w:rsidR="00895347" w:rsidRPr="004669DE" w:rsidRDefault="00895347">
            <w:pPr>
              <w:pStyle w:val="Tabele"/>
              <w:jc w:val="right"/>
            </w:pPr>
            <w:r>
              <w:rPr>
                <w:rFonts w:cs="Arial"/>
                <w:color w:val="000000"/>
                <w:szCs w:val="16"/>
              </w:rPr>
              <w:t>2,52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D6E0F14" w14:textId="77777777" w:rsidR="00895347" w:rsidRPr="004669DE" w:rsidRDefault="00895347">
            <w:pPr>
              <w:pStyle w:val="Tabele"/>
              <w:jc w:val="right"/>
            </w:pPr>
            <w:r>
              <w:rPr>
                <w:rFonts w:cs="Arial"/>
                <w:color w:val="000000"/>
                <w:szCs w:val="16"/>
              </w:rPr>
              <w:t>2,41</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2455EB1" w14:textId="77777777" w:rsidR="00895347" w:rsidRPr="004669DE" w:rsidRDefault="00895347">
            <w:pPr>
              <w:pStyle w:val="Tabele"/>
              <w:jc w:val="right"/>
            </w:pPr>
            <w:r>
              <w:rPr>
                <w:rFonts w:cs="Arial"/>
                <w:color w:val="000000"/>
                <w:szCs w:val="16"/>
              </w:rPr>
              <w:t>2,05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A4E597C" w14:textId="77777777" w:rsidR="00895347" w:rsidRPr="004669DE" w:rsidRDefault="00895347">
            <w:pPr>
              <w:pStyle w:val="Tabele"/>
              <w:jc w:val="right"/>
            </w:pPr>
            <w:r>
              <w:rPr>
                <w:rFonts w:cs="Arial"/>
                <w:color w:val="000000"/>
                <w:szCs w:val="16"/>
              </w:rPr>
              <w:t>1,49</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CBB1D4" w14:textId="77777777" w:rsidR="00895347" w:rsidRPr="000F1B12" w:rsidRDefault="00895347">
            <w:pPr>
              <w:pStyle w:val="Tabele"/>
              <w:jc w:val="right"/>
              <w:rPr>
                <w:highlight w:val="yellow"/>
              </w:rPr>
            </w:pPr>
            <w:r>
              <w:rPr>
                <w:rFonts w:cs="Arial"/>
                <w:color w:val="000000"/>
                <w:szCs w:val="16"/>
              </w:rPr>
              <w:t>1,55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372034F" w14:textId="77777777" w:rsidR="00895347" w:rsidRPr="000F1B12" w:rsidRDefault="00895347">
            <w:pPr>
              <w:pStyle w:val="Tabele"/>
              <w:jc w:val="right"/>
              <w:rPr>
                <w:highlight w:val="yellow"/>
              </w:rPr>
            </w:pPr>
            <w:r>
              <w:rPr>
                <w:rFonts w:cs="Arial"/>
                <w:color w:val="000000"/>
                <w:szCs w:val="16"/>
              </w:rPr>
              <w:t>1,43</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7F5B9C0" w14:textId="77777777" w:rsidR="00895347" w:rsidRPr="000F1B12" w:rsidRDefault="00895347">
            <w:pPr>
              <w:pStyle w:val="Tabele"/>
              <w:jc w:val="right"/>
              <w:rPr>
                <w:highlight w:val="yellow"/>
              </w:rPr>
            </w:pPr>
            <w:r>
              <w:rPr>
                <w:rFonts w:cs="Arial"/>
                <w:color w:val="000000"/>
                <w:szCs w:val="16"/>
              </w:rPr>
              <w:t>1,32</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8E3E299" w14:textId="77777777" w:rsidR="00895347" w:rsidRPr="000F1B12" w:rsidRDefault="00895347">
            <w:pPr>
              <w:pStyle w:val="Tabele"/>
              <w:jc w:val="right"/>
              <w:rPr>
                <w:highlight w:val="yellow"/>
              </w:rPr>
            </w:pPr>
            <w:r>
              <w:rPr>
                <w:rFonts w:cs="Arial"/>
                <w:color w:val="000000"/>
                <w:szCs w:val="16"/>
              </w:rPr>
              <w:t>1,23</w:t>
            </w:r>
          </w:p>
        </w:tc>
      </w:tr>
      <w:tr w:rsidR="00895347" w:rsidRPr="004669DE" w14:paraId="0356831A"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ABAF10E" w14:textId="77777777" w:rsidR="00895347" w:rsidRPr="004669DE" w:rsidRDefault="00895347">
            <w:pPr>
              <w:pStyle w:val="Tabele"/>
              <w:rPr>
                <w:bCs/>
              </w:rPr>
            </w:pPr>
            <w:r>
              <w:rPr>
                <w:rFonts w:cs="Calibri"/>
                <w:b/>
                <w:bCs/>
                <w:color w:val="000000"/>
                <w:szCs w:val="16"/>
              </w:rPr>
              <w:t xml:space="preserve">3. Rolnictwo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0BE682D" w14:textId="77777777" w:rsidR="00895347" w:rsidRPr="004669DE" w:rsidRDefault="00895347">
            <w:pPr>
              <w:pStyle w:val="Tabele"/>
              <w:jc w:val="right"/>
            </w:pPr>
            <w:r>
              <w:rPr>
                <w:rFonts w:cs="Arial"/>
                <w:b/>
                <w:bCs/>
                <w:color w:val="000000"/>
                <w:szCs w:val="16"/>
              </w:rPr>
              <w:t>4,12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3AF41C5" w14:textId="77777777" w:rsidR="00895347" w:rsidRPr="004669DE" w:rsidRDefault="00895347">
            <w:pPr>
              <w:pStyle w:val="Tabele"/>
              <w:jc w:val="right"/>
            </w:pPr>
            <w:r>
              <w:rPr>
                <w:rFonts w:cs="Arial"/>
                <w:b/>
                <w:bCs/>
                <w:color w:val="000000"/>
                <w:szCs w:val="16"/>
              </w:rPr>
              <w:t>3,70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57AD79E" w14:textId="77777777" w:rsidR="00895347" w:rsidRPr="004669DE" w:rsidRDefault="00895347">
            <w:pPr>
              <w:pStyle w:val="Tabele"/>
              <w:jc w:val="right"/>
            </w:pPr>
            <w:r>
              <w:rPr>
                <w:rFonts w:cs="Arial"/>
                <w:b/>
                <w:bCs/>
                <w:color w:val="000000"/>
                <w:szCs w:val="16"/>
              </w:rPr>
              <w:t>3,83</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4AE92F4" w14:textId="77777777" w:rsidR="00895347" w:rsidRPr="004669DE" w:rsidRDefault="00895347">
            <w:pPr>
              <w:pStyle w:val="Tabele"/>
              <w:jc w:val="right"/>
            </w:pPr>
            <w:r>
              <w:rPr>
                <w:rFonts w:cs="Arial"/>
                <w:b/>
                <w:bCs/>
                <w:color w:val="000000"/>
                <w:szCs w:val="16"/>
              </w:rPr>
              <w:t>4,20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486A38" w14:textId="77777777" w:rsidR="00895347" w:rsidRPr="000F1B12" w:rsidRDefault="00895347">
            <w:pPr>
              <w:pStyle w:val="Tabele"/>
              <w:jc w:val="right"/>
              <w:rPr>
                <w:highlight w:val="yellow"/>
              </w:rPr>
            </w:pPr>
            <w:r>
              <w:rPr>
                <w:rFonts w:cs="Arial"/>
                <w:b/>
                <w:bCs/>
                <w:color w:val="000000"/>
                <w:szCs w:val="16"/>
              </w:rPr>
              <w:t>3,88</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1F9612" w14:textId="77777777" w:rsidR="00895347" w:rsidRPr="000F1B12" w:rsidRDefault="00895347">
            <w:pPr>
              <w:pStyle w:val="Tabele"/>
              <w:jc w:val="right"/>
              <w:rPr>
                <w:highlight w:val="yellow"/>
              </w:rPr>
            </w:pPr>
            <w:r>
              <w:rPr>
                <w:rFonts w:cs="Arial"/>
                <w:b/>
                <w:bCs/>
                <w:color w:val="000000"/>
                <w:szCs w:val="16"/>
              </w:rPr>
              <w:t>3,98</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FCD256E" w14:textId="77777777" w:rsidR="00895347" w:rsidRPr="000F1B12" w:rsidRDefault="00895347">
            <w:pPr>
              <w:pStyle w:val="Tabele"/>
              <w:jc w:val="right"/>
              <w:rPr>
                <w:highlight w:val="yellow"/>
              </w:rPr>
            </w:pPr>
            <w:r>
              <w:rPr>
                <w:rFonts w:cs="Arial"/>
                <w:b/>
                <w:bCs/>
                <w:color w:val="000000"/>
                <w:szCs w:val="16"/>
              </w:rPr>
              <w:t>3,95</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21AE3A" w14:textId="77777777" w:rsidR="00895347" w:rsidRPr="000F1B12" w:rsidRDefault="00895347">
            <w:pPr>
              <w:pStyle w:val="Tabele"/>
              <w:jc w:val="right"/>
              <w:rPr>
                <w:highlight w:val="yellow"/>
              </w:rPr>
            </w:pPr>
            <w:r>
              <w:rPr>
                <w:rFonts w:cs="Arial"/>
                <w:b/>
                <w:bCs/>
                <w:color w:val="000000"/>
                <w:szCs w:val="16"/>
              </w:rPr>
              <w:t>3,95</w:t>
            </w:r>
          </w:p>
        </w:tc>
      </w:tr>
      <w:tr w:rsidR="00895347" w:rsidRPr="004669DE" w14:paraId="329AAD96"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F02608" w14:textId="77777777" w:rsidR="00895347" w:rsidRPr="00EB3B96" w:rsidRDefault="00895347">
            <w:pPr>
              <w:pStyle w:val="Tabele"/>
              <w:rPr>
                <w:bCs/>
              </w:rPr>
            </w:pPr>
            <w:r>
              <w:rPr>
                <w:rFonts w:cs="Calibri"/>
                <w:color w:val="000000"/>
                <w:szCs w:val="16"/>
              </w:rPr>
              <w:t xml:space="preserve">B. Nawozy naturalne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FEFD37B" w14:textId="77777777" w:rsidR="00895347" w:rsidRPr="004669DE" w:rsidRDefault="00895347">
            <w:pPr>
              <w:pStyle w:val="Tabele"/>
              <w:jc w:val="right"/>
            </w:pPr>
            <w:r>
              <w:rPr>
                <w:rFonts w:cs="Arial"/>
                <w:color w:val="000000"/>
                <w:szCs w:val="16"/>
              </w:rPr>
              <w:t>2,22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4E90CF9A" w14:textId="77777777" w:rsidR="00895347" w:rsidRPr="004669DE" w:rsidRDefault="00895347">
            <w:pPr>
              <w:pStyle w:val="Tabele"/>
              <w:jc w:val="right"/>
            </w:pPr>
            <w:r>
              <w:rPr>
                <w:rFonts w:cs="Arial"/>
                <w:color w:val="000000"/>
                <w:szCs w:val="16"/>
              </w:rPr>
              <w:t>2,07</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4793072" w14:textId="77777777" w:rsidR="00895347" w:rsidRPr="004669DE" w:rsidRDefault="00895347">
            <w:pPr>
              <w:pStyle w:val="Tabele"/>
              <w:jc w:val="right"/>
            </w:pPr>
            <w:r>
              <w:rPr>
                <w:rFonts w:cs="Arial"/>
                <w:color w:val="000000"/>
                <w:szCs w:val="16"/>
              </w:rPr>
              <w:t>2,16</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84455A9" w14:textId="77777777" w:rsidR="00895347" w:rsidRPr="004669DE" w:rsidRDefault="00895347">
            <w:pPr>
              <w:pStyle w:val="Tabele"/>
              <w:jc w:val="right"/>
            </w:pPr>
            <w:r>
              <w:rPr>
                <w:rFonts w:cs="Arial"/>
                <w:color w:val="000000"/>
                <w:szCs w:val="16"/>
              </w:rPr>
              <w:t>2,57</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09722D7" w14:textId="77777777" w:rsidR="00895347" w:rsidRPr="000F1B12" w:rsidRDefault="00895347">
            <w:pPr>
              <w:pStyle w:val="Tabele"/>
              <w:jc w:val="right"/>
              <w:rPr>
                <w:highlight w:val="yellow"/>
              </w:rPr>
            </w:pPr>
            <w:r>
              <w:rPr>
                <w:rFonts w:cs="Arial"/>
                <w:color w:val="000000"/>
                <w:szCs w:val="16"/>
              </w:rPr>
              <w:t>2,29</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2061E7" w14:textId="77777777" w:rsidR="00895347" w:rsidRPr="000F1B12" w:rsidRDefault="00895347">
            <w:pPr>
              <w:pStyle w:val="Tabele"/>
              <w:jc w:val="right"/>
              <w:rPr>
                <w:highlight w:val="yellow"/>
              </w:rPr>
            </w:pPr>
            <w:r>
              <w:rPr>
                <w:rFonts w:cs="Arial"/>
                <w:color w:val="000000"/>
                <w:szCs w:val="16"/>
              </w:rPr>
              <w:t>2,40</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258C5EA" w14:textId="77777777" w:rsidR="00895347" w:rsidRPr="000F1B12" w:rsidRDefault="00895347">
            <w:pPr>
              <w:pStyle w:val="Tabele"/>
              <w:jc w:val="right"/>
              <w:rPr>
                <w:highlight w:val="yellow"/>
              </w:rPr>
            </w:pPr>
            <w:r>
              <w:rPr>
                <w:rFonts w:cs="Arial"/>
                <w:color w:val="000000"/>
                <w:szCs w:val="16"/>
              </w:rPr>
              <w:t>2,41</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AD8A89" w14:textId="77777777" w:rsidR="00895347" w:rsidRPr="000F1B12" w:rsidRDefault="00895347">
            <w:pPr>
              <w:pStyle w:val="Tabele"/>
              <w:jc w:val="right"/>
              <w:rPr>
                <w:highlight w:val="yellow"/>
              </w:rPr>
            </w:pPr>
            <w:r>
              <w:rPr>
                <w:rFonts w:cs="Arial"/>
                <w:color w:val="000000"/>
                <w:szCs w:val="16"/>
              </w:rPr>
              <w:t>2,44</w:t>
            </w:r>
          </w:p>
        </w:tc>
      </w:tr>
      <w:tr w:rsidR="00895347" w:rsidRPr="004669DE" w14:paraId="084F0A59"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02167A" w14:textId="77777777" w:rsidR="00895347" w:rsidRPr="00EB3B96" w:rsidRDefault="00895347">
            <w:pPr>
              <w:pStyle w:val="Tabele"/>
              <w:rPr>
                <w:bCs/>
              </w:rPr>
            </w:pPr>
            <w:r>
              <w:rPr>
                <w:rFonts w:cs="Calibri"/>
                <w:color w:val="000000"/>
                <w:szCs w:val="16"/>
              </w:rPr>
              <w:t xml:space="preserve">D. Gleby rolne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2252EFF" w14:textId="77777777" w:rsidR="00895347" w:rsidRPr="004669DE" w:rsidRDefault="00895347">
            <w:pPr>
              <w:pStyle w:val="Tabele"/>
              <w:jc w:val="right"/>
            </w:pPr>
            <w:r>
              <w:rPr>
                <w:rFonts w:cs="Arial"/>
                <w:color w:val="000000"/>
                <w:szCs w:val="16"/>
              </w:rPr>
              <w:t>1,74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788BD09" w14:textId="77777777" w:rsidR="00895347" w:rsidRPr="004669DE" w:rsidRDefault="00895347">
            <w:pPr>
              <w:pStyle w:val="Tabele"/>
              <w:jc w:val="right"/>
            </w:pPr>
            <w:r>
              <w:rPr>
                <w:rFonts w:cs="Arial"/>
                <w:color w:val="000000"/>
                <w:szCs w:val="16"/>
              </w:rPr>
              <w:t>1,59</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3C8D84A" w14:textId="77777777" w:rsidR="00895347" w:rsidRPr="004669DE" w:rsidRDefault="00895347">
            <w:pPr>
              <w:pStyle w:val="Tabele"/>
              <w:jc w:val="right"/>
            </w:pPr>
            <w:r>
              <w:rPr>
                <w:rFonts w:cs="Arial"/>
                <w:color w:val="000000"/>
                <w:szCs w:val="16"/>
              </w:rPr>
              <w:t>1,53</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B1E5671" w14:textId="77777777" w:rsidR="00895347" w:rsidRPr="004669DE" w:rsidRDefault="00895347">
            <w:pPr>
              <w:pStyle w:val="Tabele"/>
              <w:jc w:val="right"/>
            </w:pPr>
            <w:r>
              <w:rPr>
                <w:rFonts w:cs="Arial"/>
                <w:color w:val="000000"/>
                <w:szCs w:val="16"/>
              </w:rPr>
              <w:t>1,56</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E6F270" w14:textId="77777777" w:rsidR="00895347" w:rsidRPr="000F1B12" w:rsidRDefault="00895347">
            <w:pPr>
              <w:pStyle w:val="Tabele"/>
              <w:jc w:val="right"/>
              <w:rPr>
                <w:highlight w:val="yellow"/>
              </w:rPr>
            </w:pPr>
            <w:r>
              <w:rPr>
                <w:rFonts w:cs="Arial"/>
                <w:color w:val="000000"/>
                <w:szCs w:val="16"/>
              </w:rPr>
              <w:t>1,54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7EF6DCE" w14:textId="77777777" w:rsidR="00895347" w:rsidRPr="000F1B12" w:rsidRDefault="00895347">
            <w:pPr>
              <w:pStyle w:val="Tabele"/>
              <w:jc w:val="right"/>
              <w:rPr>
                <w:highlight w:val="yellow"/>
              </w:rPr>
            </w:pPr>
            <w:r>
              <w:rPr>
                <w:rFonts w:cs="Arial"/>
                <w:color w:val="000000"/>
                <w:szCs w:val="16"/>
              </w:rPr>
              <w:t>1,52</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7545DBE" w14:textId="77777777" w:rsidR="00895347" w:rsidRPr="000F1B12" w:rsidRDefault="00895347">
            <w:pPr>
              <w:pStyle w:val="Tabele"/>
              <w:jc w:val="right"/>
              <w:rPr>
                <w:highlight w:val="yellow"/>
              </w:rPr>
            </w:pPr>
            <w:r>
              <w:rPr>
                <w:rFonts w:cs="Arial"/>
                <w:color w:val="000000"/>
                <w:szCs w:val="16"/>
              </w:rPr>
              <w:t>1,49</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9CF6B3" w14:textId="77777777" w:rsidR="00895347" w:rsidRPr="000F1B12" w:rsidRDefault="00895347">
            <w:pPr>
              <w:pStyle w:val="Tabele"/>
              <w:jc w:val="right"/>
              <w:rPr>
                <w:highlight w:val="yellow"/>
              </w:rPr>
            </w:pPr>
            <w:r>
              <w:rPr>
                <w:rFonts w:cs="Arial"/>
                <w:color w:val="000000"/>
                <w:szCs w:val="16"/>
              </w:rPr>
              <w:t>1,46</w:t>
            </w:r>
          </w:p>
        </w:tc>
      </w:tr>
      <w:tr w:rsidR="00895347" w:rsidRPr="004669DE" w14:paraId="1799EA24"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B4CB21A" w14:textId="77777777" w:rsidR="00895347" w:rsidRPr="004669DE" w:rsidRDefault="00895347">
            <w:pPr>
              <w:pStyle w:val="Tabele"/>
              <w:rPr>
                <w:bCs/>
              </w:rPr>
            </w:pPr>
            <w:r>
              <w:rPr>
                <w:rFonts w:cs="Calibri"/>
                <w:color w:val="000000"/>
                <w:szCs w:val="16"/>
              </w:rPr>
              <w:t xml:space="preserve">F. Spalanie resztek roślinnych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8596B02" w14:textId="77777777" w:rsidR="00895347" w:rsidRPr="004669DE" w:rsidRDefault="00895347">
            <w:pPr>
              <w:pStyle w:val="Tabele"/>
              <w:jc w:val="right"/>
            </w:pPr>
            <w:r>
              <w:rPr>
                <w:rFonts w:cs="Arial"/>
                <w:color w:val="000000"/>
                <w:szCs w:val="16"/>
              </w:rPr>
              <w:t>0,16</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96B0438" w14:textId="77777777" w:rsidR="00895347" w:rsidRPr="004669DE" w:rsidRDefault="00895347">
            <w:pPr>
              <w:pStyle w:val="Tabele"/>
              <w:jc w:val="right"/>
            </w:pPr>
            <w:r>
              <w:rPr>
                <w:rFonts w:cs="Arial"/>
                <w:color w:val="000000"/>
                <w:szCs w:val="16"/>
              </w:rPr>
              <w:t>0,04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98D9FAC" w14:textId="77777777" w:rsidR="00895347" w:rsidRPr="004669DE" w:rsidRDefault="00895347">
            <w:pPr>
              <w:pStyle w:val="Tabele"/>
              <w:jc w:val="right"/>
            </w:pPr>
            <w:r>
              <w:rPr>
                <w:rFonts w:cs="Arial"/>
                <w:color w:val="000000"/>
                <w:szCs w:val="16"/>
              </w:rPr>
              <w:t>0,14</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93386B0" w14:textId="77777777" w:rsidR="00895347" w:rsidRPr="004669DE" w:rsidRDefault="00895347">
            <w:pPr>
              <w:pStyle w:val="Tabele"/>
              <w:jc w:val="right"/>
            </w:pPr>
            <w:r>
              <w:rPr>
                <w:rFonts w:cs="Arial"/>
                <w:color w:val="000000"/>
                <w:szCs w:val="16"/>
              </w:rPr>
              <w:t>0,08</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8C2FBC8" w14:textId="77777777" w:rsidR="00895347" w:rsidRPr="000F1B12" w:rsidRDefault="00895347">
            <w:pPr>
              <w:pStyle w:val="Tabele"/>
              <w:jc w:val="right"/>
              <w:rPr>
                <w:highlight w:val="yellow"/>
              </w:rPr>
            </w:pPr>
            <w:r>
              <w:rPr>
                <w:rFonts w:cs="Arial"/>
                <w:color w:val="000000"/>
                <w:szCs w:val="16"/>
              </w:rPr>
              <w:t>0,05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420C95" w14:textId="77777777" w:rsidR="00895347" w:rsidRPr="000F1B12" w:rsidRDefault="00895347">
            <w:pPr>
              <w:pStyle w:val="Tabele"/>
              <w:jc w:val="right"/>
              <w:rPr>
                <w:highlight w:val="yellow"/>
              </w:rPr>
            </w:pPr>
            <w:r>
              <w:rPr>
                <w:rFonts w:cs="Arial"/>
                <w:color w:val="000000"/>
                <w:szCs w:val="16"/>
              </w:rPr>
              <w:t>0,05</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E9A3AB" w14:textId="77777777" w:rsidR="00895347" w:rsidRPr="000F1B12" w:rsidRDefault="00895347">
            <w:pPr>
              <w:pStyle w:val="Tabele"/>
              <w:jc w:val="right"/>
              <w:rPr>
                <w:highlight w:val="yellow"/>
              </w:rPr>
            </w:pPr>
            <w:r>
              <w:rPr>
                <w:rFonts w:cs="Arial"/>
                <w:color w:val="000000"/>
                <w:szCs w:val="16"/>
              </w:rPr>
              <w:t>0,05</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38B48F" w14:textId="77777777" w:rsidR="00895347" w:rsidRPr="000F1B12" w:rsidRDefault="00895347">
            <w:pPr>
              <w:pStyle w:val="Tabele"/>
              <w:jc w:val="right"/>
              <w:rPr>
                <w:highlight w:val="yellow"/>
              </w:rPr>
            </w:pPr>
            <w:r>
              <w:rPr>
                <w:rFonts w:cs="Arial"/>
                <w:color w:val="000000"/>
                <w:szCs w:val="16"/>
              </w:rPr>
              <w:t>0,05</w:t>
            </w:r>
          </w:p>
        </w:tc>
      </w:tr>
      <w:tr w:rsidR="00895347" w:rsidRPr="004669DE" w14:paraId="3F8DEC6B"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B82340" w14:textId="77777777" w:rsidR="00895347" w:rsidRPr="004669DE" w:rsidRDefault="00895347">
            <w:pPr>
              <w:pStyle w:val="Tabele"/>
              <w:rPr>
                <w:bCs/>
              </w:rPr>
            </w:pPr>
            <w:r>
              <w:rPr>
                <w:rFonts w:cs="Calibri"/>
                <w:b/>
                <w:bCs/>
                <w:color w:val="000000"/>
                <w:szCs w:val="16"/>
              </w:rPr>
              <w:t xml:space="preserve">5. Odpady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12CFC41" w14:textId="77777777" w:rsidR="00895347" w:rsidRPr="004669DE" w:rsidRDefault="00895347">
            <w:pPr>
              <w:pStyle w:val="Tabele"/>
              <w:jc w:val="right"/>
            </w:pPr>
            <w:r>
              <w:rPr>
                <w:rFonts w:cs="Arial"/>
                <w:b/>
                <w:bCs/>
                <w:color w:val="000000"/>
                <w:szCs w:val="16"/>
              </w:rPr>
              <w:t>3,75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5D637B0" w14:textId="77777777" w:rsidR="00895347" w:rsidRPr="004669DE" w:rsidRDefault="00895347">
            <w:pPr>
              <w:pStyle w:val="Tabele"/>
              <w:jc w:val="right"/>
            </w:pPr>
            <w:r>
              <w:rPr>
                <w:rFonts w:cs="Arial"/>
                <w:b/>
                <w:bCs/>
                <w:color w:val="000000"/>
                <w:szCs w:val="16"/>
              </w:rPr>
              <w:t>3,97</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62307E5" w14:textId="77777777" w:rsidR="00895347" w:rsidRPr="004669DE" w:rsidRDefault="00895347">
            <w:pPr>
              <w:pStyle w:val="Tabele"/>
              <w:jc w:val="right"/>
            </w:pPr>
            <w:r>
              <w:rPr>
                <w:rFonts w:cs="Arial"/>
                <w:b/>
                <w:bCs/>
                <w:color w:val="000000"/>
                <w:szCs w:val="16"/>
              </w:rPr>
              <w:t>4,21</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8F2B56F" w14:textId="77777777" w:rsidR="00895347" w:rsidRPr="004669DE" w:rsidRDefault="00895347">
            <w:pPr>
              <w:pStyle w:val="Tabele"/>
              <w:jc w:val="right"/>
            </w:pPr>
            <w:r>
              <w:rPr>
                <w:rFonts w:cs="Arial"/>
                <w:b/>
                <w:bCs/>
                <w:color w:val="000000"/>
                <w:szCs w:val="16"/>
              </w:rPr>
              <w:t>4,52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27239D" w14:textId="77777777" w:rsidR="00895347" w:rsidRPr="000F1B12" w:rsidRDefault="00895347">
            <w:pPr>
              <w:pStyle w:val="Tabele"/>
              <w:jc w:val="right"/>
              <w:rPr>
                <w:highlight w:val="yellow"/>
              </w:rPr>
            </w:pPr>
            <w:r>
              <w:rPr>
                <w:rFonts w:cs="Arial"/>
                <w:b/>
                <w:bCs/>
                <w:color w:val="000000"/>
                <w:szCs w:val="16"/>
              </w:rPr>
              <w:t>4,43</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8E1208" w14:textId="77777777" w:rsidR="00895347" w:rsidRPr="000F1B12" w:rsidRDefault="00895347">
            <w:pPr>
              <w:pStyle w:val="Tabele"/>
              <w:jc w:val="right"/>
              <w:rPr>
                <w:highlight w:val="yellow"/>
              </w:rPr>
            </w:pPr>
            <w:r>
              <w:rPr>
                <w:rFonts w:cs="Arial"/>
                <w:b/>
                <w:bCs/>
                <w:color w:val="000000"/>
                <w:szCs w:val="16"/>
              </w:rPr>
              <w:t>4,32</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568822" w14:textId="77777777" w:rsidR="00895347" w:rsidRPr="000F1B12" w:rsidRDefault="00895347">
            <w:pPr>
              <w:pStyle w:val="Tabele"/>
              <w:jc w:val="right"/>
              <w:rPr>
                <w:highlight w:val="yellow"/>
              </w:rPr>
            </w:pPr>
            <w:r>
              <w:rPr>
                <w:rFonts w:cs="Arial"/>
                <w:b/>
                <w:bCs/>
                <w:color w:val="000000"/>
                <w:szCs w:val="16"/>
              </w:rPr>
              <w:t>4,31</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5B16846" w14:textId="77777777" w:rsidR="00895347" w:rsidRPr="000F1B12" w:rsidRDefault="00895347">
            <w:pPr>
              <w:pStyle w:val="Tabele"/>
              <w:jc w:val="right"/>
              <w:rPr>
                <w:highlight w:val="yellow"/>
              </w:rPr>
            </w:pPr>
            <w:r>
              <w:rPr>
                <w:rFonts w:cs="Arial"/>
                <w:b/>
                <w:bCs/>
                <w:color w:val="000000"/>
                <w:szCs w:val="16"/>
              </w:rPr>
              <w:t>4,26</w:t>
            </w:r>
          </w:p>
        </w:tc>
      </w:tr>
      <w:tr w:rsidR="00895347" w:rsidRPr="004669DE" w14:paraId="5B420172"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2B3A4DB" w14:textId="77777777" w:rsidR="00895347" w:rsidRPr="00EB3B96" w:rsidRDefault="00895347">
            <w:pPr>
              <w:pStyle w:val="Tabele"/>
              <w:rPr>
                <w:bCs/>
              </w:rPr>
            </w:pPr>
            <w:r>
              <w:rPr>
                <w:rFonts w:cs="Calibri"/>
                <w:color w:val="000000"/>
                <w:szCs w:val="16"/>
              </w:rPr>
              <w:t xml:space="preserve">A. Składowanie odpadów stałych </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0C83330" w14:textId="77777777" w:rsidR="00895347" w:rsidRPr="004669DE" w:rsidRDefault="00895347">
            <w:pPr>
              <w:pStyle w:val="Tabele"/>
              <w:jc w:val="right"/>
            </w:pPr>
            <w:r>
              <w:rPr>
                <w:rFonts w:cs="Arial"/>
                <w:color w:val="000000"/>
                <w:szCs w:val="16"/>
              </w:rPr>
              <w:t>0,00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B6072CF" w14:textId="77777777" w:rsidR="00895347" w:rsidRPr="004669DE" w:rsidRDefault="00895347">
            <w:pPr>
              <w:pStyle w:val="Tabele"/>
              <w:jc w:val="right"/>
            </w:pPr>
            <w:r>
              <w:rPr>
                <w:rFonts w:cs="Arial"/>
                <w:color w:val="000000"/>
                <w:szCs w:val="16"/>
              </w:rPr>
              <w:t>0,00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E2135C8" w14:textId="77777777" w:rsidR="00895347" w:rsidRPr="004669DE" w:rsidRDefault="00895347">
            <w:pPr>
              <w:pStyle w:val="Tabele"/>
              <w:jc w:val="right"/>
            </w:pPr>
            <w:r>
              <w:rPr>
                <w:rFonts w:cs="Arial"/>
                <w:color w:val="000000"/>
                <w:szCs w:val="16"/>
              </w:rPr>
              <w:t>0,00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3B19230B" w14:textId="77777777" w:rsidR="00895347" w:rsidRPr="004669DE" w:rsidRDefault="00895347">
            <w:pPr>
              <w:pStyle w:val="Tabele"/>
              <w:jc w:val="right"/>
            </w:pPr>
            <w:r>
              <w:rPr>
                <w:rFonts w:cs="Arial"/>
                <w:color w:val="000000"/>
                <w:szCs w:val="16"/>
              </w:rPr>
              <w:t>0,00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E623603" w14:textId="77777777" w:rsidR="00895347" w:rsidRPr="000F1B12" w:rsidRDefault="00895347">
            <w:pPr>
              <w:pStyle w:val="Tabele"/>
              <w:jc w:val="right"/>
              <w:rPr>
                <w:highlight w:val="yellow"/>
              </w:rPr>
            </w:pPr>
            <w:r>
              <w:rPr>
                <w:rFonts w:cs="Arial"/>
                <w:color w:val="000000"/>
                <w:szCs w:val="16"/>
              </w:rPr>
              <w:t>0,00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BEE2D7" w14:textId="77777777" w:rsidR="00895347" w:rsidRPr="000F1B12" w:rsidRDefault="00895347">
            <w:pPr>
              <w:pStyle w:val="Tabele"/>
              <w:jc w:val="right"/>
              <w:rPr>
                <w:highlight w:val="yellow"/>
              </w:rPr>
            </w:pPr>
            <w:r>
              <w:rPr>
                <w:rFonts w:cs="Arial"/>
                <w:color w:val="000000"/>
                <w:szCs w:val="16"/>
              </w:rPr>
              <w:t>0,00</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110C1A" w14:textId="77777777" w:rsidR="00895347" w:rsidRPr="000F1B12" w:rsidRDefault="00895347">
            <w:pPr>
              <w:pStyle w:val="Tabele"/>
              <w:jc w:val="right"/>
              <w:rPr>
                <w:highlight w:val="yellow"/>
              </w:rPr>
            </w:pPr>
            <w:r>
              <w:rPr>
                <w:rFonts w:cs="Arial"/>
                <w:color w:val="000000"/>
                <w:szCs w:val="16"/>
              </w:rPr>
              <w:t>0,00</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0A0B8D" w14:textId="77777777" w:rsidR="00895347" w:rsidRPr="000F1B12" w:rsidRDefault="00895347">
            <w:pPr>
              <w:pStyle w:val="Tabele"/>
              <w:jc w:val="right"/>
              <w:rPr>
                <w:highlight w:val="yellow"/>
              </w:rPr>
            </w:pPr>
            <w:r>
              <w:rPr>
                <w:rFonts w:cs="Arial"/>
                <w:color w:val="000000"/>
                <w:szCs w:val="16"/>
              </w:rPr>
              <w:t>0,00</w:t>
            </w:r>
          </w:p>
        </w:tc>
      </w:tr>
      <w:tr w:rsidR="00895347" w:rsidRPr="004669DE" w14:paraId="0B60DF4D"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3E48CF" w14:textId="77777777" w:rsidR="00895347" w:rsidRPr="00352993" w:rsidRDefault="00895347">
            <w:pPr>
              <w:pStyle w:val="Tabele"/>
              <w:rPr>
                <w:bCs/>
                <w:highlight w:val="yellow"/>
              </w:rPr>
            </w:pPr>
            <w:r>
              <w:rPr>
                <w:rFonts w:cs="Calibri"/>
                <w:color w:val="000000"/>
                <w:szCs w:val="16"/>
              </w:rPr>
              <w:t>C. Spopielanie i otwarte spalanie odpadów</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067BF13D" w14:textId="77777777" w:rsidR="00895347" w:rsidRPr="004669DE" w:rsidRDefault="00895347">
            <w:pPr>
              <w:pStyle w:val="Tabele"/>
              <w:jc w:val="right"/>
            </w:pPr>
            <w:r>
              <w:rPr>
                <w:rFonts w:cs="Arial"/>
                <w:color w:val="000000"/>
                <w:szCs w:val="16"/>
              </w:rPr>
              <w:t>1,06</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5BE261F0" w14:textId="77777777" w:rsidR="00895347" w:rsidRPr="004669DE" w:rsidRDefault="00895347">
            <w:pPr>
              <w:pStyle w:val="Tabele"/>
              <w:jc w:val="right"/>
            </w:pPr>
            <w:r>
              <w:rPr>
                <w:rFonts w:cs="Arial"/>
                <w:color w:val="000000"/>
                <w:szCs w:val="16"/>
              </w:rPr>
              <w:t>1,17</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6D4178C" w14:textId="77777777" w:rsidR="00895347" w:rsidRPr="004669DE" w:rsidRDefault="00895347">
            <w:pPr>
              <w:pStyle w:val="Tabele"/>
              <w:jc w:val="right"/>
            </w:pPr>
            <w:r>
              <w:rPr>
                <w:rFonts w:cs="Arial"/>
                <w:color w:val="000000"/>
                <w:szCs w:val="16"/>
              </w:rPr>
              <w:t>1,31</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19803CA" w14:textId="77777777" w:rsidR="00895347" w:rsidRPr="004669DE" w:rsidRDefault="00895347">
            <w:pPr>
              <w:pStyle w:val="Tabele"/>
              <w:jc w:val="right"/>
            </w:pPr>
            <w:r>
              <w:rPr>
                <w:rFonts w:cs="Arial"/>
                <w:color w:val="000000"/>
                <w:szCs w:val="16"/>
              </w:rPr>
              <w:t>1,51</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FD6437D" w14:textId="77777777" w:rsidR="00895347" w:rsidRPr="000F1B12" w:rsidRDefault="00895347">
            <w:pPr>
              <w:pStyle w:val="Tabele"/>
              <w:jc w:val="right"/>
              <w:rPr>
                <w:highlight w:val="yellow"/>
              </w:rPr>
            </w:pPr>
            <w:r>
              <w:rPr>
                <w:rFonts w:cs="Arial"/>
                <w:color w:val="000000"/>
                <w:szCs w:val="16"/>
              </w:rPr>
              <w:t>1,58</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9E7C37C" w14:textId="77777777" w:rsidR="00895347" w:rsidRPr="000F1B12" w:rsidRDefault="00895347">
            <w:pPr>
              <w:pStyle w:val="Tabele"/>
              <w:jc w:val="right"/>
              <w:rPr>
                <w:highlight w:val="yellow"/>
              </w:rPr>
            </w:pPr>
            <w:r>
              <w:rPr>
                <w:rFonts w:cs="Arial"/>
                <w:color w:val="000000"/>
                <w:szCs w:val="16"/>
              </w:rPr>
              <w:t>1,47</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B436B46" w14:textId="77777777" w:rsidR="00895347" w:rsidRPr="000F1B12" w:rsidRDefault="00895347">
            <w:pPr>
              <w:pStyle w:val="Tabele"/>
              <w:jc w:val="right"/>
              <w:rPr>
                <w:highlight w:val="yellow"/>
              </w:rPr>
            </w:pPr>
            <w:r>
              <w:rPr>
                <w:rFonts w:cs="Arial"/>
                <w:color w:val="000000"/>
                <w:szCs w:val="16"/>
              </w:rPr>
              <w:t>1,45</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47746C0" w14:textId="77777777" w:rsidR="00895347" w:rsidRPr="000F1B12" w:rsidRDefault="00895347">
            <w:pPr>
              <w:pStyle w:val="Tabele"/>
              <w:jc w:val="right"/>
              <w:rPr>
                <w:highlight w:val="yellow"/>
              </w:rPr>
            </w:pPr>
            <w:r>
              <w:rPr>
                <w:rFonts w:cs="Arial"/>
                <w:color w:val="000000"/>
                <w:szCs w:val="16"/>
              </w:rPr>
              <w:t>1,41</w:t>
            </w:r>
          </w:p>
        </w:tc>
      </w:tr>
      <w:tr w:rsidR="00895347" w:rsidRPr="004669DE" w14:paraId="61D9A6F2"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6348FE" w14:textId="77777777" w:rsidR="00895347" w:rsidRPr="00F826ED" w:rsidRDefault="00895347">
            <w:pPr>
              <w:pStyle w:val="Tabele"/>
              <w:rPr>
                <w:b/>
                <w:bCs/>
              </w:rPr>
            </w:pPr>
            <w:r>
              <w:rPr>
                <w:rFonts w:cs="Calibri"/>
                <w:color w:val="000000"/>
                <w:szCs w:val="16"/>
              </w:rPr>
              <w:t>E. Inne</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1F3FEB4" w14:textId="77777777" w:rsidR="00895347" w:rsidRPr="004669DE" w:rsidRDefault="00895347">
            <w:pPr>
              <w:pStyle w:val="Tabele"/>
              <w:jc w:val="right"/>
            </w:pPr>
            <w:r>
              <w:rPr>
                <w:rFonts w:cs="Arial"/>
                <w:color w:val="000000"/>
                <w:szCs w:val="16"/>
              </w:rPr>
              <w:t>2,69</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87F35B3" w14:textId="77777777" w:rsidR="00895347" w:rsidRPr="004669DE" w:rsidRDefault="00895347">
            <w:pPr>
              <w:pStyle w:val="Tabele"/>
              <w:jc w:val="right"/>
            </w:pPr>
            <w:r>
              <w:rPr>
                <w:rFonts w:cs="Arial"/>
                <w:color w:val="000000"/>
                <w:szCs w:val="16"/>
              </w:rPr>
              <w:t>2,80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33C0CF5" w14:textId="77777777" w:rsidR="00895347" w:rsidRPr="004669DE" w:rsidRDefault="00895347">
            <w:pPr>
              <w:pStyle w:val="Tabele"/>
              <w:jc w:val="right"/>
            </w:pPr>
            <w:r>
              <w:rPr>
                <w:rFonts w:cs="Arial"/>
                <w:color w:val="000000"/>
                <w:szCs w:val="16"/>
              </w:rPr>
              <w:t>2,90</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61CA19A6" w14:textId="77777777" w:rsidR="00895347" w:rsidRPr="004669DE" w:rsidRDefault="00895347">
            <w:pPr>
              <w:pStyle w:val="Tabele"/>
              <w:jc w:val="right"/>
            </w:pPr>
            <w:r>
              <w:rPr>
                <w:rFonts w:cs="Arial"/>
                <w:color w:val="000000"/>
                <w:szCs w:val="16"/>
              </w:rPr>
              <w:t>3,01</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46DEE1" w14:textId="77777777" w:rsidR="00895347" w:rsidRPr="000F1B12" w:rsidRDefault="00895347">
            <w:pPr>
              <w:pStyle w:val="Tabele"/>
              <w:jc w:val="right"/>
              <w:rPr>
                <w:highlight w:val="yellow"/>
              </w:rPr>
            </w:pPr>
            <w:r>
              <w:rPr>
                <w:rFonts w:cs="Arial"/>
                <w:color w:val="000000"/>
                <w:szCs w:val="16"/>
              </w:rPr>
              <w:t>2,85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6E134F5" w14:textId="77777777" w:rsidR="00895347" w:rsidRPr="000F1B12" w:rsidRDefault="00895347">
            <w:pPr>
              <w:pStyle w:val="Tabele"/>
              <w:jc w:val="right"/>
              <w:rPr>
                <w:highlight w:val="yellow"/>
              </w:rPr>
            </w:pPr>
            <w:r>
              <w:rPr>
                <w:rFonts w:cs="Arial"/>
                <w:color w:val="000000"/>
                <w:szCs w:val="16"/>
              </w:rPr>
              <w:t>2,85</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8B95EF6" w14:textId="77777777" w:rsidR="00895347" w:rsidRPr="000F1B12" w:rsidRDefault="00895347">
            <w:pPr>
              <w:pStyle w:val="Tabele"/>
              <w:jc w:val="right"/>
              <w:rPr>
                <w:highlight w:val="yellow"/>
              </w:rPr>
            </w:pPr>
            <w:r>
              <w:rPr>
                <w:rFonts w:cs="Arial"/>
                <w:color w:val="000000"/>
                <w:szCs w:val="16"/>
              </w:rPr>
              <w:t>2,85</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A7CF9E7" w14:textId="77777777" w:rsidR="00895347" w:rsidRPr="000F1B12" w:rsidRDefault="00895347">
            <w:pPr>
              <w:pStyle w:val="Tabele"/>
              <w:jc w:val="right"/>
              <w:rPr>
                <w:highlight w:val="yellow"/>
              </w:rPr>
            </w:pPr>
            <w:r>
              <w:rPr>
                <w:rFonts w:cs="Arial"/>
                <w:color w:val="000000"/>
                <w:szCs w:val="16"/>
              </w:rPr>
              <w:t>2,85</w:t>
            </w:r>
          </w:p>
        </w:tc>
      </w:tr>
      <w:tr w:rsidR="00895347" w:rsidRPr="00713BB3" w14:paraId="7F5C3F47" w14:textId="77777777" w:rsidTr="000E00A2">
        <w:trPr>
          <w:trHeight w:val="227"/>
        </w:trPr>
        <w:tc>
          <w:tcPr>
            <w:tcW w:w="213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5E67A96" w14:textId="77777777" w:rsidR="00895347" w:rsidRPr="00713BB3" w:rsidRDefault="00895347">
            <w:pPr>
              <w:pStyle w:val="Tabele"/>
              <w:rPr>
                <w:b/>
                <w:bCs/>
              </w:rPr>
            </w:pPr>
            <w:r w:rsidRPr="00713BB3">
              <w:rPr>
                <w:rFonts w:cs="Calibri"/>
                <w:b/>
                <w:bCs/>
                <w:color w:val="000000"/>
                <w:szCs w:val="16"/>
              </w:rPr>
              <w:t>OGÓŁEM</w:t>
            </w:r>
          </w:p>
        </w:tc>
        <w:tc>
          <w:tcPr>
            <w:tcW w:w="82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5F9C32E" w14:textId="77777777" w:rsidR="00895347" w:rsidRPr="00713BB3" w:rsidRDefault="00895347">
            <w:pPr>
              <w:pStyle w:val="Tabele"/>
              <w:jc w:val="right"/>
              <w:rPr>
                <w:b/>
                <w:bCs/>
              </w:rPr>
            </w:pPr>
            <w:r>
              <w:rPr>
                <w:rFonts w:cs="Arial"/>
                <w:b/>
                <w:bCs/>
                <w:color w:val="000000"/>
                <w:szCs w:val="16"/>
              </w:rPr>
              <w:t>322,93</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79C18AC2" w14:textId="77777777" w:rsidR="00895347" w:rsidRPr="00713BB3" w:rsidRDefault="00895347">
            <w:pPr>
              <w:pStyle w:val="Tabele"/>
              <w:jc w:val="right"/>
              <w:rPr>
                <w:b/>
                <w:bCs/>
              </w:rPr>
            </w:pPr>
            <w:r>
              <w:rPr>
                <w:rFonts w:cs="Arial"/>
                <w:b/>
                <w:bCs/>
                <w:color w:val="000000"/>
                <w:szCs w:val="16"/>
              </w:rPr>
              <w:t>360,85</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10F52685" w14:textId="77777777" w:rsidR="00895347" w:rsidRPr="00713BB3" w:rsidRDefault="00895347">
            <w:pPr>
              <w:pStyle w:val="Tabele"/>
              <w:jc w:val="right"/>
              <w:rPr>
                <w:b/>
                <w:bCs/>
              </w:rPr>
            </w:pPr>
            <w:r>
              <w:rPr>
                <w:rFonts w:cs="Arial"/>
                <w:b/>
                <w:bCs/>
                <w:color w:val="000000"/>
                <w:szCs w:val="16"/>
              </w:rPr>
              <w:t>296,56</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tcPr>
          <w:p w14:paraId="27D3817A" w14:textId="77777777" w:rsidR="00895347" w:rsidRPr="00713BB3" w:rsidRDefault="00895347">
            <w:pPr>
              <w:pStyle w:val="Tabele"/>
              <w:jc w:val="right"/>
              <w:rPr>
                <w:b/>
                <w:bCs/>
              </w:rPr>
            </w:pPr>
            <w:r>
              <w:rPr>
                <w:rFonts w:cs="Arial"/>
                <w:b/>
                <w:bCs/>
                <w:color w:val="000000"/>
                <w:szCs w:val="16"/>
              </w:rPr>
              <w:t>307,37</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81AF1E5" w14:textId="77777777" w:rsidR="00895347" w:rsidRPr="000F1B12" w:rsidRDefault="00895347">
            <w:pPr>
              <w:pStyle w:val="Tabele"/>
              <w:jc w:val="right"/>
              <w:rPr>
                <w:b/>
                <w:bCs/>
                <w:highlight w:val="yellow"/>
              </w:rPr>
            </w:pPr>
            <w:r>
              <w:rPr>
                <w:rFonts w:cs="Arial"/>
                <w:b/>
                <w:bCs/>
                <w:color w:val="000000"/>
                <w:szCs w:val="16"/>
              </w:rPr>
              <w:t>190,82</w:t>
            </w:r>
          </w:p>
        </w:tc>
        <w:tc>
          <w:tcPr>
            <w:tcW w:w="82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BED075" w14:textId="77777777" w:rsidR="00895347" w:rsidRPr="000F1B12" w:rsidRDefault="00895347">
            <w:pPr>
              <w:pStyle w:val="Tabele"/>
              <w:jc w:val="right"/>
              <w:rPr>
                <w:b/>
                <w:bCs/>
                <w:highlight w:val="yellow"/>
              </w:rPr>
            </w:pPr>
            <w:r>
              <w:rPr>
                <w:rFonts w:cs="Arial"/>
                <w:b/>
                <w:bCs/>
                <w:color w:val="000000"/>
                <w:szCs w:val="16"/>
              </w:rPr>
              <w:t>108,94</w:t>
            </w:r>
          </w:p>
        </w:tc>
        <w:tc>
          <w:tcPr>
            <w:tcW w:w="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F4FF27D" w14:textId="77777777" w:rsidR="00895347" w:rsidRPr="000F1B12" w:rsidRDefault="00895347">
            <w:pPr>
              <w:pStyle w:val="Tabele"/>
              <w:jc w:val="right"/>
              <w:rPr>
                <w:b/>
                <w:bCs/>
                <w:highlight w:val="yellow"/>
              </w:rPr>
            </w:pPr>
            <w:r>
              <w:rPr>
                <w:rFonts w:cs="Arial"/>
                <w:b/>
                <w:bCs/>
                <w:color w:val="000000"/>
                <w:szCs w:val="16"/>
              </w:rPr>
              <w:t>37,31</w:t>
            </w:r>
          </w:p>
        </w:tc>
        <w:tc>
          <w:tcPr>
            <w:tcW w:w="10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16AB62" w14:textId="77777777" w:rsidR="00895347" w:rsidRPr="000F1B12" w:rsidRDefault="00895347">
            <w:pPr>
              <w:pStyle w:val="Tabele"/>
              <w:jc w:val="right"/>
              <w:rPr>
                <w:b/>
                <w:bCs/>
                <w:highlight w:val="yellow"/>
              </w:rPr>
            </w:pPr>
            <w:r>
              <w:rPr>
                <w:rFonts w:cs="Arial"/>
                <w:b/>
                <w:bCs/>
                <w:color w:val="000000"/>
                <w:szCs w:val="16"/>
              </w:rPr>
              <w:t>33,67</w:t>
            </w:r>
          </w:p>
        </w:tc>
      </w:tr>
    </w:tbl>
    <w:p w14:paraId="37D7818D" w14:textId="30AC0216" w:rsidR="005C4144" w:rsidRPr="00BB1158" w:rsidRDefault="005C4144" w:rsidP="00895347">
      <w:pPr>
        <w:pStyle w:val="Legenda"/>
      </w:pPr>
      <w:r w:rsidRPr="00BB1158">
        <w:t>Źródło: Opracowanie własne KOBIZE, IOŚ-PIB</w:t>
      </w:r>
    </w:p>
    <w:p w14:paraId="6458F879" w14:textId="7F5445EF" w:rsidR="00FE7D73" w:rsidRDefault="00EF3B7B" w:rsidP="00FE7D73">
      <w:r w:rsidRPr="002C451B">
        <w:t>Zgodnie</w:t>
      </w:r>
      <w:r>
        <w:t xml:space="preserve"> z </w:t>
      </w:r>
      <w:r w:rsidRPr="002C451B">
        <w:t>dyrektywą NEC</w:t>
      </w:r>
      <w:r>
        <w:t xml:space="preserve"> w </w:t>
      </w:r>
      <w:r w:rsidRPr="002C451B">
        <w:t>latach 2020-2029 Polska powinna zredukować emisję pyłu PM2,5</w:t>
      </w:r>
      <w:r>
        <w:t xml:space="preserve"> o </w:t>
      </w:r>
      <w:r w:rsidRPr="002C451B">
        <w:t xml:space="preserve">minimum 16%, zaś od </w:t>
      </w:r>
      <w:r w:rsidR="00F128CB">
        <w:t>2030 r.</w:t>
      </w:r>
      <w:r w:rsidRPr="002C451B">
        <w:t xml:space="preserve"> –</w:t>
      </w:r>
      <w:r>
        <w:t xml:space="preserve"> o </w:t>
      </w:r>
      <w:r w:rsidRPr="002C451B">
        <w:t>minimum 58%</w:t>
      </w:r>
      <w:r>
        <w:t xml:space="preserve"> w </w:t>
      </w:r>
      <w:r w:rsidRPr="002C451B">
        <w:t>stosunku do roku 2005. Redukcja tego zanieczyszczenia</w:t>
      </w:r>
      <w:r>
        <w:t xml:space="preserve"> w </w:t>
      </w:r>
      <w:r w:rsidRPr="002C451B">
        <w:t>odniesieniu do 200</w:t>
      </w:r>
      <w:r w:rsidR="00BE2ED8">
        <w:t>5 r.</w:t>
      </w:r>
      <w:r w:rsidRPr="002C451B">
        <w:t xml:space="preserve"> nie osiągnęła</w:t>
      </w:r>
      <w:r>
        <w:t xml:space="preserve"> w </w:t>
      </w:r>
      <w:r w:rsidRPr="002C451B">
        <w:t>latach 2020-2021 wymaganego poziomu</w:t>
      </w:r>
      <w:r>
        <w:t xml:space="preserve"> i </w:t>
      </w:r>
      <w:r w:rsidRPr="002C451B">
        <w:t>wyniosła</w:t>
      </w:r>
      <w:r>
        <w:t xml:space="preserve"> w </w:t>
      </w:r>
      <w:r w:rsidRPr="002C451B">
        <w:t>202</w:t>
      </w:r>
      <w:r w:rsidR="00BE2ED8">
        <w:t>0 r.</w:t>
      </w:r>
      <w:r w:rsidRPr="002C451B">
        <w:t xml:space="preserve"> 4,8%,</w:t>
      </w:r>
      <w:r>
        <w:t xml:space="preserve"> a w </w:t>
      </w:r>
      <w:r w:rsidRPr="002C451B">
        <w:t>2021 r</w:t>
      </w:r>
      <w:r w:rsidR="000558A4">
        <w:t>.</w:t>
      </w:r>
      <w:r w:rsidRPr="002C451B">
        <w:t xml:space="preserve"> </w:t>
      </w:r>
      <w:r w:rsidRPr="009C29E8">
        <w:t xml:space="preserve">7,7%. </w:t>
      </w:r>
      <w:r w:rsidRPr="00E00F61">
        <w:t>Dopiero w 2022</w:t>
      </w:r>
      <w:r w:rsidR="000558A4">
        <w:t xml:space="preserve"> r.</w:t>
      </w:r>
      <w:r w:rsidRPr="00E00F61">
        <w:t xml:space="preserve"> limit ten został spełniony i wynosił 18,8%.</w:t>
      </w:r>
      <w:r>
        <w:t xml:space="preserve"> </w:t>
      </w:r>
      <w:r w:rsidRPr="009C29E8">
        <w:t xml:space="preserve">W latach prognozy redukcja emisji PM2,5 w scenariuszu WAM znacznie rośnie i osiąga wartości </w:t>
      </w:r>
      <w:r>
        <w:t>40,9</w:t>
      </w:r>
      <w:r w:rsidRPr="00E12C03">
        <w:t>% w 202</w:t>
      </w:r>
      <w:r w:rsidR="00BE2ED8">
        <w:t>5 r.</w:t>
      </w:r>
      <w:r w:rsidRPr="00E12C03">
        <w:t xml:space="preserve">, </w:t>
      </w:r>
      <w:r>
        <w:t>66,3</w:t>
      </w:r>
      <w:r w:rsidRPr="00E12C03">
        <w:t>% w</w:t>
      </w:r>
      <w:r w:rsidR="000558A4">
        <w:t xml:space="preserve"> </w:t>
      </w:r>
      <w:r w:rsidRPr="00E12C03">
        <w:t>2030 r. i </w:t>
      </w:r>
      <w:r w:rsidR="00D37E79" w:rsidRPr="00D37E79">
        <w:t>89,6</w:t>
      </w:r>
      <w:r w:rsidRPr="00D37E79">
        <w:t>% w</w:t>
      </w:r>
      <w:r w:rsidR="000558A4">
        <w:t xml:space="preserve"> </w:t>
      </w:r>
      <w:r w:rsidR="00F128CB">
        <w:t>2040 r.</w:t>
      </w:r>
      <w:r w:rsidRPr="009C29E8">
        <w:t xml:space="preserve"> </w:t>
      </w:r>
      <w:r w:rsidR="005C4144" w:rsidRPr="009C29E8">
        <w:t>(</w:t>
      </w:r>
      <w:r w:rsidR="002D7D49">
        <w:fldChar w:fldCharType="begin"/>
      </w:r>
      <w:r w:rsidR="002D7D49">
        <w:instrText xml:space="preserve"> REF _Ref195869923 \h </w:instrText>
      </w:r>
      <w:r w:rsidR="002D7D49">
        <w:fldChar w:fldCharType="separate"/>
      </w:r>
      <w:r w:rsidR="00F27D6F">
        <w:t xml:space="preserve">Tabela </w:t>
      </w:r>
      <w:r w:rsidR="00F27D6F">
        <w:rPr>
          <w:noProof/>
        </w:rPr>
        <w:t>1</w:t>
      </w:r>
      <w:r w:rsidR="00F27D6F">
        <w:t>.</w:t>
      </w:r>
      <w:r w:rsidR="00F27D6F">
        <w:rPr>
          <w:noProof/>
        </w:rPr>
        <w:t>13</w:t>
      </w:r>
      <w:r w:rsidR="002D7D49">
        <w:fldChar w:fldCharType="end"/>
      </w:r>
      <w:r w:rsidR="005C4144" w:rsidRPr="009C29E8">
        <w:t xml:space="preserve">), </w:t>
      </w:r>
      <w:r w:rsidR="00FE7D73" w:rsidRPr="009C29E8">
        <w:t>zatem cele redukcyjne dla tego zanieczyszczenia NEC są spełnione we wszystkich latach prognozy.</w:t>
      </w:r>
    </w:p>
    <w:p w14:paraId="44412BFF" w14:textId="646E2970" w:rsidR="00FE7D73" w:rsidRDefault="00FE7D73" w:rsidP="00FE7D73">
      <w:r w:rsidRPr="00C521C2">
        <w:t>Głównym źródłem emisji PM2</w:t>
      </w:r>
      <w:r>
        <w:t>,5</w:t>
      </w:r>
      <w:r w:rsidRPr="00C521C2">
        <w:t xml:space="preserve"> jest spalanie paliw</w:t>
      </w:r>
      <w:r>
        <w:t xml:space="preserve"> w </w:t>
      </w:r>
      <w:r w:rsidRPr="00C521C2">
        <w:t>małych źródłach (</w:t>
      </w:r>
      <w:r w:rsidR="00CC6BDE">
        <w:t xml:space="preserve">kategoria </w:t>
      </w:r>
      <w:r w:rsidRPr="00C521C2">
        <w:t>1A4),</w:t>
      </w:r>
      <w:r>
        <w:t xml:space="preserve"> z </w:t>
      </w:r>
      <w:r w:rsidRPr="00C521C2">
        <w:t>której</w:t>
      </w:r>
      <w:r>
        <w:t xml:space="preserve"> w </w:t>
      </w:r>
      <w:r w:rsidRPr="00C521C2">
        <w:t>202</w:t>
      </w:r>
      <w:r w:rsidR="00BE2ED8">
        <w:t>0 r.</w:t>
      </w:r>
      <w:r w:rsidRPr="00C521C2">
        <w:t xml:space="preserve"> pochodziło 86% emisji krajowej.</w:t>
      </w:r>
      <w:r>
        <w:t xml:space="preserve"> W scenariuszu WAM przewiduje się zmniejszenie emisji PM2,5 w tej kategorii aż o </w:t>
      </w:r>
      <w:r w:rsidR="00513B91" w:rsidRPr="00513B91">
        <w:t>98</w:t>
      </w:r>
      <w:r w:rsidRPr="00513B91">
        <w:t xml:space="preserve">% w </w:t>
      </w:r>
      <w:r w:rsidR="00F128CB">
        <w:t>2040 r.</w:t>
      </w:r>
      <w:r>
        <w:t xml:space="preserve"> w stosunku do 2020 </w:t>
      </w:r>
      <w:r w:rsidR="00BE2ED8">
        <w:t>r.</w:t>
      </w:r>
      <w:r>
        <w:t xml:space="preserve"> </w:t>
      </w:r>
      <w:r w:rsidRPr="00E12C03">
        <w:t xml:space="preserve">Powodem spadku emisji w latach prognozy jest spadek zużycia paliw w tej kategorii oraz wspomniana wyżej zmiana struktury małych urządzeń grzewczych w kierunku </w:t>
      </w:r>
      <w:r w:rsidR="00034DCF">
        <w:t>elektryfikacji ogrzewnictwa</w:t>
      </w:r>
      <w:r w:rsidR="002343B7">
        <w:t>,</w:t>
      </w:r>
      <w:r w:rsidR="009A4D5C">
        <w:t xml:space="preserve"> </w:t>
      </w:r>
      <w:r w:rsidR="00B8106C">
        <w:t xml:space="preserve">w szczególności </w:t>
      </w:r>
      <w:r w:rsidR="009A4D5C">
        <w:t>stosowania pomp ciepła</w:t>
      </w:r>
      <w:r w:rsidRPr="00AC6992">
        <w:t>.</w:t>
      </w:r>
    </w:p>
    <w:p w14:paraId="4BFC0C27" w14:textId="17138B63" w:rsidR="00EE57A0" w:rsidRDefault="005C4144" w:rsidP="00EE57A0">
      <w:pPr>
        <w:pStyle w:val="Legenda"/>
        <w:keepNext/>
      </w:pPr>
      <w:bookmarkStart w:id="97" w:name="_Ref195773799"/>
      <w:bookmarkStart w:id="98" w:name="_Ref195869923"/>
      <w:bookmarkStart w:id="99" w:name="_Toc202966958"/>
      <w:bookmarkStart w:id="100" w:name="_Ref158206772"/>
      <w:bookmarkStart w:id="101" w:name="_Toc167442091"/>
      <w:bookmarkStart w:id="102" w:name="_Toc171587172"/>
      <w:bookmarkStart w:id="103" w:name="_Toc174710956"/>
      <w:r>
        <w:t xml:space="preserve">Tabela </w:t>
      </w:r>
      <w:bookmarkEnd w:id="97"/>
      <w:r w:rsidR="006C7D6C">
        <w:fldChar w:fldCharType="begin"/>
      </w:r>
      <w:r w:rsidR="006C7D6C">
        <w:instrText xml:space="preserve"> STYLEREF 1 \s </w:instrText>
      </w:r>
      <w:r w:rsidR="006C7D6C">
        <w:fldChar w:fldCharType="separate"/>
      </w:r>
      <w:r w:rsidR="00F27D6F">
        <w:rPr>
          <w:noProof/>
        </w:rPr>
        <w:t>1</w:t>
      </w:r>
      <w:r w:rsidR="006C7D6C">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13</w:t>
      </w:r>
      <w:r w:rsidR="00653D9A">
        <w:rPr>
          <w:noProof/>
        </w:rPr>
        <w:fldChar w:fldCharType="end"/>
      </w:r>
      <w:bookmarkEnd w:id="98"/>
      <w:r>
        <w:t xml:space="preserve">. </w:t>
      </w:r>
      <w:r w:rsidR="00EE57A0" w:rsidRPr="005649FD">
        <w:t>Prognozowana redukcja emisji zanieczyszczeń powietrza w latach 2025-20</w:t>
      </w:r>
      <w:r w:rsidR="00D451CE">
        <w:t>4</w:t>
      </w:r>
      <w:r w:rsidR="00EE57A0" w:rsidRPr="005649FD">
        <w:t>0 w stosunku do celów określonych w dyrektywie NEC</w:t>
      </w:r>
      <w:r w:rsidR="00EE57A0">
        <w:t>, dla scenariusza WAM</w:t>
      </w:r>
      <w:bookmarkEnd w:id="99"/>
    </w:p>
    <w:tbl>
      <w:tblPr>
        <w:tblStyle w:val="KPEiK"/>
        <w:tblW w:w="5000" w:type="pct"/>
        <w:tblLook w:val="04A0" w:firstRow="1" w:lastRow="0" w:firstColumn="1" w:lastColumn="0" w:noHBand="0" w:noVBand="1"/>
      </w:tblPr>
      <w:tblGrid>
        <w:gridCol w:w="1904"/>
        <w:gridCol w:w="1159"/>
        <w:gridCol w:w="1083"/>
        <w:gridCol w:w="1150"/>
        <w:gridCol w:w="943"/>
        <w:gridCol w:w="941"/>
        <w:gridCol w:w="941"/>
        <w:gridCol w:w="941"/>
      </w:tblGrid>
      <w:tr w:rsidR="00EE57A0" w:rsidRPr="00B1338F" w14:paraId="6100E1D4" w14:textId="77777777" w:rsidTr="009D6528">
        <w:trPr>
          <w:cnfStyle w:val="100000000000" w:firstRow="1" w:lastRow="0" w:firstColumn="0" w:lastColumn="0" w:oddVBand="0" w:evenVBand="0" w:oddHBand="0" w:evenHBand="0" w:firstRowFirstColumn="0" w:firstRowLastColumn="0" w:lastRowFirstColumn="0" w:lastRowLastColumn="0"/>
          <w:trHeight w:val="228"/>
          <w:tblHeader/>
        </w:trPr>
        <w:tc>
          <w:tcPr>
            <w:tcW w:w="1930" w:type="dxa"/>
            <w:vMerge w:val="restart"/>
            <w:hideMark/>
          </w:tcPr>
          <w:p w14:paraId="1F6B1128" w14:textId="77777777" w:rsidR="00EE57A0" w:rsidRPr="009255C4" w:rsidRDefault="00EE57A0">
            <w:pPr>
              <w:pStyle w:val="Tabele"/>
              <w:jc w:val="center"/>
              <w:rPr>
                <w:b w:val="0"/>
                <w:lang w:eastAsia="en-GB"/>
              </w:rPr>
            </w:pPr>
            <w:r w:rsidRPr="00B1338F">
              <w:rPr>
                <w:lang w:eastAsia="en-GB"/>
              </w:rPr>
              <w:t>Zanieczyszczenie</w:t>
            </w:r>
          </w:p>
        </w:tc>
        <w:tc>
          <w:tcPr>
            <w:tcW w:w="2271" w:type="dxa"/>
            <w:gridSpan w:val="2"/>
            <w:hideMark/>
          </w:tcPr>
          <w:p w14:paraId="697DEEF7" w14:textId="77777777" w:rsidR="00EE57A0" w:rsidRDefault="00EE57A0">
            <w:pPr>
              <w:pStyle w:val="Tabele"/>
              <w:jc w:val="center"/>
              <w:rPr>
                <w:b w:val="0"/>
                <w:lang w:eastAsia="en-GB"/>
              </w:rPr>
            </w:pPr>
            <w:r w:rsidRPr="00B1338F">
              <w:rPr>
                <w:lang w:eastAsia="en-GB"/>
              </w:rPr>
              <w:t>Cele NECD</w:t>
            </w:r>
          </w:p>
          <w:p w14:paraId="1F4565DB" w14:textId="77777777" w:rsidR="00EE57A0" w:rsidRPr="00B1338F" w:rsidRDefault="00EE57A0">
            <w:pPr>
              <w:pStyle w:val="Tabele"/>
              <w:jc w:val="center"/>
              <w:rPr>
                <w:lang w:eastAsia="en-GB"/>
              </w:rPr>
            </w:pPr>
            <w:r w:rsidRPr="00B1338F">
              <w:rPr>
                <w:lang w:eastAsia="en-GB"/>
              </w:rPr>
              <w:t>min. wymagana redukcja w stosunku do emisji z 2005</w:t>
            </w:r>
          </w:p>
        </w:tc>
        <w:tc>
          <w:tcPr>
            <w:tcW w:w="4977" w:type="dxa"/>
            <w:gridSpan w:val="5"/>
            <w:hideMark/>
          </w:tcPr>
          <w:p w14:paraId="6EA3BE0D" w14:textId="777C499A" w:rsidR="009D6528" w:rsidRDefault="009D6528">
            <w:pPr>
              <w:pStyle w:val="Tabele"/>
              <w:jc w:val="center"/>
              <w:rPr>
                <w:lang w:eastAsia="en-GB"/>
              </w:rPr>
            </w:pPr>
            <w:r>
              <w:rPr>
                <w:lang w:eastAsia="en-GB"/>
              </w:rPr>
              <w:t>Emisje WA</w:t>
            </w:r>
            <w:r w:rsidRPr="00B1338F">
              <w:rPr>
                <w:lang w:eastAsia="en-GB"/>
              </w:rPr>
              <w:t>M</w:t>
            </w:r>
          </w:p>
        </w:tc>
      </w:tr>
      <w:tr w:rsidR="001734F0" w:rsidRPr="009255C4" w14:paraId="151BFFB7" w14:textId="77777777" w:rsidTr="009D6528">
        <w:trPr>
          <w:cnfStyle w:val="100000000000" w:firstRow="1" w:lastRow="0" w:firstColumn="0" w:lastColumn="0" w:oddVBand="0" w:evenVBand="0" w:oddHBand="0" w:evenHBand="0" w:firstRowFirstColumn="0" w:firstRowLastColumn="0" w:lastRowFirstColumn="0" w:lastRowLastColumn="0"/>
          <w:trHeight w:val="228"/>
          <w:tblHeader/>
        </w:trPr>
        <w:tc>
          <w:tcPr>
            <w:tcW w:w="1930" w:type="dxa"/>
            <w:vMerge/>
            <w:noWrap/>
            <w:hideMark/>
          </w:tcPr>
          <w:p w14:paraId="79E45EEC" w14:textId="77777777" w:rsidR="00EE57A0" w:rsidRPr="009255C4" w:rsidRDefault="00EE57A0">
            <w:pPr>
              <w:pStyle w:val="Tabele"/>
              <w:rPr>
                <w:b w:val="0"/>
                <w:bCs/>
                <w:lang w:eastAsia="en-GB"/>
              </w:rPr>
            </w:pPr>
          </w:p>
        </w:tc>
        <w:tc>
          <w:tcPr>
            <w:tcW w:w="1175" w:type="dxa"/>
            <w:noWrap/>
            <w:hideMark/>
          </w:tcPr>
          <w:p w14:paraId="491A8CEE" w14:textId="77777777" w:rsidR="00EE57A0" w:rsidRPr="009255C4" w:rsidRDefault="00EE57A0">
            <w:pPr>
              <w:pStyle w:val="Tabele"/>
              <w:jc w:val="center"/>
              <w:rPr>
                <w:lang w:eastAsia="en-GB"/>
              </w:rPr>
            </w:pPr>
            <w:r w:rsidRPr="009255C4">
              <w:rPr>
                <w:lang w:eastAsia="en-GB"/>
              </w:rPr>
              <w:t>2020-2029</w:t>
            </w:r>
          </w:p>
        </w:tc>
        <w:tc>
          <w:tcPr>
            <w:tcW w:w="1096" w:type="dxa"/>
            <w:noWrap/>
            <w:hideMark/>
          </w:tcPr>
          <w:p w14:paraId="1A9D506B" w14:textId="77777777" w:rsidR="00EE57A0" w:rsidRPr="009255C4" w:rsidRDefault="00EE57A0">
            <w:pPr>
              <w:pStyle w:val="Tabele"/>
              <w:jc w:val="center"/>
              <w:rPr>
                <w:lang w:eastAsia="en-GB"/>
              </w:rPr>
            </w:pPr>
            <w:r w:rsidRPr="009255C4">
              <w:rPr>
                <w:lang w:eastAsia="en-GB"/>
              </w:rPr>
              <w:t>od 2030</w:t>
            </w:r>
          </w:p>
        </w:tc>
        <w:tc>
          <w:tcPr>
            <w:tcW w:w="1164" w:type="dxa"/>
            <w:tcBorders>
              <w:bottom w:val="single" w:sz="4" w:space="0" w:color="AEAAAA" w:themeColor="background2" w:themeShade="BF"/>
            </w:tcBorders>
            <w:noWrap/>
            <w:hideMark/>
          </w:tcPr>
          <w:p w14:paraId="2022D710" w14:textId="77777777" w:rsidR="00EE57A0" w:rsidRPr="009255C4" w:rsidRDefault="00EE57A0">
            <w:pPr>
              <w:pStyle w:val="Tabele"/>
              <w:jc w:val="center"/>
              <w:rPr>
                <w:lang w:eastAsia="en-GB"/>
              </w:rPr>
            </w:pPr>
            <w:r w:rsidRPr="009255C4">
              <w:rPr>
                <w:lang w:eastAsia="en-GB"/>
              </w:rPr>
              <w:t>2020</w:t>
            </w:r>
          </w:p>
        </w:tc>
        <w:tc>
          <w:tcPr>
            <w:tcW w:w="954" w:type="dxa"/>
            <w:tcBorders>
              <w:bottom w:val="single" w:sz="4" w:space="0" w:color="AEAAAA" w:themeColor="background2" w:themeShade="BF"/>
            </w:tcBorders>
            <w:noWrap/>
            <w:hideMark/>
          </w:tcPr>
          <w:p w14:paraId="73A15182" w14:textId="77777777" w:rsidR="00EE57A0" w:rsidRPr="009255C4" w:rsidRDefault="00EE57A0">
            <w:pPr>
              <w:pStyle w:val="Tabele"/>
              <w:jc w:val="center"/>
              <w:rPr>
                <w:lang w:eastAsia="en-GB"/>
              </w:rPr>
            </w:pPr>
            <w:r w:rsidRPr="009255C4">
              <w:rPr>
                <w:lang w:eastAsia="en-GB"/>
              </w:rPr>
              <w:t>2025</w:t>
            </w:r>
          </w:p>
        </w:tc>
        <w:tc>
          <w:tcPr>
            <w:tcW w:w="952" w:type="dxa"/>
            <w:tcBorders>
              <w:bottom w:val="single" w:sz="4" w:space="0" w:color="AEAAAA" w:themeColor="background2" w:themeShade="BF"/>
            </w:tcBorders>
            <w:noWrap/>
            <w:hideMark/>
          </w:tcPr>
          <w:p w14:paraId="0EC0DA1F" w14:textId="77777777" w:rsidR="00EE57A0" w:rsidRPr="009255C4" w:rsidRDefault="00EE57A0">
            <w:pPr>
              <w:pStyle w:val="Tabele"/>
              <w:jc w:val="center"/>
              <w:rPr>
                <w:lang w:eastAsia="en-GB"/>
              </w:rPr>
            </w:pPr>
            <w:r w:rsidRPr="009255C4">
              <w:rPr>
                <w:lang w:eastAsia="en-GB"/>
              </w:rPr>
              <w:t>2030</w:t>
            </w:r>
          </w:p>
        </w:tc>
        <w:tc>
          <w:tcPr>
            <w:tcW w:w="952" w:type="dxa"/>
            <w:tcBorders>
              <w:bottom w:val="single" w:sz="4" w:space="0" w:color="AEAAAA" w:themeColor="background2" w:themeShade="BF"/>
            </w:tcBorders>
            <w:noWrap/>
            <w:hideMark/>
          </w:tcPr>
          <w:p w14:paraId="177C8E56" w14:textId="77777777" w:rsidR="00EE57A0" w:rsidRPr="009255C4" w:rsidRDefault="00EE57A0">
            <w:pPr>
              <w:pStyle w:val="Tabele"/>
              <w:jc w:val="center"/>
              <w:rPr>
                <w:lang w:eastAsia="en-GB"/>
              </w:rPr>
            </w:pPr>
            <w:r w:rsidRPr="009255C4">
              <w:rPr>
                <w:lang w:eastAsia="en-GB"/>
              </w:rPr>
              <w:t>2035</w:t>
            </w:r>
          </w:p>
        </w:tc>
        <w:tc>
          <w:tcPr>
            <w:tcW w:w="952" w:type="dxa"/>
            <w:tcBorders>
              <w:bottom w:val="single" w:sz="4" w:space="0" w:color="AEAAAA" w:themeColor="background2" w:themeShade="BF"/>
            </w:tcBorders>
            <w:noWrap/>
            <w:hideMark/>
          </w:tcPr>
          <w:p w14:paraId="206D4020" w14:textId="77777777" w:rsidR="00EE57A0" w:rsidRPr="009255C4" w:rsidRDefault="00EE57A0">
            <w:pPr>
              <w:pStyle w:val="Tabele"/>
              <w:jc w:val="center"/>
              <w:rPr>
                <w:lang w:eastAsia="en-GB"/>
              </w:rPr>
            </w:pPr>
            <w:r w:rsidRPr="009255C4">
              <w:rPr>
                <w:lang w:eastAsia="en-GB"/>
              </w:rPr>
              <w:t>2040</w:t>
            </w:r>
          </w:p>
        </w:tc>
      </w:tr>
      <w:tr w:rsidR="00EE57A0" w:rsidRPr="00B1338F" w14:paraId="6813C636" w14:textId="77777777" w:rsidTr="009D6528">
        <w:trPr>
          <w:trHeight w:val="228"/>
        </w:trPr>
        <w:tc>
          <w:tcPr>
            <w:tcW w:w="1930" w:type="dxa"/>
            <w:noWrap/>
            <w:hideMark/>
          </w:tcPr>
          <w:p w14:paraId="6E2DBD8F" w14:textId="77777777" w:rsidR="00EE57A0" w:rsidRPr="00B1338F" w:rsidRDefault="00EE57A0">
            <w:pPr>
              <w:pStyle w:val="Tabele"/>
              <w:rPr>
                <w:color w:val="000000"/>
                <w:lang w:eastAsia="en-GB"/>
              </w:rPr>
            </w:pPr>
            <w:r w:rsidRPr="00B1338F">
              <w:rPr>
                <w:color w:val="000000"/>
                <w:lang w:eastAsia="en-GB"/>
              </w:rPr>
              <w:t>NO</w:t>
            </w:r>
            <w:r w:rsidRPr="009255C4">
              <w:rPr>
                <w:color w:val="000000"/>
                <w:vertAlign w:val="subscript"/>
                <w:lang w:eastAsia="en-GB"/>
              </w:rPr>
              <w:t>x</w:t>
            </w:r>
          </w:p>
        </w:tc>
        <w:tc>
          <w:tcPr>
            <w:tcW w:w="1175" w:type="dxa"/>
            <w:noWrap/>
            <w:hideMark/>
          </w:tcPr>
          <w:p w14:paraId="6BCE0BFC" w14:textId="77777777" w:rsidR="00EE57A0" w:rsidRPr="00B1338F" w:rsidRDefault="00EE57A0">
            <w:pPr>
              <w:pStyle w:val="Tabele"/>
              <w:jc w:val="right"/>
              <w:rPr>
                <w:color w:val="000000"/>
                <w:lang w:eastAsia="en-GB"/>
              </w:rPr>
            </w:pPr>
            <w:r>
              <w:rPr>
                <w:rFonts w:cs="Arial"/>
                <w:color w:val="000000"/>
                <w:szCs w:val="16"/>
              </w:rPr>
              <w:t>30%</w:t>
            </w:r>
          </w:p>
        </w:tc>
        <w:tc>
          <w:tcPr>
            <w:tcW w:w="1096" w:type="dxa"/>
            <w:tcBorders>
              <w:right w:val="single" w:sz="4" w:space="0" w:color="AEAAAA" w:themeColor="background2" w:themeShade="BF"/>
            </w:tcBorders>
            <w:noWrap/>
            <w:hideMark/>
          </w:tcPr>
          <w:p w14:paraId="5AAEB842" w14:textId="77777777" w:rsidR="00EE57A0" w:rsidRPr="00B1338F" w:rsidRDefault="00EE57A0">
            <w:pPr>
              <w:pStyle w:val="Tabele"/>
              <w:jc w:val="right"/>
              <w:rPr>
                <w:color w:val="000000"/>
                <w:lang w:eastAsia="en-GB"/>
              </w:rPr>
            </w:pPr>
            <w:r>
              <w:rPr>
                <w:rFonts w:cs="Arial"/>
                <w:color w:val="000000"/>
                <w:szCs w:val="16"/>
              </w:rPr>
              <w:t>39%</w:t>
            </w:r>
          </w:p>
        </w:tc>
        <w:tc>
          <w:tcPr>
            <w:tcW w:w="11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hideMark/>
          </w:tcPr>
          <w:p w14:paraId="7BDFA399" w14:textId="77777777" w:rsidR="00EE57A0" w:rsidRPr="001C304F" w:rsidRDefault="00EE57A0">
            <w:pPr>
              <w:pStyle w:val="Tabele"/>
              <w:jc w:val="right"/>
              <w:rPr>
                <w:color w:val="auto"/>
                <w:lang w:eastAsia="en-GB"/>
              </w:rPr>
            </w:pPr>
            <w:r w:rsidRPr="001C304F">
              <w:rPr>
                <w:rFonts w:cs="Arial"/>
                <w:color w:val="auto"/>
                <w:szCs w:val="16"/>
              </w:rPr>
              <w:t>-33,4%</w:t>
            </w:r>
          </w:p>
        </w:tc>
        <w:tc>
          <w:tcPr>
            <w:tcW w:w="9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4D942CCD" w14:textId="77777777" w:rsidR="00EE57A0" w:rsidRPr="001C304F" w:rsidRDefault="00EE57A0">
            <w:pPr>
              <w:pStyle w:val="Tabele"/>
              <w:jc w:val="right"/>
              <w:rPr>
                <w:color w:val="auto"/>
                <w:highlight w:val="yellow"/>
                <w:lang w:eastAsia="en-GB"/>
              </w:rPr>
            </w:pPr>
            <w:r w:rsidRPr="001C304F">
              <w:rPr>
                <w:rFonts w:cs="Arial"/>
                <w:color w:val="auto"/>
                <w:szCs w:val="16"/>
              </w:rPr>
              <w:t>-41,8%</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48879701" w14:textId="77777777" w:rsidR="00EE57A0" w:rsidRPr="000F1B12" w:rsidRDefault="00EE57A0">
            <w:pPr>
              <w:pStyle w:val="Tabele"/>
              <w:jc w:val="right"/>
              <w:rPr>
                <w:color w:val="000000"/>
                <w:highlight w:val="yellow"/>
                <w:lang w:eastAsia="en-GB"/>
              </w:rPr>
            </w:pPr>
            <w:r>
              <w:rPr>
                <w:rFonts w:cs="Arial"/>
                <w:color w:val="000000"/>
                <w:szCs w:val="16"/>
              </w:rPr>
              <w:t>-55,6%</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14B8D5BC" w14:textId="77777777" w:rsidR="00EE57A0" w:rsidRPr="000F1B12" w:rsidRDefault="00EE57A0">
            <w:pPr>
              <w:pStyle w:val="Tabele"/>
              <w:jc w:val="right"/>
              <w:rPr>
                <w:color w:val="000000"/>
                <w:highlight w:val="yellow"/>
                <w:lang w:eastAsia="en-GB"/>
              </w:rPr>
            </w:pPr>
            <w:r>
              <w:rPr>
                <w:rFonts w:cs="Arial"/>
                <w:color w:val="000000"/>
                <w:szCs w:val="16"/>
              </w:rPr>
              <w:t>-67,4%</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11EC5502" w14:textId="77777777" w:rsidR="00EE57A0" w:rsidRPr="000F1B12" w:rsidRDefault="00EE57A0">
            <w:pPr>
              <w:pStyle w:val="Tabele"/>
              <w:jc w:val="right"/>
              <w:rPr>
                <w:color w:val="000000"/>
                <w:highlight w:val="yellow"/>
                <w:lang w:eastAsia="en-GB"/>
              </w:rPr>
            </w:pPr>
            <w:r>
              <w:rPr>
                <w:rFonts w:cs="Arial"/>
                <w:color w:val="000000"/>
                <w:szCs w:val="16"/>
              </w:rPr>
              <w:t>-76,7%</w:t>
            </w:r>
          </w:p>
        </w:tc>
      </w:tr>
      <w:tr w:rsidR="00EE57A0" w:rsidRPr="00B1338F" w14:paraId="09852866" w14:textId="77777777" w:rsidTr="009D6528">
        <w:trPr>
          <w:trHeight w:val="228"/>
        </w:trPr>
        <w:tc>
          <w:tcPr>
            <w:tcW w:w="1930" w:type="dxa"/>
            <w:noWrap/>
            <w:hideMark/>
          </w:tcPr>
          <w:p w14:paraId="59A7FFF9" w14:textId="77777777" w:rsidR="00EE57A0" w:rsidRPr="00B1338F" w:rsidRDefault="00EE57A0">
            <w:pPr>
              <w:pStyle w:val="Tabele"/>
              <w:rPr>
                <w:color w:val="000000"/>
                <w:lang w:eastAsia="en-GB"/>
              </w:rPr>
            </w:pPr>
            <w:r w:rsidRPr="00B1338F">
              <w:rPr>
                <w:color w:val="000000"/>
                <w:lang w:eastAsia="en-GB"/>
              </w:rPr>
              <w:t>SO</w:t>
            </w:r>
            <w:r w:rsidRPr="009255C4">
              <w:rPr>
                <w:color w:val="000000"/>
                <w:vertAlign w:val="subscript"/>
                <w:lang w:eastAsia="en-GB"/>
              </w:rPr>
              <w:t>2</w:t>
            </w:r>
          </w:p>
        </w:tc>
        <w:tc>
          <w:tcPr>
            <w:tcW w:w="1175" w:type="dxa"/>
            <w:noWrap/>
            <w:hideMark/>
          </w:tcPr>
          <w:p w14:paraId="1D13E50D" w14:textId="77777777" w:rsidR="00EE57A0" w:rsidRPr="00B1338F" w:rsidRDefault="00EE57A0">
            <w:pPr>
              <w:pStyle w:val="Tabele"/>
              <w:jc w:val="right"/>
              <w:rPr>
                <w:color w:val="000000"/>
                <w:lang w:eastAsia="en-GB"/>
              </w:rPr>
            </w:pPr>
            <w:r>
              <w:rPr>
                <w:rFonts w:cs="Arial"/>
                <w:color w:val="000000"/>
                <w:szCs w:val="16"/>
              </w:rPr>
              <w:t>59%</w:t>
            </w:r>
          </w:p>
        </w:tc>
        <w:tc>
          <w:tcPr>
            <w:tcW w:w="1096" w:type="dxa"/>
            <w:tcBorders>
              <w:right w:val="single" w:sz="4" w:space="0" w:color="AEAAAA" w:themeColor="background2" w:themeShade="BF"/>
            </w:tcBorders>
            <w:noWrap/>
            <w:hideMark/>
          </w:tcPr>
          <w:p w14:paraId="1F46E54A" w14:textId="77777777" w:rsidR="00EE57A0" w:rsidRPr="00B1338F" w:rsidRDefault="00EE57A0">
            <w:pPr>
              <w:pStyle w:val="Tabele"/>
              <w:jc w:val="right"/>
              <w:rPr>
                <w:color w:val="000000"/>
                <w:lang w:eastAsia="en-GB"/>
              </w:rPr>
            </w:pPr>
            <w:r>
              <w:rPr>
                <w:rFonts w:cs="Arial"/>
                <w:color w:val="000000"/>
                <w:szCs w:val="16"/>
              </w:rPr>
              <w:t>70%</w:t>
            </w:r>
          </w:p>
        </w:tc>
        <w:tc>
          <w:tcPr>
            <w:tcW w:w="11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7DD6F8E2" w14:textId="77777777" w:rsidR="00EE57A0" w:rsidRPr="00B1338F" w:rsidRDefault="00EE57A0">
            <w:pPr>
              <w:pStyle w:val="Tabele"/>
              <w:jc w:val="right"/>
              <w:rPr>
                <w:color w:val="000000"/>
                <w:lang w:eastAsia="en-GB"/>
              </w:rPr>
            </w:pPr>
            <w:r>
              <w:rPr>
                <w:rFonts w:cs="Arial"/>
                <w:color w:val="000000"/>
                <w:szCs w:val="16"/>
              </w:rPr>
              <w:t>-67,4%</w:t>
            </w:r>
          </w:p>
        </w:tc>
        <w:tc>
          <w:tcPr>
            <w:tcW w:w="9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3B16EE5D" w14:textId="77777777" w:rsidR="00EE57A0" w:rsidRPr="000F1B12" w:rsidRDefault="00EE57A0">
            <w:pPr>
              <w:pStyle w:val="Tabele"/>
              <w:jc w:val="right"/>
              <w:rPr>
                <w:color w:val="000000"/>
                <w:highlight w:val="yellow"/>
                <w:lang w:eastAsia="en-GB"/>
              </w:rPr>
            </w:pPr>
            <w:r>
              <w:rPr>
                <w:rFonts w:cs="Arial"/>
                <w:color w:val="000000"/>
                <w:szCs w:val="16"/>
              </w:rPr>
              <w:t>-78,3%</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79C32DCA" w14:textId="77777777" w:rsidR="00EE57A0" w:rsidRPr="000F1B12" w:rsidRDefault="00EE57A0">
            <w:pPr>
              <w:pStyle w:val="Tabele"/>
              <w:jc w:val="right"/>
              <w:rPr>
                <w:color w:val="000000"/>
                <w:highlight w:val="yellow"/>
                <w:lang w:eastAsia="en-GB"/>
              </w:rPr>
            </w:pPr>
            <w:r>
              <w:rPr>
                <w:rFonts w:cs="Arial"/>
                <w:color w:val="000000"/>
                <w:szCs w:val="16"/>
              </w:rPr>
              <w:t>-87,8%</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4FC08D93" w14:textId="77777777" w:rsidR="00EE57A0" w:rsidRPr="000F1B12" w:rsidRDefault="00EE57A0">
            <w:pPr>
              <w:pStyle w:val="Tabele"/>
              <w:jc w:val="right"/>
              <w:rPr>
                <w:color w:val="000000"/>
                <w:highlight w:val="yellow"/>
                <w:lang w:eastAsia="en-GB"/>
              </w:rPr>
            </w:pPr>
            <w:r>
              <w:rPr>
                <w:rFonts w:cs="Arial"/>
                <w:color w:val="000000"/>
                <w:szCs w:val="16"/>
              </w:rPr>
              <w:t>-93,8%</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29042F86" w14:textId="77777777" w:rsidR="00EE57A0" w:rsidRPr="000F1B12" w:rsidRDefault="00EE57A0">
            <w:pPr>
              <w:pStyle w:val="Tabele"/>
              <w:jc w:val="right"/>
              <w:rPr>
                <w:color w:val="000000"/>
                <w:highlight w:val="yellow"/>
                <w:lang w:eastAsia="en-GB"/>
              </w:rPr>
            </w:pPr>
            <w:r>
              <w:rPr>
                <w:rFonts w:cs="Arial"/>
                <w:color w:val="000000"/>
                <w:szCs w:val="16"/>
              </w:rPr>
              <w:t>-96,4%</w:t>
            </w:r>
          </w:p>
        </w:tc>
      </w:tr>
      <w:tr w:rsidR="00EE57A0" w:rsidRPr="00B1338F" w14:paraId="0E10C043" w14:textId="77777777" w:rsidTr="009D6528">
        <w:trPr>
          <w:trHeight w:val="228"/>
        </w:trPr>
        <w:tc>
          <w:tcPr>
            <w:tcW w:w="1930" w:type="dxa"/>
            <w:noWrap/>
            <w:hideMark/>
          </w:tcPr>
          <w:p w14:paraId="546B9A1C" w14:textId="77777777" w:rsidR="00EE57A0" w:rsidRPr="00B1338F" w:rsidRDefault="00EE57A0">
            <w:pPr>
              <w:pStyle w:val="Tabele"/>
              <w:rPr>
                <w:color w:val="000000"/>
                <w:lang w:eastAsia="en-GB"/>
              </w:rPr>
            </w:pPr>
            <w:r w:rsidRPr="00B1338F">
              <w:rPr>
                <w:color w:val="000000"/>
                <w:lang w:eastAsia="en-GB"/>
              </w:rPr>
              <w:t>NMLZO</w:t>
            </w:r>
          </w:p>
        </w:tc>
        <w:tc>
          <w:tcPr>
            <w:tcW w:w="1175" w:type="dxa"/>
            <w:noWrap/>
            <w:hideMark/>
          </w:tcPr>
          <w:p w14:paraId="3F0401D5" w14:textId="77777777" w:rsidR="00EE57A0" w:rsidRPr="00B1338F" w:rsidRDefault="00EE57A0">
            <w:pPr>
              <w:pStyle w:val="Tabele"/>
              <w:jc w:val="right"/>
              <w:rPr>
                <w:color w:val="000000"/>
                <w:lang w:eastAsia="en-GB"/>
              </w:rPr>
            </w:pPr>
            <w:r>
              <w:rPr>
                <w:rFonts w:cs="Arial"/>
                <w:color w:val="000000"/>
                <w:szCs w:val="16"/>
              </w:rPr>
              <w:t>25%</w:t>
            </w:r>
          </w:p>
        </w:tc>
        <w:tc>
          <w:tcPr>
            <w:tcW w:w="1096" w:type="dxa"/>
            <w:tcBorders>
              <w:right w:val="single" w:sz="4" w:space="0" w:color="AEAAAA" w:themeColor="background2" w:themeShade="BF"/>
            </w:tcBorders>
            <w:noWrap/>
            <w:hideMark/>
          </w:tcPr>
          <w:p w14:paraId="17C7242B" w14:textId="77777777" w:rsidR="00EE57A0" w:rsidRPr="00B1338F" w:rsidRDefault="00EE57A0">
            <w:pPr>
              <w:pStyle w:val="Tabele"/>
              <w:jc w:val="right"/>
              <w:rPr>
                <w:color w:val="000000"/>
                <w:lang w:eastAsia="en-GB"/>
              </w:rPr>
            </w:pPr>
            <w:r>
              <w:rPr>
                <w:rFonts w:cs="Arial"/>
                <w:color w:val="000000"/>
                <w:szCs w:val="16"/>
              </w:rPr>
              <w:t>26%</w:t>
            </w:r>
          </w:p>
        </w:tc>
        <w:tc>
          <w:tcPr>
            <w:tcW w:w="11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7CAAC" w:themeFill="accent2" w:themeFillTint="66"/>
            <w:noWrap/>
            <w:hideMark/>
          </w:tcPr>
          <w:p w14:paraId="4DC34CA7" w14:textId="77777777" w:rsidR="00EE57A0" w:rsidRPr="00B1338F" w:rsidRDefault="00EE57A0">
            <w:pPr>
              <w:pStyle w:val="Tabele"/>
              <w:jc w:val="right"/>
              <w:rPr>
                <w:color w:val="000000"/>
                <w:lang w:eastAsia="en-GB"/>
              </w:rPr>
            </w:pPr>
            <w:r>
              <w:rPr>
                <w:rFonts w:cs="Arial"/>
                <w:color w:val="000000"/>
                <w:szCs w:val="16"/>
              </w:rPr>
              <w:t>-13,0%</w:t>
            </w:r>
          </w:p>
        </w:tc>
        <w:tc>
          <w:tcPr>
            <w:tcW w:w="9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58608400" w14:textId="77777777" w:rsidR="00EE57A0" w:rsidRPr="000F1B12" w:rsidRDefault="00EE57A0">
            <w:pPr>
              <w:pStyle w:val="Tabele"/>
              <w:jc w:val="right"/>
              <w:rPr>
                <w:color w:val="000000"/>
                <w:highlight w:val="yellow"/>
                <w:lang w:eastAsia="en-GB"/>
              </w:rPr>
            </w:pPr>
            <w:r>
              <w:rPr>
                <w:rFonts w:cs="Arial"/>
                <w:color w:val="000000"/>
                <w:szCs w:val="16"/>
              </w:rPr>
              <w:t>-35,8%</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09B4CBF8" w14:textId="77777777" w:rsidR="00EE57A0" w:rsidRPr="000F1B12" w:rsidRDefault="00EE57A0">
            <w:pPr>
              <w:pStyle w:val="Tabele"/>
              <w:jc w:val="right"/>
              <w:rPr>
                <w:color w:val="000000"/>
                <w:highlight w:val="yellow"/>
                <w:lang w:eastAsia="en-GB"/>
              </w:rPr>
            </w:pPr>
            <w:r>
              <w:rPr>
                <w:rFonts w:cs="Arial"/>
                <w:color w:val="000000"/>
                <w:szCs w:val="16"/>
              </w:rPr>
              <w:t>-47,0%</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7801A602" w14:textId="77777777" w:rsidR="00EE57A0" w:rsidRPr="000F1B12" w:rsidRDefault="00EE57A0">
            <w:pPr>
              <w:pStyle w:val="Tabele"/>
              <w:jc w:val="right"/>
              <w:rPr>
                <w:color w:val="000000"/>
                <w:highlight w:val="yellow"/>
                <w:lang w:eastAsia="en-GB"/>
              </w:rPr>
            </w:pPr>
            <w:r>
              <w:rPr>
                <w:rFonts w:cs="Arial"/>
                <w:color w:val="000000"/>
                <w:szCs w:val="16"/>
              </w:rPr>
              <w:t>-56,4%</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724A8E6A" w14:textId="77777777" w:rsidR="00EE57A0" w:rsidRPr="000F1B12" w:rsidRDefault="00EE57A0">
            <w:pPr>
              <w:pStyle w:val="Tabele"/>
              <w:jc w:val="right"/>
              <w:rPr>
                <w:color w:val="000000"/>
                <w:highlight w:val="yellow"/>
                <w:lang w:eastAsia="en-GB"/>
              </w:rPr>
            </w:pPr>
            <w:r>
              <w:rPr>
                <w:rFonts w:cs="Arial"/>
                <w:color w:val="000000"/>
                <w:szCs w:val="16"/>
              </w:rPr>
              <w:t>-59,5%</w:t>
            </w:r>
          </w:p>
        </w:tc>
      </w:tr>
      <w:tr w:rsidR="00EE57A0" w:rsidRPr="00B1338F" w14:paraId="2986ED1E" w14:textId="77777777" w:rsidTr="009D6528">
        <w:trPr>
          <w:trHeight w:val="228"/>
        </w:trPr>
        <w:tc>
          <w:tcPr>
            <w:tcW w:w="1930" w:type="dxa"/>
            <w:noWrap/>
            <w:hideMark/>
          </w:tcPr>
          <w:p w14:paraId="33AC786C" w14:textId="77777777" w:rsidR="00EE57A0" w:rsidRPr="00B1338F" w:rsidRDefault="00EE57A0">
            <w:pPr>
              <w:pStyle w:val="Tabele"/>
              <w:rPr>
                <w:color w:val="000000"/>
                <w:lang w:eastAsia="en-GB"/>
              </w:rPr>
            </w:pPr>
            <w:r w:rsidRPr="00B1338F">
              <w:rPr>
                <w:color w:val="000000"/>
                <w:lang w:eastAsia="en-GB"/>
              </w:rPr>
              <w:t>NH</w:t>
            </w:r>
            <w:r w:rsidRPr="009255C4">
              <w:rPr>
                <w:color w:val="000000"/>
                <w:vertAlign w:val="subscript"/>
                <w:lang w:eastAsia="en-GB"/>
              </w:rPr>
              <w:t>3</w:t>
            </w:r>
          </w:p>
        </w:tc>
        <w:tc>
          <w:tcPr>
            <w:tcW w:w="1175" w:type="dxa"/>
            <w:noWrap/>
            <w:hideMark/>
          </w:tcPr>
          <w:p w14:paraId="7A9495E8" w14:textId="77777777" w:rsidR="00EE57A0" w:rsidRPr="00B1338F" w:rsidRDefault="00EE57A0">
            <w:pPr>
              <w:pStyle w:val="Tabele"/>
              <w:jc w:val="right"/>
              <w:rPr>
                <w:color w:val="000000"/>
                <w:lang w:eastAsia="en-GB"/>
              </w:rPr>
            </w:pPr>
            <w:r>
              <w:rPr>
                <w:rFonts w:cs="Arial"/>
                <w:color w:val="000000"/>
                <w:szCs w:val="16"/>
              </w:rPr>
              <w:t>1%</w:t>
            </w:r>
          </w:p>
        </w:tc>
        <w:tc>
          <w:tcPr>
            <w:tcW w:w="1096" w:type="dxa"/>
            <w:tcBorders>
              <w:right w:val="single" w:sz="4" w:space="0" w:color="AEAAAA" w:themeColor="background2" w:themeShade="BF"/>
            </w:tcBorders>
            <w:noWrap/>
            <w:hideMark/>
          </w:tcPr>
          <w:p w14:paraId="3147DAD8" w14:textId="77777777" w:rsidR="00EE57A0" w:rsidRPr="00B1338F" w:rsidRDefault="00EE57A0">
            <w:pPr>
              <w:pStyle w:val="Tabele"/>
              <w:jc w:val="right"/>
              <w:rPr>
                <w:color w:val="000000"/>
                <w:lang w:eastAsia="en-GB"/>
              </w:rPr>
            </w:pPr>
            <w:r>
              <w:rPr>
                <w:rFonts w:cs="Arial"/>
                <w:color w:val="000000"/>
                <w:szCs w:val="16"/>
              </w:rPr>
              <w:t>17%</w:t>
            </w:r>
          </w:p>
        </w:tc>
        <w:tc>
          <w:tcPr>
            <w:tcW w:w="11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2CA36A29" w14:textId="77777777" w:rsidR="00EE57A0" w:rsidRPr="00B1338F" w:rsidRDefault="00EE57A0">
            <w:pPr>
              <w:pStyle w:val="Tabele"/>
              <w:jc w:val="right"/>
              <w:rPr>
                <w:color w:val="000000"/>
                <w:lang w:eastAsia="en-GB"/>
              </w:rPr>
            </w:pPr>
            <w:r>
              <w:rPr>
                <w:rFonts w:cs="Arial"/>
                <w:color w:val="000000"/>
                <w:szCs w:val="16"/>
              </w:rPr>
              <w:t>-5,0%</w:t>
            </w:r>
          </w:p>
        </w:tc>
        <w:tc>
          <w:tcPr>
            <w:tcW w:w="9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142C6AA2" w14:textId="77777777" w:rsidR="00EE57A0" w:rsidRPr="000F1B12" w:rsidRDefault="00EE57A0">
            <w:pPr>
              <w:pStyle w:val="Tabele"/>
              <w:jc w:val="right"/>
              <w:rPr>
                <w:color w:val="000000"/>
                <w:highlight w:val="yellow"/>
                <w:lang w:eastAsia="en-GB"/>
              </w:rPr>
            </w:pPr>
            <w:r>
              <w:rPr>
                <w:rFonts w:cs="Arial"/>
                <w:color w:val="000000"/>
                <w:szCs w:val="16"/>
              </w:rPr>
              <w:t>-16,1%</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07038420" w14:textId="77777777" w:rsidR="00EE57A0" w:rsidRPr="00B0199A" w:rsidRDefault="00EE57A0">
            <w:pPr>
              <w:pStyle w:val="Tabele"/>
              <w:jc w:val="right"/>
              <w:rPr>
                <w:rFonts w:cs="Calibri"/>
                <w:color w:val="000000"/>
                <w:szCs w:val="16"/>
              </w:rPr>
            </w:pPr>
            <w:r>
              <w:rPr>
                <w:rFonts w:cs="Arial"/>
                <w:color w:val="000000"/>
                <w:szCs w:val="16"/>
              </w:rPr>
              <w:t>-17,3%</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2CF066BD" w14:textId="77777777" w:rsidR="00EE57A0" w:rsidRPr="00B0199A" w:rsidRDefault="00EE57A0">
            <w:pPr>
              <w:pStyle w:val="Tabele"/>
              <w:jc w:val="right"/>
              <w:rPr>
                <w:rFonts w:cs="Calibri"/>
                <w:color w:val="000000"/>
                <w:szCs w:val="16"/>
              </w:rPr>
            </w:pPr>
            <w:r>
              <w:rPr>
                <w:rFonts w:cs="Arial"/>
                <w:color w:val="000000"/>
                <w:szCs w:val="16"/>
              </w:rPr>
              <w:t>-17,0%</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1DA23375" w14:textId="77777777" w:rsidR="00EE57A0" w:rsidRPr="00B0199A" w:rsidRDefault="00EE57A0">
            <w:pPr>
              <w:pStyle w:val="Tabele"/>
              <w:jc w:val="right"/>
              <w:rPr>
                <w:rFonts w:cs="Calibri"/>
                <w:color w:val="000000"/>
                <w:szCs w:val="16"/>
              </w:rPr>
            </w:pPr>
            <w:r>
              <w:rPr>
                <w:rFonts w:cs="Arial"/>
                <w:color w:val="000000"/>
                <w:szCs w:val="16"/>
              </w:rPr>
              <w:t>-17,9%</w:t>
            </w:r>
          </w:p>
        </w:tc>
      </w:tr>
      <w:tr w:rsidR="00EE57A0" w:rsidRPr="00B1338F" w14:paraId="7451419A" w14:textId="77777777" w:rsidTr="009D6528">
        <w:trPr>
          <w:trHeight w:val="228"/>
        </w:trPr>
        <w:tc>
          <w:tcPr>
            <w:tcW w:w="1930" w:type="dxa"/>
            <w:noWrap/>
            <w:hideMark/>
          </w:tcPr>
          <w:p w14:paraId="38435C62" w14:textId="77777777" w:rsidR="00EE57A0" w:rsidRPr="00B1338F" w:rsidRDefault="00EE57A0">
            <w:pPr>
              <w:pStyle w:val="Tabele"/>
              <w:rPr>
                <w:color w:val="000000"/>
                <w:lang w:eastAsia="en-GB"/>
              </w:rPr>
            </w:pPr>
            <w:r w:rsidRPr="00B1338F">
              <w:rPr>
                <w:color w:val="000000"/>
                <w:lang w:eastAsia="en-GB"/>
              </w:rPr>
              <w:t>PM2,5</w:t>
            </w:r>
          </w:p>
        </w:tc>
        <w:tc>
          <w:tcPr>
            <w:tcW w:w="1175" w:type="dxa"/>
            <w:noWrap/>
            <w:hideMark/>
          </w:tcPr>
          <w:p w14:paraId="0B3BF632" w14:textId="77777777" w:rsidR="00EE57A0" w:rsidRPr="00B1338F" w:rsidRDefault="00EE57A0">
            <w:pPr>
              <w:pStyle w:val="Tabele"/>
              <w:jc w:val="right"/>
              <w:rPr>
                <w:color w:val="000000"/>
                <w:lang w:eastAsia="en-GB"/>
              </w:rPr>
            </w:pPr>
            <w:r>
              <w:rPr>
                <w:rFonts w:cs="Arial"/>
                <w:color w:val="000000"/>
                <w:szCs w:val="16"/>
              </w:rPr>
              <w:t>16%</w:t>
            </w:r>
          </w:p>
        </w:tc>
        <w:tc>
          <w:tcPr>
            <w:tcW w:w="1096" w:type="dxa"/>
            <w:tcBorders>
              <w:right w:val="single" w:sz="4" w:space="0" w:color="AEAAAA" w:themeColor="background2" w:themeShade="BF"/>
            </w:tcBorders>
            <w:noWrap/>
            <w:hideMark/>
          </w:tcPr>
          <w:p w14:paraId="1660806F" w14:textId="77777777" w:rsidR="00EE57A0" w:rsidRPr="00B1338F" w:rsidRDefault="00EE57A0">
            <w:pPr>
              <w:pStyle w:val="Tabele"/>
              <w:jc w:val="right"/>
              <w:rPr>
                <w:color w:val="000000"/>
                <w:lang w:eastAsia="en-GB"/>
              </w:rPr>
            </w:pPr>
            <w:r>
              <w:rPr>
                <w:rFonts w:cs="Arial"/>
                <w:color w:val="000000"/>
                <w:szCs w:val="16"/>
              </w:rPr>
              <w:t>58%</w:t>
            </w:r>
          </w:p>
        </w:tc>
        <w:tc>
          <w:tcPr>
            <w:tcW w:w="116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F7CAAC" w:themeFill="accent2" w:themeFillTint="66"/>
            <w:noWrap/>
            <w:hideMark/>
          </w:tcPr>
          <w:p w14:paraId="0F2BD282" w14:textId="77777777" w:rsidR="00EE57A0" w:rsidRPr="00B1338F" w:rsidRDefault="00EE57A0">
            <w:pPr>
              <w:pStyle w:val="Tabele"/>
              <w:jc w:val="right"/>
              <w:rPr>
                <w:color w:val="000000"/>
                <w:lang w:eastAsia="en-GB"/>
              </w:rPr>
            </w:pPr>
            <w:r>
              <w:rPr>
                <w:rFonts w:cs="Arial"/>
                <w:color w:val="000000"/>
                <w:szCs w:val="16"/>
              </w:rPr>
              <w:t>-4,8%</w:t>
            </w:r>
          </w:p>
        </w:tc>
        <w:tc>
          <w:tcPr>
            <w:tcW w:w="95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1F3770D6" w14:textId="77777777" w:rsidR="00EE57A0" w:rsidRPr="000F1B12" w:rsidRDefault="00EE57A0">
            <w:pPr>
              <w:pStyle w:val="Tabele"/>
              <w:jc w:val="right"/>
              <w:rPr>
                <w:color w:val="000000"/>
                <w:highlight w:val="yellow"/>
                <w:lang w:eastAsia="en-GB"/>
              </w:rPr>
            </w:pPr>
            <w:r>
              <w:rPr>
                <w:rFonts w:cs="Arial"/>
                <w:color w:val="000000"/>
                <w:szCs w:val="16"/>
              </w:rPr>
              <w:t>-40,9%</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2CF090A5" w14:textId="77777777" w:rsidR="00EE57A0" w:rsidRPr="000F1B12" w:rsidRDefault="00EE57A0">
            <w:pPr>
              <w:pStyle w:val="Tabele"/>
              <w:jc w:val="right"/>
              <w:rPr>
                <w:color w:val="000000"/>
                <w:highlight w:val="yellow"/>
                <w:lang w:eastAsia="en-GB"/>
              </w:rPr>
            </w:pPr>
            <w:r>
              <w:rPr>
                <w:rFonts w:cs="Arial"/>
                <w:color w:val="000000"/>
                <w:szCs w:val="16"/>
              </w:rPr>
              <w:t>-66,3%</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23E9C7AF" w14:textId="77777777" w:rsidR="00EE57A0" w:rsidRPr="000F1B12" w:rsidRDefault="00EE57A0">
            <w:pPr>
              <w:pStyle w:val="Tabele"/>
              <w:jc w:val="right"/>
              <w:rPr>
                <w:color w:val="000000"/>
                <w:highlight w:val="yellow"/>
                <w:lang w:eastAsia="en-GB"/>
              </w:rPr>
            </w:pPr>
            <w:r>
              <w:rPr>
                <w:rFonts w:cs="Arial"/>
                <w:color w:val="000000"/>
                <w:szCs w:val="16"/>
              </w:rPr>
              <w:t>-88,4%</w:t>
            </w:r>
          </w:p>
        </w:tc>
        <w:tc>
          <w:tcPr>
            <w:tcW w:w="95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C5E0B3" w:themeFill="accent6" w:themeFillTint="66"/>
            <w:noWrap/>
            <w:hideMark/>
          </w:tcPr>
          <w:p w14:paraId="5A9E51D3" w14:textId="77777777" w:rsidR="00EE57A0" w:rsidRPr="000F1B12" w:rsidRDefault="00EE57A0">
            <w:pPr>
              <w:pStyle w:val="Tabele"/>
              <w:jc w:val="right"/>
              <w:rPr>
                <w:color w:val="000000"/>
                <w:highlight w:val="yellow"/>
                <w:lang w:eastAsia="en-GB"/>
              </w:rPr>
            </w:pPr>
            <w:r>
              <w:rPr>
                <w:rFonts w:cs="Arial"/>
                <w:color w:val="000000"/>
                <w:szCs w:val="16"/>
              </w:rPr>
              <w:t>-89,6%</w:t>
            </w:r>
          </w:p>
        </w:tc>
      </w:tr>
    </w:tbl>
    <w:p w14:paraId="5AB35843" w14:textId="5C4DEAD7" w:rsidR="008E5DE3" w:rsidRPr="0007363C" w:rsidRDefault="008E5DE3" w:rsidP="008E5DE3">
      <w:pPr>
        <w:pStyle w:val="Nagwek3"/>
      </w:pPr>
      <w:bookmarkStart w:id="104" w:name="_Toc197666262"/>
      <w:bookmarkStart w:id="105" w:name="_Toc197959485"/>
      <w:bookmarkStart w:id="106" w:name="_Toc197959567"/>
      <w:bookmarkStart w:id="107" w:name="_Toc167443492"/>
      <w:bookmarkStart w:id="108" w:name="_Toc171587312"/>
      <w:bookmarkStart w:id="109" w:name="_Toc174710886"/>
      <w:bookmarkStart w:id="110" w:name="_Toc178931951"/>
      <w:bookmarkStart w:id="111" w:name="_Toc202966878"/>
      <w:bookmarkEnd w:id="100"/>
      <w:bookmarkEnd w:id="101"/>
      <w:bookmarkEnd w:id="102"/>
      <w:bookmarkEnd w:id="103"/>
      <w:bookmarkEnd w:id="104"/>
      <w:bookmarkEnd w:id="105"/>
      <w:bookmarkEnd w:id="106"/>
      <w:r>
        <w:t>Porównanie prognoz emisji GHG oraz ich pochłaniania</w:t>
      </w:r>
      <w:r w:rsidR="009710CE">
        <w:t xml:space="preserve"> </w:t>
      </w:r>
      <w:r>
        <w:t>– scenariusz WAM vs. scenariusz WEM</w:t>
      </w:r>
      <w:bookmarkEnd w:id="107"/>
      <w:bookmarkEnd w:id="108"/>
      <w:bookmarkEnd w:id="109"/>
      <w:bookmarkEnd w:id="110"/>
      <w:bookmarkEnd w:id="111"/>
    </w:p>
    <w:p w14:paraId="0A62B3C7" w14:textId="02C88039" w:rsidR="005C4144" w:rsidRDefault="001D7469" w:rsidP="005C4144">
      <w:r>
        <w:t xml:space="preserve">Wyniki porównania projekcji emisji gazów cieplarnianych oraz ich pochłaniania, wg sektorów IPCC, do </w:t>
      </w:r>
      <w:r w:rsidR="00F128CB">
        <w:t>2040 r.</w:t>
      </w:r>
      <w:r>
        <w:t xml:space="preserve">, dla scenariusza WAM z projekcjami dla scenariusza WEM przedstawiono w tabeli </w:t>
      </w:r>
      <w:r w:rsidR="005C4144">
        <w:t>(</w:t>
      </w:r>
      <w:r w:rsidR="00C076F7">
        <w:fldChar w:fldCharType="begin"/>
      </w:r>
      <w:r w:rsidR="00C076F7">
        <w:instrText xml:space="preserve"> REF _Ref195870356 \h </w:instrText>
      </w:r>
      <w:r w:rsidR="00C076F7">
        <w:fldChar w:fldCharType="separate"/>
      </w:r>
      <w:r w:rsidR="00F27D6F">
        <w:t xml:space="preserve">Tabela </w:t>
      </w:r>
      <w:r w:rsidR="00F27D6F">
        <w:rPr>
          <w:noProof/>
        </w:rPr>
        <w:t>1</w:t>
      </w:r>
      <w:r w:rsidR="00F27D6F">
        <w:t>.</w:t>
      </w:r>
      <w:r w:rsidR="00F27D6F">
        <w:rPr>
          <w:noProof/>
        </w:rPr>
        <w:t>14</w:t>
      </w:r>
      <w:r w:rsidR="00C076F7">
        <w:fldChar w:fldCharType="end"/>
      </w:r>
      <w:r w:rsidR="005C4144">
        <w:t>).</w:t>
      </w:r>
    </w:p>
    <w:p w14:paraId="07979FCE" w14:textId="53E3030D" w:rsidR="005C4144" w:rsidRDefault="005C4144" w:rsidP="005C4144">
      <w:pPr>
        <w:pStyle w:val="Legenda"/>
      </w:pPr>
      <w:bookmarkStart w:id="112" w:name="_Ref169791863"/>
      <w:bookmarkStart w:id="113" w:name="_Ref195870356"/>
      <w:bookmarkStart w:id="114" w:name="_Toc167442092"/>
      <w:bookmarkStart w:id="115" w:name="_Toc171587173"/>
      <w:bookmarkStart w:id="116" w:name="_Toc174710957"/>
      <w:bookmarkStart w:id="117" w:name="_Toc202966959"/>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14</w:t>
      </w:r>
      <w:r w:rsidR="00653D9A">
        <w:rPr>
          <w:noProof/>
        </w:rPr>
        <w:fldChar w:fldCharType="end"/>
      </w:r>
      <w:bookmarkEnd w:id="112"/>
      <w:bookmarkEnd w:id="113"/>
      <w:r>
        <w:t>. Projekcje emisji gazów cieplarnianych dla scenariuszy WEM i WAM, według sektorów</w:t>
      </w:r>
      <w:bookmarkEnd w:id="114"/>
      <w:bookmarkEnd w:id="115"/>
      <w:bookmarkEnd w:id="116"/>
      <w:bookmarkEnd w:id="117"/>
    </w:p>
    <w:tbl>
      <w:tblPr>
        <w:tblStyle w:val="KPEiK"/>
        <w:tblW w:w="4989" w:type="pct"/>
        <w:tblCellMar>
          <w:left w:w="28" w:type="dxa"/>
          <w:right w:w="28" w:type="dxa"/>
        </w:tblCellMar>
        <w:tblLook w:val="04A0" w:firstRow="1" w:lastRow="0" w:firstColumn="1" w:lastColumn="0" w:noHBand="0" w:noVBand="1"/>
      </w:tblPr>
      <w:tblGrid>
        <w:gridCol w:w="1555"/>
        <w:gridCol w:w="808"/>
        <w:gridCol w:w="954"/>
        <w:gridCol w:w="954"/>
        <w:gridCol w:w="954"/>
        <w:gridCol w:w="954"/>
        <w:gridCol w:w="954"/>
        <w:gridCol w:w="954"/>
        <w:gridCol w:w="955"/>
      </w:tblGrid>
      <w:tr w:rsidR="00193347" w:rsidRPr="009E39D0" w14:paraId="7AB387A5" w14:textId="77777777" w:rsidTr="002343B7">
        <w:trPr>
          <w:cnfStyle w:val="100000000000" w:firstRow="1" w:lastRow="0" w:firstColumn="0" w:lastColumn="0" w:oddVBand="0" w:evenVBand="0" w:oddHBand="0" w:evenHBand="0" w:firstRowFirstColumn="0" w:firstRowLastColumn="0" w:lastRowFirstColumn="0" w:lastRowLastColumn="0"/>
          <w:cantSplit w:val="0"/>
          <w:trHeight w:val="228"/>
          <w:tblHeader/>
        </w:trPr>
        <w:tc>
          <w:tcPr>
            <w:tcW w:w="1555" w:type="dxa"/>
            <w:vMerge w:val="restart"/>
          </w:tcPr>
          <w:p w14:paraId="2A03930F" w14:textId="77777777" w:rsidR="00D84398" w:rsidRPr="009E39D0" w:rsidRDefault="00D84398">
            <w:pPr>
              <w:pStyle w:val="Tabele"/>
              <w:jc w:val="center"/>
              <w:rPr>
                <w:sz w:val="14"/>
                <w:szCs w:val="14"/>
              </w:rPr>
            </w:pPr>
            <w:bookmarkStart w:id="118" w:name="_Ref160803699"/>
            <w:r w:rsidRPr="009E39D0">
              <w:rPr>
                <w:sz w:val="14"/>
                <w:szCs w:val="14"/>
              </w:rPr>
              <w:t>Sektor</w:t>
            </w:r>
          </w:p>
        </w:tc>
        <w:tc>
          <w:tcPr>
            <w:tcW w:w="7487" w:type="dxa"/>
            <w:gridSpan w:val="8"/>
          </w:tcPr>
          <w:p w14:paraId="1B6851C5" w14:textId="35A705C4" w:rsidR="00A82334" w:rsidRPr="009E39D0" w:rsidRDefault="00A82334">
            <w:pPr>
              <w:pStyle w:val="Tabele"/>
              <w:jc w:val="center"/>
              <w:rPr>
                <w:sz w:val="14"/>
                <w:szCs w:val="14"/>
              </w:rPr>
            </w:pPr>
            <w:r w:rsidRPr="009E39D0">
              <w:rPr>
                <w:sz w:val="14"/>
                <w:szCs w:val="14"/>
              </w:rPr>
              <w:t>Emisje GHG [kt CO</w:t>
            </w:r>
            <w:r w:rsidRPr="009E39D0">
              <w:rPr>
                <w:sz w:val="14"/>
                <w:szCs w:val="14"/>
                <w:vertAlign w:val="subscript"/>
              </w:rPr>
              <w:t>2</w:t>
            </w:r>
            <w:r w:rsidRPr="009E39D0">
              <w:rPr>
                <w:sz w:val="14"/>
                <w:szCs w:val="14"/>
              </w:rPr>
              <w:t>eq]</w:t>
            </w:r>
          </w:p>
        </w:tc>
      </w:tr>
      <w:tr w:rsidR="001734F0" w:rsidRPr="009E39D0" w14:paraId="203D7017" w14:textId="77777777" w:rsidTr="00231812">
        <w:trPr>
          <w:cnfStyle w:val="100000000000" w:firstRow="1" w:lastRow="0" w:firstColumn="0" w:lastColumn="0" w:oddVBand="0" w:evenVBand="0" w:oddHBand="0" w:evenHBand="0" w:firstRowFirstColumn="0" w:firstRowLastColumn="0" w:lastRowFirstColumn="0" w:lastRowLastColumn="0"/>
          <w:cantSplit w:val="0"/>
          <w:trHeight w:val="228"/>
          <w:tblHeader/>
        </w:trPr>
        <w:tc>
          <w:tcPr>
            <w:tcW w:w="1555" w:type="dxa"/>
            <w:vMerge/>
          </w:tcPr>
          <w:p w14:paraId="5467CE36" w14:textId="77777777" w:rsidR="00D84398" w:rsidRPr="009E39D0" w:rsidRDefault="00D84398">
            <w:pPr>
              <w:pStyle w:val="Tabele"/>
              <w:jc w:val="center"/>
              <w:rPr>
                <w:bCs/>
                <w:sz w:val="14"/>
                <w:szCs w:val="14"/>
              </w:rPr>
            </w:pPr>
          </w:p>
        </w:tc>
        <w:tc>
          <w:tcPr>
            <w:tcW w:w="808" w:type="dxa"/>
          </w:tcPr>
          <w:p w14:paraId="2D5EBE77" w14:textId="77777777" w:rsidR="00D84398" w:rsidRPr="009E39D0" w:rsidRDefault="00D84398">
            <w:pPr>
              <w:pStyle w:val="Tabele"/>
              <w:jc w:val="center"/>
              <w:rPr>
                <w:bCs/>
                <w:sz w:val="14"/>
                <w:szCs w:val="14"/>
              </w:rPr>
            </w:pPr>
            <w:r w:rsidRPr="009E39D0">
              <w:rPr>
                <w:sz w:val="14"/>
                <w:szCs w:val="14"/>
              </w:rPr>
              <w:t>2005</w:t>
            </w:r>
          </w:p>
        </w:tc>
        <w:tc>
          <w:tcPr>
            <w:tcW w:w="954" w:type="dxa"/>
          </w:tcPr>
          <w:p w14:paraId="26BDB4B2" w14:textId="77777777" w:rsidR="00D84398" w:rsidRPr="009E39D0" w:rsidRDefault="00D84398">
            <w:pPr>
              <w:pStyle w:val="Tabele"/>
              <w:jc w:val="center"/>
              <w:rPr>
                <w:bCs/>
                <w:sz w:val="14"/>
                <w:szCs w:val="14"/>
              </w:rPr>
            </w:pPr>
            <w:r w:rsidRPr="009E39D0">
              <w:rPr>
                <w:sz w:val="14"/>
                <w:szCs w:val="14"/>
              </w:rPr>
              <w:t>2010</w:t>
            </w:r>
          </w:p>
        </w:tc>
        <w:tc>
          <w:tcPr>
            <w:tcW w:w="954" w:type="dxa"/>
          </w:tcPr>
          <w:p w14:paraId="56C9E5DB" w14:textId="77777777" w:rsidR="00D84398" w:rsidRPr="009E39D0" w:rsidRDefault="00D84398">
            <w:pPr>
              <w:pStyle w:val="Tabele"/>
              <w:jc w:val="center"/>
              <w:rPr>
                <w:bCs/>
                <w:sz w:val="14"/>
                <w:szCs w:val="14"/>
              </w:rPr>
            </w:pPr>
            <w:r w:rsidRPr="009E39D0">
              <w:rPr>
                <w:sz w:val="14"/>
                <w:szCs w:val="14"/>
              </w:rPr>
              <w:t>2015</w:t>
            </w:r>
          </w:p>
        </w:tc>
        <w:tc>
          <w:tcPr>
            <w:tcW w:w="954" w:type="dxa"/>
          </w:tcPr>
          <w:p w14:paraId="1A83F08E" w14:textId="77777777" w:rsidR="00D84398" w:rsidRPr="009E39D0" w:rsidRDefault="00D84398">
            <w:pPr>
              <w:pStyle w:val="Tabele"/>
              <w:jc w:val="center"/>
              <w:rPr>
                <w:bCs/>
                <w:sz w:val="14"/>
                <w:szCs w:val="14"/>
              </w:rPr>
            </w:pPr>
            <w:r w:rsidRPr="009E39D0">
              <w:rPr>
                <w:sz w:val="14"/>
                <w:szCs w:val="14"/>
              </w:rPr>
              <w:t>2020</w:t>
            </w:r>
          </w:p>
        </w:tc>
        <w:tc>
          <w:tcPr>
            <w:tcW w:w="954" w:type="dxa"/>
          </w:tcPr>
          <w:p w14:paraId="52B043F0" w14:textId="77777777" w:rsidR="00D84398" w:rsidRPr="009E39D0" w:rsidRDefault="00D84398">
            <w:pPr>
              <w:pStyle w:val="Tabele"/>
              <w:jc w:val="center"/>
              <w:rPr>
                <w:bCs/>
                <w:sz w:val="14"/>
                <w:szCs w:val="14"/>
              </w:rPr>
            </w:pPr>
            <w:r w:rsidRPr="009E39D0">
              <w:rPr>
                <w:sz w:val="14"/>
                <w:szCs w:val="14"/>
              </w:rPr>
              <w:t>2025</w:t>
            </w:r>
          </w:p>
        </w:tc>
        <w:tc>
          <w:tcPr>
            <w:tcW w:w="954" w:type="dxa"/>
          </w:tcPr>
          <w:p w14:paraId="4F2B2B8C" w14:textId="77777777" w:rsidR="00D84398" w:rsidRPr="009E39D0" w:rsidRDefault="00D84398">
            <w:pPr>
              <w:pStyle w:val="Tabele"/>
              <w:jc w:val="center"/>
              <w:rPr>
                <w:bCs/>
                <w:sz w:val="14"/>
                <w:szCs w:val="14"/>
              </w:rPr>
            </w:pPr>
            <w:r w:rsidRPr="009E39D0">
              <w:rPr>
                <w:sz w:val="14"/>
                <w:szCs w:val="14"/>
              </w:rPr>
              <w:t>2030</w:t>
            </w:r>
          </w:p>
        </w:tc>
        <w:tc>
          <w:tcPr>
            <w:tcW w:w="954" w:type="dxa"/>
          </w:tcPr>
          <w:p w14:paraId="46328023" w14:textId="77777777" w:rsidR="00D84398" w:rsidRPr="009E39D0" w:rsidRDefault="00D84398">
            <w:pPr>
              <w:pStyle w:val="Tabele"/>
              <w:jc w:val="center"/>
              <w:rPr>
                <w:bCs/>
                <w:sz w:val="14"/>
                <w:szCs w:val="14"/>
              </w:rPr>
            </w:pPr>
            <w:r w:rsidRPr="009E39D0">
              <w:rPr>
                <w:sz w:val="14"/>
                <w:szCs w:val="14"/>
              </w:rPr>
              <w:t>2035</w:t>
            </w:r>
          </w:p>
        </w:tc>
        <w:tc>
          <w:tcPr>
            <w:tcW w:w="955" w:type="dxa"/>
          </w:tcPr>
          <w:p w14:paraId="1A6A963C" w14:textId="77777777" w:rsidR="00D84398" w:rsidRPr="009E39D0" w:rsidRDefault="00D84398">
            <w:pPr>
              <w:pStyle w:val="Tabele"/>
              <w:jc w:val="center"/>
              <w:rPr>
                <w:bCs/>
                <w:sz w:val="14"/>
                <w:szCs w:val="14"/>
              </w:rPr>
            </w:pPr>
            <w:r w:rsidRPr="009E39D0">
              <w:rPr>
                <w:sz w:val="14"/>
                <w:szCs w:val="14"/>
              </w:rPr>
              <w:t>2040</w:t>
            </w:r>
          </w:p>
        </w:tc>
      </w:tr>
      <w:tr w:rsidR="00193347" w:rsidRPr="009E39D0" w14:paraId="5E720966" w14:textId="77777777" w:rsidTr="004A248B">
        <w:trPr>
          <w:cnfStyle w:val="100000000000" w:firstRow="1" w:lastRow="0" w:firstColumn="0" w:lastColumn="0" w:oddVBand="0" w:evenVBand="0" w:oddHBand="0" w:evenHBand="0" w:firstRowFirstColumn="0" w:firstRowLastColumn="0" w:lastRowFirstColumn="0" w:lastRowLastColumn="0"/>
          <w:trHeight w:val="228"/>
          <w:tblHeader/>
        </w:trPr>
        <w:tc>
          <w:tcPr>
            <w:tcW w:w="1555" w:type="dxa"/>
            <w:vMerge/>
          </w:tcPr>
          <w:p w14:paraId="7001E830" w14:textId="77777777" w:rsidR="006C50E3" w:rsidRPr="009E39D0" w:rsidRDefault="006C50E3">
            <w:pPr>
              <w:pStyle w:val="Tabele"/>
              <w:jc w:val="center"/>
              <w:rPr>
                <w:bCs/>
                <w:sz w:val="14"/>
                <w:szCs w:val="14"/>
              </w:rPr>
            </w:pPr>
          </w:p>
        </w:tc>
        <w:tc>
          <w:tcPr>
            <w:tcW w:w="7487" w:type="dxa"/>
            <w:gridSpan w:val="8"/>
          </w:tcPr>
          <w:p w14:paraId="0AB4760B" w14:textId="0A0E7369" w:rsidR="006C50E3" w:rsidRPr="009E39D0" w:rsidRDefault="006C50E3">
            <w:pPr>
              <w:pStyle w:val="Tabele"/>
              <w:jc w:val="center"/>
              <w:rPr>
                <w:sz w:val="14"/>
                <w:szCs w:val="14"/>
              </w:rPr>
            </w:pPr>
            <w:r w:rsidRPr="009E39D0">
              <w:rPr>
                <w:sz w:val="14"/>
                <w:szCs w:val="14"/>
              </w:rPr>
              <w:t>WEM</w:t>
            </w:r>
          </w:p>
        </w:tc>
      </w:tr>
      <w:tr w:rsidR="007F0D2B" w:rsidRPr="009E39D0" w14:paraId="38846D8D" w14:textId="77777777" w:rsidTr="00231812">
        <w:trPr>
          <w:trHeight w:val="228"/>
        </w:trPr>
        <w:tc>
          <w:tcPr>
            <w:tcW w:w="1555" w:type="dxa"/>
          </w:tcPr>
          <w:p w14:paraId="57DF724F" w14:textId="77777777" w:rsidR="00D84398" w:rsidRPr="009B3CF0" w:rsidRDefault="00D84398">
            <w:pPr>
              <w:pStyle w:val="Tabele"/>
              <w:rPr>
                <w:b/>
                <w:bCs/>
                <w:color w:val="auto"/>
                <w:sz w:val="14"/>
                <w:szCs w:val="14"/>
              </w:rPr>
            </w:pPr>
            <w:r w:rsidRPr="009B3CF0">
              <w:rPr>
                <w:color w:val="auto"/>
                <w:sz w:val="14"/>
                <w:szCs w:val="14"/>
              </w:rPr>
              <w:t xml:space="preserve">1. Energia </w:t>
            </w:r>
          </w:p>
        </w:tc>
        <w:tc>
          <w:tcPr>
            <w:tcW w:w="808" w:type="dxa"/>
            <w:shd w:val="clear" w:color="auto" w:fill="C5E0B3"/>
          </w:tcPr>
          <w:p w14:paraId="32311BE3" w14:textId="77777777" w:rsidR="00D84398" w:rsidRPr="009B3CF0" w:rsidRDefault="00D84398">
            <w:pPr>
              <w:pStyle w:val="Tabele"/>
              <w:jc w:val="right"/>
              <w:rPr>
                <w:bCs/>
                <w:color w:val="auto"/>
                <w:sz w:val="14"/>
                <w:szCs w:val="14"/>
              </w:rPr>
            </w:pPr>
            <w:r w:rsidRPr="009B3CF0">
              <w:rPr>
                <w:color w:val="auto"/>
                <w:sz w:val="14"/>
                <w:szCs w:val="14"/>
              </w:rPr>
              <w:t>334 328,14</w:t>
            </w:r>
          </w:p>
        </w:tc>
        <w:tc>
          <w:tcPr>
            <w:tcW w:w="954" w:type="dxa"/>
            <w:shd w:val="clear" w:color="auto" w:fill="C5E0B3"/>
          </w:tcPr>
          <w:p w14:paraId="2107AF7B" w14:textId="77777777" w:rsidR="00D84398" w:rsidRPr="009B3CF0" w:rsidRDefault="00D84398">
            <w:pPr>
              <w:pStyle w:val="Tabele"/>
              <w:jc w:val="right"/>
              <w:rPr>
                <w:bCs/>
                <w:color w:val="auto"/>
                <w:sz w:val="14"/>
                <w:szCs w:val="14"/>
              </w:rPr>
            </w:pPr>
            <w:r w:rsidRPr="009B3CF0">
              <w:rPr>
                <w:color w:val="auto"/>
                <w:sz w:val="14"/>
                <w:szCs w:val="14"/>
              </w:rPr>
              <w:t>344 424,45</w:t>
            </w:r>
          </w:p>
        </w:tc>
        <w:tc>
          <w:tcPr>
            <w:tcW w:w="954" w:type="dxa"/>
            <w:shd w:val="clear" w:color="auto" w:fill="C5E0B3"/>
          </w:tcPr>
          <w:p w14:paraId="3EE3B742" w14:textId="77777777" w:rsidR="00D84398" w:rsidRPr="009B3CF0" w:rsidRDefault="00D84398">
            <w:pPr>
              <w:pStyle w:val="Tabele"/>
              <w:jc w:val="right"/>
              <w:rPr>
                <w:bCs/>
                <w:color w:val="auto"/>
                <w:sz w:val="14"/>
                <w:szCs w:val="14"/>
              </w:rPr>
            </w:pPr>
            <w:r w:rsidRPr="009B3CF0">
              <w:rPr>
                <w:color w:val="auto"/>
                <w:sz w:val="14"/>
                <w:szCs w:val="14"/>
              </w:rPr>
              <w:t>321 697,02</w:t>
            </w:r>
          </w:p>
        </w:tc>
        <w:tc>
          <w:tcPr>
            <w:tcW w:w="954" w:type="dxa"/>
            <w:shd w:val="clear" w:color="auto" w:fill="C5E0B3"/>
          </w:tcPr>
          <w:p w14:paraId="40FA33F2" w14:textId="77777777" w:rsidR="00D84398" w:rsidRPr="009B3CF0" w:rsidRDefault="00D84398">
            <w:pPr>
              <w:pStyle w:val="Tabele"/>
              <w:jc w:val="right"/>
              <w:rPr>
                <w:bCs/>
                <w:color w:val="auto"/>
                <w:sz w:val="14"/>
                <w:szCs w:val="14"/>
              </w:rPr>
            </w:pPr>
            <w:r w:rsidRPr="009B3CF0">
              <w:rPr>
                <w:color w:val="auto"/>
                <w:sz w:val="14"/>
                <w:szCs w:val="14"/>
              </w:rPr>
              <w:t>307 997,84</w:t>
            </w:r>
          </w:p>
        </w:tc>
        <w:tc>
          <w:tcPr>
            <w:tcW w:w="954" w:type="dxa"/>
          </w:tcPr>
          <w:p w14:paraId="59A7A401" w14:textId="77777777" w:rsidR="00D84398" w:rsidRPr="009B3CF0" w:rsidRDefault="00D84398">
            <w:pPr>
              <w:pStyle w:val="Tabele"/>
              <w:jc w:val="right"/>
              <w:rPr>
                <w:rFonts w:cs="Calibri"/>
                <w:color w:val="auto"/>
                <w:sz w:val="14"/>
                <w:szCs w:val="14"/>
              </w:rPr>
            </w:pPr>
            <w:r w:rsidRPr="009B3CF0">
              <w:rPr>
                <w:color w:val="auto"/>
                <w:sz w:val="14"/>
                <w:szCs w:val="14"/>
              </w:rPr>
              <w:t>283 793,32</w:t>
            </w:r>
          </w:p>
        </w:tc>
        <w:tc>
          <w:tcPr>
            <w:tcW w:w="954" w:type="dxa"/>
          </w:tcPr>
          <w:p w14:paraId="0F4B9315" w14:textId="77777777" w:rsidR="00D84398" w:rsidRPr="009B3CF0" w:rsidRDefault="00D84398">
            <w:pPr>
              <w:pStyle w:val="Tabele"/>
              <w:jc w:val="right"/>
              <w:rPr>
                <w:rFonts w:cs="Calibri"/>
                <w:color w:val="auto"/>
                <w:sz w:val="14"/>
                <w:szCs w:val="14"/>
              </w:rPr>
            </w:pPr>
            <w:r w:rsidRPr="009B3CF0">
              <w:rPr>
                <w:color w:val="auto"/>
                <w:sz w:val="14"/>
                <w:szCs w:val="14"/>
              </w:rPr>
              <w:t>221 716,49</w:t>
            </w:r>
          </w:p>
        </w:tc>
        <w:tc>
          <w:tcPr>
            <w:tcW w:w="954" w:type="dxa"/>
          </w:tcPr>
          <w:p w14:paraId="61564280" w14:textId="77777777" w:rsidR="00D84398" w:rsidRPr="009B3CF0" w:rsidRDefault="00D84398">
            <w:pPr>
              <w:pStyle w:val="Tabele"/>
              <w:jc w:val="right"/>
              <w:rPr>
                <w:rFonts w:cs="Calibri"/>
                <w:color w:val="auto"/>
                <w:sz w:val="14"/>
                <w:szCs w:val="14"/>
              </w:rPr>
            </w:pPr>
            <w:r w:rsidRPr="009B3CF0">
              <w:rPr>
                <w:color w:val="auto"/>
                <w:sz w:val="14"/>
                <w:szCs w:val="14"/>
              </w:rPr>
              <w:t>185 023,54</w:t>
            </w:r>
          </w:p>
        </w:tc>
        <w:tc>
          <w:tcPr>
            <w:tcW w:w="955" w:type="dxa"/>
          </w:tcPr>
          <w:p w14:paraId="45421958" w14:textId="77777777" w:rsidR="00D84398" w:rsidRPr="009B3CF0" w:rsidRDefault="00D84398">
            <w:pPr>
              <w:pStyle w:val="Tabele"/>
              <w:jc w:val="right"/>
              <w:rPr>
                <w:rFonts w:cs="Calibri"/>
                <w:color w:val="auto"/>
                <w:sz w:val="14"/>
                <w:szCs w:val="14"/>
              </w:rPr>
            </w:pPr>
            <w:r w:rsidRPr="009B3CF0">
              <w:rPr>
                <w:color w:val="auto"/>
                <w:sz w:val="14"/>
                <w:szCs w:val="14"/>
              </w:rPr>
              <w:t>136 253,58</w:t>
            </w:r>
          </w:p>
        </w:tc>
      </w:tr>
      <w:tr w:rsidR="007F0D2B" w:rsidRPr="009E39D0" w14:paraId="693BBB71" w14:textId="77777777" w:rsidTr="00231812">
        <w:trPr>
          <w:trHeight w:val="228"/>
        </w:trPr>
        <w:tc>
          <w:tcPr>
            <w:tcW w:w="1555" w:type="dxa"/>
          </w:tcPr>
          <w:p w14:paraId="4B6B7F02" w14:textId="77777777" w:rsidR="00D84398" w:rsidRPr="009B3CF0" w:rsidRDefault="00D84398">
            <w:pPr>
              <w:pStyle w:val="Tabele"/>
              <w:rPr>
                <w:b/>
                <w:bCs/>
                <w:color w:val="auto"/>
                <w:sz w:val="14"/>
                <w:szCs w:val="14"/>
              </w:rPr>
            </w:pPr>
            <w:r w:rsidRPr="009B3CF0">
              <w:rPr>
                <w:color w:val="auto"/>
                <w:sz w:val="14"/>
                <w:szCs w:val="14"/>
              </w:rPr>
              <w:t xml:space="preserve">2. Procesy przemysłowe i użytkowanie produktów </w:t>
            </w:r>
          </w:p>
        </w:tc>
        <w:tc>
          <w:tcPr>
            <w:tcW w:w="808" w:type="dxa"/>
            <w:shd w:val="clear" w:color="auto" w:fill="C5E0B3"/>
          </w:tcPr>
          <w:p w14:paraId="75F43FD2" w14:textId="77777777" w:rsidR="00D84398" w:rsidRPr="009B3CF0" w:rsidRDefault="00D84398">
            <w:pPr>
              <w:pStyle w:val="Tabele"/>
              <w:jc w:val="right"/>
              <w:rPr>
                <w:bCs/>
                <w:color w:val="auto"/>
                <w:sz w:val="14"/>
                <w:szCs w:val="14"/>
              </w:rPr>
            </w:pPr>
            <w:r w:rsidRPr="009B3CF0">
              <w:rPr>
                <w:color w:val="auto"/>
                <w:sz w:val="14"/>
                <w:szCs w:val="14"/>
              </w:rPr>
              <w:t>23 732,01</w:t>
            </w:r>
          </w:p>
        </w:tc>
        <w:tc>
          <w:tcPr>
            <w:tcW w:w="954" w:type="dxa"/>
            <w:shd w:val="clear" w:color="auto" w:fill="C5E0B3"/>
          </w:tcPr>
          <w:p w14:paraId="36416229" w14:textId="77777777" w:rsidR="00D84398" w:rsidRPr="009B3CF0" w:rsidRDefault="00D84398">
            <w:pPr>
              <w:pStyle w:val="Tabele"/>
              <w:jc w:val="right"/>
              <w:rPr>
                <w:bCs/>
                <w:color w:val="auto"/>
                <w:sz w:val="14"/>
                <w:szCs w:val="14"/>
              </w:rPr>
            </w:pPr>
            <w:r w:rsidRPr="009B3CF0">
              <w:rPr>
                <w:color w:val="auto"/>
                <w:sz w:val="14"/>
                <w:szCs w:val="14"/>
              </w:rPr>
              <w:t>22 882,28</w:t>
            </w:r>
          </w:p>
        </w:tc>
        <w:tc>
          <w:tcPr>
            <w:tcW w:w="954" w:type="dxa"/>
            <w:shd w:val="clear" w:color="auto" w:fill="C5E0B3"/>
          </w:tcPr>
          <w:p w14:paraId="055F96F0" w14:textId="77777777" w:rsidR="00D84398" w:rsidRPr="009B3CF0" w:rsidRDefault="00D84398">
            <w:pPr>
              <w:pStyle w:val="Tabele"/>
              <w:jc w:val="right"/>
              <w:rPr>
                <w:bCs/>
                <w:color w:val="auto"/>
                <w:sz w:val="14"/>
                <w:szCs w:val="14"/>
              </w:rPr>
            </w:pPr>
            <w:r w:rsidRPr="009B3CF0">
              <w:rPr>
                <w:color w:val="auto"/>
                <w:sz w:val="14"/>
                <w:szCs w:val="14"/>
              </w:rPr>
              <w:t>24 356,91</w:t>
            </w:r>
          </w:p>
        </w:tc>
        <w:tc>
          <w:tcPr>
            <w:tcW w:w="954" w:type="dxa"/>
            <w:shd w:val="clear" w:color="auto" w:fill="C5E0B3"/>
          </w:tcPr>
          <w:p w14:paraId="3F2E3913" w14:textId="77777777" w:rsidR="00D84398" w:rsidRPr="009B3CF0" w:rsidRDefault="00D84398">
            <w:pPr>
              <w:pStyle w:val="Tabele"/>
              <w:jc w:val="right"/>
              <w:rPr>
                <w:bCs/>
                <w:color w:val="auto"/>
                <w:sz w:val="14"/>
                <w:szCs w:val="14"/>
              </w:rPr>
            </w:pPr>
            <w:r w:rsidRPr="009B3CF0">
              <w:rPr>
                <w:color w:val="auto"/>
                <w:sz w:val="14"/>
                <w:szCs w:val="14"/>
              </w:rPr>
              <w:t>24 526,59</w:t>
            </w:r>
          </w:p>
        </w:tc>
        <w:tc>
          <w:tcPr>
            <w:tcW w:w="954" w:type="dxa"/>
          </w:tcPr>
          <w:p w14:paraId="6B50571B" w14:textId="77777777" w:rsidR="00D84398" w:rsidRPr="009B3CF0" w:rsidRDefault="00D84398">
            <w:pPr>
              <w:pStyle w:val="Tabele"/>
              <w:jc w:val="right"/>
              <w:rPr>
                <w:rFonts w:cs="Calibri"/>
                <w:color w:val="auto"/>
                <w:sz w:val="14"/>
                <w:szCs w:val="14"/>
              </w:rPr>
            </w:pPr>
            <w:r w:rsidRPr="009B3CF0">
              <w:rPr>
                <w:color w:val="auto"/>
                <w:sz w:val="14"/>
                <w:szCs w:val="14"/>
              </w:rPr>
              <w:t>25 407,17</w:t>
            </w:r>
          </w:p>
        </w:tc>
        <w:tc>
          <w:tcPr>
            <w:tcW w:w="954" w:type="dxa"/>
          </w:tcPr>
          <w:p w14:paraId="042A9269" w14:textId="77777777" w:rsidR="00D84398" w:rsidRPr="009B3CF0" w:rsidRDefault="00D84398">
            <w:pPr>
              <w:pStyle w:val="Tabele"/>
              <w:jc w:val="right"/>
              <w:rPr>
                <w:rFonts w:cs="Calibri"/>
                <w:color w:val="auto"/>
                <w:sz w:val="14"/>
                <w:szCs w:val="14"/>
              </w:rPr>
            </w:pPr>
            <w:r w:rsidRPr="009B3CF0">
              <w:rPr>
                <w:color w:val="auto"/>
                <w:sz w:val="14"/>
                <w:szCs w:val="14"/>
              </w:rPr>
              <w:t>23 663,62</w:t>
            </w:r>
          </w:p>
        </w:tc>
        <w:tc>
          <w:tcPr>
            <w:tcW w:w="954" w:type="dxa"/>
          </w:tcPr>
          <w:p w14:paraId="703F7353" w14:textId="77777777" w:rsidR="00D84398" w:rsidRPr="009B3CF0" w:rsidRDefault="00D84398">
            <w:pPr>
              <w:pStyle w:val="Tabele"/>
              <w:jc w:val="right"/>
              <w:rPr>
                <w:rFonts w:cs="Calibri"/>
                <w:color w:val="auto"/>
                <w:sz w:val="14"/>
                <w:szCs w:val="14"/>
              </w:rPr>
            </w:pPr>
            <w:r w:rsidRPr="009B3CF0">
              <w:rPr>
                <w:color w:val="auto"/>
                <w:sz w:val="14"/>
                <w:szCs w:val="14"/>
              </w:rPr>
              <w:t>22 339,82</w:t>
            </w:r>
          </w:p>
        </w:tc>
        <w:tc>
          <w:tcPr>
            <w:tcW w:w="955" w:type="dxa"/>
          </w:tcPr>
          <w:p w14:paraId="4D38254C" w14:textId="77777777" w:rsidR="00D84398" w:rsidRPr="009B3CF0" w:rsidRDefault="00D84398">
            <w:pPr>
              <w:pStyle w:val="Tabele"/>
              <w:jc w:val="right"/>
              <w:rPr>
                <w:rFonts w:cs="Calibri"/>
                <w:color w:val="auto"/>
                <w:sz w:val="14"/>
                <w:szCs w:val="14"/>
              </w:rPr>
            </w:pPr>
            <w:r w:rsidRPr="009B3CF0">
              <w:rPr>
                <w:color w:val="auto"/>
                <w:sz w:val="14"/>
                <w:szCs w:val="14"/>
              </w:rPr>
              <w:t>22 003,00</w:t>
            </w:r>
          </w:p>
        </w:tc>
      </w:tr>
      <w:tr w:rsidR="007F0D2B" w:rsidRPr="009E39D0" w14:paraId="21D540B4" w14:textId="77777777" w:rsidTr="00231812">
        <w:trPr>
          <w:trHeight w:val="228"/>
        </w:trPr>
        <w:tc>
          <w:tcPr>
            <w:tcW w:w="1555" w:type="dxa"/>
          </w:tcPr>
          <w:p w14:paraId="3392BD36" w14:textId="77777777" w:rsidR="00D84398" w:rsidRPr="009B3CF0" w:rsidRDefault="00D84398">
            <w:pPr>
              <w:pStyle w:val="Tabele"/>
              <w:rPr>
                <w:bCs/>
                <w:color w:val="auto"/>
                <w:sz w:val="14"/>
                <w:szCs w:val="14"/>
              </w:rPr>
            </w:pPr>
            <w:r w:rsidRPr="009B3CF0">
              <w:rPr>
                <w:color w:val="auto"/>
                <w:sz w:val="14"/>
                <w:szCs w:val="14"/>
              </w:rPr>
              <w:t xml:space="preserve">3. Rolnictwo </w:t>
            </w:r>
          </w:p>
        </w:tc>
        <w:tc>
          <w:tcPr>
            <w:tcW w:w="808" w:type="dxa"/>
            <w:shd w:val="clear" w:color="auto" w:fill="C5E0B3"/>
          </w:tcPr>
          <w:p w14:paraId="1F718E52" w14:textId="77777777" w:rsidR="00D84398" w:rsidRPr="009B3CF0" w:rsidRDefault="00D84398">
            <w:pPr>
              <w:pStyle w:val="Tabele"/>
              <w:jc w:val="right"/>
              <w:rPr>
                <w:b/>
                <w:bCs/>
                <w:color w:val="auto"/>
                <w:sz w:val="14"/>
                <w:szCs w:val="14"/>
              </w:rPr>
            </w:pPr>
            <w:r w:rsidRPr="009B3CF0">
              <w:rPr>
                <w:color w:val="auto"/>
                <w:sz w:val="14"/>
                <w:szCs w:val="14"/>
              </w:rPr>
              <w:t>31 659,35</w:t>
            </w:r>
          </w:p>
        </w:tc>
        <w:tc>
          <w:tcPr>
            <w:tcW w:w="954" w:type="dxa"/>
            <w:shd w:val="clear" w:color="auto" w:fill="C5E0B3"/>
          </w:tcPr>
          <w:p w14:paraId="626DA120" w14:textId="77777777" w:rsidR="00D84398" w:rsidRPr="009B3CF0" w:rsidRDefault="00D84398">
            <w:pPr>
              <w:pStyle w:val="Tabele"/>
              <w:jc w:val="right"/>
              <w:rPr>
                <w:b/>
                <w:bCs/>
                <w:color w:val="auto"/>
                <w:sz w:val="14"/>
                <w:szCs w:val="14"/>
              </w:rPr>
            </w:pPr>
            <w:r w:rsidRPr="009B3CF0">
              <w:rPr>
                <w:color w:val="auto"/>
                <w:sz w:val="14"/>
                <w:szCs w:val="14"/>
              </w:rPr>
              <w:t>31 659,59</w:t>
            </w:r>
          </w:p>
        </w:tc>
        <w:tc>
          <w:tcPr>
            <w:tcW w:w="954" w:type="dxa"/>
            <w:shd w:val="clear" w:color="auto" w:fill="C5E0B3"/>
          </w:tcPr>
          <w:p w14:paraId="22CB3174" w14:textId="77777777" w:rsidR="00D84398" w:rsidRPr="009B3CF0" w:rsidRDefault="00D84398">
            <w:pPr>
              <w:pStyle w:val="Tabele"/>
              <w:jc w:val="right"/>
              <w:rPr>
                <w:b/>
                <w:bCs/>
                <w:color w:val="auto"/>
                <w:sz w:val="14"/>
                <w:szCs w:val="14"/>
              </w:rPr>
            </w:pPr>
            <w:r w:rsidRPr="009B3CF0">
              <w:rPr>
                <w:color w:val="auto"/>
                <w:sz w:val="14"/>
                <w:szCs w:val="14"/>
              </w:rPr>
              <w:t>31 775,06</w:t>
            </w:r>
          </w:p>
        </w:tc>
        <w:tc>
          <w:tcPr>
            <w:tcW w:w="954" w:type="dxa"/>
            <w:shd w:val="clear" w:color="auto" w:fill="C5E0B3"/>
          </w:tcPr>
          <w:p w14:paraId="6834E709" w14:textId="77777777" w:rsidR="00D84398" w:rsidRPr="009B3CF0" w:rsidRDefault="00D84398">
            <w:pPr>
              <w:pStyle w:val="Tabele"/>
              <w:jc w:val="right"/>
              <w:rPr>
                <w:b/>
                <w:bCs/>
                <w:color w:val="auto"/>
                <w:sz w:val="14"/>
                <w:szCs w:val="14"/>
              </w:rPr>
            </w:pPr>
            <w:r w:rsidRPr="009B3CF0">
              <w:rPr>
                <w:color w:val="auto"/>
                <w:sz w:val="14"/>
                <w:szCs w:val="14"/>
              </w:rPr>
              <w:t>34 225,49</w:t>
            </w:r>
          </w:p>
        </w:tc>
        <w:tc>
          <w:tcPr>
            <w:tcW w:w="954" w:type="dxa"/>
          </w:tcPr>
          <w:p w14:paraId="50903170" w14:textId="77777777" w:rsidR="00D84398" w:rsidRPr="009B3CF0" w:rsidRDefault="00D84398">
            <w:pPr>
              <w:pStyle w:val="Tabele"/>
              <w:jc w:val="right"/>
              <w:rPr>
                <w:rFonts w:cs="Calibri"/>
                <w:color w:val="auto"/>
                <w:sz w:val="14"/>
                <w:szCs w:val="14"/>
              </w:rPr>
            </w:pPr>
            <w:r w:rsidRPr="009B3CF0">
              <w:rPr>
                <w:color w:val="auto"/>
                <w:sz w:val="14"/>
                <w:szCs w:val="14"/>
              </w:rPr>
              <w:t>33 509,30</w:t>
            </w:r>
          </w:p>
        </w:tc>
        <w:tc>
          <w:tcPr>
            <w:tcW w:w="954" w:type="dxa"/>
          </w:tcPr>
          <w:p w14:paraId="46C5887A" w14:textId="77777777" w:rsidR="00D84398" w:rsidRPr="009B3CF0" w:rsidRDefault="00D84398">
            <w:pPr>
              <w:pStyle w:val="Tabele"/>
              <w:jc w:val="right"/>
              <w:rPr>
                <w:rFonts w:cs="Calibri"/>
                <w:color w:val="auto"/>
                <w:sz w:val="14"/>
                <w:szCs w:val="14"/>
              </w:rPr>
            </w:pPr>
            <w:r w:rsidRPr="009B3CF0">
              <w:rPr>
                <w:color w:val="auto"/>
                <w:sz w:val="14"/>
                <w:szCs w:val="14"/>
              </w:rPr>
              <w:t>33 131,70</w:t>
            </w:r>
          </w:p>
        </w:tc>
        <w:tc>
          <w:tcPr>
            <w:tcW w:w="954" w:type="dxa"/>
          </w:tcPr>
          <w:p w14:paraId="231194A7" w14:textId="77777777" w:rsidR="00D84398" w:rsidRPr="009B3CF0" w:rsidRDefault="00D84398">
            <w:pPr>
              <w:pStyle w:val="Tabele"/>
              <w:jc w:val="right"/>
              <w:rPr>
                <w:rFonts w:cs="Calibri"/>
                <w:color w:val="auto"/>
                <w:sz w:val="14"/>
                <w:szCs w:val="14"/>
              </w:rPr>
            </w:pPr>
            <w:r w:rsidRPr="009B3CF0">
              <w:rPr>
                <w:color w:val="auto"/>
                <w:sz w:val="14"/>
                <w:szCs w:val="14"/>
              </w:rPr>
              <w:t>32 994,79</w:t>
            </w:r>
          </w:p>
        </w:tc>
        <w:tc>
          <w:tcPr>
            <w:tcW w:w="955" w:type="dxa"/>
          </w:tcPr>
          <w:p w14:paraId="74808675" w14:textId="77777777" w:rsidR="00D84398" w:rsidRPr="009B3CF0" w:rsidRDefault="00D84398">
            <w:pPr>
              <w:pStyle w:val="Tabele"/>
              <w:jc w:val="right"/>
              <w:rPr>
                <w:rFonts w:cs="Calibri"/>
                <w:color w:val="auto"/>
                <w:sz w:val="14"/>
                <w:szCs w:val="14"/>
              </w:rPr>
            </w:pPr>
            <w:r w:rsidRPr="009B3CF0">
              <w:rPr>
                <w:color w:val="auto"/>
                <w:sz w:val="14"/>
                <w:szCs w:val="14"/>
              </w:rPr>
              <w:t>32 420,76</w:t>
            </w:r>
          </w:p>
        </w:tc>
      </w:tr>
      <w:tr w:rsidR="007F0D2B" w:rsidRPr="009E39D0" w14:paraId="7633D350" w14:textId="77777777" w:rsidTr="00231812">
        <w:trPr>
          <w:trHeight w:val="228"/>
        </w:trPr>
        <w:tc>
          <w:tcPr>
            <w:tcW w:w="1555" w:type="dxa"/>
          </w:tcPr>
          <w:p w14:paraId="0D2010C3" w14:textId="4C4C921E" w:rsidR="00D84398" w:rsidRPr="009B3CF0" w:rsidRDefault="00D84398">
            <w:pPr>
              <w:pStyle w:val="Tabele"/>
              <w:rPr>
                <w:bCs/>
                <w:color w:val="auto"/>
                <w:sz w:val="14"/>
                <w:szCs w:val="14"/>
              </w:rPr>
            </w:pPr>
            <w:r w:rsidRPr="009B3CF0">
              <w:rPr>
                <w:color w:val="auto"/>
                <w:sz w:val="14"/>
                <w:szCs w:val="14"/>
              </w:rPr>
              <w:t xml:space="preserve">4. </w:t>
            </w:r>
            <w:r w:rsidR="00231812">
              <w:rPr>
                <w:color w:val="auto"/>
                <w:sz w:val="14"/>
                <w:szCs w:val="14"/>
              </w:rPr>
              <w:t>LULUCF</w:t>
            </w:r>
          </w:p>
        </w:tc>
        <w:tc>
          <w:tcPr>
            <w:tcW w:w="808" w:type="dxa"/>
            <w:shd w:val="clear" w:color="auto" w:fill="C5E0B3"/>
          </w:tcPr>
          <w:p w14:paraId="222FB460" w14:textId="77777777" w:rsidR="00D84398" w:rsidRPr="009B3CF0" w:rsidRDefault="00D84398">
            <w:pPr>
              <w:pStyle w:val="Tabele"/>
              <w:jc w:val="right"/>
              <w:rPr>
                <w:b/>
                <w:bCs/>
                <w:color w:val="auto"/>
                <w:sz w:val="14"/>
                <w:szCs w:val="14"/>
              </w:rPr>
            </w:pPr>
            <w:r w:rsidRPr="009B3CF0">
              <w:rPr>
                <w:color w:val="auto"/>
                <w:sz w:val="14"/>
                <w:szCs w:val="14"/>
              </w:rPr>
              <w:t>-50 574,69</w:t>
            </w:r>
          </w:p>
        </w:tc>
        <w:tc>
          <w:tcPr>
            <w:tcW w:w="954" w:type="dxa"/>
            <w:shd w:val="clear" w:color="auto" w:fill="C5E0B3"/>
          </w:tcPr>
          <w:p w14:paraId="1B278ECF" w14:textId="77777777" w:rsidR="00D84398" w:rsidRPr="009B3CF0" w:rsidRDefault="00D84398">
            <w:pPr>
              <w:pStyle w:val="Tabele"/>
              <w:jc w:val="right"/>
              <w:rPr>
                <w:b/>
                <w:bCs/>
                <w:color w:val="auto"/>
                <w:sz w:val="14"/>
                <w:szCs w:val="14"/>
              </w:rPr>
            </w:pPr>
            <w:r w:rsidRPr="009B3CF0">
              <w:rPr>
                <w:color w:val="auto"/>
                <w:sz w:val="14"/>
                <w:szCs w:val="14"/>
              </w:rPr>
              <w:t>-36 334,72</w:t>
            </w:r>
          </w:p>
        </w:tc>
        <w:tc>
          <w:tcPr>
            <w:tcW w:w="954" w:type="dxa"/>
            <w:shd w:val="clear" w:color="auto" w:fill="C5E0B3"/>
          </w:tcPr>
          <w:p w14:paraId="579E5D0F" w14:textId="77777777" w:rsidR="00D84398" w:rsidRPr="009B3CF0" w:rsidRDefault="00D84398">
            <w:pPr>
              <w:pStyle w:val="Tabele"/>
              <w:jc w:val="right"/>
              <w:rPr>
                <w:b/>
                <w:bCs/>
                <w:color w:val="auto"/>
                <w:sz w:val="14"/>
                <w:szCs w:val="14"/>
              </w:rPr>
            </w:pPr>
            <w:r w:rsidRPr="009B3CF0">
              <w:rPr>
                <w:color w:val="auto"/>
                <w:sz w:val="14"/>
                <w:szCs w:val="14"/>
              </w:rPr>
              <w:t>-34 099,96</w:t>
            </w:r>
          </w:p>
        </w:tc>
        <w:tc>
          <w:tcPr>
            <w:tcW w:w="954" w:type="dxa"/>
            <w:shd w:val="clear" w:color="auto" w:fill="C5E0B3"/>
          </w:tcPr>
          <w:p w14:paraId="7164FBB0" w14:textId="77777777" w:rsidR="00D84398" w:rsidRPr="009B3CF0" w:rsidRDefault="00D84398">
            <w:pPr>
              <w:pStyle w:val="Tabele"/>
              <w:jc w:val="right"/>
              <w:rPr>
                <w:b/>
                <w:bCs/>
                <w:color w:val="auto"/>
                <w:sz w:val="14"/>
                <w:szCs w:val="14"/>
              </w:rPr>
            </w:pPr>
            <w:r w:rsidRPr="009B3CF0">
              <w:rPr>
                <w:color w:val="auto"/>
                <w:sz w:val="14"/>
                <w:szCs w:val="14"/>
              </w:rPr>
              <w:t>-23 330,17</w:t>
            </w:r>
          </w:p>
        </w:tc>
        <w:tc>
          <w:tcPr>
            <w:tcW w:w="954" w:type="dxa"/>
          </w:tcPr>
          <w:p w14:paraId="4A1876B7" w14:textId="77777777" w:rsidR="00D84398" w:rsidRPr="009B3CF0" w:rsidRDefault="00D84398">
            <w:pPr>
              <w:pStyle w:val="Tabele"/>
              <w:jc w:val="right"/>
              <w:rPr>
                <w:rFonts w:cs="Calibri"/>
                <w:color w:val="auto"/>
                <w:sz w:val="14"/>
                <w:szCs w:val="14"/>
              </w:rPr>
            </w:pPr>
            <w:r w:rsidRPr="009B3CF0">
              <w:rPr>
                <w:color w:val="auto"/>
                <w:sz w:val="14"/>
                <w:szCs w:val="14"/>
              </w:rPr>
              <w:t>-36 482,25</w:t>
            </w:r>
          </w:p>
        </w:tc>
        <w:tc>
          <w:tcPr>
            <w:tcW w:w="954" w:type="dxa"/>
          </w:tcPr>
          <w:p w14:paraId="278F13FD" w14:textId="77777777" w:rsidR="00D84398" w:rsidRPr="009B3CF0" w:rsidRDefault="00D84398">
            <w:pPr>
              <w:pStyle w:val="Tabele"/>
              <w:jc w:val="right"/>
              <w:rPr>
                <w:rFonts w:cs="Calibri"/>
                <w:color w:val="auto"/>
                <w:sz w:val="14"/>
                <w:szCs w:val="14"/>
              </w:rPr>
            </w:pPr>
            <w:r w:rsidRPr="009B3CF0">
              <w:rPr>
                <w:color w:val="auto"/>
                <w:sz w:val="14"/>
                <w:szCs w:val="14"/>
              </w:rPr>
              <w:t>-28 817,15</w:t>
            </w:r>
          </w:p>
        </w:tc>
        <w:tc>
          <w:tcPr>
            <w:tcW w:w="954" w:type="dxa"/>
          </w:tcPr>
          <w:p w14:paraId="36FE8BA8" w14:textId="77777777" w:rsidR="00D84398" w:rsidRPr="009B3CF0" w:rsidRDefault="00D84398">
            <w:pPr>
              <w:pStyle w:val="Tabele"/>
              <w:jc w:val="right"/>
              <w:rPr>
                <w:rFonts w:cs="Calibri"/>
                <w:color w:val="auto"/>
                <w:sz w:val="14"/>
                <w:szCs w:val="14"/>
              </w:rPr>
            </w:pPr>
            <w:r w:rsidRPr="009B3CF0">
              <w:rPr>
                <w:color w:val="auto"/>
                <w:sz w:val="14"/>
                <w:szCs w:val="14"/>
              </w:rPr>
              <w:t>-26 026,86</w:t>
            </w:r>
          </w:p>
        </w:tc>
        <w:tc>
          <w:tcPr>
            <w:tcW w:w="955" w:type="dxa"/>
          </w:tcPr>
          <w:p w14:paraId="5E406F17" w14:textId="77777777" w:rsidR="00D84398" w:rsidRPr="009B3CF0" w:rsidRDefault="00D84398">
            <w:pPr>
              <w:pStyle w:val="Tabele"/>
              <w:jc w:val="right"/>
              <w:rPr>
                <w:rFonts w:cs="Calibri"/>
                <w:color w:val="auto"/>
                <w:sz w:val="14"/>
                <w:szCs w:val="14"/>
              </w:rPr>
            </w:pPr>
            <w:r w:rsidRPr="009B3CF0">
              <w:rPr>
                <w:color w:val="auto"/>
                <w:sz w:val="14"/>
                <w:szCs w:val="14"/>
              </w:rPr>
              <w:t>-19 562,23</w:t>
            </w:r>
          </w:p>
        </w:tc>
      </w:tr>
      <w:tr w:rsidR="007F0D2B" w:rsidRPr="009E39D0" w14:paraId="6FB19F2D" w14:textId="77777777" w:rsidTr="00231812">
        <w:trPr>
          <w:trHeight w:val="228"/>
        </w:trPr>
        <w:tc>
          <w:tcPr>
            <w:tcW w:w="1555" w:type="dxa"/>
          </w:tcPr>
          <w:p w14:paraId="3D3E9295" w14:textId="77777777" w:rsidR="00D84398" w:rsidRPr="009B3CF0" w:rsidRDefault="00D84398">
            <w:pPr>
              <w:pStyle w:val="Tabele"/>
              <w:rPr>
                <w:bCs/>
                <w:color w:val="auto"/>
                <w:sz w:val="14"/>
                <w:szCs w:val="14"/>
              </w:rPr>
            </w:pPr>
            <w:r w:rsidRPr="009B3CF0">
              <w:rPr>
                <w:color w:val="auto"/>
                <w:sz w:val="14"/>
                <w:szCs w:val="14"/>
              </w:rPr>
              <w:t xml:space="preserve">5. Odpady </w:t>
            </w:r>
          </w:p>
        </w:tc>
        <w:tc>
          <w:tcPr>
            <w:tcW w:w="808" w:type="dxa"/>
            <w:shd w:val="clear" w:color="auto" w:fill="C5E0B3"/>
          </w:tcPr>
          <w:p w14:paraId="248A34F9" w14:textId="77777777" w:rsidR="00D84398" w:rsidRPr="009B3CF0" w:rsidRDefault="00D84398">
            <w:pPr>
              <w:pStyle w:val="Tabele"/>
              <w:jc w:val="right"/>
              <w:rPr>
                <w:b/>
                <w:bCs/>
                <w:color w:val="auto"/>
                <w:sz w:val="14"/>
                <w:szCs w:val="14"/>
              </w:rPr>
            </w:pPr>
            <w:r w:rsidRPr="009B3CF0">
              <w:rPr>
                <w:color w:val="auto"/>
                <w:sz w:val="14"/>
                <w:szCs w:val="14"/>
              </w:rPr>
              <w:t>11 673,39</w:t>
            </w:r>
          </w:p>
        </w:tc>
        <w:tc>
          <w:tcPr>
            <w:tcW w:w="954" w:type="dxa"/>
            <w:shd w:val="clear" w:color="auto" w:fill="C5E0B3"/>
          </w:tcPr>
          <w:p w14:paraId="651EFBF0" w14:textId="77777777" w:rsidR="00D84398" w:rsidRPr="009B3CF0" w:rsidRDefault="00D84398">
            <w:pPr>
              <w:pStyle w:val="Tabele"/>
              <w:jc w:val="right"/>
              <w:rPr>
                <w:b/>
                <w:bCs/>
                <w:color w:val="auto"/>
                <w:sz w:val="14"/>
                <w:szCs w:val="14"/>
              </w:rPr>
            </w:pPr>
            <w:r w:rsidRPr="009B3CF0">
              <w:rPr>
                <w:color w:val="auto"/>
                <w:sz w:val="14"/>
                <w:szCs w:val="14"/>
              </w:rPr>
              <w:t>7 710,42</w:t>
            </w:r>
          </w:p>
        </w:tc>
        <w:tc>
          <w:tcPr>
            <w:tcW w:w="954" w:type="dxa"/>
            <w:shd w:val="clear" w:color="auto" w:fill="C5E0B3"/>
          </w:tcPr>
          <w:p w14:paraId="70B40AF7" w14:textId="77777777" w:rsidR="00D84398" w:rsidRPr="009B3CF0" w:rsidRDefault="00D84398">
            <w:pPr>
              <w:pStyle w:val="Tabele"/>
              <w:jc w:val="right"/>
              <w:rPr>
                <w:b/>
                <w:bCs/>
                <w:color w:val="auto"/>
                <w:sz w:val="14"/>
                <w:szCs w:val="14"/>
              </w:rPr>
            </w:pPr>
            <w:r w:rsidRPr="009B3CF0">
              <w:rPr>
                <w:color w:val="auto"/>
                <w:sz w:val="14"/>
                <w:szCs w:val="14"/>
              </w:rPr>
              <w:t>5 104,07</w:t>
            </w:r>
          </w:p>
        </w:tc>
        <w:tc>
          <w:tcPr>
            <w:tcW w:w="954" w:type="dxa"/>
            <w:shd w:val="clear" w:color="auto" w:fill="C5E0B3"/>
          </w:tcPr>
          <w:p w14:paraId="46158B55" w14:textId="77777777" w:rsidR="00D84398" w:rsidRPr="009B3CF0" w:rsidRDefault="00D84398">
            <w:pPr>
              <w:pStyle w:val="Tabele"/>
              <w:jc w:val="right"/>
              <w:rPr>
                <w:b/>
                <w:bCs/>
                <w:color w:val="auto"/>
                <w:sz w:val="14"/>
                <w:szCs w:val="14"/>
              </w:rPr>
            </w:pPr>
            <w:r w:rsidRPr="009B3CF0">
              <w:rPr>
                <w:color w:val="auto"/>
                <w:sz w:val="14"/>
                <w:szCs w:val="14"/>
              </w:rPr>
              <w:t>4 160,83</w:t>
            </w:r>
          </w:p>
        </w:tc>
        <w:tc>
          <w:tcPr>
            <w:tcW w:w="954" w:type="dxa"/>
          </w:tcPr>
          <w:p w14:paraId="438F2168" w14:textId="77777777" w:rsidR="00D84398" w:rsidRPr="009B3CF0" w:rsidRDefault="00D84398">
            <w:pPr>
              <w:pStyle w:val="Tabele"/>
              <w:jc w:val="right"/>
              <w:rPr>
                <w:rFonts w:cs="Calibri"/>
                <w:color w:val="auto"/>
                <w:sz w:val="14"/>
                <w:szCs w:val="14"/>
              </w:rPr>
            </w:pPr>
            <w:r w:rsidRPr="009B3CF0">
              <w:rPr>
                <w:color w:val="auto"/>
                <w:sz w:val="14"/>
                <w:szCs w:val="14"/>
              </w:rPr>
              <w:t>3 745,00</w:t>
            </w:r>
          </w:p>
        </w:tc>
        <w:tc>
          <w:tcPr>
            <w:tcW w:w="954" w:type="dxa"/>
          </w:tcPr>
          <w:p w14:paraId="65017157" w14:textId="77777777" w:rsidR="00D84398" w:rsidRPr="009B3CF0" w:rsidRDefault="00D84398">
            <w:pPr>
              <w:pStyle w:val="Tabele"/>
              <w:jc w:val="right"/>
              <w:rPr>
                <w:rFonts w:cs="Calibri"/>
                <w:color w:val="auto"/>
                <w:sz w:val="14"/>
                <w:szCs w:val="14"/>
              </w:rPr>
            </w:pPr>
            <w:r w:rsidRPr="009B3CF0">
              <w:rPr>
                <w:color w:val="auto"/>
                <w:sz w:val="14"/>
                <w:szCs w:val="14"/>
              </w:rPr>
              <w:t>3 578,35</w:t>
            </w:r>
          </w:p>
        </w:tc>
        <w:tc>
          <w:tcPr>
            <w:tcW w:w="954" w:type="dxa"/>
          </w:tcPr>
          <w:p w14:paraId="0365F94A" w14:textId="77777777" w:rsidR="00D84398" w:rsidRPr="009B3CF0" w:rsidRDefault="00D84398">
            <w:pPr>
              <w:pStyle w:val="Tabele"/>
              <w:jc w:val="right"/>
              <w:rPr>
                <w:rFonts w:cs="Calibri"/>
                <w:color w:val="auto"/>
                <w:sz w:val="14"/>
                <w:szCs w:val="14"/>
              </w:rPr>
            </w:pPr>
            <w:r w:rsidRPr="009B3CF0">
              <w:rPr>
                <w:color w:val="auto"/>
                <w:sz w:val="14"/>
                <w:szCs w:val="14"/>
              </w:rPr>
              <w:t>3 545,16</w:t>
            </w:r>
          </w:p>
        </w:tc>
        <w:tc>
          <w:tcPr>
            <w:tcW w:w="955" w:type="dxa"/>
          </w:tcPr>
          <w:p w14:paraId="7A1947D2" w14:textId="77777777" w:rsidR="00D84398" w:rsidRPr="009B3CF0" w:rsidRDefault="00D84398">
            <w:pPr>
              <w:pStyle w:val="Tabele"/>
              <w:jc w:val="right"/>
              <w:rPr>
                <w:rFonts w:cs="Calibri"/>
                <w:color w:val="auto"/>
                <w:sz w:val="14"/>
                <w:szCs w:val="14"/>
              </w:rPr>
            </w:pPr>
            <w:r w:rsidRPr="009B3CF0">
              <w:rPr>
                <w:color w:val="auto"/>
                <w:sz w:val="14"/>
                <w:szCs w:val="14"/>
              </w:rPr>
              <w:t>3 277,79</w:t>
            </w:r>
          </w:p>
        </w:tc>
      </w:tr>
      <w:tr w:rsidR="007F0D2B" w:rsidRPr="009E39D0" w14:paraId="5A7E371A" w14:textId="77777777" w:rsidTr="00231812">
        <w:trPr>
          <w:trHeight w:val="228"/>
        </w:trPr>
        <w:tc>
          <w:tcPr>
            <w:tcW w:w="1555" w:type="dxa"/>
          </w:tcPr>
          <w:p w14:paraId="0C348766" w14:textId="77777777" w:rsidR="00D84398" w:rsidRPr="009B3CF0" w:rsidRDefault="00D84398">
            <w:pPr>
              <w:pStyle w:val="Tabele"/>
              <w:rPr>
                <w:bCs/>
                <w:color w:val="auto"/>
                <w:sz w:val="14"/>
                <w:szCs w:val="14"/>
              </w:rPr>
            </w:pPr>
            <w:r w:rsidRPr="009B3CF0">
              <w:rPr>
                <w:color w:val="auto"/>
                <w:sz w:val="14"/>
                <w:szCs w:val="14"/>
              </w:rPr>
              <w:t>Emisje pośrednie CO</w:t>
            </w:r>
            <w:r w:rsidRPr="009B3CF0">
              <w:rPr>
                <w:color w:val="auto"/>
                <w:sz w:val="14"/>
                <w:szCs w:val="14"/>
                <w:vertAlign w:val="subscript"/>
              </w:rPr>
              <w:t xml:space="preserve">2 </w:t>
            </w:r>
          </w:p>
        </w:tc>
        <w:tc>
          <w:tcPr>
            <w:tcW w:w="808" w:type="dxa"/>
            <w:shd w:val="clear" w:color="auto" w:fill="C5E0B3"/>
          </w:tcPr>
          <w:p w14:paraId="563B05E2" w14:textId="77777777" w:rsidR="00D84398" w:rsidRPr="009B3CF0" w:rsidRDefault="00D84398">
            <w:pPr>
              <w:pStyle w:val="Tabele"/>
              <w:jc w:val="right"/>
              <w:rPr>
                <w:b/>
                <w:bCs/>
                <w:color w:val="auto"/>
                <w:sz w:val="14"/>
                <w:szCs w:val="14"/>
              </w:rPr>
            </w:pPr>
            <w:r w:rsidRPr="009B3CF0">
              <w:rPr>
                <w:color w:val="auto"/>
                <w:sz w:val="14"/>
                <w:szCs w:val="14"/>
              </w:rPr>
              <w:t>551,23</w:t>
            </w:r>
          </w:p>
        </w:tc>
        <w:tc>
          <w:tcPr>
            <w:tcW w:w="954" w:type="dxa"/>
            <w:shd w:val="clear" w:color="auto" w:fill="C5E0B3"/>
          </w:tcPr>
          <w:p w14:paraId="315D80ED" w14:textId="77777777" w:rsidR="00D84398" w:rsidRPr="009B3CF0" w:rsidRDefault="00D84398">
            <w:pPr>
              <w:pStyle w:val="Tabele"/>
              <w:jc w:val="right"/>
              <w:rPr>
                <w:b/>
                <w:bCs/>
                <w:color w:val="auto"/>
                <w:sz w:val="14"/>
                <w:szCs w:val="14"/>
              </w:rPr>
            </w:pPr>
            <w:r w:rsidRPr="009B3CF0">
              <w:rPr>
                <w:color w:val="auto"/>
                <w:sz w:val="14"/>
                <w:szCs w:val="14"/>
              </w:rPr>
              <w:t>545,29</w:t>
            </w:r>
          </w:p>
        </w:tc>
        <w:tc>
          <w:tcPr>
            <w:tcW w:w="954" w:type="dxa"/>
            <w:shd w:val="clear" w:color="auto" w:fill="C5E0B3"/>
          </w:tcPr>
          <w:p w14:paraId="6B27C50F" w14:textId="77777777" w:rsidR="00D84398" w:rsidRPr="009B3CF0" w:rsidRDefault="00D84398">
            <w:pPr>
              <w:pStyle w:val="Tabele"/>
              <w:jc w:val="right"/>
              <w:rPr>
                <w:b/>
                <w:bCs/>
                <w:color w:val="auto"/>
                <w:sz w:val="14"/>
                <w:szCs w:val="14"/>
              </w:rPr>
            </w:pPr>
            <w:r w:rsidRPr="009B3CF0">
              <w:rPr>
                <w:color w:val="auto"/>
                <w:sz w:val="14"/>
                <w:szCs w:val="14"/>
              </w:rPr>
              <w:t>522,68</w:t>
            </w:r>
          </w:p>
        </w:tc>
        <w:tc>
          <w:tcPr>
            <w:tcW w:w="954" w:type="dxa"/>
            <w:shd w:val="clear" w:color="auto" w:fill="C5E0B3"/>
          </w:tcPr>
          <w:p w14:paraId="6FBFBCCB" w14:textId="77777777" w:rsidR="00D84398" w:rsidRPr="009B3CF0" w:rsidRDefault="00D84398">
            <w:pPr>
              <w:pStyle w:val="Tabele"/>
              <w:jc w:val="right"/>
              <w:rPr>
                <w:b/>
                <w:bCs/>
                <w:color w:val="auto"/>
                <w:sz w:val="14"/>
                <w:szCs w:val="14"/>
              </w:rPr>
            </w:pPr>
            <w:r w:rsidRPr="009B3CF0">
              <w:rPr>
                <w:color w:val="auto"/>
                <w:sz w:val="14"/>
                <w:szCs w:val="14"/>
              </w:rPr>
              <w:t>527,67</w:t>
            </w:r>
          </w:p>
        </w:tc>
        <w:tc>
          <w:tcPr>
            <w:tcW w:w="954" w:type="dxa"/>
          </w:tcPr>
          <w:p w14:paraId="29BAAAC3" w14:textId="77777777" w:rsidR="00D84398" w:rsidRPr="009B3CF0" w:rsidRDefault="00D84398">
            <w:pPr>
              <w:pStyle w:val="Tabele"/>
              <w:jc w:val="right"/>
              <w:rPr>
                <w:rFonts w:cs="Calibri"/>
                <w:color w:val="auto"/>
                <w:sz w:val="14"/>
                <w:szCs w:val="14"/>
              </w:rPr>
            </w:pPr>
            <w:r w:rsidRPr="009B3CF0">
              <w:rPr>
                <w:color w:val="auto"/>
                <w:sz w:val="14"/>
                <w:szCs w:val="14"/>
              </w:rPr>
              <w:t>405,62</w:t>
            </w:r>
          </w:p>
        </w:tc>
        <w:tc>
          <w:tcPr>
            <w:tcW w:w="954" w:type="dxa"/>
          </w:tcPr>
          <w:p w14:paraId="7935CDC8" w14:textId="77777777" w:rsidR="00D84398" w:rsidRPr="009B3CF0" w:rsidRDefault="00D84398">
            <w:pPr>
              <w:pStyle w:val="Tabele"/>
              <w:jc w:val="right"/>
              <w:rPr>
                <w:rFonts w:cs="Calibri"/>
                <w:color w:val="auto"/>
                <w:sz w:val="14"/>
                <w:szCs w:val="14"/>
              </w:rPr>
            </w:pPr>
            <w:r w:rsidRPr="009B3CF0">
              <w:rPr>
                <w:color w:val="auto"/>
                <w:sz w:val="14"/>
                <w:szCs w:val="14"/>
              </w:rPr>
              <w:t>400,57</w:t>
            </w:r>
          </w:p>
        </w:tc>
        <w:tc>
          <w:tcPr>
            <w:tcW w:w="954" w:type="dxa"/>
          </w:tcPr>
          <w:p w14:paraId="202474C8" w14:textId="77777777" w:rsidR="00D84398" w:rsidRPr="009B3CF0" w:rsidRDefault="00D84398">
            <w:pPr>
              <w:pStyle w:val="Tabele"/>
              <w:jc w:val="right"/>
              <w:rPr>
                <w:rFonts w:cs="Calibri"/>
                <w:color w:val="auto"/>
                <w:sz w:val="14"/>
                <w:szCs w:val="14"/>
              </w:rPr>
            </w:pPr>
            <w:r w:rsidRPr="009B3CF0">
              <w:rPr>
                <w:color w:val="auto"/>
                <w:sz w:val="14"/>
                <w:szCs w:val="14"/>
              </w:rPr>
              <w:t>393,29</w:t>
            </w:r>
          </w:p>
        </w:tc>
        <w:tc>
          <w:tcPr>
            <w:tcW w:w="955" w:type="dxa"/>
          </w:tcPr>
          <w:p w14:paraId="31A0F1B3" w14:textId="77777777" w:rsidR="00D84398" w:rsidRPr="009B3CF0" w:rsidRDefault="00D84398">
            <w:pPr>
              <w:pStyle w:val="Tabele"/>
              <w:jc w:val="right"/>
              <w:rPr>
                <w:rFonts w:cs="Calibri"/>
                <w:color w:val="auto"/>
                <w:sz w:val="14"/>
                <w:szCs w:val="14"/>
              </w:rPr>
            </w:pPr>
            <w:r w:rsidRPr="009B3CF0">
              <w:rPr>
                <w:color w:val="auto"/>
                <w:sz w:val="14"/>
                <w:szCs w:val="14"/>
              </w:rPr>
              <w:t>387,61</w:t>
            </w:r>
          </w:p>
        </w:tc>
      </w:tr>
      <w:tr w:rsidR="007F0D2B" w:rsidRPr="009E39D0" w14:paraId="64ED3473" w14:textId="77777777" w:rsidTr="00231812">
        <w:trPr>
          <w:trHeight w:val="228"/>
        </w:trPr>
        <w:tc>
          <w:tcPr>
            <w:tcW w:w="1555" w:type="dxa"/>
          </w:tcPr>
          <w:p w14:paraId="3714CDC4" w14:textId="77777777" w:rsidR="00D84398" w:rsidRPr="009B3CF0" w:rsidRDefault="00D84398">
            <w:pPr>
              <w:pStyle w:val="Tabele"/>
              <w:rPr>
                <w:bCs/>
                <w:color w:val="auto"/>
                <w:sz w:val="14"/>
                <w:szCs w:val="14"/>
              </w:rPr>
            </w:pPr>
            <w:r w:rsidRPr="009B3CF0">
              <w:rPr>
                <w:color w:val="auto"/>
                <w:sz w:val="14"/>
                <w:szCs w:val="14"/>
              </w:rPr>
              <w:t xml:space="preserve">Suma (z uwzg. LULUCF)* </w:t>
            </w:r>
          </w:p>
        </w:tc>
        <w:tc>
          <w:tcPr>
            <w:tcW w:w="808" w:type="dxa"/>
            <w:shd w:val="clear" w:color="auto" w:fill="C5E0B3"/>
          </w:tcPr>
          <w:p w14:paraId="3426B291" w14:textId="77777777" w:rsidR="00D84398" w:rsidRPr="009B3CF0" w:rsidRDefault="00D84398">
            <w:pPr>
              <w:pStyle w:val="Tabele"/>
              <w:jc w:val="right"/>
              <w:rPr>
                <w:b/>
                <w:bCs/>
                <w:color w:val="auto"/>
                <w:sz w:val="14"/>
                <w:szCs w:val="14"/>
              </w:rPr>
            </w:pPr>
            <w:r w:rsidRPr="009B3CF0">
              <w:rPr>
                <w:color w:val="auto"/>
                <w:sz w:val="14"/>
                <w:szCs w:val="14"/>
              </w:rPr>
              <w:t>351 369,44</w:t>
            </w:r>
          </w:p>
        </w:tc>
        <w:tc>
          <w:tcPr>
            <w:tcW w:w="954" w:type="dxa"/>
            <w:shd w:val="clear" w:color="auto" w:fill="C5E0B3"/>
          </w:tcPr>
          <w:p w14:paraId="4B9D40C3" w14:textId="77777777" w:rsidR="00D84398" w:rsidRPr="009B3CF0" w:rsidRDefault="00D84398">
            <w:pPr>
              <w:pStyle w:val="Tabele"/>
              <w:jc w:val="right"/>
              <w:rPr>
                <w:b/>
                <w:bCs/>
                <w:color w:val="auto"/>
                <w:sz w:val="14"/>
                <w:szCs w:val="14"/>
              </w:rPr>
            </w:pPr>
            <w:r w:rsidRPr="009B3CF0">
              <w:rPr>
                <w:color w:val="auto"/>
                <w:sz w:val="14"/>
                <w:szCs w:val="14"/>
              </w:rPr>
              <w:t>370 887,30</w:t>
            </w:r>
          </w:p>
        </w:tc>
        <w:tc>
          <w:tcPr>
            <w:tcW w:w="954" w:type="dxa"/>
            <w:shd w:val="clear" w:color="auto" w:fill="C5E0B3"/>
          </w:tcPr>
          <w:p w14:paraId="6ACA5BBE" w14:textId="77777777" w:rsidR="00D84398" w:rsidRPr="009B3CF0" w:rsidRDefault="00D84398">
            <w:pPr>
              <w:pStyle w:val="Tabele"/>
              <w:jc w:val="right"/>
              <w:rPr>
                <w:b/>
                <w:bCs/>
                <w:color w:val="auto"/>
                <w:sz w:val="14"/>
                <w:szCs w:val="14"/>
              </w:rPr>
            </w:pPr>
            <w:r w:rsidRPr="009B3CF0">
              <w:rPr>
                <w:color w:val="auto"/>
                <w:sz w:val="14"/>
                <w:szCs w:val="14"/>
              </w:rPr>
              <w:t>349 355,77</w:t>
            </w:r>
          </w:p>
        </w:tc>
        <w:tc>
          <w:tcPr>
            <w:tcW w:w="954" w:type="dxa"/>
            <w:shd w:val="clear" w:color="auto" w:fill="C5E0B3"/>
          </w:tcPr>
          <w:p w14:paraId="702E7F3B" w14:textId="77777777" w:rsidR="00D84398" w:rsidRPr="009B3CF0" w:rsidRDefault="00D84398">
            <w:pPr>
              <w:pStyle w:val="Tabele"/>
              <w:jc w:val="right"/>
              <w:rPr>
                <w:b/>
                <w:bCs/>
                <w:color w:val="auto"/>
                <w:sz w:val="14"/>
                <w:szCs w:val="14"/>
              </w:rPr>
            </w:pPr>
            <w:r w:rsidRPr="009B3CF0">
              <w:rPr>
                <w:color w:val="auto"/>
                <w:sz w:val="14"/>
                <w:szCs w:val="14"/>
              </w:rPr>
              <w:t>348 108,25</w:t>
            </w:r>
          </w:p>
        </w:tc>
        <w:tc>
          <w:tcPr>
            <w:tcW w:w="954" w:type="dxa"/>
          </w:tcPr>
          <w:p w14:paraId="42D3FA56" w14:textId="77777777" w:rsidR="00D84398" w:rsidRPr="009B3CF0" w:rsidRDefault="00D84398">
            <w:pPr>
              <w:pStyle w:val="Tabele"/>
              <w:jc w:val="right"/>
              <w:rPr>
                <w:rFonts w:cs="Calibri"/>
                <w:color w:val="auto"/>
                <w:sz w:val="14"/>
                <w:szCs w:val="14"/>
              </w:rPr>
            </w:pPr>
            <w:r w:rsidRPr="009B3CF0">
              <w:rPr>
                <w:color w:val="auto"/>
                <w:sz w:val="14"/>
                <w:szCs w:val="14"/>
              </w:rPr>
              <w:t>310 378,15</w:t>
            </w:r>
          </w:p>
        </w:tc>
        <w:tc>
          <w:tcPr>
            <w:tcW w:w="954" w:type="dxa"/>
          </w:tcPr>
          <w:p w14:paraId="5937917A" w14:textId="77777777" w:rsidR="00D84398" w:rsidRPr="009B3CF0" w:rsidRDefault="00D84398">
            <w:pPr>
              <w:pStyle w:val="Tabele"/>
              <w:jc w:val="right"/>
              <w:rPr>
                <w:rFonts w:cs="Calibri"/>
                <w:color w:val="auto"/>
                <w:sz w:val="14"/>
                <w:szCs w:val="14"/>
              </w:rPr>
            </w:pPr>
            <w:r w:rsidRPr="009B3CF0">
              <w:rPr>
                <w:color w:val="auto"/>
                <w:sz w:val="14"/>
                <w:szCs w:val="14"/>
              </w:rPr>
              <w:t>253 673,58</w:t>
            </w:r>
          </w:p>
        </w:tc>
        <w:tc>
          <w:tcPr>
            <w:tcW w:w="954" w:type="dxa"/>
          </w:tcPr>
          <w:p w14:paraId="43D4E62A" w14:textId="77777777" w:rsidR="00D84398" w:rsidRPr="009B3CF0" w:rsidRDefault="00D84398">
            <w:pPr>
              <w:pStyle w:val="Tabele"/>
              <w:jc w:val="right"/>
              <w:rPr>
                <w:rFonts w:cs="Calibri"/>
                <w:color w:val="auto"/>
                <w:sz w:val="14"/>
                <w:szCs w:val="14"/>
              </w:rPr>
            </w:pPr>
            <w:r w:rsidRPr="009B3CF0">
              <w:rPr>
                <w:color w:val="auto"/>
                <w:sz w:val="14"/>
                <w:szCs w:val="14"/>
              </w:rPr>
              <w:t>218 269,75</w:t>
            </w:r>
          </w:p>
        </w:tc>
        <w:tc>
          <w:tcPr>
            <w:tcW w:w="955" w:type="dxa"/>
          </w:tcPr>
          <w:p w14:paraId="598EA1DD" w14:textId="77777777" w:rsidR="00D84398" w:rsidRPr="009B3CF0" w:rsidRDefault="00D84398">
            <w:pPr>
              <w:pStyle w:val="Tabele"/>
              <w:jc w:val="right"/>
              <w:rPr>
                <w:rFonts w:cs="Calibri"/>
                <w:color w:val="auto"/>
                <w:sz w:val="14"/>
                <w:szCs w:val="14"/>
              </w:rPr>
            </w:pPr>
            <w:r w:rsidRPr="009B3CF0">
              <w:rPr>
                <w:color w:val="auto"/>
                <w:sz w:val="14"/>
                <w:szCs w:val="14"/>
              </w:rPr>
              <w:t>174 780,51</w:t>
            </w:r>
          </w:p>
        </w:tc>
      </w:tr>
      <w:tr w:rsidR="007F0D2B" w:rsidRPr="009E39D0" w14:paraId="1D6C3F93" w14:textId="77777777" w:rsidTr="00231812">
        <w:trPr>
          <w:trHeight w:val="228"/>
        </w:trPr>
        <w:tc>
          <w:tcPr>
            <w:tcW w:w="1555" w:type="dxa"/>
          </w:tcPr>
          <w:p w14:paraId="7B02163C" w14:textId="77777777" w:rsidR="00D84398" w:rsidRPr="009B3CF0" w:rsidRDefault="00D84398">
            <w:pPr>
              <w:pStyle w:val="Tabele"/>
              <w:rPr>
                <w:b/>
                <w:bCs/>
                <w:color w:val="auto"/>
                <w:sz w:val="14"/>
                <w:szCs w:val="14"/>
              </w:rPr>
            </w:pPr>
            <w:r w:rsidRPr="009B3CF0">
              <w:rPr>
                <w:b/>
                <w:color w:val="auto"/>
                <w:sz w:val="14"/>
                <w:szCs w:val="14"/>
              </w:rPr>
              <w:t>Suma (bez LULUCF)*</w:t>
            </w:r>
          </w:p>
        </w:tc>
        <w:tc>
          <w:tcPr>
            <w:tcW w:w="808" w:type="dxa"/>
            <w:shd w:val="clear" w:color="auto" w:fill="C5E0B3"/>
          </w:tcPr>
          <w:p w14:paraId="1A1C02AC" w14:textId="77777777" w:rsidR="00D84398" w:rsidRPr="009B3CF0" w:rsidRDefault="00D84398">
            <w:pPr>
              <w:pStyle w:val="Tabele"/>
              <w:jc w:val="right"/>
              <w:rPr>
                <w:b/>
                <w:bCs/>
                <w:color w:val="auto"/>
                <w:sz w:val="14"/>
                <w:szCs w:val="14"/>
              </w:rPr>
            </w:pPr>
            <w:r w:rsidRPr="009B3CF0">
              <w:rPr>
                <w:b/>
                <w:color w:val="auto"/>
                <w:sz w:val="14"/>
                <w:szCs w:val="14"/>
              </w:rPr>
              <w:t>401 944,13</w:t>
            </w:r>
          </w:p>
        </w:tc>
        <w:tc>
          <w:tcPr>
            <w:tcW w:w="954" w:type="dxa"/>
            <w:shd w:val="clear" w:color="auto" w:fill="C5E0B3"/>
          </w:tcPr>
          <w:p w14:paraId="3F9F322A" w14:textId="77777777" w:rsidR="00D84398" w:rsidRPr="009B3CF0" w:rsidRDefault="00D84398">
            <w:pPr>
              <w:pStyle w:val="Tabele"/>
              <w:jc w:val="right"/>
              <w:rPr>
                <w:b/>
                <w:bCs/>
                <w:color w:val="auto"/>
                <w:sz w:val="14"/>
                <w:szCs w:val="14"/>
              </w:rPr>
            </w:pPr>
            <w:r w:rsidRPr="009B3CF0">
              <w:rPr>
                <w:b/>
                <w:color w:val="auto"/>
                <w:sz w:val="14"/>
                <w:szCs w:val="14"/>
              </w:rPr>
              <w:t>407 222,02</w:t>
            </w:r>
          </w:p>
        </w:tc>
        <w:tc>
          <w:tcPr>
            <w:tcW w:w="954" w:type="dxa"/>
            <w:shd w:val="clear" w:color="auto" w:fill="C5E0B3"/>
          </w:tcPr>
          <w:p w14:paraId="59543924" w14:textId="77777777" w:rsidR="00D84398" w:rsidRPr="009B3CF0" w:rsidRDefault="00D84398">
            <w:pPr>
              <w:pStyle w:val="Tabele"/>
              <w:jc w:val="right"/>
              <w:rPr>
                <w:b/>
                <w:bCs/>
                <w:color w:val="auto"/>
                <w:sz w:val="14"/>
                <w:szCs w:val="14"/>
              </w:rPr>
            </w:pPr>
            <w:r w:rsidRPr="009B3CF0">
              <w:rPr>
                <w:b/>
                <w:color w:val="auto"/>
                <w:sz w:val="14"/>
                <w:szCs w:val="14"/>
              </w:rPr>
              <w:t>383 455,73</w:t>
            </w:r>
          </w:p>
        </w:tc>
        <w:tc>
          <w:tcPr>
            <w:tcW w:w="954" w:type="dxa"/>
            <w:shd w:val="clear" w:color="auto" w:fill="C5E0B3"/>
          </w:tcPr>
          <w:p w14:paraId="0F2109A6" w14:textId="77777777" w:rsidR="00D84398" w:rsidRPr="009B3CF0" w:rsidRDefault="00D84398">
            <w:pPr>
              <w:pStyle w:val="Tabele"/>
              <w:jc w:val="right"/>
              <w:rPr>
                <w:b/>
                <w:bCs/>
                <w:color w:val="auto"/>
                <w:sz w:val="14"/>
                <w:szCs w:val="14"/>
              </w:rPr>
            </w:pPr>
            <w:r w:rsidRPr="009B3CF0">
              <w:rPr>
                <w:b/>
                <w:color w:val="auto"/>
                <w:sz w:val="14"/>
                <w:szCs w:val="14"/>
              </w:rPr>
              <w:t>371 438,43</w:t>
            </w:r>
          </w:p>
        </w:tc>
        <w:tc>
          <w:tcPr>
            <w:tcW w:w="954" w:type="dxa"/>
          </w:tcPr>
          <w:p w14:paraId="017BEA8B" w14:textId="77777777" w:rsidR="00D84398" w:rsidRPr="009B3CF0" w:rsidRDefault="00D84398">
            <w:pPr>
              <w:pStyle w:val="Tabele"/>
              <w:jc w:val="right"/>
              <w:rPr>
                <w:rFonts w:cs="Calibri"/>
                <w:b/>
                <w:color w:val="auto"/>
                <w:sz w:val="14"/>
                <w:szCs w:val="14"/>
              </w:rPr>
            </w:pPr>
            <w:r w:rsidRPr="009B3CF0">
              <w:rPr>
                <w:b/>
                <w:color w:val="auto"/>
                <w:sz w:val="14"/>
                <w:szCs w:val="14"/>
              </w:rPr>
              <w:t>346 860,40</w:t>
            </w:r>
          </w:p>
        </w:tc>
        <w:tc>
          <w:tcPr>
            <w:tcW w:w="954" w:type="dxa"/>
          </w:tcPr>
          <w:p w14:paraId="09E183AE" w14:textId="77777777" w:rsidR="00D84398" w:rsidRPr="009B3CF0" w:rsidRDefault="00D84398">
            <w:pPr>
              <w:pStyle w:val="Tabele"/>
              <w:jc w:val="right"/>
              <w:rPr>
                <w:rFonts w:cs="Calibri"/>
                <w:b/>
                <w:color w:val="auto"/>
                <w:sz w:val="14"/>
                <w:szCs w:val="14"/>
              </w:rPr>
            </w:pPr>
            <w:r w:rsidRPr="009B3CF0">
              <w:rPr>
                <w:b/>
                <w:color w:val="auto"/>
                <w:sz w:val="14"/>
                <w:szCs w:val="14"/>
              </w:rPr>
              <w:t>282 490,73</w:t>
            </w:r>
          </w:p>
        </w:tc>
        <w:tc>
          <w:tcPr>
            <w:tcW w:w="954" w:type="dxa"/>
          </w:tcPr>
          <w:p w14:paraId="2B8571FF" w14:textId="77777777" w:rsidR="00D84398" w:rsidRPr="009B3CF0" w:rsidRDefault="00D84398">
            <w:pPr>
              <w:pStyle w:val="Tabele"/>
              <w:jc w:val="right"/>
              <w:rPr>
                <w:rFonts w:cs="Calibri"/>
                <w:b/>
                <w:color w:val="auto"/>
                <w:sz w:val="14"/>
                <w:szCs w:val="14"/>
              </w:rPr>
            </w:pPr>
            <w:r w:rsidRPr="009B3CF0">
              <w:rPr>
                <w:b/>
                <w:color w:val="auto"/>
                <w:sz w:val="14"/>
                <w:szCs w:val="14"/>
              </w:rPr>
              <w:t>244 296,60</w:t>
            </w:r>
          </w:p>
        </w:tc>
        <w:tc>
          <w:tcPr>
            <w:tcW w:w="955" w:type="dxa"/>
          </w:tcPr>
          <w:p w14:paraId="39730310" w14:textId="77777777" w:rsidR="00D84398" w:rsidRPr="009B3CF0" w:rsidRDefault="00D84398">
            <w:pPr>
              <w:pStyle w:val="Tabele"/>
              <w:jc w:val="right"/>
              <w:rPr>
                <w:rFonts w:cs="Calibri"/>
                <w:b/>
                <w:color w:val="auto"/>
                <w:sz w:val="14"/>
                <w:szCs w:val="14"/>
              </w:rPr>
            </w:pPr>
            <w:r w:rsidRPr="009B3CF0">
              <w:rPr>
                <w:b/>
                <w:color w:val="auto"/>
                <w:sz w:val="14"/>
                <w:szCs w:val="14"/>
              </w:rPr>
              <w:t>194 342,75</w:t>
            </w:r>
          </w:p>
        </w:tc>
      </w:tr>
      <w:tr w:rsidR="007F0D2B" w:rsidRPr="009E39D0" w14:paraId="494970EB" w14:textId="77777777" w:rsidTr="00231812">
        <w:trPr>
          <w:cantSplit w:val="0"/>
          <w:trHeight w:val="228"/>
          <w:tblHeader/>
        </w:trPr>
        <w:tc>
          <w:tcPr>
            <w:tcW w:w="1555" w:type="dxa"/>
            <w:shd w:val="clear" w:color="auto" w:fill="70AD47" w:themeFill="accent6"/>
          </w:tcPr>
          <w:p w14:paraId="5CCFB2DB" w14:textId="77777777" w:rsidR="00D84398" w:rsidRPr="009B3CF0" w:rsidRDefault="00D84398">
            <w:pPr>
              <w:pStyle w:val="Tabele"/>
              <w:jc w:val="center"/>
              <w:rPr>
                <w:color w:val="auto"/>
                <w:sz w:val="14"/>
                <w:szCs w:val="14"/>
              </w:rPr>
            </w:pPr>
          </w:p>
        </w:tc>
        <w:tc>
          <w:tcPr>
            <w:tcW w:w="7487" w:type="dxa"/>
            <w:gridSpan w:val="8"/>
            <w:shd w:val="clear" w:color="auto" w:fill="70AD47" w:themeFill="accent6"/>
          </w:tcPr>
          <w:p w14:paraId="0300B50B" w14:textId="36B13469" w:rsidR="00A82334" w:rsidRPr="009B3CF0" w:rsidRDefault="00A82334">
            <w:pPr>
              <w:pStyle w:val="Tabele"/>
              <w:jc w:val="center"/>
              <w:rPr>
                <w:b/>
                <w:sz w:val="14"/>
                <w:szCs w:val="14"/>
              </w:rPr>
            </w:pPr>
            <w:r w:rsidRPr="009B3CF0">
              <w:rPr>
                <w:b/>
                <w:sz w:val="14"/>
                <w:szCs w:val="14"/>
              </w:rPr>
              <w:t>WAM</w:t>
            </w:r>
          </w:p>
        </w:tc>
      </w:tr>
      <w:tr w:rsidR="007F0D2B" w:rsidRPr="009E39D0" w14:paraId="0AEA192B" w14:textId="77777777" w:rsidTr="00231812">
        <w:trPr>
          <w:trHeight w:val="228"/>
        </w:trPr>
        <w:tc>
          <w:tcPr>
            <w:tcW w:w="1555" w:type="dxa"/>
          </w:tcPr>
          <w:p w14:paraId="217DD1C5" w14:textId="77777777" w:rsidR="00D84398" w:rsidRPr="009B3CF0" w:rsidRDefault="00D84398">
            <w:pPr>
              <w:pStyle w:val="Tabele"/>
              <w:rPr>
                <w:b/>
                <w:bCs/>
                <w:color w:val="auto"/>
                <w:sz w:val="14"/>
                <w:szCs w:val="14"/>
              </w:rPr>
            </w:pPr>
            <w:r w:rsidRPr="009B3CF0">
              <w:rPr>
                <w:color w:val="auto"/>
                <w:sz w:val="14"/>
                <w:szCs w:val="14"/>
              </w:rPr>
              <w:t xml:space="preserve">1. Energia </w:t>
            </w:r>
          </w:p>
        </w:tc>
        <w:tc>
          <w:tcPr>
            <w:tcW w:w="808" w:type="dxa"/>
            <w:shd w:val="clear" w:color="auto" w:fill="C5E0B3"/>
          </w:tcPr>
          <w:p w14:paraId="72E549B5" w14:textId="77777777" w:rsidR="00D84398" w:rsidRPr="009B3CF0" w:rsidRDefault="00D84398">
            <w:pPr>
              <w:pStyle w:val="Tabele"/>
              <w:jc w:val="right"/>
              <w:rPr>
                <w:bCs/>
                <w:color w:val="auto"/>
                <w:sz w:val="14"/>
                <w:szCs w:val="14"/>
              </w:rPr>
            </w:pPr>
            <w:r w:rsidRPr="009B3CF0">
              <w:rPr>
                <w:color w:val="auto"/>
                <w:sz w:val="14"/>
                <w:szCs w:val="14"/>
              </w:rPr>
              <w:t>334 328,14</w:t>
            </w:r>
          </w:p>
        </w:tc>
        <w:tc>
          <w:tcPr>
            <w:tcW w:w="954" w:type="dxa"/>
            <w:shd w:val="clear" w:color="auto" w:fill="C5E0B3"/>
          </w:tcPr>
          <w:p w14:paraId="6149881B" w14:textId="77777777" w:rsidR="00D84398" w:rsidRPr="009B3CF0" w:rsidRDefault="00D84398">
            <w:pPr>
              <w:pStyle w:val="Tabele"/>
              <w:jc w:val="right"/>
              <w:rPr>
                <w:bCs/>
                <w:color w:val="auto"/>
                <w:sz w:val="14"/>
                <w:szCs w:val="14"/>
              </w:rPr>
            </w:pPr>
            <w:r w:rsidRPr="009B3CF0">
              <w:rPr>
                <w:color w:val="auto"/>
                <w:sz w:val="14"/>
                <w:szCs w:val="14"/>
              </w:rPr>
              <w:t>344 424,45</w:t>
            </w:r>
          </w:p>
        </w:tc>
        <w:tc>
          <w:tcPr>
            <w:tcW w:w="954" w:type="dxa"/>
            <w:shd w:val="clear" w:color="auto" w:fill="C5E0B3"/>
          </w:tcPr>
          <w:p w14:paraId="5CF76E9D" w14:textId="77777777" w:rsidR="00D84398" w:rsidRPr="009B3CF0" w:rsidRDefault="00D84398">
            <w:pPr>
              <w:pStyle w:val="Tabele"/>
              <w:jc w:val="right"/>
              <w:rPr>
                <w:bCs/>
                <w:color w:val="auto"/>
                <w:sz w:val="14"/>
                <w:szCs w:val="14"/>
              </w:rPr>
            </w:pPr>
            <w:r w:rsidRPr="009B3CF0">
              <w:rPr>
                <w:color w:val="auto"/>
                <w:sz w:val="14"/>
                <w:szCs w:val="14"/>
              </w:rPr>
              <w:t>321 697,02</w:t>
            </w:r>
          </w:p>
        </w:tc>
        <w:tc>
          <w:tcPr>
            <w:tcW w:w="954" w:type="dxa"/>
            <w:shd w:val="clear" w:color="auto" w:fill="C5E0B3"/>
          </w:tcPr>
          <w:p w14:paraId="1B5B7213" w14:textId="77777777" w:rsidR="00D84398" w:rsidRPr="009B3CF0" w:rsidRDefault="00D84398">
            <w:pPr>
              <w:pStyle w:val="Tabele"/>
              <w:jc w:val="right"/>
              <w:rPr>
                <w:bCs/>
                <w:color w:val="auto"/>
                <w:sz w:val="14"/>
                <w:szCs w:val="14"/>
              </w:rPr>
            </w:pPr>
            <w:r w:rsidRPr="009B3CF0">
              <w:rPr>
                <w:color w:val="auto"/>
                <w:sz w:val="14"/>
                <w:szCs w:val="14"/>
              </w:rPr>
              <w:t>307 997,84</w:t>
            </w:r>
          </w:p>
        </w:tc>
        <w:tc>
          <w:tcPr>
            <w:tcW w:w="954" w:type="dxa"/>
          </w:tcPr>
          <w:p w14:paraId="1E34121B" w14:textId="77777777" w:rsidR="00D84398" w:rsidRPr="009B3CF0" w:rsidRDefault="00D84398">
            <w:pPr>
              <w:pStyle w:val="Tabele"/>
              <w:jc w:val="right"/>
              <w:rPr>
                <w:bCs/>
                <w:color w:val="auto"/>
                <w:sz w:val="14"/>
                <w:szCs w:val="14"/>
                <w:highlight w:val="yellow"/>
              </w:rPr>
            </w:pPr>
            <w:r w:rsidRPr="009B3CF0">
              <w:rPr>
                <w:color w:val="auto"/>
                <w:sz w:val="14"/>
                <w:szCs w:val="14"/>
              </w:rPr>
              <w:t>275 665,91</w:t>
            </w:r>
          </w:p>
        </w:tc>
        <w:tc>
          <w:tcPr>
            <w:tcW w:w="954" w:type="dxa"/>
          </w:tcPr>
          <w:p w14:paraId="4EA7490F" w14:textId="77777777" w:rsidR="00D84398" w:rsidRPr="009B3CF0" w:rsidRDefault="00D84398">
            <w:pPr>
              <w:pStyle w:val="Tabele"/>
              <w:jc w:val="right"/>
              <w:rPr>
                <w:bCs/>
                <w:color w:val="auto"/>
                <w:sz w:val="14"/>
                <w:szCs w:val="14"/>
                <w:highlight w:val="yellow"/>
              </w:rPr>
            </w:pPr>
            <w:r w:rsidRPr="009B3CF0">
              <w:rPr>
                <w:color w:val="auto"/>
                <w:sz w:val="14"/>
                <w:szCs w:val="14"/>
              </w:rPr>
              <w:t>199 664,96</w:t>
            </w:r>
          </w:p>
        </w:tc>
        <w:tc>
          <w:tcPr>
            <w:tcW w:w="954" w:type="dxa"/>
          </w:tcPr>
          <w:p w14:paraId="02AAA795" w14:textId="77777777" w:rsidR="00D84398" w:rsidRPr="009B3CF0" w:rsidRDefault="00D84398">
            <w:pPr>
              <w:pStyle w:val="Tabele"/>
              <w:jc w:val="right"/>
              <w:rPr>
                <w:bCs/>
                <w:color w:val="auto"/>
                <w:sz w:val="14"/>
                <w:szCs w:val="14"/>
                <w:highlight w:val="yellow"/>
              </w:rPr>
            </w:pPr>
            <w:r w:rsidRPr="009B3CF0">
              <w:rPr>
                <w:color w:val="auto"/>
                <w:sz w:val="14"/>
                <w:szCs w:val="14"/>
              </w:rPr>
              <w:t>139 107,65</w:t>
            </w:r>
          </w:p>
        </w:tc>
        <w:tc>
          <w:tcPr>
            <w:tcW w:w="955" w:type="dxa"/>
          </w:tcPr>
          <w:p w14:paraId="67EBBE84" w14:textId="77777777" w:rsidR="00D84398" w:rsidRPr="009B3CF0" w:rsidRDefault="00D84398">
            <w:pPr>
              <w:pStyle w:val="Tabele"/>
              <w:jc w:val="right"/>
              <w:rPr>
                <w:bCs/>
                <w:color w:val="auto"/>
                <w:sz w:val="14"/>
                <w:szCs w:val="14"/>
                <w:highlight w:val="yellow"/>
              </w:rPr>
            </w:pPr>
            <w:r w:rsidRPr="009B3CF0">
              <w:rPr>
                <w:color w:val="auto"/>
                <w:sz w:val="14"/>
                <w:szCs w:val="14"/>
              </w:rPr>
              <w:t>97 887,98</w:t>
            </w:r>
          </w:p>
        </w:tc>
      </w:tr>
      <w:tr w:rsidR="007F0D2B" w:rsidRPr="009E39D0" w14:paraId="0D2E8B8F" w14:textId="77777777" w:rsidTr="00231812">
        <w:trPr>
          <w:trHeight w:val="228"/>
        </w:trPr>
        <w:tc>
          <w:tcPr>
            <w:tcW w:w="1555" w:type="dxa"/>
          </w:tcPr>
          <w:p w14:paraId="51D43C58" w14:textId="77777777" w:rsidR="00D84398" w:rsidRPr="009B3CF0" w:rsidRDefault="00D84398">
            <w:pPr>
              <w:pStyle w:val="Tabele"/>
              <w:rPr>
                <w:b/>
                <w:bCs/>
                <w:color w:val="auto"/>
                <w:sz w:val="14"/>
                <w:szCs w:val="14"/>
              </w:rPr>
            </w:pPr>
            <w:r w:rsidRPr="009B3CF0">
              <w:rPr>
                <w:color w:val="auto"/>
                <w:sz w:val="14"/>
                <w:szCs w:val="14"/>
              </w:rPr>
              <w:t xml:space="preserve">2. Procesy przemysłowe i użytkowanie produktów </w:t>
            </w:r>
          </w:p>
        </w:tc>
        <w:tc>
          <w:tcPr>
            <w:tcW w:w="808" w:type="dxa"/>
            <w:shd w:val="clear" w:color="auto" w:fill="C5E0B3"/>
          </w:tcPr>
          <w:p w14:paraId="561BDEE0" w14:textId="77777777" w:rsidR="00D84398" w:rsidRPr="009B3CF0" w:rsidRDefault="00D84398">
            <w:pPr>
              <w:pStyle w:val="Tabele"/>
              <w:jc w:val="right"/>
              <w:rPr>
                <w:bCs/>
                <w:color w:val="auto"/>
                <w:sz w:val="14"/>
                <w:szCs w:val="14"/>
              </w:rPr>
            </w:pPr>
            <w:r w:rsidRPr="009B3CF0">
              <w:rPr>
                <w:color w:val="auto"/>
                <w:sz w:val="14"/>
                <w:szCs w:val="14"/>
              </w:rPr>
              <w:t>23 732,01</w:t>
            </w:r>
          </w:p>
        </w:tc>
        <w:tc>
          <w:tcPr>
            <w:tcW w:w="954" w:type="dxa"/>
            <w:shd w:val="clear" w:color="auto" w:fill="C5E0B3"/>
          </w:tcPr>
          <w:p w14:paraId="0642083A" w14:textId="77777777" w:rsidR="00D84398" w:rsidRPr="009B3CF0" w:rsidRDefault="00D84398">
            <w:pPr>
              <w:pStyle w:val="Tabele"/>
              <w:jc w:val="right"/>
              <w:rPr>
                <w:bCs/>
                <w:color w:val="auto"/>
                <w:sz w:val="14"/>
                <w:szCs w:val="14"/>
              </w:rPr>
            </w:pPr>
            <w:r w:rsidRPr="009B3CF0">
              <w:rPr>
                <w:color w:val="auto"/>
                <w:sz w:val="14"/>
                <w:szCs w:val="14"/>
              </w:rPr>
              <w:t>22 882,28</w:t>
            </w:r>
          </w:p>
        </w:tc>
        <w:tc>
          <w:tcPr>
            <w:tcW w:w="954" w:type="dxa"/>
            <w:shd w:val="clear" w:color="auto" w:fill="C5E0B3"/>
          </w:tcPr>
          <w:p w14:paraId="2E424C2C" w14:textId="77777777" w:rsidR="00D84398" w:rsidRPr="009B3CF0" w:rsidRDefault="00D84398">
            <w:pPr>
              <w:pStyle w:val="Tabele"/>
              <w:jc w:val="right"/>
              <w:rPr>
                <w:bCs/>
                <w:color w:val="auto"/>
                <w:sz w:val="14"/>
                <w:szCs w:val="14"/>
              </w:rPr>
            </w:pPr>
            <w:r w:rsidRPr="009B3CF0">
              <w:rPr>
                <w:color w:val="auto"/>
                <w:sz w:val="14"/>
                <w:szCs w:val="14"/>
              </w:rPr>
              <w:t>24 356,91</w:t>
            </w:r>
          </w:p>
        </w:tc>
        <w:tc>
          <w:tcPr>
            <w:tcW w:w="954" w:type="dxa"/>
            <w:shd w:val="clear" w:color="auto" w:fill="C5E0B3"/>
          </w:tcPr>
          <w:p w14:paraId="4071092E" w14:textId="77777777" w:rsidR="00D84398" w:rsidRPr="009B3CF0" w:rsidRDefault="00D84398">
            <w:pPr>
              <w:pStyle w:val="Tabele"/>
              <w:jc w:val="right"/>
              <w:rPr>
                <w:bCs/>
                <w:color w:val="auto"/>
                <w:sz w:val="14"/>
                <w:szCs w:val="14"/>
              </w:rPr>
            </w:pPr>
            <w:r w:rsidRPr="009B3CF0">
              <w:rPr>
                <w:color w:val="auto"/>
                <w:sz w:val="14"/>
                <w:szCs w:val="14"/>
              </w:rPr>
              <w:t>24 526,59</w:t>
            </w:r>
          </w:p>
        </w:tc>
        <w:tc>
          <w:tcPr>
            <w:tcW w:w="954" w:type="dxa"/>
          </w:tcPr>
          <w:p w14:paraId="4B79F158" w14:textId="77777777" w:rsidR="00D84398" w:rsidRPr="009B3CF0" w:rsidRDefault="00D84398">
            <w:pPr>
              <w:pStyle w:val="Tabele"/>
              <w:jc w:val="right"/>
              <w:rPr>
                <w:bCs/>
                <w:color w:val="auto"/>
                <w:sz w:val="14"/>
                <w:szCs w:val="14"/>
                <w:highlight w:val="yellow"/>
              </w:rPr>
            </w:pPr>
            <w:r w:rsidRPr="009B3CF0">
              <w:rPr>
                <w:color w:val="auto"/>
                <w:sz w:val="14"/>
                <w:szCs w:val="14"/>
              </w:rPr>
              <w:t>20 580,39</w:t>
            </w:r>
          </w:p>
        </w:tc>
        <w:tc>
          <w:tcPr>
            <w:tcW w:w="954" w:type="dxa"/>
          </w:tcPr>
          <w:p w14:paraId="202C8953" w14:textId="77777777" w:rsidR="00D84398" w:rsidRPr="009B3CF0" w:rsidRDefault="00D84398">
            <w:pPr>
              <w:pStyle w:val="Tabele"/>
              <w:jc w:val="right"/>
              <w:rPr>
                <w:bCs/>
                <w:color w:val="auto"/>
                <w:sz w:val="14"/>
                <w:szCs w:val="14"/>
                <w:highlight w:val="yellow"/>
              </w:rPr>
            </w:pPr>
            <w:r w:rsidRPr="009B3CF0">
              <w:rPr>
                <w:color w:val="auto"/>
                <w:sz w:val="14"/>
                <w:szCs w:val="14"/>
              </w:rPr>
              <w:t>17 274,72</w:t>
            </w:r>
          </w:p>
        </w:tc>
        <w:tc>
          <w:tcPr>
            <w:tcW w:w="954" w:type="dxa"/>
          </w:tcPr>
          <w:p w14:paraId="679CEC26" w14:textId="77777777" w:rsidR="00D84398" w:rsidRPr="009B3CF0" w:rsidRDefault="00D84398">
            <w:pPr>
              <w:pStyle w:val="Tabele"/>
              <w:jc w:val="right"/>
              <w:rPr>
                <w:bCs/>
                <w:color w:val="auto"/>
                <w:sz w:val="14"/>
                <w:szCs w:val="14"/>
                <w:highlight w:val="yellow"/>
              </w:rPr>
            </w:pPr>
            <w:r w:rsidRPr="009B3CF0">
              <w:rPr>
                <w:color w:val="auto"/>
                <w:sz w:val="14"/>
                <w:szCs w:val="14"/>
              </w:rPr>
              <w:t>14 203,97</w:t>
            </w:r>
          </w:p>
        </w:tc>
        <w:tc>
          <w:tcPr>
            <w:tcW w:w="955" w:type="dxa"/>
          </w:tcPr>
          <w:p w14:paraId="0A1C5416" w14:textId="77777777" w:rsidR="00D84398" w:rsidRPr="009B3CF0" w:rsidRDefault="00D84398">
            <w:pPr>
              <w:pStyle w:val="Tabele"/>
              <w:jc w:val="right"/>
              <w:rPr>
                <w:bCs/>
                <w:color w:val="auto"/>
                <w:sz w:val="14"/>
                <w:szCs w:val="14"/>
                <w:highlight w:val="yellow"/>
              </w:rPr>
            </w:pPr>
            <w:r w:rsidRPr="009B3CF0">
              <w:rPr>
                <w:color w:val="auto"/>
                <w:sz w:val="14"/>
                <w:szCs w:val="14"/>
              </w:rPr>
              <w:t>11 343,12</w:t>
            </w:r>
          </w:p>
        </w:tc>
      </w:tr>
      <w:tr w:rsidR="007F0D2B" w:rsidRPr="009E39D0" w14:paraId="3C6E9E92" w14:textId="77777777" w:rsidTr="00231812">
        <w:trPr>
          <w:trHeight w:val="228"/>
        </w:trPr>
        <w:tc>
          <w:tcPr>
            <w:tcW w:w="1555" w:type="dxa"/>
          </w:tcPr>
          <w:p w14:paraId="4DACB687" w14:textId="77777777" w:rsidR="00D84398" w:rsidRPr="009B3CF0" w:rsidRDefault="00D84398">
            <w:pPr>
              <w:pStyle w:val="Tabele"/>
              <w:rPr>
                <w:bCs/>
                <w:color w:val="auto"/>
                <w:sz w:val="14"/>
                <w:szCs w:val="14"/>
              </w:rPr>
            </w:pPr>
            <w:r w:rsidRPr="009B3CF0">
              <w:rPr>
                <w:color w:val="auto"/>
                <w:sz w:val="14"/>
                <w:szCs w:val="14"/>
              </w:rPr>
              <w:t xml:space="preserve">3. Rolnictwo </w:t>
            </w:r>
          </w:p>
        </w:tc>
        <w:tc>
          <w:tcPr>
            <w:tcW w:w="808" w:type="dxa"/>
            <w:shd w:val="clear" w:color="auto" w:fill="C5E0B3"/>
          </w:tcPr>
          <w:p w14:paraId="75E3411E" w14:textId="77777777" w:rsidR="00D84398" w:rsidRPr="009B3CF0" w:rsidRDefault="00D84398">
            <w:pPr>
              <w:pStyle w:val="Tabele"/>
              <w:jc w:val="right"/>
              <w:rPr>
                <w:b/>
                <w:bCs/>
                <w:color w:val="auto"/>
                <w:sz w:val="14"/>
                <w:szCs w:val="14"/>
              </w:rPr>
            </w:pPr>
            <w:r w:rsidRPr="009B3CF0">
              <w:rPr>
                <w:color w:val="auto"/>
                <w:sz w:val="14"/>
                <w:szCs w:val="14"/>
              </w:rPr>
              <w:t>31 659,35</w:t>
            </w:r>
          </w:p>
        </w:tc>
        <w:tc>
          <w:tcPr>
            <w:tcW w:w="954" w:type="dxa"/>
            <w:shd w:val="clear" w:color="auto" w:fill="C5E0B3"/>
          </w:tcPr>
          <w:p w14:paraId="2A460134" w14:textId="77777777" w:rsidR="00D84398" w:rsidRPr="009B3CF0" w:rsidRDefault="00D84398">
            <w:pPr>
              <w:pStyle w:val="Tabele"/>
              <w:jc w:val="right"/>
              <w:rPr>
                <w:b/>
                <w:bCs/>
                <w:color w:val="auto"/>
                <w:sz w:val="14"/>
                <w:szCs w:val="14"/>
              </w:rPr>
            </w:pPr>
            <w:r w:rsidRPr="009B3CF0">
              <w:rPr>
                <w:color w:val="auto"/>
                <w:sz w:val="14"/>
                <w:szCs w:val="14"/>
              </w:rPr>
              <w:t>31 659,59</w:t>
            </w:r>
          </w:p>
        </w:tc>
        <w:tc>
          <w:tcPr>
            <w:tcW w:w="954" w:type="dxa"/>
            <w:shd w:val="clear" w:color="auto" w:fill="C5E0B3"/>
          </w:tcPr>
          <w:p w14:paraId="5AA8F18B" w14:textId="77777777" w:rsidR="00D84398" w:rsidRPr="009B3CF0" w:rsidRDefault="00D84398">
            <w:pPr>
              <w:pStyle w:val="Tabele"/>
              <w:jc w:val="right"/>
              <w:rPr>
                <w:b/>
                <w:bCs/>
                <w:color w:val="auto"/>
                <w:sz w:val="14"/>
                <w:szCs w:val="14"/>
              </w:rPr>
            </w:pPr>
            <w:r w:rsidRPr="009B3CF0">
              <w:rPr>
                <w:color w:val="auto"/>
                <w:sz w:val="14"/>
                <w:szCs w:val="14"/>
              </w:rPr>
              <w:t>31 775,06</w:t>
            </w:r>
          </w:p>
        </w:tc>
        <w:tc>
          <w:tcPr>
            <w:tcW w:w="954" w:type="dxa"/>
            <w:shd w:val="clear" w:color="auto" w:fill="C5E0B3"/>
          </w:tcPr>
          <w:p w14:paraId="1E47508B" w14:textId="77777777" w:rsidR="00D84398" w:rsidRPr="009B3CF0" w:rsidRDefault="00D84398">
            <w:pPr>
              <w:pStyle w:val="Tabele"/>
              <w:jc w:val="right"/>
              <w:rPr>
                <w:b/>
                <w:bCs/>
                <w:color w:val="auto"/>
                <w:sz w:val="14"/>
                <w:szCs w:val="14"/>
              </w:rPr>
            </w:pPr>
            <w:r w:rsidRPr="009B3CF0">
              <w:rPr>
                <w:color w:val="auto"/>
                <w:sz w:val="14"/>
                <w:szCs w:val="14"/>
              </w:rPr>
              <w:t>34 225,49</w:t>
            </w:r>
          </w:p>
        </w:tc>
        <w:tc>
          <w:tcPr>
            <w:tcW w:w="954" w:type="dxa"/>
          </w:tcPr>
          <w:p w14:paraId="30E99F51" w14:textId="77777777" w:rsidR="00D84398" w:rsidRPr="009B3CF0" w:rsidRDefault="00D84398">
            <w:pPr>
              <w:pStyle w:val="Tabele"/>
              <w:jc w:val="right"/>
              <w:rPr>
                <w:b/>
                <w:bCs/>
                <w:color w:val="auto"/>
                <w:sz w:val="14"/>
                <w:szCs w:val="14"/>
              </w:rPr>
            </w:pPr>
            <w:r w:rsidRPr="009B3CF0">
              <w:rPr>
                <w:color w:val="auto"/>
                <w:sz w:val="14"/>
                <w:szCs w:val="14"/>
              </w:rPr>
              <w:t>33 311,18</w:t>
            </w:r>
          </w:p>
        </w:tc>
        <w:tc>
          <w:tcPr>
            <w:tcW w:w="954" w:type="dxa"/>
          </w:tcPr>
          <w:p w14:paraId="0D91B075" w14:textId="77777777" w:rsidR="00D84398" w:rsidRPr="009B3CF0" w:rsidRDefault="00D84398">
            <w:pPr>
              <w:pStyle w:val="Tabele"/>
              <w:jc w:val="right"/>
              <w:rPr>
                <w:b/>
                <w:bCs/>
                <w:color w:val="auto"/>
                <w:sz w:val="14"/>
                <w:szCs w:val="14"/>
              </w:rPr>
            </w:pPr>
            <w:r w:rsidRPr="009B3CF0">
              <w:rPr>
                <w:color w:val="auto"/>
                <w:sz w:val="14"/>
                <w:szCs w:val="14"/>
              </w:rPr>
              <w:t>31 993,93</w:t>
            </w:r>
          </w:p>
        </w:tc>
        <w:tc>
          <w:tcPr>
            <w:tcW w:w="954" w:type="dxa"/>
          </w:tcPr>
          <w:p w14:paraId="292B3DAA" w14:textId="77777777" w:rsidR="00D84398" w:rsidRPr="009B3CF0" w:rsidRDefault="00D84398">
            <w:pPr>
              <w:pStyle w:val="Tabele"/>
              <w:jc w:val="right"/>
              <w:rPr>
                <w:b/>
                <w:bCs/>
                <w:color w:val="auto"/>
                <w:sz w:val="14"/>
                <w:szCs w:val="14"/>
              </w:rPr>
            </w:pPr>
            <w:r w:rsidRPr="009B3CF0">
              <w:rPr>
                <w:color w:val="auto"/>
                <w:sz w:val="14"/>
                <w:szCs w:val="14"/>
              </w:rPr>
              <w:t>31 616,51</w:t>
            </w:r>
          </w:p>
        </w:tc>
        <w:tc>
          <w:tcPr>
            <w:tcW w:w="955" w:type="dxa"/>
          </w:tcPr>
          <w:p w14:paraId="7AE96F55" w14:textId="77777777" w:rsidR="00D84398" w:rsidRPr="009B3CF0" w:rsidRDefault="00D84398">
            <w:pPr>
              <w:pStyle w:val="Tabele"/>
              <w:jc w:val="right"/>
              <w:rPr>
                <w:b/>
                <w:bCs/>
                <w:color w:val="auto"/>
                <w:sz w:val="14"/>
                <w:szCs w:val="14"/>
              </w:rPr>
            </w:pPr>
            <w:r w:rsidRPr="009B3CF0">
              <w:rPr>
                <w:color w:val="auto"/>
                <w:sz w:val="14"/>
                <w:szCs w:val="14"/>
              </w:rPr>
              <w:t>30 506,49</w:t>
            </w:r>
          </w:p>
        </w:tc>
      </w:tr>
      <w:tr w:rsidR="007F0D2B" w:rsidRPr="009E39D0" w14:paraId="5C69109B" w14:textId="77777777" w:rsidTr="00231812">
        <w:trPr>
          <w:trHeight w:val="228"/>
        </w:trPr>
        <w:tc>
          <w:tcPr>
            <w:tcW w:w="1555" w:type="dxa"/>
          </w:tcPr>
          <w:p w14:paraId="7AC6182F" w14:textId="0546F101" w:rsidR="00D84398" w:rsidRPr="009B3CF0" w:rsidRDefault="00D84398">
            <w:pPr>
              <w:pStyle w:val="Tabele"/>
              <w:rPr>
                <w:bCs/>
                <w:color w:val="auto"/>
                <w:sz w:val="14"/>
                <w:szCs w:val="14"/>
              </w:rPr>
            </w:pPr>
            <w:r w:rsidRPr="009B3CF0">
              <w:rPr>
                <w:color w:val="auto"/>
                <w:sz w:val="14"/>
                <w:szCs w:val="14"/>
              </w:rPr>
              <w:t xml:space="preserve">4. </w:t>
            </w:r>
            <w:r w:rsidR="00231812">
              <w:rPr>
                <w:color w:val="auto"/>
                <w:sz w:val="14"/>
                <w:szCs w:val="14"/>
              </w:rPr>
              <w:t>LULUCF</w:t>
            </w:r>
          </w:p>
        </w:tc>
        <w:tc>
          <w:tcPr>
            <w:tcW w:w="808" w:type="dxa"/>
            <w:shd w:val="clear" w:color="auto" w:fill="C5E0B3"/>
          </w:tcPr>
          <w:p w14:paraId="1C9AB86A" w14:textId="77777777" w:rsidR="00D84398" w:rsidRPr="009B3CF0" w:rsidRDefault="00D84398">
            <w:pPr>
              <w:pStyle w:val="Tabele"/>
              <w:jc w:val="right"/>
              <w:rPr>
                <w:b/>
                <w:bCs/>
                <w:color w:val="auto"/>
                <w:sz w:val="14"/>
                <w:szCs w:val="14"/>
              </w:rPr>
            </w:pPr>
            <w:r w:rsidRPr="009B3CF0">
              <w:rPr>
                <w:color w:val="auto"/>
                <w:sz w:val="14"/>
                <w:szCs w:val="14"/>
              </w:rPr>
              <w:t>-50 574,69</w:t>
            </w:r>
          </w:p>
        </w:tc>
        <w:tc>
          <w:tcPr>
            <w:tcW w:w="954" w:type="dxa"/>
            <w:shd w:val="clear" w:color="auto" w:fill="C5E0B3"/>
          </w:tcPr>
          <w:p w14:paraId="76A17F5D" w14:textId="77777777" w:rsidR="00D84398" w:rsidRPr="009B3CF0" w:rsidRDefault="00D84398">
            <w:pPr>
              <w:pStyle w:val="Tabele"/>
              <w:jc w:val="right"/>
              <w:rPr>
                <w:b/>
                <w:bCs/>
                <w:color w:val="auto"/>
                <w:sz w:val="14"/>
                <w:szCs w:val="14"/>
              </w:rPr>
            </w:pPr>
            <w:r w:rsidRPr="009B3CF0">
              <w:rPr>
                <w:color w:val="auto"/>
                <w:sz w:val="14"/>
                <w:szCs w:val="14"/>
              </w:rPr>
              <w:t>-36 334,72</w:t>
            </w:r>
          </w:p>
        </w:tc>
        <w:tc>
          <w:tcPr>
            <w:tcW w:w="954" w:type="dxa"/>
            <w:shd w:val="clear" w:color="auto" w:fill="C5E0B3"/>
          </w:tcPr>
          <w:p w14:paraId="2CA01037" w14:textId="77777777" w:rsidR="00D84398" w:rsidRPr="009B3CF0" w:rsidRDefault="00D84398">
            <w:pPr>
              <w:pStyle w:val="Tabele"/>
              <w:jc w:val="right"/>
              <w:rPr>
                <w:b/>
                <w:bCs/>
                <w:color w:val="auto"/>
                <w:sz w:val="14"/>
                <w:szCs w:val="14"/>
              </w:rPr>
            </w:pPr>
            <w:r w:rsidRPr="009B3CF0">
              <w:rPr>
                <w:color w:val="auto"/>
                <w:sz w:val="14"/>
                <w:szCs w:val="14"/>
              </w:rPr>
              <w:t>-34 099,96</w:t>
            </w:r>
          </w:p>
        </w:tc>
        <w:tc>
          <w:tcPr>
            <w:tcW w:w="954" w:type="dxa"/>
            <w:shd w:val="clear" w:color="auto" w:fill="C5E0B3"/>
          </w:tcPr>
          <w:p w14:paraId="139AEA85" w14:textId="77777777" w:rsidR="00D84398" w:rsidRPr="009B3CF0" w:rsidRDefault="00D84398">
            <w:pPr>
              <w:pStyle w:val="Tabele"/>
              <w:jc w:val="right"/>
              <w:rPr>
                <w:b/>
                <w:bCs/>
                <w:color w:val="auto"/>
                <w:sz w:val="14"/>
                <w:szCs w:val="14"/>
              </w:rPr>
            </w:pPr>
            <w:r w:rsidRPr="009B3CF0">
              <w:rPr>
                <w:color w:val="auto"/>
                <w:sz w:val="14"/>
                <w:szCs w:val="14"/>
              </w:rPr>
              <w:t>-23 330,17</w:t>
            </w:r>
          </w:p>
        </w:tc>
        <w:tc>
          <w:tcPr>
            <w:tcW w:w="954" w:type="dxa"/>
          </w:tcPr>
          <w:p w14:paraId="3923B04E" w14:textId="77777777" w:rsidR="00D84398" w:rsidRPr="009B3CF0" w:rsidRDefault="00D84398">
            <w:pPr>
              <w:pStyle w:val="Tabele"/>
              <w:jc w:val="right"/>
              <w:rPr>
                <w:b/>
                <w:bCs/>
                <w:color w:val="auto"/>
                <w:sz w:val="14"/>
                <w:szCs w:val="14"/>
              </w:rPr>
            </w:pPr>
            <w:r w:rsidRPr="009B3CF0">
              <w:rPr>
                <w:color w:val="auto"/>
                <w:sz w:val="14"/>
                <w:szCs w:val="14"/>
              </w:rPr>
              <w:t>-49 741,89</w:t>
            </w:r>
          </w:p>
        </w:tc>
        <w:tc>
          <w:tcPr>
            <w:tcW w:w="954" w:type="dxa"/>
          </w:tcPr>
          <w:p w14:paraId="292F7ED2" w14:textId="77777777" w:rsidR="00D84398" w:rsidRPr="009B3CF0" w:rsidRDefault="00D84398">
            <w:pPr>
              <w:pStyle w:val="Tabele"/>
              <w:jc w:val="right"/>
              <w:rPr>
                <w:b/>
                <w:bCs/>
                <w:color w:val="auto"/>
                <w:sz w:val="14"/>
                <w:szCs w:val="14"/>
              </w:rPr>
            </w:pPr>
            <w:r w:rsidRPr="009B3CF0">
              <w:rPr>
                <w:color w:val="auto"/>
                <w:sz w:val="14"/>
                <w:szCs w:val="14"/>
              </w:rPr>
              <w:t>-46 492,88</w:t>
            </w:r>
          </w:p>
        </w:tc>
        <w:tc>
          <w:tcPr>
            <w:tcW w:w="954" w:type="dxa"/>
          </w:tcPr>
          <w:p w14:paraId="1E211A01" w14:textId="77777777" w:rsidR="00D84398" w:rsidRPr="009B3CF0" w:rsidRDefault="00D84398">
            <w:pPr>
              <w:pStyle w:val="Tabele"/>
              <w:jc w:val="right"/>
              <w:rPr>
                <w:b/>
                <w:bCs/>
                <w:color w:val="auto"/>
                <w:sz w:val="14"/>
                <w:szCs w:val="14"/>
              </w:rPr>
            </w:pPr>
            <w:r w:rsidRPr="009B3CF0">
              <w:rPr>
                <w:color w:val="auto"/>
                <w:sz w:val="14"/>
                <w:szCs w:val="14"/>
              </w:rPr>
              <w:t>-40 292,92</w:t>
            </w:r>
          </w:p>
        </w:tc>
        <w:tc>
          <w:tcPr>
            <w:tcW w:w="955" w:type="dxa"/>
          </w:tcPr>
          <w:p w14:paraId="76EF586D" w14:textId="77777777" w:rsidR="00D84398" w:rsidRPr="009B3CF0" w:rsidRDefault="00D84398">
            <w:pPr>
              <w:pStyle w:val="Tabele"/>
              <w:jc w:val="right"/>
              <w:rPr>
                <w:b/>
                <w:bCs/>
                <w:color w:val="auto"/>
                <w:sz w:val="14"/>
                <w:szCs w:val="14"/>
              </w:rPr>
            </w:pPr>
            <w:r w:rsidRPr="009B3CF0">
              <w:rPr>
                <w:color w:val="auto"/>
                <w:sz w:val="14"/>
                <w:szCs w:val="14"/>
              </w:rPr>
              <w:t>-35 333,22</w:t>
            </w:r>
          </w:p>
        </w:tc>
      </w:tr>
      <w:tr w:rsidR="007F0D2B" w:rsidRPr="009E39D0" w14:paraId="02350809" w14:textId="77777777" w:rsidTr="00231812">
        <w:trPr>
          <w:trHeight w:val="228"/>
        </w:trPr>
        <w:tc>
          <w:tcPr>
            <w:tcW w:w="1555" w:type="dxa"/>
          </w:tcPr>
          <w:p w14:paraId="208BC98B" w14:textId="0A8DF762" w:rsidR="00E24170" w:rsidRPr="009B3CF0" w:rsidRDefault="00E24170" w:rsidP="00E24170">
            <w:pPr>
              <w:pStyle w:val="Tabele"/>
              <w:rPr>
                <w:color w:val="auto"/>
                <w:sz w:val="14"/>
                <w:szCs w:val="14"/>
              </w:rPr>
            </w:pPr>
            <w:r w:rsidRPr="009B3CF0">
              <w:rPr>
                <w:color w:val="auto"/>
                <w:sz w:val="14"/>
                <w:szCs w:val="14"/>
              </w:rPr>
              <w:t xml:space="preserve">5. Odpady </w:t>
            </w:r>
          </w:p>
        </w:tc>
        <w:tc>
          <w:tcPr>
            <w:tcW w:w="808" w:type="dxa"/>
            <w:shd w:val="clear" w:color="auto" w:fill="C5E0B3"/>
          </w:tcPr>
          <w:p w14:paraId="2DBF8C99" w14:textId="03581CE2" w:rsidR="00E24170" w:rsidRPr="00A85B37" w:rsidRDefault="00E24170" w:rsidP="00E24170">
            <w:pPr>
              <w:pStyle w:val="Tabele"/>
              <w:jc w:val="right"/>
              <w:rPr>
                <w:color w:val="auto"/>
                <w:sz w:val="14"/>
              </w:rPr>
            </w:pPr>
            <w:r w:rsidRPr="009B3CF0">
              <w:rPr>
                <w:color w:val="auto"/>
                <w:sz w:val="14"/>
                <w:szCs w:val="14"/>
              </w:rPr>
              <w:t>11 673,39</w:t>
            </w:r>
          </w:p>
        </w:tc>
        <w:tc>
          <w:tcPr>
            <w:tcW w:w="954" w:type="dxa"/>
            <w:shd w:val="clear" w:color="auto" w:fill="C5E0B3"/>
          </w:tcPr>
          <w:p w14:paraId="28819EC7" w14:textId="6658B901" w:rsidR="00E24170" w:rsidRPr="00A85B37" w:rsidRDefault="00E24170" w:rsidP="00E24170">
            <w:pPr>
              <w:pStyle w:val="Tabele"/>
              <w:jc w:val="right"/>
              <w:rPr>
                <w:color w:val="auto"/>
                <w:sz w:val="14"/>
              </w:rPr>
            </w:pPr>
            <w:r w:rsidRPr="009B3CF0">
              <w:rPr>
                <w:color w:val="auto"/>
                <w:sz w:val="14"/>
                <w:szCs w:val="14"/>
              </w:rPr>
              <w:t>7 710,42</w:t>
            </w:r>
          </w:p>
        </w:tc>
        <w:tc>
          <w:tcPr>
            <w:tcW w:w="954" w:type="dxa"/>
            <w:shd w:val="clear" w:color="auto" w:fill="C5E0B3"/>
          </w:tcPr>
          <w:p w14:paraId="0FB4FFED" w14:textId="74BE5053" w:rsidR="00E24170" w:rsidRPr="00A85B37" w:rsidRDefault="00E24170" w:rsidP="00E24170">
            <w:pPr>
              <w:pStyle w:val="Tabele"/>
              <w:jc w:val="right"/>
              <w:rPr>
                <w:color w:val="auto"/>
                <w:sz w:val="14"/>
              </w:rPr>
            </w:pPr>
            <w:r w:rsidRPr="009B3CF0">
              <w:rPr>
                <w:color w:val="auto"/>
                <w:sz w:val="14"/>
                <w:szCs w:val="14"/>
              </w:rPr>
              <w:t>5 104,07</w:t>
            </w:r>
          </w:p>
        </w:tc>
        <w:tc>
          <w:tcPr>
            <w:tcW w:w="954" w:type="dxa"/>
            <w:shd w:val="clear" w:color="auto" w:fill="C5E0B3"/>
          </w:tcPr>
          <w:p w14:paraId="2DCAF373" w14:textId="441C6EBF" w:rsidR="00E24170" w:rsidRPr="00A85B37" w:rsidRDefault="00E24170" w:rsidP="00E24170">
            <w:pPr>
              <w:pStyle w:val="Tabele"/>
              <w:jc w:val="right"/>
              <w:rPr>
                <w:color w:val="auto"/>
                <w:sz w:val="14"/>
              </w:rPr>
            </w:pPr>
            <w:r w:rsidRPr="009B3CF0">
              <w:rPr>
                <w:color w:val="auto"/>
                <w:sz w:val="14"/>
                <w:szCs w:val="14"/>
              </w:rPr>
              <w:t>4 160,83</w:t>
            </w:r>
          </w:p>
        </w:tc>
        <w:tc>
          <w:tcPr>
            <w:tcW w:w="954" w:type="dxa"/>
          </w:tcPr>
          <w:p w14:paraId="5DEA6023" w14:textId="11D17320" w:rsidR="00E24170" w:rsidRPr="009B3CF0" w:rsidRDefault="00E24170" w:rsidP="00A85B37">
            <w:pPr>
              <w:pStyle w:val="Tabele"/>
              <w:jc w:val="right"/>
              <w:rPr>
                <w:color w:val="auto"/>
                <w:sz w:val="14"/>
                <w:szCs w:val="14"/>
              </w:rPr>
            </w:pPr>
            <w:r w:rsidRPr="009B3CF0">
              <w:rPr>
                <w:color w:val="auto"/>
                <w:sz w:val="14"/>
                <w:szCs w:val="14"/>
              </w:rPr>
              <w:t>3 745,00</w:t>
            </w:r>
          </w:p>
        </w:tc>
        <w:tc>
          <w:tcPr>
            <w:tcW w:w="954" w:type="dxa"/>
          </w:tcPr>
          <w:p w14:paraId="037704FF" w14:textId="2B3A4F05" w:rsidR="00E24170" w:rsidRPr="009B3CF0" w:rsidRDefault="00E24170" w:rsidP="00A85B37">
            <w:pPr>
              <w:pStyle w:val="Tabele"/>
              <w:jc w:val="right"/>
              <w:rPr>
                <w:color w:val="auto"/>
                <w:sz w:val="14"/>
                <w:szCs w:val="14"/>
              </w:rPr>
            </w:pPr>
            <w:r w:rsidRPr="009B3CF0">
              <w:rPr>
                <w:color w:val="auto"/>
                <w:sz w:val="14"/>
                <w:szCs w:val="14"/>
              </w:rPr>
              <w:t>3 578,35</w:t>
            </w:r>
          </w:p>
        </w:tc>
        <w:tc>
          <w:tcPr>
            <w:tcW w:w="954" w:type="dxa"/>
          </w:tcPr>
          <w:p w14:paraId="08075BCB" w14:textId="76F635B9" w:rsidR="00E24170" w:rsidRPr="009B3CF0" w:rsidRDefault="00E24170" w:rsidP="00A85B37">
            <w:pPr>
              <w:pStyle w:val="Tabele"/>
              <w:jc w:val="right"/>
              <w:rPr>
                <w:color w:val="auto"/>
                <w:sz w:val="14"/>
                <w:szCs w:val="14"/>
              </w:rPr>
            </w:pPr>
            <w:r w:rsidRPr="009B3CF0">
              <w:rPr>
                <w:color w:val="auto"/>
                <w:sz w:val="14"/>
                <w:szCs w:val="14"/>
              </w:rPr>
              <w:t>3 545,16</w:t>
            </w:r>
          </w:p>
        </w:tc>
        <w:tc>
          <w:tcPr>
            <w:tcW w:w="955" w:type="dxa"/>
          </w:tcPr>
          <w:p w14:paraId="1D593438" w14:textId="650E3620" w:rsidR="00E24170" w:rsidRPr="009B3CF0" w:rsidRDefault="00E24170" w:rsidP="00A85B37">
            <w:pPr>
              <w:pStyle w:val="Tabele"/>
              <w:jc w:val="right"/>
              <w:rPr>
                <w:color w:val="auto"/>
                <w:sz w:val="14"/>
                <w:szCs w:val="14"/>
              </w:rPr>
            </w:pPr>
            <w:r w:rsidRPr="009B3CF0">
              <w:rPr>
                <w:color w:val="auto"/>
                <w:sz w:val="14"/>
                <w:szCs w:val="14"/>
              </w:rPr>
              <w:t>3 277,79</w:t>
            </w:r>
          </w:p>
        </w:tc>
      </w:tr>
      <w:tr w:rsidR="007F0D2B" w:rsidRPr="009E39D0" w14:paraId="3C630E0B" w14:textId="77777777" w:rsidTr="00231812">
        <w:trPr>
          <w:trHeight w:val="228"/>
        </w:trPr>
        <w:tc>
          <w:tcPr>
            <w:tcW w:w="1555" w:type="dxa"/>
          </w:tcPr>
          <w:p w14:paraId="1C9144C1" w14:textId="77777777" w:rsidR="00E24170" w:rsidRPr="009B3CF0" w:rsidRDefault="00E24170" w:rsidP="00E24170">
            <w:pPr>
              <w:pStyle w:val="Tabele"/>
              <w:rPr>
                <w:bCs/>
                <w:color w:val="auto"/>
                <w:sz w:val="14"/>
                <w:szCs w:val="14"/>
              </w:rPr>
            </w:pPr>
            <w:r w:rsidRPr="009B3CF0">
              <w:rPr>
                <w:color w:val="auto"/>
                <w:sz w:val="14"/>
                <w:szCs w:val="14"/>
              </w:rPr>
              <w:t>Emisje pośrednie CO</w:t>
            </w:r>
            <w:r w:rsidRPr="009B3CF0">
              <w:rPr>
                <w:color w:val="auto"/>
                <w:sz w:val="14"/>
                <w:szCs w:val="14"/>
                <w:vertAlign w:val="subscript"/>
              </w:rPr>
              <w:t xml:space="preserve">2 </w:t>
            </w:r>
          </w:p>
        </w:tc>
        <w:tc>
          <w:tcPr>
            <w:tcW w:w="808" w:type="dxa"/>
            <w:shd w:val="clear" w:color="auto" w:fill="C5E0B3"/>
          </w:tcPr>
          <w:p w14:paraId="0C0764AD" w14:textId="77777777" w:rsidR="00E24170" w:rsidRPr="009B3CF0" w:rsidRDefault="00E24170" w:rsidP="00E24170">
            <w:pPr>
              <w:pStyle w:val="Tabele"/>
              <w:jc w:val="right"/>
              <w:rPr>
                <w:b/>
                <w:bCs/>
                <w:color w:val="auto"/>
                <w:sz w:val="14"/>
                <w:szCs w:val="14"/>
              </w:rPr>
            </w:pPr>
            <w:r w:rsidRPr="009B3CF0">
              <w:rPr>
                <w:color w:val="auto"/>
                <w:sz w:val="14"/>
                <w:szCs w:val="14"/>
              </w:rPr>
              <w:t>551,23</w:t>
            </w:r>
          </w:p>
        </w:tc>
        <w:tc>
          <w:tcPr>
            <w:tcW w:w="954" w:type="dxa"/>
            <w:shd w:val="clear" w:color="auto" w:fill="C5E0B3"/>
          </w:tcPr>
          <w:p w14:paraId="12ADFC0B" w14:textId="77777777" w:rsidR="00E24170" w:rsidRPr="009B3CF0" w:rsidRDefault="00E24170" w:rsidP="00E24170">
            <w:pPr>
              <w:pStyle w:val="Tabele"/>
              <w:jc w:val="right"/>
              <w:rPr>
                <w:b/>
                <w:bCs/>
                <w:color w:val="auto"/>
                <w:sz w:val="14"/>
                <w:szCs w:val="14"/>
              </w:rPr>
            </w:pPr>
            <w:r w:rsidRPr="009B3CF0">
              <w:rPr>
                <w:color w:val="auto"/>
                <w:sz w:val="14"/>
                <w:szCs w:val="14"/>
              </w:rPr>
              <w:t>545,29</w:t>
            </w:r>
          </w:p>
        </w:tc>
        <w:tc>
          <w:tcPr>
            <w:tcW w:w="954" w:type="dxa"/>
            <w:shd w:val="clear" w:color="auto" w:fill="C5E0B3"/>
          </w:tcPr>
          <w:p w14:paraId="37AAF881" w14:textId="77777777" w:rsidR="00E24170" w:rsidRPr="009B3CF0" w:rsidRDefault="00E24170" w:rsidP="00E24170">
            <w:pPr>
              <w:pStyle w:val="Tabele"/>
              <w:jc w:val="right"/>
              <w:rPr>
                <w:b/>
                <w:bCs/>
                <w:color w:val="auto"/>
                <w:sz w:val="14"/>
                <w:szCs w:val="14"/>
              </w:rPr>
            </w:pPr>
            <w:r w:rsidRPr="009B3CF0">
              <w:rPr>
                <w:color w:val="auto"/>
                <w:sz w:val="14"/>
                <w:szCs w:val="14"/>
              </w:rPr>
              <w:t>522,68</w:t>
            </w:r>
          </w:p>
        </w:tc>
        <w:tc>
          <w:tcPr>
            <w:tcW w:w="954" w:type="dxa"/>
            <w:shd w:val="clear" w:color="auto" w:fill="C5E0B3"/>
          </w:tcPr>
          <w:p w14:paraId="350C43C8" w14:textId="77777777" w:rsidR="00E24170" w:rsidRPr="009B3CF0" w:rsidRDefault="00E24170" w:rsidP="00E24170">
            <w:pPr>
              <w:pStyle w:val="Tabele"/>
              <w:jc w:val="right"/>
              <w:rPr>
                <w:b/>
                <w:bCs/>
                <w:color w:val="auto"/>
                <w:sz w:val="14"/>
                <w:szCs w:val="14"/>
              </w:rPr>
            </w:pPr>
            <w:r w:rsidRPr="009B3CF0">
              <w:rPr>
                <w:color w:val="auto"/>
                <w:sz w:val="14"/>
                <w:szCs w:val="14"/>
              </w:rPr>
              <w:t>527,67</w:t>
            </w:r>
          </w:p>
        </w:tc>
        <w:tc>
          <w:tcPr>
            <w:tcW w:w="954" w:type="dxa"/>
          </w:tcPr>
          <w:p w14:paraId="32911E1B" w14:textId="77777777" w:rsidR="00E24170" w:rsidRPr="009B3CF0" w:rsidRDefault="00E24170" w:rsidP="00E24170">
            <w:pPr>
              <w:pStyle w:val="Tabele"/>
              <w:jc w:val="right"/>
              <w:rPr>
                <w:b/>
                <w:bCs/>
                <w:color w:val="auto"/>
                <w:sz w:val="14"/>
                <w:szCs w:val="14"/>
                <w:highlight w:val="yellow"/>
              </w:rPr>
            </w:pPr>
            <w:r w:rsidRPr="009B3CF0">
              <w:rPr>
                <w:color w:val="auto"/>
                <w:sz w:val="14"/>
                <w:szCs w:val="14"/>
              </w:rPr>
              <w:t>405,62</w:t>
            </w:r>
          </w:p>
        </w:tc>
        <w:tc>
          <w:tcPr>
            <w:tcW w:w="954" w:type="dxa"/>
          </w:tcPr>
          <w:p w14:paraId="043CD278" w14:textId="77777777" w:rsidR="00E24170" w:rsidRPr="009B3CF0" w:rsidRDefault="00E24170" w:rsidP="00E24170">
            <w:pPr>
              <w:pStyle w:val="Tabele"/>
              <w:jc w:val="right"/>
              <w:rPr>
                <w:b/>
                <w:bCs/>
                <w:color w:val="auto"/>
                <w:sz w:val="14"/>
                <w:szCs w:val="14"/>
                <w:highlight w:val="yellow"/>
              </w:rPr>
            </w:pPr>
            <w:r w:rsidRPr="009B3CF0">
              <w:rPr>
                <w:color w:val="auto"/>
                <w:sz w:val="14"/>
                <w:szCs w:val="14"/>
              </w:rPr>
              <w:t>400,57</w:t>
            </w:r>
          </w:p>
        </w:tc>
        <w:tc>
          <w:tcPr>
            <w:tcW w:w="954" w:type="dxa"/>
          </w:tcPr>
          <w:p w14:paraId="2C630536" w14:textId="77777777" w:rsidR="00E24170" w:rsidRPr="009B3CF0" w:rsidRDefault="00E24170" w:rsidP="00E24170">
            <w:pPr>
              <w:pStyle w:val="Tabele"/>
              <w:jc w:val="right"/>
              <w:rPr>
                <w:b/>
                <w:bCs/>
                <w:color w:val="auto"/>
                <w:sz w:val="14"/>
                <w:szCs w:val="14"/>
                <w:highlight w:val="yellow"/>
              </w:rPr>
            </w:pPr>
            <w:r w:rsidRPr="009B3CF0">
              <w:rPr>
                <w:color w:val="auto"/>
                <w:sz w:val="14"/>
                <w:szCs w:val="14"/>
              </w:rPr>
              <w:t>393,29</w:t>
            </w:r>
          </w:p>
        </w:tc>
        <w:tc>
          <w:tcPr>
            <w:tcW w:w="955" w:type="dxa"/>
          </w:tcPr>
          <w:p w14:paraId="6DCBA442" w14:textId="77777777" w:rsidR="00E24170" w:rsidRPr="009B3CF0" w:rsidRDefault="00E24170" w:rsidP="00E24170">
            <w:pPr>
              <w:pStyle w:val="Tabele"/>
              <w:jc w:val="right"/>
              <w:rPr>
                <w:b/>
                <w:bCs/>
                <w:color w:val="auto"/>
                <w:sz w:val="14"/>
                <w:szCs w:val="14"/>
                <w:highlight w:val="yellow"/>
              </w:rPr>
            </w:pPr>
            <w:r w:rsidRPr="009B3CF0">
              <w:rPr>
                <w:color w:val="auto"/>
                <w:sz w:val="14"/>
                <w:szCs w:val="14"/>
              </w:rPr>
              <w:t>387,61</w:t>
            </w:r>
          </w:p>
        </w:tc>
      </w:tr>
      <w:tr w:rsidR="007F0D2B" w:rsidRPr="009E39D0" w14:paraId="46A9B314" w14:textId="77777777" w:rsidTr="00231812">
        <w:trPr>
          <w:trHeight w:val="228"/>
        </w:trPr>
        <w:tc>
          <w:tcPr>
            <w:tcW w:w="1555" w:type="dxa"/>
          </w:tcPr>
          <w:p w14:paraId="3F1E8367" w14:textId="77777777" w:rsidR="00E24170" w:rsidRPr="009B3CF0" w:rsidRDefault="00E24170" w:rsidP="00E24170">
            <w:pPr>
              <w:pStyle w:val="Tabele"/>
              <w:rPr>
                <w:bCs/>
                <w:color w:val="auto"/>
                <w:sz w:val="14"/>
                <w:szCs w:val="14"/>
              </w:rPr>
            </w:pPr>
            <w:r w:rsidRPr="009B3CF0">
              <w:rPr>
                <w:color w:val="auto"/>
                <w:sz w:val="14"/>
                <w:szCs w:val="14"/>
              </w:rPr>
              <w:t xml:space="preserve">Suma (z uwzg. LULUCF)* </w:t>
            </w:r>
          </w:p>
        </w:tc>
        <w:tc>
          <w:tcPr>
            <w:tcW w:w="808" w:type="dxa"/>
            <w:shd w:val="clear" w:color="auto" w:fill="C5E0B3"/>
          </w:tcPr>
          <w:p w14:paraId="10A3E43B" w14:textId="77777777" w:rsidR="00E24170" w:rsidRPr="009B3CF0" w:rsidRDefault="00E24170" w:rsidP="00E24170">
            <w:pPr>
              <w:pStyle w:val="Tabele"/>
              <w:jc w:val="right"/>
              <w:rPr>
                <w:b/>
                <w:bCs/>
                <w:color w:val="auto"/>
                <w:sz w:val="14"/>
                <w:szCs w:val="14"/>
              </w:rPr>
            </w:pPr>
            <w:r w:rsidRPr="009B3CF0">
              <w:rPr>
                <w:color w:val="auto"/>
                <w:sz w:val="14"/>
                <w:szCs w:val="14"/>
              </w:rPr>
              <w:t>351 369,44</w:t>
            </w:r>
          </w:p>
        </w:tc>
        <w:tc>
          <w:tcPr>
            <w:tcW w:w="954" w:type="dxa"/>
            <w:shd w:val="clear" w:color="auto" w:fill="C5E0B3"/>
          </w:tcPr>
          <w:p w14:paraId="7A776ECA" w14:textId="77777777" w:rsidR="00E24170" w:rsidRPr="009B3CF0" w:rsidRDefault="00E24170" w:rsidP="00E24170">
            <w:pPr>
              <w:pStyle w:val="Tabele"/>
              <w:jc w:val="right"/>
              <w:rPr>
                <w:b/>
                <w:bCs/>
                <w:color w:val="auto"/>
                <w:sz w:val="14"/>
                <w:szCs w:val="14"/>
              </w:rPr>
            </w:pPr>
            <w:r w:rsidRPr="009B3CF0">
              <w:rPr>
                <w:color w:val="auto"/>
                <w:sz w:val="14"/>
                <w:szCs w:val="14"/>
              </w:rPr>
              <w:t>370 887,30</w:t>
            </w:r>
          </w:p>
        </w:tc>
        <w:tc>
          <w:tcPr>
            <w:tcW w:w="954" w:type="dxa"/>
            <w:shd w:val="clear" w:color="auto" w:fill="C5E0B3"/>
          </w:tcPr>
          <w:p w14:paraId="52E246E6" w14:textId="77777777" w:rsidR="00E24170" w:rsidRPr="009B3CF0" w:rsidRDefault="00E24170" w:rsidP="00E24170">
            <w:pPr>
              <w:pStyle w:val="Tabele"/>
              <w:jc w:val="right"/>
              <w:rPr>
                <w:b/>
                <w:bCs/>
                <w:color w:val="auto"/>
                <w:sz w:val="14"/>
                <w:szCs w:val="14"/>
              </w:rPr>
            </w:pPr>
            <w:r w:rsidRPr="009B3CF0">
              <w:rPr>
                <w:color w:val="auto"/>
                <w:sz w:val="14"/>
                <w:szCs w:val="14"/>
              </w:rPr>
              <w:t>349 355,77</w:t>
            </w:r>
          </w:p>
        </w:tc>
        <w:tc>
          <w:tcPr>
            <w:tcW w:w="954" w:type="dxa"/>
            <w:shd w:val="clear" w:color="auto" w:fill="C5E0B3"/>
          </w:tcPr>
          <w:p w14:paraId="4DC6C7C9" w14:textId="77777777" w:rsidR="00E24170" w:rsidRPr="009B3CF0" w:rsidRDefault="00E24170" w:rsidP="00E24170">
            <w:pPr>
              <w:pStyle w:val="Tabele"/>
              <w:jc w:val="right"/>
              <w:rPr>
                <w:b/>
                <w:bCs/>
                <w:color w:val="auto"/>
                <w:sz w:val="14"/>
                <w:szCs w:val="14"/>
              </w:rPr>
            </w:pPr>
            <w:r w:rsidRPr="009B3CF0">
              <w:rPr>
                <w:color w:val="auto"/>
                <w:sz w:val="14"/>
                <w:szCs w:val="14"/>
              </w:rPr>
              <w:t>348 108,25</w:t>
            </w:r>
          </w:p>
        </w:tc>
        <w:tc>
          <w:tcPr>
            <w:tcW w:w="954" w:type="dxa"/>
          </w:tcPr>
          <w:p w14:paraId="5DEB48E1" w14:textId="77777777" w:rsidR="00E24170" w:rsidRPr="009B3CF0" w:rsidRDefault="00E24170" w:rsidP="00E24170">
            <w:pPr>
              <w:pStyle w:val="Tabele"/>
              <w:jc w:val="right"/>
              <w:rPr>
                <w:b/>
                <w:bCs/>
                <w:color w:val="auto"/>
                <w:sz w:val="14"/>
                <w:szCs w:val="14"/>
                <w:highlight w:val="yellow"/>
              </w:rPr>
            </w:pPr>
            <w:r w:rsidRPr="009B3CF0">
              <w:rPr>
                <w:color w:val="auto"/>
                <w:sz w:val="14"/>
                <w:szCs w:val="14"/>
              </w:rPr>
              <w:t>283 966,21</w:t>
            </w:r>
          </w:p>
        </w:tc>
        <w:tc>
          <w:tcPr>
            <w:tcW w:w="954" w:type="dxa"/>
          </w:tcPr>
          <w:p w14:paraId="2657B7EE" w14:textId="77777777" w:rsidR="00E24170" w:rsidRPr="009B3CF0" w:rsidRDefault="00E24170" w:rsidP="00E24170">
            <w:pPr>
              <w:pStyle w:val="Tabele"/>
              <w:jc w:val="right"/>
              <w:rPr>
                <w:b/>
                <w:bCs/>
                <w:color w:val="auto"/>
                <w:sz w:val="14"/>
                <w:szCs w:val="14"/>
                <w:highlight w:val="yellow"/>
              </w:rPr>
            </w:pPr>
            <w:r w:rsidRPr="009B3CF0">
              <w:rPr>
                <w:color w:val="auto"/>
                <w:sz w:val="14"/>
                <w:szCs w:val="14"/>
              </w:rPr>
              <w:t>206 419,66</w:t>
            </w:r>
          </w:p>
        </w:tc>
        <w:tc>
          <w:tcPr>
            <w:tcW w:w="954" w:type="dxa"/>
          </w:tcPr>
          <w:p w14:paraId="0E37F749" w14:textId="77777777" w:rsidR="00E24170" w:rsidRPr="009B3CF0" w:rsidRDefault="00E24170" w:rsidP="00E24170">
            <w:pPr>
              <w:pStyle w:val="Tabele"/>
              <w:jc w:val="right"/>
              <w:rPr>
                <w:b/>
                <w:bCs/>
                <w:color w:val="auto"/>
                <w:sz w:val="14"/>
                <w:szCs w:val="14"/>
                <w:highlight w:val="yellow"/>
              </w:rPr>
            </w:pPr>
            <w:r w:rsidRPr="009B3CF0">
              <w:rPr>
                <w:color w:val="auto"/>
                <w:sz w:val="14"/>
                <w:szCs w:val="14"/>
              </w:rPr>
              <w:t>148 573,65</w:t>
            </w:r>
          </w:p>
        </w:tc>
        <w:tc>
          <w:tcPr>
            <w:tcW w:w="955" w:type="dxa"/>
          </w:tcPr>
          <w:p w14:paraId="14166C7C" w14:textId="77777777" w:rsidR="00E24170" w:rsidRPr="009B3CF0" w:rsidRDefault="00E24170" w:rsidP="00E24170">
            <w:pPr>
              <w:pStyle w:val="Tabele"/>
              <w:jc w:val="right"/>
              <w:rPr>
                <w:b/>
                <w:bCs/>
                <w:color w:val="auto"/>
                <w:sz w:val="14"/>
                <w:szCs w:val="14"/>
                <w:highlight w:val="yellow"/>
              </w:rPr>
            </w:pPr>
            <w:r w:rsidRPr="009B3CF0">
              <w:rPr>
                <w:color w:val="auto"/>
                <w:sz w:val="14"/>
                <w:szCs w:val="14"/>
              </w:rPr>
              <w:t>108 069,76</w:t>
            </w:r>
          </w:p>
        </w:tc>
      </w:tr>
      <w:tr w:rsidR="007F0D2B" w:rsidRPr="009E39D0" w14:paraId="4173EAF9" w14:textId="77777777" w:rsidTr="00231812">
        <w:trPr>
          <w:trHeight w:val="228"/>
        </w:trPr>
        <w:tc>
          <w:tcPr>
            <w:tcW w:w="1555" w:type="dxa"/>
          </w:tcPr>
          <w:p w14:paraId="7747E44C" w14:textId="77777777" w:rsidR="00E24170" w:rsidRPr="009B3CF0" w:rsidRDefault="00E24170" w:rsidP="00E24170">
            <w:pPr>
              <w:pStyle w:val="Tabele"/>
              <w:rPr>
                <w:b/>
                <w:bCs/>
                <w:color w:val="auto"/>
                <w:sz w:val="14"/>
                <w:szCs w:val="14"/>
              </w:rPr>
            </w:pPr>
            <w:r w:rsidRPr="009B3CF0">
              <w:rPr>
                <w:b/>
                <w:color w:val="auto"/>
                <w:sz w:val="14"/>
                <w:szCs w:val="14"/>
              </w:rPr>
              <w:t>Suma (bez LULUCF)*</w:t>
            </w:r>
          </w:p>
        </w:tc>
        <w:tc>
          <w:tcPr>
            <w:tcW w:w="808" w:type="dxa"/>
            <w:shd w:val="clear" w:color="auto" w:fill="C5E0B3"/>
          </w:tcPr>
          <w:p w14:paraId="1C0E363E" w14:textId="77777777" w:rsidR="00E24170" w:rsidRPr="009B3CF0" w:rsidRDefault="00E24170" w:rsidP="00E24170">
            <w:pPr>
              <w:pStyle w:val="Tabele"/>
              <w:jc w:val="right"/>
              <w:rPr>
                <w:b/>
                <w:bCs/>
                <w:color w:val="auto"/>
                <w:sz w:val="14"/>
                <w:szCs w:val="14"/>
              </w:rPr>
            </w:pPr>
            <w:r w:rsidRPr="009B3CF0">
              <w:rPr>
                <w:b/>
                <w:color w:val="auto"/>
                <w:sz w:val="14"/>
                <w:szCs w:val="14"/>
              </w:rPr>
              <w:t>401 944,13</w:t>
            </w:r>
          </w:p>
        </w:tc>
        <w:tc>
          <w:tcPr>
            <w:tcW w:w="954" w:type="dxa"/>
            <w:shd w:val="clear" w:color="auto" w:fill="C5E0B3"/>
          </w:tcPr>
          <w:p w14:paraId="68439B19" w14:textId="77777777" w:rsidR="00E24170" w:rsidRPr="009B3CF0" w:rsidRDefault="00E24170" w:rsidP="00E24170">
            <w:pPr>
              <w:pStyle w:val="Tabele"/>
              <w:jc w:val="right"/>
              <w:rPr>
                <w:b/>
                <w:bCs/>
                <w:color w:val="auto"/>
                <w:sz w:val="14"/>
                <w:szCs w:val="14"/>
              </w:rPr>
            </w:pPr>
            <w:r w:rsidRPr="009B3CF0">
              <w:rPr>
                <w:b/>
                <w:color w:val="auto"/>
                <w:sz w:val="14"/>
                <w:szCs w:val="14"/>
              </w:rPr>
              <w:t>407 222,02</w:t>
            </w:r>
          </w:p>
        </w:tc>
        <w:tc>
          <w:tcPr>
            <w:tcW w:w="954" w:type="dxa"/>
            <w:shd w:val="clear" w:color="auto" w:fill="C5E0B3"/>
          </w:tcPr>
          <w:p w14:paraId="04A1FF3A" w14:textId="77777777" w:rsidR="00E24170" w:rsidRPr="009B3CF0" w:rsidRDefault="00E24170" w:rsidP="00E24170">
            <w:pPr>
              <w:pStyle w:val="Tabele"/>
              <w:jc w:val="right"/>
              <w:rPr>
                <w:b/>
                <w:bCs/>
                <w:color w:val="auto"/>
                <w:sz w:val="14"/>
                <w:szCs w:val="14"/>
              </w:rPr>
            </w:pPr>
            <w:r w:rsidRPr="009B3CF0">
              <w:rPr>
                <w:b/>
                <w:color w:val="auto"/>
                <w:sz w:val="14"/>
                <w:szCs w:val="14"/>
              </w:rPr>
              <w:t>383 455,73</w:t>
            </w:r>
          </w:p>
        </w:tc>
        <w:tc>
          <w:tcPr>
            <w:tcW w:w="954" w:type="dxa"/>
            <w:shd w:val="clear" w:color="auto" w:fill="C5E0B3"/>
          </w:tcPr>
          <w:p w14:paraId="55C9122F" w14:textId="77777777" w:rsidR="00E24170" w:rsidRPr="009B3CF0" w:rsidRDefault="00E24170" w:rsidP="00E24170">
            <w:pPr>
              <w:pStyle w:val="Tabele"/>
              <w:jc w:val="right"/>
              <w:rPr>
                <w:b/>
                <w:bCs/>
                <w:color w:val="auto"/>
                <w:sz w:val="14"/>
                <w:szCs w:val="14"/>
              </w:rPr>
            </w:pPr>
            <w:r w:rsidRPr="009B3CF0">
              <w:rPr>
                <w:b/>
                <w:color w:val="auto"/>
                <w:sz w:val="14"/>
                <w:szCs w:val="14"/>
              </w:rPr>
              <w:t>371 438,43</w:t>
            </w:r>
          </w:p>
        </w:tc>
        <w:tc>
          <w:tcPr>
            <w:tcW w:w="954" w:type="dxa"/>
          </w:tcPr>
          <w:p w14:paraId="1DCB852B" w14:textId="77777777" w:rsidR="00E24170" w:rsidRPr="009B3CF0" w:rsidRDefault="00E24170" w:rsidP="00E24170">
            <w:pPr>
              <w:pStyle w:val="Tabele"/>
              <w:jc w:val="right"/>
              <w:rPr>
                <w:b/>
                <w:bCs/>
                <w:color w:val="auto"/>
                <w:sz w:val="14"/>
                <w:szCs w:val="14"/>
                <w:highlight w:val="yellow"/>
              </w:rPr>
            </w:pPr>
            <w:r w:rsidRPr="009B3CF0">
              <w:rPr>
                <w:b/>
                <w:color w:val="auto"/>
                <w:sz w:val="14"/>
                <w:szCs w:val="14"/>
              </w:rPr>
              <w:t>333 708,10</w:t>
            </w:r>
          </w:p>
        </w:tc>
        <w:tc>
          <w:tcPr>
            <w:tcW w:w="954" w:type="dxa"/>
          </w:tcPr>
          <w:p w14:paraId="23C09246" w14:textId="77777777" w:rsidR="00E24170" w:rsidRPr="009B3CF0" w:rsidRDefault="00E24170" w:rsidP="00E24170">
            <w:pPr>
              <w:pStyle w:val="Tabele"/>
              <w:jc w:val="right"/>
              <w:rPr>
                <w:b/>
                <w:bCs/>
                <w:color w:val="auto"/>
                <w:sz w:val="14"/>
                <w:szCs w:val="14"/>
                <w:highlight w:val="yellow"/>
              </w:rPr>
            </w:pPr>
            <w:r w:rsidRPr="009B3CF0">
              <w:rPr>
                <w:b/>
                <w:color w:val="auto"/>
                <w:sz w:val="14"/>
                <w:szCs w:val="14"/>
              </w:rPr>
              <w:t>252 912,54</w:t>
            </w:r>
          </w:p>
        </w:tc>
        <w:tc>
          <w:tcPr>
            <w:tcW w:w="954" w:type="dxa"/>
          </w:tcPr>
          <w:p w14:paraId="2DB83E21" w14:textId="77777777" w:rsidR="00E24170" w:rsidRPr="009B3CF0" w:rsidRDefault="00E24170" w:rsidP="00E24170">
            <w:pPr>
              <w:pStyle w:val="Tabele"/>
              <w:jc w:val="right"/>
              <w:rPr>
                <w:b/>
                <w:bCs/>
                <w:color w:val="auto"/>
                <w:sz w:val="14"/>
                <w:szCs w:val="14"/>
                <w:highlight w:val="yellow"/>
              </w:rPr>
            </w:pPr>
            <w:r w:rsidRPr="009B3CF0">
              <w:rPr>
                <w:b/>
                <w:color w:val="auto"/>
                <w:sz w:val="14"/>
                <w:szCs w:val="14"/>
              </w:rPr>
              <w:t>188 866,57</w:t>
            </w:r>
          </w:p>
        </w:tc>
        <w:tc>
          <w:tcPr>
            <w:tcW w:w="955" w:type="dxa"/>
          </w:tcPr>
          <w:p w14:paraId="10344265" w14:textId="77777777" w:rsidR="00E24170" w:rsidRPr="009B3CF0" w:rsidRDefault="00E24170" w:rsidP="00E24170">
            <w:pPr>
              <w:pStyle w:val="Tabele"/>
              <w:jc w:val="right"/>
              <w:rPr>
                <w:b/>
                <w:bCs/>
                <w:color w:val="auto"/>
                <w:sz w:val="14"/>
                <w:szCs w:val="14"/>
                <w:highlight w:val="yellow"/>
              </w:rPr>
            </w:pPr>
            <w:r w:rsidRPr="009B3CF0">
              <w:rPr>
                <w:b/>
                <w:color w:val="auto"/>
                <w:sz w:val="14"/>
                <w:szCs w:val="14"/>
              </w:rPr>
              <w:t>143 402,98</w:t>
            </w:r>
          </w:p>
        </w:tc>
      </w:tr>
    </w:tbl>
    <w:p w14:paraId="0F98B75D" w14:textId="170A1AC4" w:rsidR="005C4144" w:rsidRDefault="005C4144" w:rsidP="00231812">
      <w:pPr>
        <w:pStyle w:val="Legenda"/>
        <w:spacing w:before="120"/>
      </w:pPr>
      <w:r w:rsidRPr="00BB1158">
        <w:t>Źródło: Opr</w:t>
      </w:r>
      <w:r>
        <w:t>acowanie własne KOBIZE, IOŚ, IOŚ-PIB</w:t>
      </w:r>
    </w:p>
    <w:p w14:paraId="351D374A" w14:textId="78360E61" w:rsidR="00AC351F" w:rsidRPr="00BB56DA" w:rsidRDefault="00AC351F" w:rsidP="00C91A08">
      <w:pPr>
        <w:rPr>
          <w:b/>
        </w:rPr>
      </w:pPr>
      <w:r w:rsidRPr="00AC351F">
        <w:t>Krajowa emisja gazów cieplarnianych (z wyłączeniem LULUCF) dla wszystkich lat prognozy (2025-20</w:t>
      </w:r>
      <w:r w:rsidR="00E63C25">
        <w:t>4</w:t>
      </w:r>
      <w:r w:rsidRPr="00AC351F">
        <w:t xml:space="preserve">0) jest </w:t>
      </w:r>
      <w:r w:rsidRPr="00627798">
        <w:t>wyższa w scenariuszu WEM od emisji obliczonej dla scenariusza WAM. Redukcja emisji w scenariuszu WAM w stosunku do scenariusza WEM jest</w:t>
      </w:r>
      <w:r w:rsidRPr="00AC351F">
        <w:t xml:space="preserve"> największa w przypadku sektora 1. Energia. </w:t>
      </w:r>
      <w:r w:rsidRPr="00AE74A1">
        <w:t>Największa różnica pomiędzy obu scenariuszami występuje dla lat 2035</w:t>
      </w:r>
      <w:r w:rsidR="00C91A08" w:rsidRPr="00AE74A1">
        <w:t>–</w:t>
      </w:r>
      <w:r w:rsidRPr="00AE74A1">
        <w:t>204</w:t>
      </w:r>
      <w:r w:rsidR="00AE74A1" w:rsidRPr="00AE74A1">
        <w:t>0</w:t>
      </w:r>
      <w:r w:rsidRPr="00AE74A1">
        <w:t>,</w:t>
      </w:r>
      <w:r w:rsidRPr="00AC351F">
        <w:t xml:space="preserve"> co zobrazowano na rysunku</w:t>
      </w:r>
      <w:r w:rsidR="006A0EC8">
        <w:t xml:space="preserve"> </w:t>
      </w:r>
      <w:r w:rsidR="006A0EC8" w:rsidRPr="008E5DE3">
        <w:t>poniżej</w:t>
      </w:r>
      <w:r w:rsidR="008E5DE3" w:rsidRPr="008E5DE3">
        <w:t>.</w:t>
      </w:r>
    </w:p>
    <w:p w14:paraId="6F717C94" w14:textId="507BB6B6" w:rsidR="005C4144" w:rsidRDefault="004E5B0A" w:rsidP="00AC351F">
      <w:pPr>
        <w:jc w:val="left"/>
        <w:rPr>
          <w:color w:val="FF0000"/>
        </w:rPr>
      </w:pPr>
      <w:r>
        <w:rPr>
          <w:noProof/>
          <w:lang w:eastAsia="pl-PL"/>
        </w:rPr>
        <w:drawing>
          <wp:inline distT="0" distB="0" distL="0" distR="0" wp14:anchorId="1D7E668F" wp14:editId="0891BDBD">
            <wp:extent cx="5613149" cy="2797521"/>
            <wp:effectExtent l="0" t="0" r="6985" b="3175"/>
            <wp:docPr id="920108318" name="Wykres 1">
              <a:extLst xmlns:a="http://schemas.openxmlformats.org/drawingml/2006/main">
                <a:ext uri="{FF2B5EF4-FFF2-40B4-BE49-F238E27FC236}">
                  <a16:creationId xmlns:a16="http://schemas.microsoft.com/office/drawing/2014/main" id="{00000000-0008-0000-3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C525E2" w14:textId="307822E9" w:rsidR="005C4144" w:rsidRDefault="005C4144" w:rsidP="005C4144">
      <w:pPr>
        <w:pStyle w:val="Legenda"/>
      </w:pPr>
      <w:bookmarkStart w:id="119" w:name="_Ref161138838"/>
      <w:bookmarkStart w:id="120" w:name="_Toc167442172"/>
      <w:bookmarkStart w:id="121" w:name="_Toc171587259"/>
      <w:bookmarkStart w:id="122" w:name="_Toc174711026"/>
      <w:bookmarkStart w:id="123" w:name="_Toc202967032"/>
      <w:r>
        <w:t xml:space="preserve">Rysunek </w:t>
      </w:r>
      <w:r>
        <w:rPr>
          <w:noProof/>
        </w:rPr>
        <w:fldChar w:fldCharType="begin"/>
      </w:r>
      <w:r>
        <w:rPr>
          <w:noProof/>
        </w:rPr>
        <w:instrText xml:space="preserve"> STYLEREF 1 \s </w:instrText>
      </w:r>
      <w:r>
        <w:rPr>
          <w:noProof/>
        </w:rPr>
        <w:fldChar w:fldCharType="separate"/>
      </w:r>
      <w:r w:rsidR="00F27D6F">
        <w:rPr>
          <w:noProof/>
        </w:rPr>
        <w:t>1</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2</w:t>
      </w:r>
      <w:r>
        <w:rPr>
          <w:noProof/>
        </w:rPr>
        <w:fldChar w:fldCharType="end"/>
      </w:r>
      <w:bookmarkEnd w:id="119"/>
      <w:r>
        <w:t xml:space="preserve">. </w:t>
      </w:r>
      <w:r w:rsidRPr="008E1882">
        <w:t>Emisje historyczne (</w:t>
      </w:r>
      <w:r>
        <w:t>2005</w:t>
      </w:r>
      <w:r w:rsidRPr="008E1882">
        <w:t>-2020) oraz projekcje emisji gazów</w:t>
      </w:r>
      <w:r>
        <w:t xml:space="preserve"> cieplarnianych</w:t>
      </w:r>
      <w:r w:rsidRPr="00E21D6D">
        <w:t xml:space="preserve"> (z uwzględnieniem emisji pośredniej CO</w:t>
      </w:r>
      <w:r w:rsidRPr="00A65AD6">
        <w:rPr>
          <w:vertAlign w:val="subscript"/>
        </w:rPr>
        <w:t>2</w:t>
      </w:r>
      <w:r>
        <w:t xml:space="preserve"> i wyłączeniem emisji i pochłaniania z LULUCF</w:t>
      </w:r>
      <w:r w:rsidRPr="00E21D6D">
        <w:t xml:space="preserve">) </w:t>
      </w:r>
      <w:r>
        <w:t>dla scenariusza WEM i WAM</w:t>
      </w:r>
      <w:bookmarkEnd w:id="120"/>
      <w:bookmarkEnd w:id="121"/>
      <w:bookmarkEnd w:id="122"/>
      <w:bookmarkEnd w:id="123"/>
    </w:p>
    <w:bookmarkEnd w:id="118"/>
    <w:p w14:paraId="046BB471" w14:textId="0BE005B0" w:rsidR="00CD49CB" w:rsidRDefault="005C4144" w:rsidP="005C4144">
      <w:r w:rsidRPr="00AE7875">
        <w:t>W tabeli</w:t>
      </w:r>
      <w:r w:rsidR="00C62390">
        <w:t xml:space="preserve"> poniżej</w:t>
      </w:r>
      <w:r w:rsidRPr="00AE7875">
        <w:t xml:space="preserve"> (</w:t>
      </w:r>
      <w:r w:rsidR="00652A29">
        <w:fldChar w:fldCharType="begin"/>
      </w:r>
      <w:r w:rsidR="00652A29">
        <w:instrText xml:space="preserve"> REF _Ref195870392 \h </w:instrText>
      </w:r>
      <w:r w:rsidR="00652A29">
        <w:fldChar w:fldCharType="separate"/>
      </w:r>
      <w:r w:rsidR="00F27D6F">
        <w:t xml:space="preserve">Tabela </w:t>
      </w:r>
      <w:r w:rsidR="00F27D6F">
        <w:rPr>
          <w:noProof/>
        </w:rPr>
        <w:t>1</w:t>
      </w:r>
      <w:r w:rsidR="00F27D6F">
        <w:t>.</w:t>
      </w:r>
      <w:r w:rsidR="00F27D6F">
        <w:rPr>
          <w:noProof/>
        </w:rPr>
        <w:t>15</w:t>
      </w:r>
      <w:r w:rsidR="00652A29">
        <w:fldChar w:fldCharType="end"/>
      </w:r>
      <w:r w:rsidR="0031124A">
        <w:t>)</w:t>
      </w:r>
      <w:r w:rsidR="00CD49CB" w:rsidRPr="00CD49CB">
        <w:t xml:space="preserve"> </w:t>
      </w:r>
      <w:r w:rsidR="00CD49CB">
        <w:t>przedstawiono szczegółowo</w:t>
      </w:r>
      <w:r w:rsidR="00CD49CB" w:rsidRPr="00AE7875">
        <w:t xml:space="preserve"> </w:t>
      </w:r>
      <w:r w:rsidR="00CD49CB">
        <w:t>prognozy redukcji</w:t>
      </w:r>
      <w:r w:rsidR="00CD49CB" w:rsidRPr="00AE7875">
        <w:t xml:space="preserve"> emisji gazów cieplarnianych ze</w:t>
      </w:r>
      <w:r w:rsidR="00CD49CB">
        <w:t> </w:t>
      </w:r>
      <w:r w:rsidR="00CD49CB" w:rsidRPr="00AE7875">
        <w:t>spalania paliw</w:t>
      </w:r>
      <w:r w:rsidR="00CD49CB">
        <w:t xml:space="preserve"> w </w:t>
      </w:r>
      <w:r w:rsidR="00CD49CB" w:rsidRPr="00AE7875">
        <w:t>źródłach stacjonarnych (</w:t>
      </w:r>
      <w:r w:rsidR="00CD49CB" w:rsidRPr="00AE7875">
        <w:rPr>
          <w:rFonts w:cs="Calibri"/>
        </w:rPr>
        <w:t xml:space="preserve">sektory 1A1. </w:t>
      </w:r>
      <w:r w:rsidR="00CD49CB" w:rsidRPr="00AE7875">
        <w:rPr>
          <w:rFonts w:cs="Calibri"/>
          <w:i/>
        </w:rPr>
        <w:t xml:space="preserve">Przemysły energetyczne, </w:t>
      </w:r>
      <w:r w:rsidR="00CD49CB" w:rsidRPr="00AE7875">
        <w:rPr>
          <w:rFonts w:cs="Calibri"/>
        </w:rPr>
        <w:t>1A2.</w:t>
      </w:r>
      <w:r w:rsidR="00CD49CB" w:rsidRPr="00AE7875">
        <w:rPr>
          <w:color w:val="44546A" w:themeColor="text2"/>
          <w:sz w:val="18"/>
          <w:szCs w:val="18"/>
        </w:rPr>
        <w:t xml:space="preserve"> </w:t>
      </w:r>
      <w:r w:rsidR="00CD49CB" w:rsidRPr="00AE7875">
        <w:rPr>
          <w:rFonts w:cs="Calibri"/>
          <w:i/>
        </w:rPr>
        <w:t>Przemysł wytwórczy</w:t>
      </w:r>
      <w:r w:rsidR="00CD49CB">
        <w:rPr>
          <w:rFonts w:cs="Calibri"/>
          <w:i/>
        </w:rPr>
        <w:t xml:space="preserve"> i </w:t>
      </w:r>
      <w:r w:rsidR="00CD49CB" w:rsidRPr="00AE7875">
        <w:rPr>
          <w:rFonts w:cs="Calibri"/>
          <w:i/>
        </w:rPr>
        <w:t>budownictwo</w:t>
      </w:r>
      <w:r w:rsidR="00CD49CB" w:rsidRPr="00AE7875">
        <w:rPr>
          <w:color w:val="44546A" w:themeColor="text2"/>
          <w:sz w:val="18"/>
          <w:szCs w:val="18"/>
        </w:rPr>
        <w:t xml:space="preserve"> </w:t>
      </w:r>
      <w:r w:rsidR="00CD49CB" w:rsidRPr="00AE7875">
        <w:rPr>
          <w:rFonts w:cs="Calibri"/>
        </w:rPr>
        <w:t>oraz 1A4.</w:t>
      </w:r>
      <w:r w:rsidR="00CD49CB" w:rsidRPr="00AE7875">
        <w:rPr>
          <w:color w:val="44546A" w:themeColor="text2"/>
          <w:sz w:val="18"/>
          <w:szCs w:val="18"/>
        </w:rPr>
        <w:t xml:space="preserve"> </w:t>
      </w:r>
      <w:r w:rsidR="00CD49CB" w:rsidRPr="00AE7875">
        <w:rPr>
          <w:rFonts w:cs="Calibri"/>
          <w:i/>
        </w:rPr>
        <w:t>Inne sektory</w:t>
      </w:r>
      <w:r w:rsidR="00CD49CB" w:rsidRPr="00AE7875">
        <w:rPr>
          <w:rFonts w:cs="Calibri"/>
        </w:rPr>
        <w:t>)</w:t>
      </w:r>
      <w:r w:rsidR="00CD49CB" w:rsidRPr="00AE7875">
        <w:t xml:space="preserve"> oraz mobilnych (sektor 1A3. </w:t>
      </w:r>
      <w:r w:rsidR="00CD49CB" w:rsidRPr="00AE7875">
        <w:rPr>
          <w:i/>
        </w:rPr>
        <w:t>Transport</w:t>
      </w:r>
      <w:r w:rsidR="00CD49CB">
        <w:t xml:space="preserve">) w wyniku zastosowania planowanych polityk i </w:t>
      </w:r>
      <w:r w:rsidR="00657AA8">
        <w:t xml:space="preserve">działań </w:t>
      </w:r>
      <w:r w:rsidR="00CD49CB">
        <w:t>(scenariusz WAM) w stosunku do emisji przy istniejących politykach i</w:t>
      </w:r>
      <w:r w:rsidR="006E236D">
        <w:t> </w:t>
      </w:r>
      <w:r w:rsidR="00773464">
        <w:t>działaniach</w:t>
      </w:r>
      <w:r w:rsidR="00421DA4" w:rsidRPr="00421DA4">
        <w:t xml:space="preserve"> </w:t>
      </w:r>
      <w:r w:rsidR="00421DA4">
        <w:t>(scenariusz WEM</w:t>
      </w:r>
      <w:r>
        <w:t>).</w:t>
      </w:r>
    </w:p>
    <w:p w14:paraId="59CF2DD7" w14:textId="0EC27583" w:rsidR="005C4144" w:rsidRDefault="005C4144" w:rsidP="005C4144">
      <w:pPr>
        <w:pStyle w:val="Legenda"/>
        <w:keepNext/>
      </w:pPr>
      <w:bookmarkStart w:id="124" w:name="_Ref161126453"/>
      <w:bookmarkStart w:id="125" w:name="_Ref195870392"/>
      <w:bookmarkStart w:id="126" w:name="_Toc167442093"/>
      <w:bookmarkStart w:id="127" w:name="_Toc171587174"/>
      <w:bookmarkStart w:id="128" w:name="_Toc174710958"/>
      <w:bookmarkStart w:id="129" w:name="_Toc202966960"/>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15</w:t>
      </w:r>
      <w:r w:rsidR="00653D9A">
        <w:rPr>
          <w:noProof/>
        </w:rPr>
        <w:fldChar w:fldCharType="end"/>
      </w:r>
      <w:bookmarkEnd w:id="124"/>
      <w:bookmarkEnd w:id="125"/>
      <w:r>
        <w:t>. Prognozy</w:t>
      </w:r>
      <w:r w:rsidRPr="001F033C">
        <w:t xml:space="preserve"> </w:t>
      </w:r>
      <w:r>
        <w:t xml:space="preserve">zmiany </w:t>
      </w:r>
      <w:r w:rsidRPr="001F033C">
        <w:t>emisji gazów cieplarnianych</w:t>
      </w:r>
      <w:r>
        <w:t xml:space="preserve"> w </w:t>
      </w:r>
      <w:r w:rsidRPr="001F033C">
        <w:t>sektorze 1A. Spalanie paliw</w:t>
      </w:r>
      <w:r>
        <w:t>, scenariusz WAM vs. WEM</w:t>
      </w:r>
      <w:bookmarkEnd w:id="126"/>
      <w:bookmarkEnd w:id="127"/>
      <w:bookmarkEnd w:id="128"/>
      <w:bookmarkEnd w:id="129"/>
    </w:p>
    <w:tbl>
      <w:tblPr>
        <w:tblStyle w:val="KPEiK"/>
        <w:tblW w:w="5003" w:type="pct"/>
        <w:tblLayout w:type="fixed"/>
        <w:tblCellMar>
          <w:left w:w="28" w:type="dxa"/>
          <w:right w:w="28" w:type="dxa"/>
        </w:tblCellMar>
        <w:tblLook w:val="04A0" w:firstRow="1" w:lastRow="0" w:firstColumn="1" w:lastColumn="0" w:noHBand="0" w:noVBand="1"/>
      </w:tblPr>
      <w:tblGrid>
        <w:gridCol w:w="2830"/>
        <w:gridCol w:w="1559"/>
        <w:gridCol w:w="1559"/>
        <w:gridCol w:w="1559"/>
        <w:gridCol w:w="1560"/>
      </w:tblGrid>
      <w:tr w:rsidR="009416C0" w:rsidRPr="003C7FE0" w14:paraId="001055B6" w14:textId="77777777" w:rsidTr="0096172C">
        <w:trPr>
          <w:cnfStyle w:val="100000000000" w:firstRow="1" w:lastRow="0" w:firstColumn="0" w:lastColumn="0" w:oddVBand="0" w:evenVBand="0" w:oddHBand="0" w:evenHBand="0" w:firstRowFirstColumn="0" w:firstRowLastColumn="0" w:lastRowFirstColumn="0" w:lastRowLastColumn="0"/>
          <w:trHeight w:val="233"/>
          <w:tblHeader/>
        </w:trPr>
        <w:tc>
          <w:tcPr>
            <w:tcW w:w="2830" w:type="dxa"/>
            <w:vMerge w:val="restart"/>
          </w:tcPr>
          <w:p w14:paraId="2F69C1D9" w14:textId="77777777" w:rsidR="009416C0" w:rsidRPr="003C7FE0" w:rsidRDefault="009416C0">
            <w:pPr>
              <w:pStyle w:val="Tabele"/>
              <w:jc w:val="center"/>
              <w:rPr>
                <w:szCs w:val="16"/>
              </w:rPr>
            </w:pPr>
            <w:r w:rsidRPr="003C7FE0">
              <w:rPr>
                <w:szCs w:val="16"/>
              </w:rPr>
              <w:t>Sektor</w:t>
            </w:r>
          </w:p>
        </w:tc>
        <w:tc>
          <w:tcPr>
            <w:tcW w:w="6237" w:type="dxa"/>
            <w:gridSpan w:val="4"/>
          </w:tcPr>
          <w:p w14:paraId="373EB613" w14:textId="59C2ADC8" w:rsidR="00242DEC" w:rsidRPr="003C7FE0" w:rsidRDefault="00242DEC">
            <w:pPr>
              <w:pStyle w:val="Tabele"/>
              <w:jc w:val="center"/>
              <w:rPr>
                <w:szCs w:val="16"/>
              </w:rPr>
            </w:pPr>
            <w:r w:rsidRPr="003C7FE0">
              <w:rPr>
                <w:szCs w:val="16"/>
              </w:rPr>
              <w:t>Zmiana emisji GHG WAM vs. WEM [%]</w:t>
            </w:r>
          </w:p>
        </w:tc>
      </w:tr>
      <w:tr w:rsidR="009416C0" w:rsidRPr="003C7FE0" w14:paraId="678F5BB3" w14:textId="77777777" w:rsidTr="0096172C">
        <w:trPr>
          <w:cnfStyle w:val="100000000000" w:firstRow="1" w:lastRow="0" w:firstColumn="0" w:lastColumn="0" w:oddVBand="0" w:evenVBand="0" w:oddHBand="0" w:evenHBand="0" w:firstRowFirstColumn="0" w:firstRowLastColumn="0" w:lastRowFirstColumn="0" w:lastRowLastColumn="0"/>
          <w:trHeight w:val="233"/>
          <w:tblHeader/>
        </w:trPr>
        <w:tc>
          <w:tcPr>
            <w:tcW w:w="2830" w:type="dxa"/>
            <w:vMerge/>
          </w:tcPr>
          <w:p w14:paraId="0DB4C6B4" w14:textId="77777777" w:rsidR="009416C0" w:rsidRPr="003C7FE0" w:rsidRDefault="009416C0">
            <w:pPr>
              <w:pStyle w:val="Tabele"/>
              <w:jc w:val="center"/>
              <w:rPr>
                <w:szCs w:val="16"/>
              </w:rPr>
            </w:pPr>
          </w:p>
        </w:tc>
        <w:tc>
          <w:tcPr>
            <w:tcW w:w="1559" w:type="dxa"/>
          </w:tcPr>
          <w:p w14:paraId="6B379D3A" w14:textId="77777777" w:rsidR="009416C0" w:rsidRPr="003C7FE0" w:rsidRDefault="009416C0">
            <w:pPr>
              <w:pStyle w:val="Tabele"/>
              <w:jc w:val="center"/>
              <w:rPr>
                <w:szCs w:val="16"/>
              </w:rPr>
            </w:pPr>
            <w:r w:rsidRPr="003C7FE0">
              <w:rPr>
                <w:szCs w:val="16"/>
              </w:rPr>
              <w:t>2025</w:t>
            </w:r>
          </w:p>
        </w:tc>
        <w:tc>
          <w:tcPr>
            <w:tcW w:w="1559" w:type="dxa"/>
          </w:tcPr>
          <w:p w14:paraId="4F97A1E7" w14:textId="77777777" w:rsidR="009416C0" w:rsidRPr="003C7FE0" w:rsidRDefault="009416C0">
            <w:pPr>
              <w:pStyle w:val="Tabele"/>
              <w:jc w:val="center"/>
              <w:rPr>
                <w:szCs w:val="16"/>
              </w:rPr>
            </w:pPr>
            <w:r w:rsidRPr="003C7FE0">
              <w:rPr>
                <w:szCs w:val="16"/>
              </w:rPr>
              <w:t>2030</w:t>
            </w:r>
          </w:p>
        </w:tc>
        <w:tc>
          <w:tcPr>
            <w:tcW w:w="1559" w:type="dxa"/>
          </w:tcPr>
          <w:p w14:paraId="072AF343" w14:textId="77777777" w:rsidR="009416C0" w:rsidRPr="003C7FE0" w:rsidRDefault="009416C0">
            <w:pPr>
              <w:pStyle w:val="Tabele"/>
              <w:jc w:val="center"/>
              <w:rPr>
                <w:szCs w:val="16"/>
              </w:rPr>
            </w:pPr>
            <w:r w:rsidRPr="003C7FE0">
              <w:rPr>
                <w:szCs w:val="16"/>
              </w:rPr>
              <w:t>2035</w:t>
            </w:r>
          </w:p>
        </w:tc>
        <w:tc>
          <w:tcPr>
            <w:tcW w:w="1560" w:type="dxa"/>
          </w:tcPr>
          <w:p w14:paraId="15C30ABD" w14:textId="77777777" w:rsidR="009416C0" w:rsidRPr="003C7FE0" w:rsidRDefault="009416C0">
            <w:pPr>
              <w:pStyle w:val="Tabele"/>
              <w:jc w:val="center"/>
              <w:rPr>
                <w:szCs w:val="16"/>
              </w:rPr>
            </w:pPr>
            <w:r w:rsidRPr="003C7FE0">
              <w:rPr>
                <w:szCs w:val="16"/>
              </w:rPr>
              <w:t>2040</w:t>
            </w:r>
          </w:p>
        </w:tc>
      </w:tr>
      <w:tr w:rsidR="009416C0" w:rsidRPr="003C7FE0" w14:paraId="284D16E8" w14:textId="77777777" w:rsidTr="0096172C">
        <w:trPr>
          <w:trHeight w:val="233"/>
        </w:trPr>
        <w:tc>
          <w:tcPr>
            <w:tcW w:w="2830" w:type="dxa"/>
          </w:tcPr>
          <w:p w14:paraId="01BDCA7B" w14:textId="77777777" w:rsidR="009416C0" w:rsidRPr="009416C0" w:rsidRDefault="009416C0">
            <w:pPr>
              <w:pStyle w:val="Tabele"/>
              <w:rPr>
                <w:color w:val="auto"/>
                <w:szCs w:val="16"/>
              </w:rPr>
            </w:pPr>
            <w:r w:rsidRPr="009416C0">
              <w:rPr>
                <w:rFonts w:cs="Calibri"/>
                <w:color w:val="auto"/>
                <w:szCs w:val="16"/>
              </w:rPr>
              <w:t>1A Spalanie paliw</w:t>
            </w:r>
          </w:p>
        </w:tc>
        <w:tc>
          <w:tcPr>
            <w:tcW w:w="1559" w:type="dxa"/>
          </w:tcPr>
          <w:p w14:paraId="690D8C19" w14:textId="77777777" w:rsidR="009416C0" w:rsidRPr="009416C0" w:rsidRDefault="009416C0">
            <w:pPr>
              <w:pStyle w:val="Tabele"/>
              <w:jc w:val="right"/>
              <w:rPr>
                <w:color w:val="auto"/>
                <w:szCs w:val="16"/>
                <w:highlight w:val="yellow"/>
              </w:rPr>
            </w:pPr>
            <w:r w:rsidRPr="009416C0">
              <w:rPr>
                <w:color w:val="auto"/>
                <w:szCs w:val="16"/>
              </w:rPr>
              <w:t>-3,6%</w:t>
            </w:r>
          </w:p>
        </w:tc>
        <w:tc>
          <w:tcPr>
            <w:tcW w:w="1559" w:type="dxa"/>
          </w:tcPr>
          <w:p w14:paraId="47C49CDC" w14:textId="77777777" w:rsidR="009416C0" w:rsidRPr="009416C0" w:rsidRDefault="009416C0">
            <w:pPr>
              <w:pStyle w:val="Tabele"/>
              <w:jc w:val="right"/>
              <w:rPr>
                <w:color w:val="auto"/>
                <w:szCs w:val="16"/>
                <w:highlight w:val="yellow"/>
              </w:rPr>
            </w:pPr>
            <w:r w:rsidRPr="009416C0">
              <w:rPr>
                <w:color w:val="auto"/>
                <w:szCs w:val="16"/>
              </w:rPr>
              <w:t>-10,6%</w:t>
            </w:r>
          </w:p>
        </w:tc>
        <w:tc>
          <w:tcPr>
            <w:tcW w:w="1559" w:type="dxa"/>
          </w:tcPr>
          <w:p w14:paraId="5CC2857A" w14:textId="77777777" w:rsidR="009416C0" w:rsidRPr="009416C0" w:rsidRDefault="009416C0">
            <w:pPr>
              <w:pStyle w:val="Tabele"/>
              <w:jc w:val="right"/>
              <w:rPr>
                <w:color w:val="auto"/>
                <w:szCs w:val="16"/>
                <w:highlight w:val="yellow"/>
              </w:rPr>
            </w:pPr>
            <w:r w:rsidRPr="009416C0">
              <w:rPr>
                <w:color w:val="auto"/>
                <w:szCs w:val="16"/>
              </w:rPr>
              <w:t>-26,1%</w:t>
            </w:r>
          </w:p>
        </w:tc>
        <w:tc>
          <w:tcPr>
            <w:tcW w:w="1560" w:type="dxa"/>
          </w:tcPr>
          <w:p w14:paraId="2D878631" w14:textId="77777777" w:rsidR="009416C0" w:rsidRPr="009416C0" w:rsidRDefault="009416C0">
            <w:pPr>
              <w:pStyle w:val="Tabele"/>
              <w:jc w:val="right"/>
              <w:rPr>
                <w:color w:val="auto"/>
                <w:szCs w:val="16"/>
                <w:highlight w:val="yellow"/>
              </w:rPr>
            </w:pPr>
            <w:r w:rsidRPr="009416C0">
              <w:rPr>
                <w:color w:val="auto"/>
                <w:szCs w:val="16"/>
              </w:rPr>
              <w:t>-30,1%</w:t>
            </w:r>
          </w:p>
        </w:tc>
      </w:tr>
      <w:tr w:rsidR="009416C0" w:rsidRPr="003C7FE0" w14:paraId="31151F11" w14:textId="77777777" w:rsidTr="0096172C">
        <w:trPr>
          <w:trHeight w:val="233"/>
        </w:trPr>
        <w:tc>
          <w:tcPr>
            <w:tcW w:w="2830" w:type="dxa"/>
          </w:tcPr>
          <w:p w14:paraId="307481E6" w14:textId="77777777" w:rsidR="009416C0" w:rsidRPr="009416C0" w:rsidRDefault="009416C0">
            <w:pPr>
              <w:pStyle w:val="Tabele"/>
              <w:rPr>
                <w:color w:val="auto"/>
                <w:szCs w:val="16"/>
              </w:rPr>
            </w:pPr>
            <w:r w:rsidRPr="009416C0">
              <w:rPr>
                <w:rFonts w:cs="Calibri"/>
                <w:color w:val="auto"/>
                <w:szCs w:val="16"/>
              </w:rPr>
              <w:t>1A1 Przemysły energetyczne</w:t>
            </w:r>
          </w:p>
        </w:tc>
        <w:tc>
          <w:tcPr>
            <w:tcW w:w="1559" w:type="dxa"/>
          </w:tcPr>
          <w:p w14:paraId="00A81034" w14:textId="77777777" w:rsidR="009416C0" w:rsidRPr="009416C0" w:rsidRDefault="009416C0">
            <w:pPr>
              <w:pStyle w:val="Tabele"/>
              <w:jc w:val="right"/>
              <w:rPr>
                <w:color w:val="auto"/>
                <w:szCs w:val="16"/>
                <w:highlight w:val="yellow"/>
              </w:rPr>
            </w:pPr>
            <w:r w:rsidRPr="009416C0">
              <w:rPr>
                <w:color w:val="auto"/>
                <w:szCs w:val="16"/>
              </w:rPr>
              <w:t>-5,8%</w:t>
            </w:r>
          </w:p>
        </w:tc>
        <w:tc>
          <w:tcPr>
            <w:tcW w:w="1559" w:type="dxa"/>
          </w:tcPr>
          <w:p w14:paraId="4A823E7B" w14:textId="77777777" w:rsidR="009416C0" w:rsidRPr="009416C0" w:rsidRDefault="009416C0">
            <w:pPr>
              <w:pStyle w:val="Tabele"/>
              <w:jc w:val="right"/>
              <w:rPr>
                <w:color w:val="auto"/>
                <w:szCs w:val="16"/>
                <w:highlight w:val="yellow"/>
              </w:rPr>
            </w:pPr>
            <w:r w:rsidRPr="009416C0">
              <w:rPr>
                <w:color w:val="auto"/>
                <w:szCs w:val="16"/>
              </w:rPr>
              <w:t>-15,5%</w:t>
            </w:r>
          </w:p>
        </w:tc>
        <w:tc>
          <w:tcPr>
            <w:tcW w:w="1559" w:type="dxa"/>
          </w:tcPr>
          <w:p w14:paraId="01A3D93E" w14:textId="77777777" w:rsidR="009416C0" w:rsidRPr="009416C0" w:rsidRDefault="009416C0">
            <w:pPr>
              <w:pStyle w:val="Tabele"/>
              <w:jc w:val="right"/>
              <w:rPr>
                <w:color w:val="auto"/>
                <w:szCs w:val="16"/>
                <w:highlight w:val="yellow"/>
              </w:rPr>
            </w:pPr>
            <w:r w:rsidRPr="009416C0">
              <w:rPr>
                <w:color w:val="auto"/>
                <w:szCs w:val="16"/>
              </w:rPr>
              <w:t>-45,5%</w:t>
            </w:r>
          </w:p>
        </w:tc>
        <w:tc>
          <w:tcPr>
            <w:tcW w:w="1560" w:type="dxa"/>
          </w:tcPr>
          <w:p w14:paraId="05D1D553" w14:textId="77777777" w:rsidR="009416C0" w:rsidRPr="009416C0" w:rsidRDefault="009416C0">
            <w:pPr>
              <w:pStyle w:val="Tabele"/>
              <w:jc w:val="right"/>
              <w:rPr>
                <w:color w:val="auto"/>
                <w:szCs w:val="16"/>
                <w:highlight w:val="yellow"/>
              </w:rPr>
            </w:pPr>
            <w:r w:rsidRPr="009416C0">
              <w:rPr>
                <w:color w:val="auto"/>
                <w:szCs w:val="16"/>
              </w:rPr>
              <w:t>-59,0%</w:t>
            </w:r>
          </w:p>
        </w:tc>
      </w:tr>
      <w:tr w:rsidR="009416C0" w:rsidRPr="003C7FE0" w14:paraId="2C07FFEF" w14:textId="77777777" w:rsidTr="0096172C">
        <w:trPr>
          <w:trHeight w:val="233"/>
        </w:trPr>
        <w:tc>
          <w:tcPr>
            <w:tcW w:w="2830" w:type="dxa"/>
          </w:tcPr>
          <w:p w14:paraId="1255A3B3" w14:textId="77777777" w:rsidR="009416C0" w:rsidRPr="009416C0" w:rsidRDefault="009416C0">
            <w:pPr>
              <w:pStyle w:val="Tabele"/>
              <w:rPr>
                <w:color w:val="auto"/>
                <w:szCs w:val="16"/>
              </w:rPr>
            </w:pPr>
            <w:r w:rsidRPr="009416C0">
              <w:rPr>
                <w:rFonts w:cs="Calibri"/>
                <w:color w:val="auto"/>
                <w:szCs w:val="16"/>
              </w:rPr>
              <w:t>1A1a Produkcja energii elektrycznej i ciepła</w:t>
            </w:r>
          </w:p>
        </w:tc>
        <w:tc>
          <w:tcPr>
            <w:tcW w:w="1559" w:type="dxa"/>
          </w:tcPr>
          <w:p w14:paraId="7A75B94E" w14:textId="77777777" w:rsidR="009416C0" w:rsidRPr="009416C0" w:rsidRDefault="009416C0">
            <w:pPr>
              <w:pStyle w:val="Tabele"/>
              <w:jc w:val="right"/>
              <w:rPr>
                <w:color w:val="auto"/>
                <w:szCs w:val="16"/>
                <w:highlight w:val="yellow"/>
              </w:rPr>
            </w:pPr>
            <w:r w:rsidRPr="009416C0">
              <w:rPr>
                <w:color w:val="auto"/>
                <w:szCs w:val="16"/>
              </w:rPr>
              <w:t>-6,1%</w:t>
            </w:r>
          </w:p>
        </w:tc>
        <w:tc>
          <w:tcPr>
            <w:tcW w:w="1559" w:type="dxa"/>
          </w:tcPr>
          <w:p w14:paraId="1152D6C8" w14:textId="77777777" w:rsidR="009416C0" w:rsidRPr="009416C0" w:rsidRDefault="009416C0">
            <w:pPr>
              <w:pStyle w:val="Tabele"/>
              <w:jc w:val="right"/>
              <w:rPr>
                <w:color w:val="auto"/>
                <w:szCs w:val="16"/>
                <w:highlight w:val="yellow"/>
              </w:rPr>
            </w:pPr>
            <w:r w:rsidRPr="009416C0">
              <w:rPr>
                <w:color w:val="auto"/>
                <w:szCs w:val="16"/>
              </w:rPr>
              <w:t>-15,8%</w:t>
            </w:r>
          </w:p>
        </w:tc>
        <w:tc>
          <w:tcPr>
            <w:tcW w:w="1559" w:type="dxa"/>
          </w:tcPr>
          <w:p w14:paraId="32066A6F" w14:textId="77777777" w:rsidR="009416C0" w:rsidRPr="009416C0" w:rsidRDefault="009416C0">
            <w:pPr>
              <w:pStyle w:val="Tabele"/>
              <w:jc w:val="right"/>
              <w:rPr>
                <w:color w:val="auto"/>
                <w:szCs w:val="16"/>
                <w:highlight w:val="yellow"/>
              </w:rPr>
            </w:pPr>
            <w:r w:rsidRPr="009416C0">
              <w:rPr>
                <w:color w:val="auto"/>
                <w:szCs w:val="16"/>
              </w:rPr>
              <w:t>-47,3%</w:t>
            </w:r>
          </w:p>
        </w:tc>
        <w:tc>
          <w:tcPr>
            <w:tcW w:w="1560" w:type="dxa"/>
          </w:tcPr>
          <w:p w14:paraId="3B2DEB82" w14:textId="77777777" w:rsidR="009416C0" w:rsidRPr="009416C0" w:rsidRDefault="009416C0">
            <w:pPr>
              <w:pStyle w:val="Tabele"/>
              <w:jc w:val="right"/>
              <w:rPr>
                <w:color w:val="auto"/>
                <w:szCs w:val="16"/>
                <w:highlight w:val="yellow"/>
              </w:rPr>
            </w:pPr>
            <w:r w:rsidRPr="009416C0">
              <w:rPr>
                <w:color w:val="auto"/>
                <w:szCs w:val="16"/>
              </w:rPr>
              <w:t>-63,3%</w:t>
            </w:r>
          </w:p>
        </w:tc>
      </w:tr>
      <w:tr w:rsidR="009416C0" w:rsidRPr="003C7FE0" w14:paraId="0A7D39B8" w14:textId="77777777" w:rsidTr="0096172C">
        <w:trPr>
          <w:trHeight w:val="233"/>
        </w:trPr>
        <w:tc>
          <w:tcPr>
            <w:tcW w:w="2830" w:type="dxa"/>
          </w:tcPr>
          <w:p w14:paraId="49F23A2E" w14:textId="77777777" w:rsidR="009416C0" w:rsidRPr="009416C0" w:rsidRDefault="009416C0">
            <w:pPr>
              <w:pStyle w:val="Tabele"/>
              <w:rPr>
                <w:color w:val="auto"/>
                <w:szCs w:val="16"/>
              </w:rPr>
            </w:pPr>
            <w:r w:rsidRPr="009416C0">
              <w:rPr>
                <w:rFonts w:cs="Calibri"/>
                <w:color w:val="auto"/>
                <w:szCs w:val="16"/>
              </w:rPr>
              <w:t>1A1ai Produkcja energii elektrycznej</w:t>
            </w:r>
          </w:p>
        </w:tc>
        <w:tc>
          <w:tcPr>
            <w:tcW w:w="1559" w:type="dxa"/>
          </w:tcPr>
          <w:p w14:paraId="6CAEE60D" w14:textId="77777777" w:rsidR="009416C0" w:rsidRPr="009416C0" w:rsidRDefault="009416C0">
            <w:pPr>
              <w:pStyle w:val="Tabele"/>
              <w:jc w:val="right"/>
              <w:rPr>
                <w:color w:val="auto"/>
                <w:szCs w:val="16"/>
                <w:highlight w:val="yellow"/>
              </w:rPr>
            </w:pPr>
            <w:r w:rsidRPr="009416C0">
              <w:rPr>
                <w:color w:val="auto"/>
                <w:szCs w:val="16"/>
              </w:rPr>
              <w:t>IE</w:t>
            </w:r>
          </w:p>
        </w:tc>
        <w:tc>
          <w:tcPr>
            <w:tcW w:w="1559" w:type="dxa"/>
          </w:tcPr>
          <w:p w14:paraId="0CBC7DC8" w14:textId="77777777" w:rsidR="009416C0" w:rsidRPr="009416C0" w:rsidRDefault="009416C0">
            <w:pPr>
              <w:pStyle w:val="Tabele"/>
              <w:jc w:val="right"/>
              <w:rPr>
                <w:color w:val="auto"/>
                <w:szCs w:val="16"/>
                <w:highlight w:val="yellow"/>
              </w:rPr>
            </w:pPr>
            <w:r w:rsidRPr="009416C0">
              <w:rPr>
                <w:color w:val="auto"/>
                <w:szCs w:val="16"/>
              </w:rPr>
              <w:t>IE</w:t>
            </w:r>
          </w:p>
        </w:tc>
        <w:tc>
          <w:tcPr>
            <w:tcW w:w="1559" w:type="dxa"/>
          </w:tcPr>
          <w:p w14:paraId="36321B47" w14:textId="77777777" w:rsidR="009416C0" w:rsidRPr="009416C0" w:rsidRDefault="009416C0">
            <w:pPr>
              <w:pStyle w:val="Tabele"/>
              <w:jc w:val="right"/>
              <w:rPr>
                <w:color w:val="auto"/>
                <w:szCs w:val="16"/>
                <w:highlight w:val="yellow"/>
              </w:rPr>
            </w:pPr>
            <w:r w:rsidRPr="009416C0">
              <w:rPr>
                <w:color w:val="auto"/>
                <w:szCs w:val="16"/>
              </w:rPr>
              <w:t>IE</w:t>
            </w:r>
          </w:p>
        </w:tc>
        <w:tc>
          <w:tcPr>
            <w:tcW w:w="1560" w:type="dxa"/>
          </w:tcPr>
          <w:p w14:paraId="3B4D406B" w14:textId="77777777" w:rsidR="009416C0" w:rsidRPr="009416C0" w:rsidRDefault="009416C0">
            <w:pPr>
              <w:pStyle w:val="Tabele"/>
              <w:jc w:val="right"/>
              <w:rPr>
                <w:color w:val="auto"/>
                <w:szCs w:val="16"/>
                <w:highlight w:val="yellow"/>
              </w:rPr>
            </w:pPr>
            <w:r w:rsidRPr="009416C0">
              <w:rPr>
                <w:color w:val="auto"/>
                <w:szCs w:val="16"/>
              </w:rPr>
              <w:t>IE</w:t>
            </w:r>
          </w:p>
        </w:tc>
      </w:tr>
      <w:tr w:rsidR="009416C0" w:rsidRPr="003C7FE0" w14:paraId="6834914A" w14:textId="77777777" w:rsidTr="0096172C">
        <w:trPr>
          <w:trHeight w:val="233"/>
        </w:trPr>
        <w:tc>
          <w:tcPr>
            <w:tcW w:w="2830" w:type="dxa"/>
          </w:tcPr>
          <w:p w14:paraId="011BEBD0" w14:textId="77777777" w:rsidR="009416C0" w:rsidRPr="009416C0" w:rsidRDefault="009416C0">
            <w:pPr>
              <w:pStyle w:val="Tabele"/>
              <w:rPr>
                <w:color w:val="auto"/>
                <w:szCs w:val="16"/>
              </w:rPr>
            </w:pPr>
            <w:r w:rsidRPr="009416C0">
              <w:rPr>
                <w:rFonts w:cs="Calibri"/>
                <w:color w:val="auto"/>
                <w:szCs w:val="16"/>
              </w:rPr>
              <w:t>1A1aii Skojarzona produkcja energii elektrycznej i ciepła</w:t>
            </w:r>
          </w:p>
        </w:tc>
        <w:tc>
          <w:tcPr>
            <w:tcW w:w="1559" w:type="dxa"/>
          </w:tcPr>
          <w:p w14:paraId="2732453C" w14:textId="77777777" w:rsidR="009416C0" w:rsidRPr="009416C0" w:rsidRDefault="009416C0">
            <w:pPr>
              <w:pStyle w:val="Tabele"/>
              <w:jc w:val="right"/>
              <w:rPr>
                <w:color w:val="auto"/>
                <w:szCs w:val="16"/>
                <w:highlight w:val="yellow"/>
              </w:rPr>
            </w:pPr>
            <w:r w:rsidRPr="009416C0">
              <w:rPr>
                <w:color w:val="auto"/>
                <w:szCs w:val="16"/>
              </w:rPr>
              <w:t>-6,9%</w:t>
            </w:r>
          </w:p>
        </w:tc>
        <w:tc>
          <w:tcPr>
            <w:tcW w:w="1559" w:type="dxa"/>
          </w:tcPr>
          <w:p w14:paraId="4E96CAE4" w14:textId="77777777" w:rsidR="009416C0" w:rsidRPr="009416C0" w:rsidRDefault="009416C0">
            <w:pPr>
              <w:pStyle w:val="Tabele"/>
              <w:jc w:val="right"/>
              <w:rPr>
                <w:color w:val="auto"/>
                <w:szCs w:val="16"/>
                <w:highlight w:val="yellow"/>
              </w:rPr>
            </w:pPr>
            <w:r w:rsidRPr="009416C0">
              <w:rPr>
                <w:color w:val="auto"/>
                <w:szCs w:val="16"/>
              </w:rPr>
              <w:t>-15,6%</w:t>
            </w:r>
          </w:p>
        </w:tc>
        <w:tc>
          <w:tcPr>
            <w:tcW w:w="1559" w:type="dxa"/>
          </w:tcPr>
          <w:p w14:paraId="09F265BC" w14:textId="77777777" w:rsidR="009416C0" w:rsidRPr="009416C0" w:rsidRDefault="009416C0">
            <w:pPr>
              <w:pStyle w:val="Tabele"/>
              <w:jc w:val="right"/>
              <w:rPr>
                <w:color w:val="auto"/>
                <w:szCs w:val="16"/>
                <w:highlight w:val="yellow"/>
              </w:rPr>
            </w:pPr>
            <w:r w:rsidRPr="009416C0">
              <w:rPr>
                <w:color w:val="auto"/>
                <w:szCs w:val="16"/>
              </w:rPr>
              <w:t>-48,7%</w:t>
            </w:r>
          </w:p>
        </w:tc>
        <w:tc>
          <w:tcPr>
            <w:tcW w:w="1560" w:type="dxa"/>
          </w:tcPr>
          <w:p w14:paraId="33359173" w14:textId="77777777" w:rsidR="009416C0" w:rsidRPr="009416C0" w:rsidRDefault="009416C0">
            <w:pPr>
              <w:pStyle w:val="Tabele"/>
              <w:jc w:val="right"/>
              <w:rPr>
                <w:color w:val="auto"/>
                <w:szCs w:val="16"/>
                <w:highlight w:val="yellow"/>
              </w:rPr>
            </w:pPr>
            <w:r w:rsidRPr="009416C0">
              <w:rPr>
                <w:color w:val="auto"/>
                <w:szCs w:val="16"/>
              </w:rPr>
              <w:t>-65,6%</w:t>
            </w:r>
          </w:p>
        </w:tc>
      </w:tr>
      <w:tr w:rsidR="009416C0" w:rsidRPr="003C7FE0" w14:paraId="58640DB1" w14:textId="77777777" w:rsidTr="0096172C">
        <w:trPr>
          <w:trHeight w:val="233"/>
        </w:trPr>
        <w:tc>
          <w:tcPr>
            <w:tcW w:w="2830" w:type="dxa"/>
          </w:tcPr>
          <w:p w14:paraId="43B6BCAB" w14:textId="77777777" w:rsidR="009416C0" w:rsidRPr="009416C0" w:rsidRDefault="009416C0">
            <w:pPr>
              <w:pStyle w:val="Tabele"/>
              <w:rPr>
                <w:color w:val="auto"/>
                <w:szCs w:val="16"/>
              </w:rPr>
            </w:pPr>
            <w:r w:rsidRPr="009416C0">
              <w:rPr>
                <w:rFonts w:cs="Calibri"/>
                <w:color w:val="auto"/>
                <w:szCs w:val="16"/>
              </w:rPr>
              <w:t>1A1aiii Ciepłownie</w:t>
            </w:r>
          </w:p>
        </w:tc>
        <w:tc>
          <w:tcPr>
            <w:tcW w:w="1559" w:type="dxa"/>
          </w:tcPr>
          <w:p w14:paraId="5470BE77" w14:textId="77777777" w:rsidR="009416C0" w:rsidRPr="009416C0" w:rsidRDefault="009416C0">
            <w:pPr>
              <w:pStyle w:val="Tabele"/>
              <w:jc w:val="right"/>
              <w:rPr>
                <w:color w:val="auto"/>
                <w:szCs w:val="16"/>
                <w:highlight w:val="yellow"/>
              </w:rPr>
            </w:pPr>
            <w:r w:rsidRPr="009416C0">
              <w:rPr>
                <w:color w:val="auto"/>
                <w:szCs w:val="16"/>
              </w:rPr>
              <w:t>4,9%</w:t>
            </w:r>
          </w:p>
        </w:tc>
        <w:tc>
          <w:tcPr>
            <w:tcW w:w="1559" w:type="dxa"/>
          </w:tcPr>
          <w:p w14:paraId="0447CCFA" w14:textId="77777777" w:rsidR="009416C0" w:rsidRPr="009416C0" w:rsidRDefault="009416C0">
            <w:pPr>
              <w:pStyle w:val="Tabele"/>
              <w:jc w:val="right"/>
              <w:rPr>
                <w:color w:val="auto"/>
                <w:szCs w:val="16"/>
                <w:highlight w:val="yellow"/>
              </w:rPr>
            </w:pPr>
            <w:r w:rsidRPr="009416C0">
              <w:rPr>
                <w:color w:val="auto"/>
                <w:szCs w:val="16"/>
              </w:rPr>
              <w:t>-18,4%</w:t>
            </w:r>
          </w:p>
        </w:tc>
        <w:tc>
          <w:tcPr>
            <w:tcW w:w="1559" w:type="dxa"/>
          </w:tcPr>
          <w:p w14:paraId="518F3BF5" w14:textId="77777777" w:rsidR="009416C0" w:rsidRPr="009416C0" w:rsidRDefault="009416C0">
            <w:pPr>
              <w:pStyle w:val="Tabele"/>
              <w:jc w:val="right"/>
              <w:rPr>
                <w:color w:val="auto"/>
                <w:szCs w:val="16"/>
                <w:highlight w:val="yellow"/>
              </w:rPr>
            </w:pPr>
            <w:r w:rsidRPr="009416C0">
              <w:rPr>
                <w:color w:val="auto"/>
                <w:szCs w:val="16"/>
              </w:rPr>
              <w:t>-31,7%</w:t>
            </w:r>
          </w:p>
        </w:tc>
        <w:tc>
          <w:tcPr>
            <w:tcW w:w="1560" w:type="dxa"/>
          </w:tcPr>
          <w:p w14:paraId="7EFBF520" w14:textId="77777777" w:rsidR="009416C0" w:rsidRPr="009416C0" w:rsidRDefault="009416C0">
            <w:pPr>
              <w:pStyle w:val="Tabele"/>
              <w:jc w:val="right"/>
              <w:rPr>
                <w:color w:val="auto"/>
                <w:szCs w:val="16"/>
                <w:highlight w:val="yellow"/>
              </w:rPr>
            </w:pPr>
            <w:r w:rsidRPr="009416C0">
              <w:rPr>
                <w:color w:val="auto"/>
                <w:szCs w:val="16"/>
              </w:rPr>
              <w:t>-41,1%</w:t>
            </w:r>
          </w:p>
        </w:tc>
      </w:tr>
      <w:tr w:rsidR="009416C0" w:rsidRPr="003C7FE0" w14:paraId="062DF5AE" w14:textId="77777777" w:rsidTr="0096172C">
        <w:trPr>
          <w:trHeight w:val="233"/>
        </w:trPr>
        <w:tc>
          <w:tcPr>
            <w:tcW w:w="2830" w:type="dxa"/>
          </w:tcPr>
          <w:p w14:paraId="116E322B" w14:textId="77777777" w:rsidR="009416C0" w:rsidRPr="009416C0" w:rsidRDefault="009416C0">
            <w:pPr>
              <w:pStyle w:val="Tabele"/>
              <w:rPr>
                <w:color w:val="auto"/>
                <w:szCs w:val="16"/>
              </w:rPr>
            </w:pPr>
            <w:r w:rsidRPr="009416C0">
              <w:rPr>
                <w:rFonts w:cs="Calibri"/>
                <w:color w:val="auto"/>
                <w:szCs w:val="16"/>
              </w:rPr>
              <w:t>1A1b Rafinerie</w:t>
            </w:r>
          </w:p>
        </w:tc>
        <w:tc>
          <w:tcPr>
            <w:tcW w:w="1559" w:type="dxa"/>
          </w:tcPr>
          <w:p w14:paraId="4B87608E" w14:textId="77777777" w:rsidR="009416C0" w:rsidRPr="009416C0" w:rsidRDefault="009416C0">
            <w:pPr>
              <w:pStyle w:val="Tabele"/>
              <w:jc w:val="right"/>
              <w:rPr>
                <w:color w:val="auto"/>
                <w:szCs w:val="16"/>
                <w:highlight w:val="yellow"/>
              </w:rPr>
            </w:pPr>
            <w:r w:rsidRPr="009416C0">
              <w:rPr>
                <w:color w:val="auto"/>
                <w:szCs w:val="16"/>
              </w:rPr>
              <w:t>-0,3%</w:t>
            </w:r>
          </w:p>
        </w:tc>
        <w:tc>
          <w:tcPr>
            <w:tcW w:w="1559" w:type="dxa"/>
          </w:tcPr>
          <w:p w14:paraId="2390059F" w14:textId="77777777" w:rsidR="009416C0" w:rsidRPr="009416C0" w:rsidRDefault="009416C0">
            <w:pPr>
              <w:pStyle w:val="Tabele"/>
              <w:jc w:val="right"/>
              <w:rPr>
                <w:color w:val="auto"/>
                <w:szCs w:val="16"/>
                <w:highlight w:val="yellow"/>
              </w:rPr>
            </w:pPr>
            <w:r w:rsidRPr="009416C0">
              <w:rPr>
                <w:color w:val="auto"/>
                <w:szCs w:val="16"/>
              </w:rPr>
              <w:t>-17,5%</w:t>
            </w:r>
          </w:p>
        </w:tc>
        <w:tc>
          <w:tcPr>
            <w:tcW w:w="1559" w:type="dxa"/>
          </w:tcPr>
          <w:p w14:paraId="67347D06" w14:textId="77777777" w:rsidR="009416C0" w:rsidRPr="009416C0" w:rsidRDefault="009416C0">
            <w:pPr>
              <w:pStyle w:val="Tabele"/>
              <w:jc w:val="right"/>
              <w:rPr>
                <w:color w:val="auto"/>
                <w:szCs w:val="16"/>
                <w:highlight w:val="yellow"/>
              </w:rPr>
            </w:pPr>
            <w:r w:rsidRPr="009416C0">
              <w:rPr>
                <w:color w:val="auto"/>
                <w:szCs w:val="16"/>
              </w:rPr>
              <w:t>-42,4%</w:t>
            </w:r>
          </w:p>
        </w:tc>
        <w:tc>
          <w:tcPr>
            <w:tcW w:w="1560" w:type="dxa"/>
          </w:tcPr>
          <w:p w14:paraId="63AD4E55" w14:textId="77777777" w:rsidR="009416C0" w:rsidRPr="009416C0" w:rsidRDefault="009416C0">
            <w:pPr>
              <w:pStyle w:val="Tabele"/>
              <w:jc w:val="right"/>
              <w:rPr>
                <w:color w:val="auto"/>
                <w:szCs w:val="16"/>
                <w:highlight w:val="yellow"/>
              </w:rPr>
            </w:pPr>
            <w:r w:rsidRPr="009416C0">
              <w:rPr>
                <w:color w:val="auto"/>
                <w:szCs w:val="16"/>
              </w:rPr>
              <w:t>-59,1%</w:t>
            </w:r>
          </w:p>
        </w:tc>
      </w:tr>
      <w:tr w:rsidR="009416C0" w:rsidRPr="003C7FE0" w14:paraId="197B8013" w14:textId="77777777" w:rsidTr="0096172C">
        <w:trPr>
          <w:trHeight w:val="233"/>
        </w:trPr>
        <w:tc>
          <w:tcPr>
            <w:tcW w:w="2830" w:type="dxa"/>
          </w:tcPr>
          <w:p w14:paraId="2C36C48B" w14:textId="77777777" w:rsidR="009416C0" w:rsidRPr="009416C0" w:rsidRDefault="009416C0">
            <w:pPr>
              <w:pStyle w:val="Tabele"/>
              <w:rPr>
                <w:color w:val="auto"/>
                <w:szCs w:val="16"/>
              </w:rPr>
            </w:pPr>
            <w:r w:rsidRPr="009416C0">
              <w:rPr>
                <w:rFonts w:cs="Calibri"/>
                <w:color w:val="auto"/>
                <w:szCs w:val="16"/>
              </w:rPr>
              <w:t>1A1c Produkcja paliw stałych i inne przemysły energetyczne</w:t>
            </w:r>
          </w:p>
        </w:tc>
        <w:tc>
          <w:tcPr>
            <w:tcW w:w="1559" w:type="dxa"/>
          </w:tcPr>
          <w:p w14:paraId="4C1EC20A" w14:textId="77777777" w:rsidR="009416C0" w:rsidRPr="009416C0" w:rsidRDefault="009416C0">
            <w:pPr>
              <w:pStyle w:val="Tabele"/>
              <w:jc w:val="right"/>
              <w:rPr>
                <w:color w:val="auto"/>
                <w:szCs w:val="16"/>
                <w:highlight w:val="yellow"/>
              </w:rPr>
            </w:pPr>
            <w:r w:rsidRPr="009416C0">
              <w:rPr>
                <w:color w:val="auto"/>
                <w:szCs w:val="16"/>
              </w:rPr>
              <w:t>-1,8%</w:t>
            </w:r>
          </w:p>
        </w:tc>
        <w:tc>
          <w:tcPr>
            <w:tcW w:w="1559" w:type="dxa"/>
          </w:tcPr>
          <w:p w14:paraId="5306E6A7" w14:textId="77777777" w:rsidR="009416C0" w:rsidRPr="009416C0" w:rsidRDefault="009416C0">
            <w:pPr>
              <w:pStyle w:val="Tabele"/>
              <w:jc w:val="right"/>
              <w:rPr>
                <w:color w:val="auto"/>
                <w:szCs w:val="16"/>
                <w:highlight w:val="yellow"/>
              </w:rPr>
            </w:pPr>
            <w:r w:rsidRPr="009416C0">
              <w:rPr>
                <w:color w:val="auto"/>
                <w:szCs w:val="16"/>
              </w:rPr>
              <w:t>-6,6%</w:t>
            </w:r>
          </w:p>
        </w:tc>
        <w:tc>
          <w:tcPr>
            <w:tcW w:w="1559" w:type="dxa"/>
          </w:tcPr>
          <w:p w14:paraId="4ACB7985" w14:textId="77777777" w:rsidR="009416C0" w:rsidRPr="009416C0" w:rsidRDefault="009416C0">
            <w:pPr>
              <w:pStyle w:val="Tabele"/>
              <w:jc w:val="right"/>
              <w:rPr>
                <w:color w:val="auto"/>
                <w:szCs w:val="16"/>
                <w:highlight w:val="yellow"/>
              </w:rPr>
            </w:pPr>
            <w:r w:rsidRPr="009416C0">
              <w:rPr>
                <w:color w:val="auto"/>
                <w:szCs w:val="16"/>
              </w:rPr>
              <w:t>-13,0%</w:t>
            </w:r>
          </w:p>
        </w:tc>
        <w:tc>
          <w:tcPr>
            <w:tcW w:w="1560" w:type="dxa"/>
          </w:tcPr>
          <w:p w14:paraId="7B01CFE2" w14:textId="77777777" w:rsidR="009416C0" w:rsidRPr="009416C0" w:rsidRDefault="009416C0">
            <w:pPr>
              <w:pStyle w:val="Tabele"/>
              <w:jc w:val="right"/>
              <w:rPr>
                <w:color w:val="auto"/>
                <w:szCs w:val="16"/>
                <w:highlight w:val="yellow"/>
              </w:rPr>
            </w:pPr>
            <w:r w:rsidRPr="009416C0">
              <w:rPr>
                <w:color w:val="auto"/>
                <w:szCs w:val="16"/>
              </w:rPr>
              <w:t>-16,7%</w:t>
            </w:r>
          </w:p>
        </w:tc>
      </w:tr>
      <w:tr w:rsidR="009416C0" w:rsidRPr="003C7FE0" w14:paraId="7C0FB304" w14:textId="77777777" w:rsidTr="0096172C">
        <w:trPr>
          <w:trHeight w:val="233"/>
        </w:trPr>
        <w:tc>
          <w:tcPr>
            <w:tcW w:w="2830" w:type="dxa"/>
          </w:tcPr>
          <w:p w14:paraId="31ED269B" w14:textId="77777777" w:rsidR="009416C0" w:rsidRPr="009416C0" w:rsidRDefault="009416C0">
            <w:pPr>
              <w:pStyle w:val="Tabele"/>
              <w:rPr>
                <w:color w:val="auto"/>
                <w:szCs w:val="16"/>
              </w:rPr>
            </w:pPr>
            <w:r w:rsidRPr="009416C0">
              <w:rPr>
                <w:rFonts w:cs="Calibri"/>
                <w:color w:val="auto"/>
                <w:szCs w:val="16"/>
              </w:rPr>
              <w:t>1A2 Przemysł wytwórczy i budownictwo</w:t>
            </w:r>
          </w:p>
        </w:tc>
        <w:tc>
          <w:tcPr>
            <w:tcW w:w="1559" w:type="dxa"/>
          </w:tcPr>
          <w:p w14:paraId="71EEC9A5" w14:textId="77777777" w:rsidR="009416C0" w:rsidRPr="009416C0" w:rsidRDefault="009416C0">
            <w:pPr>
              <w:pStyle w:val="Tabele"/>
              <w:jc w:val="right"/>
              <w:rPr>
                <w:color w:val="auto"/>
                <w:szCs w:val="16"/>
                <w:highlight w:val="yellow"/>
              </w:rPr>
            </w:pPr>
            <w:r w:rsidRPr="009416C0">
              <w:rPr>
                <w:color w:val="auto"/>
                <w:szCs w:val="16"/>
              </w:rPr>
              <w:t>-1,6%</w:t>
            </w:r>
          </w:p>
        </w:tc>
        <w:tc>
          <w:tcPr>
            <w:tcW w:w="1559" w:type="dxa"/>
          </w:tcPr>
          <w:p w14:paraId="70BAA7C3" w14:textId="77777777" w:rsidR="009416C0" w:rsidRPr="009416C0" w:rsidRDefault="009416C0">
            <w:pPr>
              <w:pStyle w:val="Tabele"/>
              <w:jc w:val="right"/>
              <w:rPr>
                <w:color w:val="auto"/>
                <w:szCs w:val="16"/>
                <w:highlight w:val="yellow"/>
              </w:rPr>
            </w:pPr>
            <w:r w:rsidRPr="009416C0">
              <w:rPr>
                <w:color w:val="auto"/>
                <w:szCs w:val="16"/>
              </w:rPr>
              <w:t>-14,9%</w:t>
            </w:r>
          </w:p>
        </w:tc>
        <w:tc>
          <w:tcPr>
            <w:tcW w:w="1559" w:type="dxa"/>
          </w:tcPr>
          <w:p w14:paraId="43C2E88A" w14:textId="77777777" w:rsidR="009416C0" w:rsidRPr="009416C0" w:rsidRDefault="009416C0">
            <w:pPr>
              <w:pStyle w:val="Tabele"/>
              <w:jc w:val="right"/>
              <w:rPr>
                <w:color w:val="auto"/>
                <w:szCs w:val="16"/>
                <w:highlight w:val="yellow"/>
              </w:rPr>
            </w:pPr>
            <w:r w:rsidRPr="009416C0">
              <w:rPr>
                <w:color w:val="auto"/>
                <w:szCs w:val="16"/>
              </w:rPr>
              <w:t>-22,8%</w:t>
            </w:r>
          </w:p>
        </w:tc>
        <w:tc>
          <w:tcPr>
            <w:tcW w:w="1560" w:type="dxa"/>
          </w:tcPr>
          <w:p w14:paraId="275FC3FC" w14:textId="77777777" w:rsidR="009416C0" w:rsidRPr="009416C0" w:rsidRDefault="009416C0">
            <w:pPr>
              <w:pStyle w:val="Tabele"/>
              <w:jc w:val="right"/>
              <w:rPr>
                <w:color w:val="auto"/>
                <w:szCs w:val="16"/>
                <w:highlight w:val="yellow"/>
              </w:rPr>
            </w:pPr>
            <w:r w:rsidRPr="009416C0">
              <w:rPr>
                <w:color w:val="auto"/>
                <w:szCs w:val="16"/>
              </w:rPr>
              <w:t>-31,2%</w:t>
            </w:r>
          </w:p>
        </w:tc>
      </w:tr>
      <w:tr w:rsidR="009416C0" w:rsidRPr="003C7FE0" w14:paraId="5812D7B9" w14:textId="77777777" w:rsidTr="0096172C">
        <w:trPr>
          <w:trHeight w:val="233"/>
        </w:trPr>
        <w:tc>
          <w:tcPr>
            <w:tcW w:w="2830" w:type="dxa"/>
          </w:tcPr>
          <w:p w14:paraId="0153ACF3" w14:textId="77777777" w:rsidR="009416C0" w:rsidRPr="009416C0" w:rsidRDefault="009416C0">
            <w:pPr>
              <w:pStyle w:val="Tabele"/>
              <w:rPr>
                <w:color w:val="auto"/>
                <w:szCs w:val="16"/>
              </w:rPr>
            </w:pPr>
            <w:r w:rsidRPr="009416C0">
              <w:rPr>
                <w:rFonts w:cs="Calibri"/>
                <w:color w:val="auto"/>
                <w:szCs w:val="16"/>
              </w:rPr>
              <w:t>1A3 Transport</w:t>
            </w:r>
          </w:p>
        </w:tc>
        <w:tc>
          <w:tcPr>
            <w:tcW w:w="1559" w:type="dxa"/>
          </w:tcPr>
          <w:p w14:paraId="021E8993" w14:textId="77777777" w:rsidR="009416C0" w:rsidRPr="009416C0" w:rsidRDefault="009416C0">
            <w:pPr>
              <w:pStyle w:val="Tabele"/>
              <w:jc w:val="right"/>
              <w:rPr>
                <w:color w:val="auto"/>
                <w:szCs w:val="16"/>
                <w:highlight w:val="yellow"/>
              </w:rPr>
            </w:pPr>
            <w:r w:rsidRPr="009416C0">
              <w:rPr>
                <w:color w:val="auto"/>
                <w:szCs w:val="16"/>
              </w:rPr>
              <w:t>-1,7%</w:t>
            </w:r>
          </w:p>
        </w:tc>
        <w:tc>
          <w:tcPr>
            <w:tcW w:w="1559" w:type="dxa"/>
          </w:tcPr>
          <w:p w14:paraId="68906EB8" w14:textId="77777777" w:rsidR="009416C0" w:rsidRPr="009416C0" w:rsidRDefault="009416C0">
            <w:pPr>
              <w:pStyle w:val="Tabele"/>
              <w:jc w:val="right"/>
              <w:rPr>
                <w:color w:val="auto"/>
                <w:szCs w:val="16"/>
                <w:highlight w:val="yellow"/>
              </w:rPr>
            </w:pPr>
            <w:r w:rsidRPr="009416C0">
              <w:rPr>
                <w:color w:val="auto"/>
                <w:szCs w:val="16"/>
              </w:rPr>
              <w:t>-0,3%</w:t>
            </w:r>
          </w:p>
        </w:tc>
        <w:tc>
          <w:tcPr>
            <w:tcW w:w="1559" w:type="dxa"/>
          </w:tcPr>
          <w:p w14:paraId="07F47587" w14:textId="77777777" w:rsidR="009416C0" w:rsidRPr="009416C0" w:rsidRDefault="009416C0">
            <w:pPr>
              <w:pStyle w:val="Tabele"/>
              <w:jc w:val="right"/>
              <w:rPr>
                <w:color w:val="auto"/>
                <w:szCs w:val="16"/>
                <w:highlight w:val="yellow"/>
              </w:rPr>
            </w:pPr>
            <w:r w:rsidRPr="009416C0">
              <w:rPr>
                <w:color w:val="auto"/>
                <w:szCs w:val="16"/>
              </w:rPr>
              <w:t>-0,8%</w:t>
            </w:r>
          </w:p>
        </w:tc>
        <w:tc>
          <w:tcPr>
            <w:tcW w:w="1560" w:type="dxa"/>
          </w:tcPr>
          <w:p w14:paraId="484D7DC1" w14:textId="77777777" w:rsidR="009416C0" w:rsidRPr="009416C0" w:rsidRDefault="009416C0">
            <w:pPr>
              <w:pStyle w:val="Tabele"/>
              <w:jc w:val="right"/>
              <w:rPr>
                <w:color w:val="auto"/>
                <w:szCs w:val="16"/>
                <w:highlight w:val="yellow"/>
              </w:rPr>
            </w:pPr>
            <w:r w:rsidRPr="009416C0">
              <w:rPr>
                <w:color w:val="auto"/>
                <w:szCs w:val="16"/>
              </w:rPr>
              <w:t>-2,9%</w:t>
            </w:r>
          </w:p>
        </w:tc>
      </w:tr>
      <w:tr w:rsidR="009416C0" w:rsidRPr="003C7FE0" w14:paraId="6CA68C11" w14:textId="77777777" w:rsidTr="0096172C">
        <w:trPr>
          <w:trHeight w:val="233"/>
        </w:trPr>
        <w:tc>
          <w:tcPr>
            <w:tcW w:w="2830" w:type="dxa"/>
          </w:tcPr>
          <w:p w14:paraId="65EAB589" w14:textId="77777777" w:rsidR="009416C0" w:rsidRPr="009416C0" w:rsidRDefault="009416C0">
            <w:pPr>
              <w:pStyle w:val="Tabele"/>
              <w:rPr>
                <w:color w:val="auto"/>
                <w:szCs w:val="16"/>
              </w:rPr>
            </w:pPr>
            <w:r w:rsidRPr="009416C0">
              <w:rPr>
                <w:rFonts w:cs="Calibri"/>
                <w:color w:val="auto"/>
                <w:szCs w:val="16"/>
              </w:rPr>
              <w:t>1A4 Inne sektory</w:t>
            </w:r>
          </w:p>
        </w:tc>
        <w:tc>
          <w:tcPr>
            <w:tcW w:w="1559" w:type="dxa"/>
          </w:tcPr>
          <w:p w14:paraId="78434718" w14:textId="77777777" w:rsidR="009416C0" w:rsidRPr="009416C0" w:rsidRDefault="009416C0">
            <w:pPr>
              <w:pStyle w:val="Tabele"/>
              <w:jc w:val="right"/>
              <w:rPr>
                <w:color w:val="auto"/>
                <w:szCs w:val="16"/>
                <w:highlight w:val="yellow"/>
              </w:rPr>
            </w:pPr>
            <w:r w:rsidRPr="009416C0">
              <w:rPr>
                <w:color w:val="auto"/>
                <w:szCs w:val="16"/>
              </w:rPr>
              <w:t>-1,6%</w:t>
            </w:r>
          </w:p>
        </w:tc>
        <w:tc>
          <w:tcPr>
            <w:tcW w:w="1559" w:type="dxa"/>
          </w:tcPr>
          <w:p w14:paraId="480B6D5D" w14:textId="77777777" w:rsidR="009416C0" w:rsidRPr="009416C0" w:rsidRDefault="009416C0">
            <w:pPr>
              <w:pStyle w:val="Tabele"/>
              <w:jc w:val="right"/>
              <w:rPr>
                <w:color w:val="auto"/>
                <w:szCs w:val="16"/>
                <w:highlight w:val="yellow"/>
              </w:rPr>
            </w:pPr>
            <w:r w:rsidRPr="009416C0">
              <w:rPr>
                <w:color w:val="auto"/>
                <w:szCs w:val="16"/>
              </w:rPr>
              <w:t>-12,4%</w:t>
            </w:r>
          </w:p>
        </w:tc>
        <w:tc>
          <w:tcPr>
            <w:tcW w:w="1559" w:type="dxa"/>
          </w:tcPr>
          <w:p w14:paraId="796F562F" w14:textId="77777777" w:rsidR="009416C0" w:rsidRPr="009416C0" w:rsidRDefault="009416C0">
            <w:pPr>
              <w:pStyle w:val="Tabele"/>
              <w:jc w:val="right"/>
              <w:rPr>
                <w:color w:val="auto"/>
                <w:szCs w:val="16"/>
                <w:highlight w:val="yellow"/>
              </w:rPr>
            </w:pPr>
            <w:r w:rsidRPr="009416C0">
              <w:rPr>
                <w:color w:val="auto"/>
                <w:szCs w:val="16"/>
              </w:rPr>
              <w:t>-31,0%</w:t>
            </w:r>
          </w:p>
        </w:tc>
        <w:tc>
          <w:tcPr>
            <w:tcW w:w="1560" w:type="dxa"/>
          </w:tcPr>
          <w:p w14:paraId="3F4A3B44" w14:textId="77777777" w:rsidR="009416C0" w:rsidRPr="009416C0" w:rsidRDefault="009416C0">
            <w:pPr>
              <w:pStyle w:val="Tabele"/>
              <w:jc w:val="right"/>
              <w:rPr>
                <w:color w:val="auto"/>
                <w:szCs w:val="16"/>
                <w:highlight w:val="yellow"/>
              </w:rPr>
            </w:pPr>
            <w:r w:rsidRPr="009416C0">
              <w:rPr>
                <w:color w:val="auto"/>
                <w:szCs w:val="16"/>
              </w:rPr>
              <w:t>-40,7%</w:t>
            </w:r>
          </w:p>
        </w:tc>
      </w:tr>
      <w:tr w:rsidR="009416C0" w:rsidRPr="003C7FE0" w14:paraId="7C261838" w14:textId="77777777" w:rsidTr="0096172C">
        <w:trPr>
          <w:trHeight w:val="233"/>
        </w:trPr>
        <w:tc>
          <w:tcPr>
            <w:tcW w:w="2830" w:type="dxa"/>
          </w:tcPr>
          <w:p w14:paraId="4C5860A9" w14:textId="77777777" w:rsidR="009416C0" w:rsidRPr="009416C0" w:rsidRDefault="009416C0">
            <w:pPr>
              <w:pStyle w:val="Tabele"/>
              <w:rPr>
                <w:color w:val="auto"/>
                <w:szCs w:val="16"/>
              </w:rPr>
            </w:pPr>
            <w:r w:rsidRPr="009416C0">
              <w:rPr>
                <w:rFonts w:cs="Calibri"/>
                <w:color w:val="auto"/>
                <w:szCs w:val="16"/>
              </w:rPr>
              <w:t>1A4a Handel/usługi/ instytucje</w:t>
            </w:r>
          </w:p>
        </w:tc>
        <w:tc>
          <w:tcPr>
            <w:tcW w:w="1559" w:type="dxa"/>
          </w:tcPr>
          <w:p w14:paraId="7581103A" w14:textId="77777777" w:rsidR="009416C0" w:rsidRPr="009416C0" w:rsidRDefault="009416C0">
            <w:pPr>
              <w:pStyle w:val="Tabele"/>
              <w:jc w:val="right"/>
              <w:rPr>
                <w:color w:val="auto"/>
                <w:szCs w:val="16"/>
                <w:highlight w:val="yellow"/>
              </w:rPr>
            </w:pPr>
            <w:r w:rsidRPr="009416C0">
              <w:rPr>
                <w:color w:val="auto"/>
                <w:szCs w:val="16"/>
              </w:rPr>
              <w:t>-9,3%</w:t>
            </w:r>
          </w:p>
        </w:tc>
        <w:tc>
          <w:tcPr>
            <w:tcW w:w="1559" w:type="dxa"/>
          </w:tcPr>
          <w:p w14:paraId="7358834B" w14:textId="77777777" w:rsidR="009416C0" w:rsidRPr="009416C0" w:rsidRDefault="009416C0">
            <w:pPr>
              <w:pStyle w:val="Tabele"/>
              <w:jc w:val="right"/>
              <w:rPr>
                <w:color w:val="auto"/>
                <w:szCs w:val="16"/>
                <w:highlight w:val="yellow"/>
              </w:rPr>
            </w:pPr>
            <w:r w:rsidRPr="009416C0">
              <w:rPr>
                <w:color w:val="auto"/>
                <w:szCs w:val="16"/>
              </w:rPr>
              <w:t>-21,5%</w:t>
            </w:r>
          </w:p>
        </w:tc>
        <w:tc>
          <w:tcPr>
            <w:tcW w:w="1559" w:type="dxa"/>
          </w:tcPr>
          <w:p w14:paraId="25B1C8C3" w14:textId="77777777" w:rsidR="009416C0" w:rsidRPr="009416C0" w:rsidRDefault="009416C0">
            <w:pPr>
              <w:pStyle w:val="Tabele"/>
              <w:jc w:val="right"/>
              <w:rPr>
                <w:color w:val="auto"/>
                <w:szCs w:val="16"/>
                <w:highlight w:val="yellow"/>
              </w:rPr>
            </w:pPr>
            <w:r w:rsidRPr="009416C0">
              <w:rPr>
                <w:color w:val="auto"/>
                <w:szCs w:val="16"/>
              </w:rPr>
              <w:t>-39,6%</w:t>
            </w:r>
          </w:p>
        </w:tc>
        <w:tc>
          <w:tcPr>
            <w:tcW w:w="1560" w:type="dxa"/>
          </w:tcPr>
          <w:p w14:paraId="306FA5B3" w14:textId="77777777" w:rsidR="009416C0" w:rsidRPr="009416C0" w:rsidRDefault="009416C0">
            <w:pPr>
              <w:pStyle w:val="Tabele"/>
              <w:jc w:val="right"/>
              <w:rPr>
                <w:color w:val="auto"/>
                <w:szCs w:val="16"/>
                <w:highlight w:val="yellow"/>
              </w:rPr>
            </w:pPr>
            <w:r w:rsidRPr="009416C0">
              <w:rPr>
                <w:color w:val="auto"/>
                <w:szCs w:val="16"/>
              </w:rPr>
              <w:t>-48,7%</w:t>
            </w:r>
          </w:p>
        </w:tc>
      </w:tr>
      <w:tr w:rsidR="009416C0" w:rsidRPr="003C7FE0" w14:paraId="588AB59B" w14:textId="77777777" w:rsidTr="0096172C">
        <w:trPr>
          <w:trHeight w:val="233"/>
        </w:trPr>
        <w:tc>
          <w:tcPr>
            <w:tcW w:w="2830" w:type="dxa"/>
          </w:tcPr>
          <w:p w14:paraId="5C7C296F" w14:textId="77777777" w:rsidR="009416C0" w:rsidRPr="009416C0" w:rsidRDefault="009416C0">
            <w:pPr>
              <w:pStyle w:val="Tabele"/>
              <w:rPr>
                <w:color w:val="auto"/>
                <w:szCs w:val="16"/>
              </w:rPr>
            </w:pPr>
            <w:r w:rsidRPr="009416C0">
              <w:rPr>
                <w:rFonts w:cs="Calibri"/>
                <w:color w:val="auto"/>
                <w:szCs w:val="16"/>
              </w:rPr>
              <w:t>1A4b Gospodarstwa domowe</w:t>
            </w:r>
          </w:p>
        </w:tc>
        <w:tc>
          <w:tcPr>
            <w:tcW w:w="1559" w:type="dxa"/>
          </w:tcPr>
          <w:p w14:paraId="224E625D" w14:textId="77777777" w:rsidR="009416C0" w:rsidRPr="009416C0" w:rsidRDefault="009416C0">
            <w:pPr>
              <w:pStyle w:val="Tabele"/>
              <w:jc w:val="right"/>
              <w:rPr>
                <w:color w:val="auto"/>
                <w:szCs w:val="16"/>
                <w:highlight w:val="yellow"/>
              </w:rPr>
            </w:pPr>
            <w:r w:rsidRPr="009416C0">
              <w:rPr>
                <w:color w:val="auto"/>
                <w:szCs w:val="16"/>
              </w:rPr>
              <w:t>-0,7%</w:t>
            </w:r>
          </w:p>
        </w:tc>
        <w:tc>
          <w:tcPr>
            <w:tcW w:w="1559" w:type="dxa"/>
          </w:tcPr>
          <w:p w14:paraId="342057DD" w14:textId="77777777" w:rsidR="009416C0" w:rsidRPr="009416C0" w:rsidRDefault="009416C0">
            <w:pPr>
              <w:pStyle w:val="Tabele"/>
              <w:jc w:val="right"/>
              <w:rPr>
                <w:color w:val="auto"/>
                <w:szCs w:val="16"/>
                <w:highlight w:val="yellow"/>
              </w:rPr>
            </w:pPr>
            <w:r w:rsidRPr="009416C0">
              <w:rPr>
                <w:color w:val="auto"/>
                <w:szCs w:val="16"/>
              </w:rPr>
              <w:t>-15,8%</w:t>
            </w:r>
          </w:p>
        </w:tc>
        <w:tc>
          <w:tcPr>
            <w:tcW w:w="1559" w:type="dxa"/>
          </w:tcPr>
          <w:p w14:paraId="57D7771A" w14:textId="77777777" w:rsidR="009416C0" w:rsidRPr="009416C0" w:rsidRDefault="009416C0">
            <w:pPr>
              <w:pStyle w:val="Tabele"/>
              <w:jc w:val="right"/>
              <w:rPr>
                <w:color w:val="auto"/>
                <w:szCs w:val="16"/>
                <w:highlight w:val="yellow"/>
              </w:rPr>
            </w:pPr>
            <w:r w:rsidRPr="009416C0">
              <w:rPr>
                <w:color w:val="auto"/>
                <w:szCs w:val="16"/>
              </w:rPr>
              <w:t>-44,2%</w:t>
            </w:r>
          </w:p>
        </w:tc>
        <w:tc>
          <w:tcPr>
            <w:tcW w:w="1560" w:type="dxa"/>
          </w:tcPr>
          <w:p w14:paraId="0000F4AB" w14:textId="77777777" w:rsidR="009416C0" w:rsidRPr="009416C0" w:rsidRDefault="009416C0">
            <w:pPr>
              <w:pStyle w:val="Tabele"/>
              <w:jc w:val="right"/>
              <w:rPr>
                <w:color w:val="auto"/>
                <w:szCs w:val="16"/>
                <w:highlight w:val="yellow"/>
              </w:rPr>
            </w:pPr>
            <w:r w:rsidRPr="009416C0">
              <w:rPr>
                <w:color w:val="auto"/>
                <w:szCs w:val="16"/>
              </w:rPr>
              <w:t>-60,1%</w:t>
            </w:r>
          </w:p>
        </w:tc>
      </w:tr>
      <w:tr w:rsidR="009416C0" w:rsidRPr="003C7FE0" w14:paraId="7077DA1C" w14:textId="77777777" w:rsidTr="0096172C">
        <w:trPr>
          <w:trHeight w:val="233"/>
        </w:trPr>
        <w:tc>
          <w:tcPr>
            <w:tcW w:w="2830" w:type="dxa"/>
          </w:tcPr>
          <w:p w14:paraId="5C65D2D3" w14:textId="77777777" w:rsidR="009416C0" w:rsidRPr="009416C0" w:rsidRDefault="009416C0">
            <w:pPr>
              <w:pStyle w:val="Tabele"/>
              <w:rPr>
                <w:color w:val="auto"/>
                <w:szCs w:val="16"/>
              </w:rPr>
            </w:pPr>
            <w:r w:rsidRPr="009416C0">
              <w:rPr>
                <w:rFonts w:cs="Calibri"/>
                <w:color w:val="auto"/>
                <w:szCs w:val="16"/>
              </w:rPr>
              <w:t>1A4c Rolnictwo/leśnictwo/ rybołówstwo</w:t>
            </w:r>
          </w:p>
        </w:tc>
        <w:tc>
          <w:tcPr>
            <w:tcW w:w="1559" w:type="dxa"/>
          </w:tcPr>
          <w:p w14:paraId="4955C87C" w14:textId="77777777" w:rsidR="009416C0" w:rsidRPr="009416C0" w:rsidRDefault="009416C0">
            <w:pPr>
              <w:pStyle w:val="Tabele"/>
              <w:jc w:val="right"/>
              <w:rPr>
                <w:color w:val="auto"/>
                <w:szCs w:val="16"/>
                <w:highlight w:val="yellow"/>
              </w:rPr>
            </w:pPr>
            <w:r w:rsidRPr="009416C0">
              <w:rPr>
                <w:color w:val="auto"/>
                <w:szCs w:val="16"/>
              </w:rPr>
              <w:t>0,3%</w:t>
            </w:r>
          </w:p>
        </w:tc>
        <w:tc>
          <w:tcPr>
            <w:tcW w:w="1559" w:type="dxa"/>
          </w:tcPr>
          <w:p w14:paraId="7AF92319" w14:textId="77777777" w:rsidR="009416C0" w:rsidRPr="009416C0" w:rsidRDefault="009416C0">
            <w:pPr>
              <w:pStyle w:val="Tabele"/>
              <w:jc w:val="right"/>
              <w:rPr>
                <w:color w:val="auto"/>
                <w:szCs w:val="16"/>
                <w:highlight w:val="yellow"/>
              </w:rPr>
            </w:pPr>
            <w:r w:rsidRPr="009416C0">
              <w:rPr>
                <w:color w:val="auto"/>
                <w:szCs w:val="16"/>
              </w:rPr>
              <w:t>0,5%</w:t>
            </w:r>
          </w:p>
        </w:tc>
        <w:tc>
          <w:tcPr>
            <w:tcW w:w="1559" w:type="dxa"/>
          </w:tcPr>
          <w:p w14:paraId="42C45F0F" w14:textId="77777777" w:rsidR="009416C0" w:rsidRPr="009416C0" w:rsidRDefault="009416C0">
            <w:pPr>
              <w:pStyle w:val="Tabele"/>
              <w:jc w:val="right"/>
              <w:rPr>
                <w:color w:val="auto"/>
                <w:szCs w:val="16"/>
                <w:highlight w:val="yellow"/>
              </w:rPr>
            </w:pPr>
            <w:r w:rsidRPr="009416C0">
              <w:rPr>
                <w:color w:val="auto"/>
                <w:szCs w:val="16"/>
              </w:rPr>
              <w:t>0,2%</w:t>
            </w:r>
          </w:p>
        </w:tc>
        <w:tc>
          <w:tcPr>
            <w:tcW w:w="1560" w:type="dxa"/>
          </w:tcPr>
          <w:p w14:paraId="027F885D" w14:textId="77777777" w:rsidR="009416C0" w:rsidRPr="009416C0" w:rsidRDefault="009416C0">
            <w:pPr>
              <w:pStyle w:val="Tabele"/>
              <w:jc w:val="right"/>
              <w:rPr>
                <w:color w:val="auto"/>
                <w:szCs w:val="16"/>
                <w:highlight w:val="yellow"/>
              </w:rPr>
            </w:pPr>
            <w:r w:rsidRPr="009416C0">
              <w:rPr>
                <w:color w:val="auto"/>
                <w:szCs w:val="16"/>
              </w:rPr>
              <w:t>-2,1%</w:t>
            </w:r>
          </w:p>
        </w:tc>
      </w:tr>
    </w:tbl>
    <w:p w14:paraId="1AB9989B" w14:textId="77777777" w:rsidR="005C4144" w:rsidRPr="001F033C" w:rsidRDefault="005C4144" w:rsidP="005C4144">
      <w:pPr>
        <w:pStyle w:val="adnotacje"/>
        <w:rPr>
          <w:lang w:val="en-GB"/>
        </w:rPr>
      </w:pPr>
      <w:r w:rsidRPr="001F033C">
        <w:rPr>
          <w:lang w:val="en-GB"/>
        </w:rPr>
        <w:t>IE – „included elsewhere" (zawarto</w:t>
      </w:r>
      <w:r>
        <w:rPr>
          <w:lang w:val="en-GB"/>
        </w:rPr>
        <w:t xml:space="preserve"> w </w:t>
      </w:r>
      <w:r w:rsidRPr="001F033C">
        <w:rPr>
          <w:lang w:val="en-GB"/>
        </w:rPr>
        <w:t>1A1aii)</w:t>
      </w:r>
    </w:p>
    <w:p w14:paraId="5D202841" w14:textId="77777777" w:rsidR="005C4144" w:rsidRPr="00BB1158" w:rsidRDefault="005C4144" w:rsidP="0096172C">
      <w:pPr>
        <w:pStyle w:val="Legenda"/>
      </w:pPr>
      <w:r w:rsidRPr="00BB1158">
        <w:t>Źródło: Opracowanie własne KOBIZE, IOŚ-PIB</w:t>
      </w:r>
    </w:p>
    <w:p w14:paraId="6A607BBC" w14:textId="36E33DC6" w:rsidR="00AA261B" w:rsidRPr="007C79C4" w:rsidRDefault="00AA261B" w:rsidP="00AA261B">
      <w:r w:rsidRPr="0048392A">
        <w:t xml:space="preserve">Największe różnice w emisji pomiędzy obu scenariuszami dotyczą sektora 1A1a. </w:t>
      </w:r>
      <w:r w:rsidRPr="0048392A">
        <w:rPr>
          <w:i/>
        </w:rPr>
        <w:t>Produkcja energii</w:t>
      </w:r>
      <w:r w:rsidRPr="002005A7">
        <w:rPr>
          <w:i/>
        </w:rPr>
        <w:t xml:space="preserve"> elektrycznej i ciepła</w:t>
      </w:r>
      <w:r w:rsidRPr="002005A7">
        <w:t>. Emisja GHG w scenariuszu WAM jest niższa od oszacowanej w scenariuszu WEM dla wszystkich lat, począwszy od 2025</w:t>
      </w:r>
      <w:r w:rsidR="00A16CDB">
        <w:t xml:space="preserve"> r</w:t>
      </w:r>
      <w:r w:rsidRPr="002005A7">
        <w:t xml:space="preserve">. Dla </w:t>
      </w:r>
      <w:r w:rsidR="00F128CB">
        <w:t>2030 r.</w:t>
      </w:r>
      <w:r w:rsidRPr="002005A7">
        <w:t xml:space="preserve"> jest to różnica prawie 16</w:t>
      </w:r>
      <w:r>
        <w:t xml:space="preserve">%, </w:t>
      </w:r>
      <w:r w:rsidRPr="00D07D17">
        <w:t xml:space="preserve">a dla </w:t>
      </w:r>
      <w:r w:rsidR="00F128CB">
        <w:t>2040 r.</w:t>
      </w:r>
      <w:r w:rsidRPr="00D07D17">
        <w:t xml:space="preserve"> przekracza </w:t>
      </w:r>
      <w:r w:rsidR="00D07D17" w:rsidRPr="00D07D17">
        <w:t>63</w:t>
      </w:r>
      <w:r w:rsidRPr="00D07D17">
        <w:t>%.</w:t>
      </w:r>
      <w:r w:rsidRPr="002005A7">
        <w:t xml:space="preserve"> </w:t>
      </w:r>
      <w:r w:rsidRPr="009C2C0B">
        <w:t>Przyczyną tego spadku jest dalej idące ograniczenie zużycia paliw, głównie węgla i gazu ziemnego.</w:t>
      </w:r>
      <w:r w:rsidR="002A532C">
        <w:t xml:space="preserve"> </w:t>
      </w:r>
    </w:p>
    <w:p w14:paraId="1277D369" w14:textId="2C46D787" w:rsidR="00AA261B" w:rsidRPr="0048392A" w:rsidRDefault="00AA261B" w:rsidP="00AA261B">
      <w:pPr>
        <w:rPr>
          <w:highlight w:val="yellow"/>
        </w:rPr>
      </w:pPr>
      <w:r w:rsidRPr="007C79C4">
        <w:t>W małych źródłach spalania, w tym w gospodarstwach domowych (</w:t>
      </w:r>
      <w:r w:rsidR="00283FCF">
        <w:t xml:space="preserve">kategoria </w:t>
      </w:r>
      <w:r w:rsidRPr="007C79C4">
        <w:t>1A4b), wartości emisji gazów cieplarnianych oszacowane w scenariuszu WAM są również mniejsze niż w scenariuszu WEM w całym okresie objętym prognozami. Dla gospodarstw domowych oszacowana wartość emisji GHG dla 203</w:t>
      </w:r>
      <w:r w:rsidR="00BE2ED8">
        <w:t>0 r.</w:t>
      </w:r>
      <w:r w:rsidRPr="007C79C4">
        <w:t xml:space="preserve"> jest o prawie 16% mniejsza, a w </w:t>
      </w:r>
      <w:r w:rsidRPr="009F1299">
        <w:t>20</w:t>
      </w:r>
      <w:r w:rsidR="00B70762" w:rsidRPr="009F1299">
        <w:t>4</w:t>
      </w:r>
      <w:r w:rsidR="00BE2ED8">
        <w:t>0 r.</w:t>
      </w:r>
      <w:r w:rsidRPr="009F1299">
        <w:t xml:space="preserve"> różnica osiąga już </w:t>
      </w:r>
      <w:r w:rsidR="009F1299" w:rsidRPr="009F1299">
        <w:t>ponad 60</w:t>
      </w:r>
      <w:r w:rsidRPr="009F1299">
        <w:t xml:space="preserve"> %.</w:t>
      </w:r>
      <w:r w:rsidRPr="007C79C4">
        <w:t xml:space="preserve"> To ograniczenie emisji</w:t>
      </w:r>
      <w:r w:rsidR="00663F6D">
        <w:t xml:space="preserve"> </w:t>
      </w:r>
      <w:r w:rsidR="00663F6D" w:rsidRPr="007C79C4">
        <w:t>w</w:t>
      </w:r>
      <w:r w:rsidR="006E236D">
        <w:t> </w:t>
      </w:r>
      <w:r w:rsidR="00663F6D" w:rsidRPr="007C79C4">
        <w:t>scenariuszu WAM</w:t>
      </w:r>
      <w:r w:rsidR="00663F6D" w:rsidRPr="00663F6D">
        <w:t xml:space="preserve"> </w:t>
      </w:r>
      <w:r w:rsidR="00663F6D" w:rsidRPr="007C79C4">
        <w:t>w porównaniu ze scenariuszem WEM</w:t>
      </w:r>
      <w:r w:rsidR="00066333">
        <w:t>,</w:t>
      </w:r>
      <w:r w:rsidRPr="007C79C4">
        <w:t xml:space="preserve"> wiąże się głównie z mniejszym zużyciem węgla kamiennego i od 203</w:t>
      </w:r>
      <w:r w:rsidR="00BE2ED8">
        <w:t>0 r.</w:t>
      </w:r>
      <w:r w:rsidRPr="007C79C4">
        <w:t xml:space="preserve"> gazu ziemnego</w:t>
      </w:r>
      <w:r w:rsidR="004B538F">
        <w:t xml:space="preserve">, a także </w:t>
      </w:r>
      <w:r w:rsidR="009F6B30">
        <w:t>dzięki</w:t>
      </w:r>
      <w:r w:rsidR="008D683B">
        <w:t xml:space="preserve"> elekt</w:t>
      </w:r>
      <w:r w:rsidR="00523F5F">
        <w:t>r</w:t>
      </w:r>
      <w:r w:rsidR="008D683B">
        <w:t>yfikacji</w:t>
      </w:r>
      <w:r w:rsidR="00523F5F">
        <w:t xml:space="preserve"> ogrzewania</w:t>
      </w:r>
      <w:r w:rsidR="009F6B30">
        <w:t xml:space="preserve">, w szczególności poprzez upowszechnienie </w:t>
      </w:r>
      <w:r w:rsidR="00663F6D">
        <w:t>pomp ciepła</w:t>
      </w:r>
      <w:r w:rsidRPr="007C79C4">
        <w:t>.</w:t>
      </w:r>
    </w:p>
    <w:p w14:paraId="19F61D24" w14:textId="498D1E9A" w:rsidR="00AA261B" w:rsidRPr="00C8265D" w:rsidRDefault="00AA261B" w:rsidP="00AA261B">
      <w:pPr>
        <w:rPr>
          <w:szCs w:val="20"/>
        </w:rPr>
      </w:pPr>
      <w:r w:rsidRPr="00C8265D">
        <w:rPr>
          <w:szCs w:val="20"/>
        </w:rPr>
        <w:t>W sektorze transportu (</w:t>
      </w:r>
      <w:r w:rsidR="00283FCF">
        <w:t xml:space="preserve">kategoria </w:t>
      </w:r>
      <w:r w:rsidRPr="00C8265D">
        <w:rPr>
          <w:szCs w:val="20"/>
        </w:rPr>
        <w:t>1A3) wartości emisji przewidziane scenariuszami WEM i WAM</w:t>
      </w:r>
      <w:r>
        <w:rPr>
          <w:szCs w:val="20"/>
        </w:rPr>
        <w:t xml:space="preserve">, po nieznacznym wzroście w </w:t>
      </w:r>
      <w:r w:rsidR="00A16CDB">
        <w:rPr>
          <w:szCs w:val="20"/>
        </w:rPr>
        <w:t>2025 r.</w:t>
      </w:r>
      <w:r>
        <w:rPr>
          <w:szCs w:val="20"/>
        </w:rPr>
        <w:t>,</w:t>
      </w:r>
      <w:r w:rsidRPr="00C8265D">
        <w:rPr>
          <w:szCs w:val="20"/>
        </w:rPr>
        <w:t xml:space="preserve"> </w:t>
      </w:r>
      <w:r>
        <w:rPr>
          <w:szCs w:val="20"/>
        </w:rPr>
        <w:t>w kolejnych</w:t>
      </w:r>
      <w:r w:rsidRPr="00C8265D">
        <w:rPr>
          <w:szCs w:val="20"/>
        </w:rPr>
        <w:t xml:space="preserve"> prognozowanych latach systematycznie zmniejszają się względem </w:t>
      </w:r>
      <w:r w:rsidR="00A16CDB">
        <w:rPr>
          <w:szCs w:val="20"/>
        </w:rPr>
        <w:t>2020 r.</w:t>
      </w:r>
      <w:r w:rsidRPr="00C8265D">
        <w:rPr>
          <w:szCs w:val="20"/>
        </w:rPr>
        <w:t xml:space="preserve">, przy czym ograniczenie emisji jest bardziej znaczne w przypadku scenariusza WAM – w ostatnim roku prognozy różnica między wartościami emisji gazów cieplarnianych w scenariuszach wynosi </w:t>
      </w:r>
      <w:r>
        <w:rPr>
          <w:szCs w:val="20"/>
        </w:rPr>
        <w:t>5,3</w:t>
      </w:r>
      <w:r w:rsidRPr="00C8265D">
        <w:rPr>
          <w:szCs w:val="20"/>
        </w:rPr>
        <w:t>%. Spowodowane jest to głównie bardziej zdecydowanym odchodzeniem od paliw kopalnych w transporcie drogowym i znaczną redukcją ich wykorzystania na rzecz rozwijania napędów elektrycznych oraz zastosowania wodoru jako źródła energii. Większe ograniczenie emisji gazów cieplarnianych wynika również z przewidywanego spadku zużycia gazu ziemnego po 2030 r.</w:t>
      </w:r>
    </w:p>
    <w:p w14:paraId="11C8B82F" w14:textId="55E700E8" w:rsidR="00AA261B" w:rsidRPr="00365348" w:rsidRDefault="00AA261B" w:rsidP="00AA261B">
      <w:r w:rsidRPr="00365348">
        <w:t xml:space="preserve">W kategorii </w:t>
      </w:r>
      <w:r w:rsidRPr="00365348">
        <w:rPr>
          <w:i/>
        </w:rPr>
        <w:t>Procesy przemysłowe i użytkowanie produktów</w:t>
      </w:r>
      <w:r w:rsidRPr="00365348">
        <w:t xml:space="preserve"> emisja gazów cieplarnianych w scenariuszu WAM jest niższa o 27% w 2030 r. i o </w:t>
      </w:r>
      <w:r w:rsidR="008C052F">
        <w:t>prawie</w:t>
      </w:r>
      <w:r w:rsidRPr="00F160B1">
        <w:t xml:space="preserve"> </w:t>
      </w:r>
      <w:r w:rsidR="008C052F">
        <w:t>45</w:t>
      </w:r>
      <w:r w:rsidRPr="00F160B1">
        <w:t>% w 20</w:t>
      </w:r>
      <w:r w:rsidR="007F3F6D" w:rsidRPr="00F160B1">
        <w:t>4</w:t>
      </w:r>
      <w:r w:rsidRPr="00F160B1">
        <w:t>0</w:t>
      </w:r>
      <w:r w:rsidRPr="00365348">
        <w:t xml:space="preserve"> </w:t>
      </w:r>
      <w:r w:rsidR="00851534">
        <w:t>r.</w:t>
      </w:r>
      <w:r w:rsidRPr="00365348">
        <w:t xml:space="preserve"> w porównaniu ze scenariuszem WEM. Główne przyczyny tych różnic to założenie w scenariuszu WAM znaczących redukcji emisji CO</w:t>
      </w:r>
      <w:r w:rsidRPr="00365348">
        <w:rPr>
          <w:vertAlign w:val="subscript"/>
        </w:rPr>
        <w:t>2</w:t>
      </w:r>
      <w:r w:rsidRPr="00365348">
        <w:t xml:space="preserve"> z produkcji: klinkieru (zastosowanie CCS), amoniaku (sukcesywne zastępowanie gazu ziemnego wodorem w procesie produkcji) oraz wyrobów hutnictwa żelaza (przechodzenie na technologie wykorzystujące wodór).</w:t>
      </w:r>
      <w:r w:rsidR="004E4B1A">
        <w:t xml:space="preserve"> </w:t>
      </w:r>
      <w:r w:rsidR="000365FD">
        <w:t xml:space="preserve">Jedną </w:t>
      </w:r>
      <w:r w:rsidR="00E800CC">
        <w:t>z technologii</w:t>
      </w:r>
      <w:r w:rsidR="00EF5617">
        <w:t xml:space="preserve"> przyczyniających się do redukcji</w:t>
      </w:r>
      <w:r w:rsidR="00E800CC">
        <w:t xml:space="preserve"> </w:t>
      </w:r>
      <w:r w:rsidR="00EF5617">
        <w:t>emisji GHG</w:t>
      </w:r>
      <w:r w:rsidR="00796BAC">
        <w:t xml:space="preserve"> w sektorze przemysłu (w szczególności energochłonnego) będzie </w:t>
      </w:r>
      <w:r w:rsidR="004E4B1A">
        <w:t>CCS/CCU</w:t>
      </w:r>
      <w:r w:rsidR="00796BAC">
        <w:t xml:space="preserve">, której rozwój </w:t>
      </w:r>
      <w:r w:rsidR="00D507E3">
        <w:t xml:space="preserve">jest </w:t>
      </w:r>
      <w:r w:rsidR="003804DE">
        <w:t xml:space="preserve">promowany </w:t>
      </w:r>
      <w:r w:rsidR="0058538B">
        <w:t>przez regulacje unijne</w:t>
      </w:r>
      <w:r w:rsidR="00796BAC">
        <w:t xml:space="preserve">. Rozporządzenie </w:t>
      </w:r>
      <w:r w:rsidR="00697CB8">
        <w:t>PE i Rady</w:t>
      </w:r>
      <w:r w:rsidR="00796BAC">
        <w:t xml:space="preserve"> </w:t>
      </w:r>
      <w:r w:rsidR="00796BAC" w:rsidRPr="00DF7A90">
        <w:t xml:space="preserve">(UE) 2024/1735 z dnia 13 czerwca 2024 r. </w:t>
      </w:r>
      <w:r w:rsidR="00796BAC">
        <w:t>w sprawie ustanowienia ram środków na rzecz wzmocnienia europejskiego ekosystemu produkcji produktów technologii neutralnych emisyjnie, określa cel dla UE wynoszący co najmniej 50 mln ton zatłaczania CO</w:t>
      </w:r>
      <w:r w:rsidR="00796BAC" w:rsidRPr="00BC0452">
        <w:rPr>
          <w:vertAlign w:val="subscript"/>
        </w:rPr>
        <w:t>2</w:t>
      </w:r>
      <w:r w:rsidR="00796BAC">
        <w:t xml:space="preserve"> rocznie do 2030 r. i</w:t>
      </w:r>
      <w:r w:rsidR="00A16CDB">
        <w:t> </w:t>
      </w:r>
      <w:r w:rsidR="00796BAC">
        <w:t xml:space="preserve">nakłada na unijnych producentów </w:t>
      </w:r>
      <w:r w:rsidR="008B7E0B">
        <w:t>węglowodorów</w:t>
      </w:r>
      <w:r w:rsidR="00796BAC">
        <w:t xml:space="preserve"> obowiązek przyczynienia się do osiągnięcia tego celu.</w:t>
      </w:r>
      <w:r w:rsidR="002A532C">
        <w:t xml:space="preserve"> </w:t>
      </w:r>
    </w:p>
    <w:p w14:paraId="5C4EAF33" w14:textId="2CEA0170" w:rsidR="00AA261B" w:rsidRDefault="00AA261B" w:rsidP="00AA261B">
      <w:r w:rsidRPr="00147A2A">
        <w:t xml:space="preserve">W sektorze rolnictwa główna różnica </w:t>
      </w:r>
      <w:r>
        <w:t>po</w:t>
      </w:r>
      <w:r w:rsidRPr="00147A2A">
        <w:t xml:space="preserve">między scenariuszami WEM i WAM związana jest </w:t>
      </w:r>
      <w:r>
        <w:t xml:space="preserve">wielkością prognozowanej produkcji zwierzęcej i roślinnej oraz </w:t>
      </w:r>
      <w:r w:rsidR="001F5A1C">
        <w:t xml:space="preserve">poziomem </w:t>
      </w:r>
      <w:r>
        <w:t>zużycia nawozów mineralnych. W</w:t>
      </w:r>
      <w:r w:rsidR="00851534">
        <w:t> </w:t>
      </w:r>
      <w:r>
        <w:t>scenariuszu WAM emisja GHG w rolnictwie jest niższa o 3% w 2030 r.</w:t>
      </w:r>
      <w:r w:rsidR="005E56DE">
        <w:t xml:space="preserve"> i</w:t>
      </w:r>
      <w:r>
        <w:t xml:space="preserve"> o 6% w 2040 r. </w:t>
      </w:r>
    </w:p>
    <w:p w14:paraId="51A42658" w14:textId="0A4ABBC6" w:rsidR="00AA261B" w:rsidRPr="006C2A30" w:rsidRDefault="00C57408" w:rsidP="00AA261B">
      <w:r>
        <w:t xml:space="preserve">W </w:t>
      </w:r>
      <w:r w:rsidR="00AA261B" w:rsidRPr="00BE5099">
        <w:t>sektorze LULUCF</w:t>
      </w:r>
      <w:r>
        <w:t xml:space="preserve"> przyjęte</w:t>
      </w:r>
      <w:r w:rsidRPr="00BE5099">
        <w:t xml:space="preserve"> założenia</w:t>
      </w:r>
      <w:r w:rsidR="006B2233">
        <w:t xml:space="preserve"> </w:t>
      </w:r>
      <w:r w:rsidR="006B2233" w:rsidRPr="00880C72">
        <w:t>względem potencjalnego rozwoju zasobów leśnych</w:t>
      </w:r>
      <w:r w:rsidR="00AA261B" w:rsidRPr="00BE5099">
        <w:t xml:space="preserve"> umożliwiły przedstawienie </w:t>
      </w:r>
      <w:r w:rsidR="00AA261B" w:rsidRPr="000338BE">
        <w:t>zróżnicowanych scenariuszy prognostycznych WEM i WAM</w:t>
      </w:r>
      <w:r w:rsidR="00AA261B" w:rsidRPr="0003608E">
        <w:t xml:space="preserve"> w zakresie potencjału mitygacyjnego</w:t>
      </w:r>
      <w:r w:rsidR="00F02332">
        <w:t>.</w:t>
      </w:r>
      <w:r w:rsidR="00AA261B" w:rsidRPr="0003608E">
        <w:t xml:space="preserve"> </w:t>
      </w:r>
      <w:r w:rsidR="00EB2D2B">
        <w:t>A</w:t>
      </w:r>
      <w:r w:rsidR="00EB2D2B" w:rsidRPr="00EB2D2B">
        <w:t>nalizie poddano przede wszystkim wariantowe scenariusze dynamiki rozwoju zasobów leśnych. Zmiany w tym zakresie wpływają</w:t>
      </w:r>
      <w:r w:rsidR="00AA261B" w:rsidRPr="00880C72">
        <w:t xml:space="preserve"> wprost na bilanse emisji netto z zarządzanych gruntów leśnych, a ten jest bezpośrednio skorelowany z bilansem netto sektora LULUCF. </w:t>
      </w:r>
      <w:r w:rsidR="00EB2D2B" w:rsidRPr="00EB2D2B">
        <w:t>W analizowanych wariantach opracowano alternatywne scenariusze rozwoju zasobów leśnych wynikające przede wszystkim z różnych scenariuszy prowadzenia gospodarki leśnej i związanych z nimi poziomów pozyskania drewna oraz stanowiącej pokłosie tych poziomów struktury wiekowej drzewostanów. Scenariusz WEM zakłada kontynuację zasad prowadzenia dotychczasowej gospodarki leśnej. Natomiast scenariusz WAM, rozpatrujący w swoim zakresie cele LULUCF, zakłada ograniczenie</w:t>
      </w:r>
      <w:r w:rsidR="006F10C1">
        <w:t xml:space="preserve"> </w:t>
      </w:r>
      <w:r w:rsidR="00EB2D2B" w:rsidRPr="00EB2D2B">
        <w:t>pozyskania drewna w celu zwiększenia pochłaniania netto CO</w:t>
      </w:r>
      <w:r w:rsidR="00EB2D2B" w:rsidRPr="006F10C1">
        <w:rPr>
          <w:vertAlign w:val="subscript"/>
        </w:rPr>
        <w:t>2</w:t>
      </w:r>
      <w:r w:rsidR="00EB2D2B" w:rsidRPr="00EB2D2B">
        <w:t xml:space="preserve"> przez lasy. Niemniej jednak, w dłuższej perspektywie (wykraczającej poza rok 2030), pomimo oczywistego wzrostu zasobów drzewnych, może zachodzić proces starzenia się drzewostanów, ale także mogą występować ryzyka zwiększonej dynamiki wydzielania się martwego drewna i powiązanej z tym procesem emisji CO</w:t>
      </w:r>
      <w:r w:rsidR="00EB2D2B" w:rsidRPr="000C19E3">
        <w:rPr>
          <w:vertAlign w:val="subscript"/>
        </w:rPr>
        <w:t>2</w:t>
      </w:r>
      <w:r w:rsidR="00ED6A65">
        <w:t>.</w:t>
      </w:r>
    </w:p>
    <w:p w14:paraId="0EDF3ED7" w14:textId="77777777" w:rsidR="00D339A5" w:rsidRDefault="00AA261B" w:rsidP="00AA261B">
      <w:r w:rsidRPr="006C2A30">
        <w:t xml:space="preserve">Mając </w:t>
      </w:r>
      <w:r w:rsidRPr="0003608E">
        <w:t xml:space="preserve">na </w:t>
      </w:r>
      <w:r w:rsidRPr="00880C72">
        <w:t xml:space="preserve">względzie wpływ rozwoju zasobów leśnych na bilans netto sektora LULUCF, szczególnemu rozpatrzeniu podlegały dane dotyczące przyrostu, ubytków (rozumianych jako suma pozyskania miąższości drewna netto wraz z korą, pozostałościami zrębowymi i drewnem martwym) oraz różnica między </w:t>
      </w:r>
      <w:r w:rsidR="00904A82">
        <w:t>nimi</w:t>
      </w:r>
      <w:r w:rsidRPr="00880C72">
        <w:t xml:space="preserve"> w poszczególnych latach okresu 2024–2030. Kolejne cykle prognoz (wykraczające poza okres 2020-2030) oparto na wartościach ubytków brutto określonych dla okresu 2020-2030 (cyklach 11 letnich). W obu rozpatrywanych scenariuszach</w:t>
      </w:r>
      <w:r w:rsidR="00F777AB">
        <w:t>, tj. WEM i WAM,</w:t>
      </w:r>
      <w:r w:rsidRPr="00880C72">
        <w:t xml:space="preserve"> przyjęto </w:t>
      </w:r>
      <w:r w:rsidR="006A39E1">
        <w:t>analogiczny</w:t>
      </w:r>
      <w:r w:rsidRPr="00880C72">
        <w:t xml:space="preserve"> schemat kształtowania się zasobów drzewnych oraz użytkowania głównego na gruntach leśnych (poza zarządem Lasów Państwowych), oparty na historycznych wskaźnikach użytkowania z okresu 2020-2023. </w:t>
      </w:r>
    </w:p>
    <w:p w14:paraId="215FF09C" w14:textId="020BE9AD" w:rsidR="00AA261B" w:rsidRPr="000543CC" w:rsidRDefault="009313ED" w:rsidP="00AA261B">
      <w:r>
        <w:t>W</w:t>
      </w:r>
      <w:r w:rsidRPr="006C2A30">
        <w:t xml:space="preserve"> systemach agroleśnych</w:t>
      </w:r>
      <w:r>
        <w:t xml:space="preserve"> oba</w:t>
      </w:r>
      <w:r w:rsidR="00AA261B" w:rsidRPr="00880C72">
        <w:t xml:space="preserve"> scenariusz</w:t>
      </w:r>
      <w:r>
        <w:t>e</w:t>
      </w:r>
      <w:r w:rsidR="00AA261B" w:rsidRPr="00880C72">
        <w:t xml:space="preserve"> uwzględniają ujednolicon</w:t>
      </w:r>
      <w:r w:rsidR="00C11EDC">
        <w:t xml:space="preserve">e </w:t>
      </w:r>
      <w:r w:rsidR="003E50AA">
        <w:t>podejście</w:t>
      </w:r>
      <w:r w:rsidR="00AA261B" w:rsidRPr="00880C72">
        <w:t xml:space="preserve"> (pod względem przyjętych założeń) opisując</w:t>
      </w:r>
      <w:r w:rsidR="003E50AA">
        <w:t>e</w:t>
      </w:r>
      <w:r w:rsidR="00AA261B" w:rsidRPr="00880C72">
        <w:t xml:space="preserve"> przewidywaną dynamikę </w:t>
      </w:r>
      <w:r w:rsidR="00AA261B" w:rsidRPr="000338BE">
        <w:t>rozwoju zasobów drzewny</w:t>
      </w:r>
      <w:r w:rsidR="00AA261B" w:rsidRPr="006C2A30">
        <w:t xml:space="preserve">ch. </w:t>
      </w:r>
      <w:r w:rsidR="00570C99">
        <w:t>D</w:t>
      </w:r>
      <w:r w:rsidR="00AA261B" w:rsidRPr="006C2A30">
        <w:t xml:space="preserve">ane dotyczące przyrostu, ubytków oraz różnicy między </w:t>
      </w:r>
      <w:r w:rsidR="00B10E27">
        <w:t>nimi</w:t>
      </w:r>
      <w:r w:rsidR="00AA261B" w:rsidRPr="006C2A30">
        <w:t xml:space="preserve"> w poszczególnych latach okresu 2024–2030</w:t>
      </w:r>
      <w:r w:rsidR="00AA261B" w:rsidRPr="00880C72">
        <w:t xml:space="preserve"> opracowano na podstawie danych wyjściowych przetworzonych w ramach Wielkoobszarowej Inwentaryzacji Stanu Lasów (WISL). </w:t>
      </w:r>
      <w:r w:rsidR="00C5293A">
        <w:t>D</w:t>
      </w:r>
      <w:r w:rsidR="00C5293A" w:rsidRPr="006C2A30">
        <w:t xml:space="preserve">la okresu </w:t>
      </w:r>
      <w:r w:rsidR="006D241B">
        <w:t xml:space="preserve">wykraczającego poza tok </w:t>
      </w:r>
      <w:r w:rsidR="00C5293A" w:rsidRPr="006C2A30">
        <w:t>2030</w:t>
      </w:r>
      <w:r w:rsidR="00AA261B" w:rsidRPr="00880C72">
        <w:t xml:space="preserve"> prognozy zasobów drzewnych oparto na 11</w:t>
      </w:r>
      <w:r w:rsidR="00E76634">
        <w:t>-</w:t>
      </w:r>
      <w:r w:rsidR="00AA261B" w:rsidRPr="00880C72">
        <w:t xml:space="preserve">letnich cyklach </w:t>
      </w:r>
      <w:r w:rsidR="00AA261B" w:rsidRPr="00541014">
        <w:t>powielających</w:t>
      </w:r>
      <w:r w:rsidR="00AA261B" w:rsidRPr="000338BE">
        <w:t xml:space="preserve"> wartości ubytków brutto określon</w:t>
      </w:r>
      <w:r w:rsidR="00AA261B" w:rsidRPr="006C2A30">
        <w:t>e dla okresu 2020-2030.</w:t>
      </w:r>
    </w:p>
    <w:p w14:paraId="789E6710" w14:textId="09765C09" w:rsidR="00AA261B" w:rsidRPr="00365348" w:rsidRDefault="00AA261B" w:rsidP="00AA261B">
      <w:r w:rsidRPr="00365348">
        <w:t>W przypadku scenariusza WAM (podobnie jak w przypadku scenariusza WEM) prognozuje się krótkookresowy wzrost pochłaniania netto CO</w:t>
      </w:r>
      <w:r w:rsidRPr="00365348">
        <w:rPr>
          <w:vertAlign w:val="subscript"/>
        </w:rPr>
        <w:t>2</w:t>
      </w:r>
      <w:r w:rsidRPr="00365348">
        <w:t xml:space="preserve">, z ponad </w:t>
      </w:r>
      <w:r>
        <w:t>-35,6 mln ton CO</w:t>
      </w:r>
      <w:r w:rsidRPr="003C4639">
        <w:rPr>
          <w:vertAlign w:val="subscript"/>
        </w:rPr>
        <w:t>2</w:t>
      </w:r>
      <w:r>
        <w:t xml:space="preserve">eq. w </w:t>
      </w:r>
      <w:r w:rsidR="00A16CDB">
        <w:t>2022 r.</w:t>
      </w:r>
      <w:r w:rsidRPr="00365348">
        <w:t>, do wartości około 53,1 mln ton CO</w:t>
      </w:r>
      <w:r w:rsidRPr="00365348">
        <w:rPr>
          <w:vertAlign w:val="subscript"/>
        </w:rPr>
        <w:t>2</w:t>
      </w:r>
      <w:r w:rsidRPr="00365348">
        <w:t xml:space="preserve">eq w 2027 </w:t>
      </w:r>
      <w:r w:rsidR="00BE2ED8">
        <w:t>r.</w:t>
      </w:r>
      <w:r w:rsidRPr="00365348">
        <w:t xml:space="preserve"> Niemniej jednak w dłuższej perspektywie, podobnie jak w</w:t>
      </w:r>
      <w:r w:rsidR="006E236D">
        <w:t> </w:t>
      </w:r>
      <w:r w:rsidRPr="00365348">
        <w:t>scenariuszu WEM, przewiduje się spadek pochłaniania, przy czym w tym przypadku do około 46,5 mln ton CO</w:t>
      </w:r>
      <w:r w:rsidRPr="00365348">
        <w:rPr>
          <w:vertAlign w:val="subscript"/>
        </w:rPr>
        <w:t>2</w:t>
      </w:r>
      <w:r w:rsidRPr="00365348">
        <w:t>eq w 203</w:t>
      </w:r>
      <w:r w:rsidR="00BE2ED8">
        <w:t>0 r.</w:t>
      </w:r>
      <w:r w:rsidRPr="00365348">
        <w:t xml:space="preserve"> i ok </w:t>
      </w:r>
      <w:r w:rsidR="002A4B95" w:rsidRPr="00283925">
        <w:t xml:space="preserve">35,3 </w:t>
      </w:r>
      <w:r w:rsidRPr="00283925">
        <w:t>mln ton CO</w:t>
      </w:r>
      <w:r w:rsidRPr="00283925">
        <w:rPr>
          <w:vertAlign w:val="subscript"/>
        </w:rPr>
        <w:t>2</w:t>
      </w:r>
      <w:r w:rsidRPr="00283925">
        <w:t>eq w</w:t>
      </w:r>
      <w:r w:rsidRPr="002A4B95">
        <w:t xml:space="preserve"> 20</w:t>
      </w:r>
      <w:r w:rsidR="007F3F6D" w:rsidRPr="002A4B95">
        <w:t>4</w:t>
      </w:r>
      <w:r w:rsidRPr="002A4B95">
        <w:t xml:space="preserve">0 </w:t>
      </w:r>
      <w:r w:rsidR="00BE2ED8">
        <w:t>r.</w:t>
      </w:r>
      <w:r w:rsidRPr="00365348">
        <w:t xml:space="preserve"> Czynnikiem różnicującym scenariusze WEM i</w:t>
      </w:r>
      <w:r w:rsidR="006E236D">
        <w:t> </w:t>
      </w:r>
      <w:r w:rsidRPr="00365348">
        <w:t xml:space="preserve">WAM jest </w:t>
      </w:r>
      <w:r w:rsidR="00EF738C">
        <w:t>przede wszystkim</w:t>
      </w:r>
      <w:r w:rsidRPr="00365348">
        <w:t xml:space="preserve"> poziom użytkowania rębnego i przedrębnego (zbiorczo określanego jako pozyskanie drewna). </w:t>
      </w:r>
      <w:r w:rsidR="00F527B6">
        <w:t>D</w:t>
      </w:r>
      <w:r w:rsidRPr="00365348">
        <w:t>la scenariusza WAM dla gruntów leśnych zarządzanych przez PGL LP założono liniowe zmniejszanie użytkowania, osiągając w 203</w:t>
      </w:r>
      <w:r w:rsidR="00BE2ED8">
        <w:t>0 r.</w:t>
      </w:r>
      <w:r w:rsidRPr="00365348">
        <w:t xml:space="preserve"> poziom około 88% użytkowania brutto </w:t>
      </w:r>
      <w:r w:rsidR="002D43C7">
        <w:t xml:space="preserve">w stosunku do </w:t>
      </w:r>
      <w:r w:rsidR="00825667">
        <w:t>scenariusz</w:t>
      </w:r>
      <w:r w:rsidR="002D43C7">
        <w:t>a</w:t>
      </w:r>
      <w:r w:rsidR="00C43263">
        <w:t xml:space="preserve"> W</w:t>
      </w:r>
      <w:r w:rsidR="003F12FC">
        <w:t>EM</w:t>
      </w:r>
      <w:r w:rsidRPr="00365348">
        <w:t xml:space="preserve">. </w:t>
      </w:r>
      <w:r w:rsidR="00217C41" w:rsidRPr="005C22F1">
        <w:t xml:space="preserve">Należy w tym miejscu podkreślić, że </w:t>
      </w:r>
      <w:r w:rsidR="0082169B" w:rsidRPr="005C22F1">
        <w:t>nie</w:t>
      </w:r>
      <w:r w:rsidR="008F0657" w:rsidRPr="005C22F1">
        <w:t xml:space="preserve"> jest to tożsame z ograniczeniem </w:t>
      </w:r>
      <w:r w:rsidR="0082169B" w:rsidRPr="005C22F1">
        <w:t>podaży</w:t>
      </w:r>
      <w:r w:rsidR="008F0657" w:rsidRPr="005C22F1">
        <w:t xml:space="preserve"> surowca drzewnego dla sektora przerobu drewna z uwagi na fakt, że </w:t>
      </w:r>
      <w:r w:rsidR="00D94835" w:rsidRPr="005C22F1">
        <w:t xml:space="preserve">scenariusz WAM uwzględnia wdrożenie zasady kaskadowego wykorzystania drewna </w:t>
      </w:r>
      <w:r w:rsidR="00D94835">
        <w:t>i</w:t>
      </w:r>
      <w:r w:rsidR="00D94835" w:rsidRPr="005C22F1">
        <w:t xml:space="preserve"> ograniczenie spalania drewna pełnowartościowego w energetyce </w:t>
      </w:r>
      <w:r w:rsidR="00053263" w:rsidRPr="005C22F1">
        <w:t>zawodowej</w:t>
      </w:r>
      <w:r w:rsidR="00D94835" w:rsidRPr="005C22F1">
        <w:t>.</w:t>
      </w:r>
      <w:r w:rsidR="0082169B">
        <w:t xml:space="preserve"> </w:t>
      </w:r>
      <w:r w:rsidRPr="00365348">
        <w:t>W scenariuszu WEM prognoza rozwoju zasobów drzewnych oraz możliwości wysokości użytkowania w Lasach Państwowych na lata 2024-2030 oparta jest na wskaźnikach intensywności użytkowania z okresu 20</w:t>
      </w:r>
      <w:r w:rsidR="004B2376">
        <w:t>10</w:t>
      </w:r>
      <w:r w:rsidRPr="00365348">
        <w:t>-20</w:t>
      </w:r>
      <w:r w:rsidR="005134E0">
        <w:t>19</w:t>
      </w:r>
      <w:r w:rsidRPr="00365348">
        <w:t xml:space="preserve">. </w:t>
      </w:r>
      <w:r w:rsidR="00C53D48">
        <w:t>Dla okresu</w:t>
      </w:r>
      <w:r w:rsidRPr="00365348">
        <w:t xml:space="preserve"> 2020-2023 przyjęto </w:t>
      </w:r>
      <w:r w:rsidR="00C53D48">
        <w:t xml:space="preserve">użytkowanie </w:t>
      </w:r>
      <w:r w:rsidRPr="00365348">
        <w:t xml:space="preserve">na podstawie faktycznej realizacji tzw. etatów. W przypadku pozostałych gruntów leśnych nie założono istotnych zmian w zakresie prowadzonych praktyk gospodarki leśnej, które mogłyby różnicować scenariusze WEM i WAM. </w:t>
      </w:r>
      <w:r w:rsidR="00DF4EBC" w:rsidRPr="00365348">
        <w:t>Podobn</w:t>
      </w:r>
      <w:r w:rsidR="00DF4EBC">
        <w:t>y</w:t>
      </w:r>
      <w:r w:rsidR="00EA5A14">
        <w:t xml:space="preserve"> mechanizm </w:t>
      </w:r>
      <w:r w:rsidR="00DF4EBC">
        <w:t>prognostyczny zastosowano dla</w:t>
      </w:r>
      <w:r w:rsidRPr="00365348">
        <w:t xml:space="preserve"> systemów agroleśnych</w:t>
      </w:r>
      <w:r w:rsidR="002B7EBB">
        <w:t>, gdzie również</w:t>
      </w:r>
      <w:r w:rsidRPr="00365348">
        <w:t xml:space="preserve"> nie założono istotnych zmian w zakresie prowadzonych praktyk, które mogłyby różnicować scenariusze WEM i WAM.</w:t>
      </w:r>
    </w:p>
    <w:p w14:paraId="43B03E8C" w14:textId="53C3EA83" w:rsidR="0096172C" w:rsidRDefault="00AA261B" w:rsidP="0096172C">
      <w:pPr>
        <w:rPr>
          <w:szCs w:val="20"/>
        </w:rPr>
      </w:pPr>
      <w:r w:rsidRPr="00365348">
        <w:t>Nawiązując do kwestii wysokości użytkowania, warto zwrócić uwagę, że poziom substytucji węgla w</w:t>
      </w:r>
      <w:r w:rsidR="00A16CDB">
        <w:t> </w:t>
      </w:r>
      <w:r w:rsidRPr="00365348">
        <w:t>produktach drzewnych został powiązany z prognozowanymi wartościami pozyskania drewna netto. Na</w:t>
      </w:r>
      <w:r w:rsidR="00A16CDB">
        <w:t> </w:t>
      </w:r>
      <w:r w:rsidRPr="00365348">
        <w:t xml:space="preserve">podstawie proporcji pozyskanego drewna w prognozowanym okresie do wartości z </w:t>
      </w:r>
      <w:r w:rsidR="00A16CDB">
        <w:t>2023 r.</w:t>
      </w:r>
      <w:r w:rsidRPr="00365348">
        <w:t xml:space="preserve"> określono poziom potencjalnej przyszłej produkcji z pozyskanego drewna (tj. tarcicy, płyt drewnianych i</w:t>
      </w:r>
      <w:r w:rsidR="00A16CDB">
        <w:t> </w:t>
      </w:r>
      <w:r w:rsidRPr="00365348">
        <w:t>drewnopochodnych, papieru i tektury) w latach 2023-20</w:t>
      </w:r>
      <w:r w:rsidR="005E56DE">
        <w:t>4</w:t>
      </w:r>
      <w:r w:rsidRPr="00365348">
        <w:t xml:space="preserve">0. Należy podkreślić, że w przypadku efektu substytucji węgla w produktach drzewnych zarówno scenariusz WEM, jak i WAM mogą być obarczone </w:t>
      </w:r>
      <w:r w:rsidR="00492A04">
        <w:t>niepewności</w:t>
      </w:r>
      <w:r w:rsidR="00E31B13">
        <w:t>ą</w:t>
      </w:r>
      <w:r w:rsidR="00492A04">
        <w:t xml:space="preserve"> w ocenie przyszłej produkcji wyrobów drzewnych (tarcicy, płyt, papieru) w latach 2023-2040</w:t>
      </w:r>
      <w:r w:rsidR="00492A04" w:rsidRPr="00365348">
        <w:t>.</w:t>
      </w:r>
      <w:r w:rsidRPr="00365348">
        <w:t xml:space="preserve"> Niemniej jednak, celem tego podejścia jest zobrazowanie ewentualnych tendencji w zakresie produkcji poszczególnych grup surowców drzewnych</w:t>
      </w:r>
      <w:r w:rsidR="0069212D">
        <w:t>, o</w:t>
      </w:r>
      <w:r w:rsidRPr="00365348">
        <w:t>bszar ten może podlegać znaczącym modyfikacjom prognostycznym, mając na względzie ocenę aktualnej sytuacji i przewidywanych zmian na rynku drzewnym, spodziewane tendencje rozwoju sektora drzewnego, ocenę ogólnej sytuacji gospodarczej kraju, wpływ koniunktury na rynkach zagranicznych oraz przewidywane kształtowanie się w przyszłości podstawowych makrowskaźników charakteryzujących tempo rozwoju gospodarczego, rozwoju budownictwa (kreatora bezpośredniego popytu na materiały i wyroby drzewne oraz popytu wtórnego, np. na meble, materiały podłogowe, elementy wyposażenia wnętrz), a także wymiany handlowej z zagranicą.</w:t>
      </w:r>
      <w:r w:rsidR="00803711">
        <w:rPr>
          <w:szCs w:val="20"/>
        </w:rPr>
        <w:t xml:space="preserve"> </w:t>
      </w:r>
      <w:r w:rsidR="005C4144" w:rsidRPr="007C635A">
        <w:rPr>
          <w:szCs w:val="20"/>
        </w:rPr>
        <w:t xml:space="preserve">W tabeli </w:t>
      </w:r>
      <w:r w:rsidR="005C4144">
        <w:rPr>
          <w:szCs w:val="20"/>
        </w:rPr>
        <w:t xml:space="preserve">poniżej </w:t>
      </w:r>
      <w:r w:rsidR="00E376E5" w:rsidRPr="007C635A">
        <w:rPr>
          <w:szCs w:val="20"/>
        </w:rPr>
        <w:t>przedstawiono p</w:t>
      </w:r>
      <w:r w:rsidR="00E376E5">
        <w:rPr>
          <w:szCs w:val="20"/>
        </w:rPr>
        <w:t>orównanie prognoz</w:t>
      </w:r>
      <w:r w:rsidR="00E376E5" w:rsidRPr="007C635A">
        <w:rPr>
          <w:szCs w:val="20"/>
        </w:rPr>
        <w:t xml:space="preserve"> emisji </w:t>
      </w:r>
      <w:r w:rsidR="00E376E5">
        <w:rPr>
          <w:szCs w:val="20"/>
        </w:rPr>
        <w:t>w podziale na sektory ETS i non</w:t>
      </w:r>
      <w:r w:rsidR="00E376E5">
        <w:rPr>
          <w:szCs w:val="20"/>
        </w:rPr>
        <w:noBreakHyphen/>
        <w:t>ETS dla scenariuszy WEM i WA</w:t>
      </w:r>
      <w:r w:rsidR="00E376E5" w:rsidRPr="007C635A">
        <w:rPr>
          <w:szCs w:val="20"/>
        </w:rPr>
        <w:t xml:space="preserve">M. </w:t>
      </w:r>
    </w:p>
    <w:p w14:paraId="29E35FDF" w14:textId="50C78C69" w:rsidR="005C4144" w:rsidRDefault="005C4144" w:rsidP="005C4144">
      <w:pPr>
        <w:pStyle w:val="Legenda"/>
        <w:keepNext/>
      </w:pPr>
      <w:bookmarkStart w:id="130" w:name="_Ref161236196"/>
      <w:bookmarkStart w:id="131" w:name="_Toc167442094"/>
      <w:bookmarkStart w:id="132" w:name="_Toc171587175"/>
      <w:bookmarkStart w:id="133" w:name="_Toc174710959"/>
      <w:bookmarkStart w:id="134" w:name="_Toc202966961"/>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16</w:t>
      </w:r>
      <w:r w:rsidR="00653D9A">
        <w:rPr>
          <w:noProof/>
        </w:rPr>
        <w:fldChar w:fldCharType="end"/>
      </w:r>
      <w:bookmarkEnd w:id="130"/>
      <w:r>
        <w:t>. Projekcje emisji gazów cieplarnianych w podziale na ETS i non-ETS, dla scenariuszy WEM i WAM</w:t>
      </w:r>
      <w:bookmarkEnd w:id="131"/>
      <w:bookmarkEnd w:id="132"/>
      <w:bookmarkEnd w:id="133"/>
      <w:bookmarkEnd w:id="134"/>
    </w:p>
    <w:tbl>
      <w:tblPr>
        <w:tblStyle w:val="KPEiK"/>
        <w:tblW w:w="5030" w:type="pct"/>
        <w:tblLayout w:type="fixed"/>
        <w:tblLook w:val="04A0" w:firstRow="1" w:lastRow="0" w:firstColumn="1" w:lastColumn="0" w:noHBand="0" w:noVBand="1"/>
      </w:tblPr>
      <w:tblGrid>
        <w:gridCol w:w="1420"/>
        <w:gridCol w:w="1099"/>
        <w:gridCol w:w="1099"/>
        <w:gridCol w:w="1100"/>
        <w:gridCol w:w="1099"/>
        <w:gridCol w:w="1100"/>
        <w:gridCol w:w="1099"/>
        <w:gridCol w:w="1100"/>
      </w:tblGrid>
      <w:tr w:rsidR="001915F8" w:rsidRPr="0048392A" w14:paraId="4F3C5B58" w14:textId="77777777" w:rsidTr="0096172C">
        <w:trPr>
          <w:cnfStyle w:val="100000000000" w:firstRow="1" w:lastRow="0" w:firstColumn="0" w:lastColumn="0" w:oddVBand="0" w:evenVBand="0" w:oddHBand="0" w:evenHBand="0" w:firstRowFirstColumn="0" w:firstRowLastColumn="0" w:lastRowFirstColumn="0" w:lastRowLastColumn="0"/>
          <w:trHeight w:val="209"/>
          <w:tblHeader/>
        </w:trPr>
        <w:tc>
          <w:tcPr>
            <w:tcW w:w="1420" w:type="dxa"/>
            <w:noWrap/>
            <w:hideMark/>
          </w:tcPr>
          <w:p w14:paraId="44EF68EB" w14:textId="77777777" w:rsidR="001915F8" w:rsidRPr="0048392A" w:rsidRDefault="001915F8">
            <w:pPr>
              <w:pStyle w:val="Tabele"/>
              <w:jc w:val="center"/>
              <w:rPr>
                <w:sz w:val="14"/>
                <w:szCs w:val="14"/>
                <w:lang w:eastAsia="pl-PL"/>
              </w:rPr>
            </w:pPr>
            <w:r w:rsidRPr="0048392A">
              <w:rPr>
                <w:sz w:val="14"/>
                <w:szCs w:val="14"/>
                <w:lang w:eastAsia="pl-PL"/>
              </w:rPr>
              <w:t>Parametr</w:t>
            </w:r>
          </w:p>
        </w:tc>
        <w:tc>
          <w:tcPr>
            <w:tcW w:w="1099" w:type="dxa"/>
            <w:noWrap/>
            <w:hideMark/>
          </w:tcPr>
          <w:p w14:paraId="2F98CCC6" w14:textId="77777777" w:rsidR="001915F8" w:rsidRPr="0048392A" w:rsidRDefault="001915F8">
            <w:pPr>
              <w:pStyle w:val="Tabele"/>
              <w:jc w:val="center"/>
              <w:rPr>
                <w:b w:val="0"/>
                <w:sz w:val="14"/>
                <w:szCs w:val="14"/>
                <w:lang w:eastAsia="pl-PL"/>
              </w:rPr>
            </w:pPr>
            <w:r w:rsidRPr="0048392A">
              <w:rPr>
                <w:sz w:val="14"/>
                <w:szCs w:val="14"/>
                <w:lang w:eastAsia="pl-PL"/>
              </w:rPr>
              <w:t>2005 (bazowy)*</w:t>
            </w:r>
          </w:p>
        </w:tc>
        <w:tc>
          <w:tcPr>
            <w:tcW w:w="1099" w:type="dxa"/>
            <w:noWrap/>
            <w:hideMark/>
          </w:tcPr>
          <w:p w14:paraId="13F493C3" w14:textId="77777777" w:rsidR="001915F8" w:rsidRPr="0048392A" w:rsidRDefault="001915F8">
            <w:pPr>
              <w:pStyle w:val="Tabele"/>
              <w:jc w:val="center"/>
              <w:rPr>
                <w:b w:val="0"/>
                <w:sz w:val="14"/>
                <w:szCs w:val="14"/>
                <w:lang w:eastAsia="pl-PL"/>
              </w:rPr>
            </w:pPr>
            <w:r w:rsidRPr="0048392A">
              <w:rPr>
                <w:sz w:val="14"/>
                <w:szCs w:val="14"/>
                <w:lang w:eastAsia="pl-PL"/>
              </w:rPr>
              <w:t>2021</w:t>
            </w:r>
          </w:p>
        </w:tc>
        <w:tc>
          <w:tcPr>
            <w:tcW w:w="1100" w:type="dxa"/>
          </w:tcPr>
          <w:p w14:paraId="28D54C6D" w14:textId="77777777" w:rsidR="001915F8" w:rsidRPr="0048392A" w:rsidRDefault="001915F8">
            <w:pPr>
              <w:pStyle w:val="Tabele"/>
              <w:jc w:val="center"/>
              <w:rPr>
                <w:sz w:val="14"/>
                <w:szCs w:val="14"/>
                <w:lang w:eastAsia="pl-PL"/>
              </w:rPr>
            </w:pPr>
            <w:r w:rsidRPr="0048392A">
              <w:rPr>
                <w:sz w:val="14"/>
                <w:szCs w:val="14"/>
                <w:lang w:eastAsia="pl-PL"/>
              </w:rPr>
              <w:t>2022</w:t>
            </w:r>
          </w:p>
        </w:tc>
        <w:tc>
          <w:tcPr>
            <w:tcW w:w="1099" w:type="dxa"/>
            <w:noWrap/>
            <w:hideMark/>
          </w:tcPr>
          <w:p w14:paraId="19E1A800" w14:textId="77777777" w:rsidR="001915F8" w:rsidRPr="0048392A" w:rsidRDefault="001915F8">
            <w:pPr>
              <w:pStyle w:val="Tabele"/>
              <w:jc w:val="center"/>
              <w:rPr>
                <w:b w:val="0"/>
                <w:sz w:val="14"/>
                <w:szCs w:val="14"/>
                <w:lang w:eastAsia="pl-PL"/>
              </w:rPr>
            </w:pPr>
            <w:r w:rsidRPr="0048392A">
              <w:rPr>
                <w:sz w:val="14"/>
                <w:szCs w:val="14"/>
                <w:lang w:eastAsia="pl-PL"/>
              </w:rPr>
              <w:t>2025</w:t>
            </w:r>
          </w:p>
        </w:tc>
        <w:tc>
          <w:tcPr>
            <w:tcW w:w="1100" w:type="dxa"/>
            <w:noWrap/>
            <w:hideMark/>
          </w:tcPr>
          <w:p w14:paraId="00F6B689" w14:textId="77777777" w:rsidR="001915F8" w:rsidRPr="0048392A" w:rsidRDefault="001915F8">
            <w:pPr>
              <w:pStyle w:val="Tabele"/>
              <w:jc w:val="center"/>
              <w:rPr>
                <w:b w:val="0"/>
                <w:sz w:val="14"/>
                <w:szCs w:val="14"/>
                <w:lang w:eastAsia="pl-PL"/>
              </w:rPr>
            </w:pPr>
            <w:r w:rsidRPr="0048392A">
              <w:rPr>
                <w:sz w:val="14"/>
                <w:szCs w:val="14"/>
                <w:lang w:eastAsia="pl-PL"/>
              </w:rPr>
              <w:t>2030</w:t>
            </w:r>
          </w:p>
        </w:tc>
        <w:tc>
          <w:tcPr>
            <w:tcW w:w="1099" w:type="dxa"/>
            <w:noWrap/>
            <w:hideMark/>
          </w:tcPr>
          <w:p w14:paraId="13C55188" w14:textId="77777777" w:rsidR="001915F8" w:rsidRPr="0048392A" w:rsidRDefault="001915F8">
            <w:pPr>
              <w:pStyle w:val="Tabele"/>
              <w:jc w:val="center"/>
              <w:rPr>
                <w:b w:val="0"/>
                <w:sz w:val="14"/>
                <w:szCs w:val="14"/>
                <w:lang w:eastAsia="pl-PL"/>
              </w:rPr>
            </w:pPr>
            <w:r w:rsidRPr="0048392A">
              <w:rPr>
                <w:sz w:val="14"/>
                <w:szCs w:val="14"/>
                <w:lang w:eastAsia="pl-PL"/>
              </w:rPr>
              <w:t>2035</w:t>
            </w:r>
          </w:p>
        </w:tc>
        <w:tc>
          <w:tcPr>
            <w:tcW w:w="1100" w:type="dxa"/>
            <w:hideMark/>
          </w:tcPr>
          <w:p w14:paraId="13D584E2" w14:textId="77777777" w:rsidR="001915F8" w:rsidRPr="0048392A" w:rsidRDefault="001915F8">
            <w:pPr>
              <w:pStyle w:val="Tabele"/>
              <w:jc w:val="center"/>
              <w:rPr>
                <w:b w:val="0"/>
                <w:sz w:val="14"/>
                <w:szCs w:val="14"/>
                <w:lang w:eastAsia="pl-PL"/>
              </w:rPr>
            </w:pPr>
            <w:r w:rsidRPr="0048392A">
              <w:rPr>
                <w:sz w:val="14"/>
                <w:szCs w:val="14"/>
                <w:lang w:eastAsia="pl-PL"/>
              </w:rPr>
              <w:t>2040</w:t>
            </w:r>
          </w:p>
        </w:tc>
      </w:tr>
      <w:tr w:rsidR="001915F8" w:rsidRPr="0048392A" w14:paraId="422EE6DA" w14:textId="77777777" w:rsidTr="0096172C">
        <w:trPr>
          <w:trHeight w:val="209"/>
        </w:trPr>
        <w:tc>
          <w:tcPr>
            <w:tcW w:w="1420" w:type="dxa"/>
            <w:shd w:val="clear" w:color="auto" w:fill="70AD47"/>
            <w:noWrap/>
          </w:tcPr>
          <w:p w14:paraId="59890F97" w14:textId="77777777" w:rsidR="001915F8" w:rsidRPr="0048392A" w:rsidRDefault="001915F8">
            <w:pPr>
              <w:pStyle w:val="Tabele"/>
              <w:jc w:val="center"/>
              <w:rPr>
                <w:b/>
                <w:bCs/>
                <w:sz w:val="14"/>
                <w:szCs w:val="14"/>
                <w:lang w:eastAsia="pl-PL"/>
              </w:rPr>
            </w:pPr>
          </w:p>
        </w:tc>
        <w:tc>
          <w:tcPr>
            <w:tcW w:w="7696" w:type="dxa"/>
            <w:gridSpan w:val="7"/>
            <w:shd w:val="clear" w:color="auto" w:fill="70AD47"/>
          </w:tcPr>
          <w:p w14:paraId="2CE1BAFC" w14:textId="3A57646C" w:rsidR="006A16FD" w:rsidRPr="0048392A" w:rsidRDefault="00CB74AC">
            <w:pPr>
              <w:pStyle w:val="Tabele"/>
              <w:jc w:val="center"/>
              <w:rPr>
                <w:b/>
                <w:bCs/>
                <w:sz w:val="14"/>
                <w:szCs w:val="14"/>
                <w:lang w:eastAsia="pl-PL"/>
              </w:rPr>
            </w:pPr>
            <w:r w:rsidRPr="0048392A">
              <w:rPr>
                <w:b/>
                <w:bCs/>
                <w:sz w:val="14"/>
                <w:szCs w:val="14"/>
                <w:lang w:eastAsia="pl-PL"/>
              </w:rPr>
              <w:t>WEM</w:t>
            </w:r>
          </w:p>
        </w:tc>
      </w:tr>
      <w:tr w:rsidR="001915F8" w:rsidRPr="0048392A" w14:paraId="5BAC82F2" w14:textId="77777777" w:rsidTr="0096172C">
        <w:trPr>
          <w:trHeight w:val="209"/>
        </w:trPr>
        <w:tc>
          <w:tcPr>
            <w:tcW w:w="1420" w:type="dxa"/>
            <w:noWrap/>
          </w:tcPr>
          <w:p w14:paraId="1C5B1E20" w14:textId="77777777" w:rsidR="001915F8" w:rsidRPr="001915F8" w:rsidRDefault="001915F8">
            <w:pPr>
              <w:pStyle w:val="Tabele"/>
              <w:rPr>
                <w:color w:val="auto"/>
                <w:sz w:val="14"/>
                <w:szCs w:val="14"/>
                <w:lang w:eastAsia="pl-PL"/>
              </w:rPr>
            </w:pPr>
            <w:r w:rsidRPr="001915F8">
              <w:rPr>
                <w:color w:val="auto"/>
                <w:sz w:val="14"/>
                <w:szCs w:val="14"/>
                <w:lang w:eastAsia="pl-PL"/>
              </w:rPr>
              <w:t>Emisja w ETS [kt CO</w:t>
            </w:r>
            <w:r w:rsidRPr="001915F8">
              <w:rPr>
                <w:color w:val="auto"/>
                <w:sz w:val="14"/>
                <w:szCs w:val="14"/>
                <w:vertAlign w:val="subscript"/>
                <w:lang w:eastAsia="pl-PL"/>
              </w:rPr>
              <w:t>2</w:t>
            </w:r>
            <w:r w:rsidRPr="001915F8">
              <w:rPr>
                <w:color w:val="auto"/>
                <w:sz w:val="14"/>
                <w:szCs w:val="14"/>
                <w:lang w:eastAsia="pl-PL"/>
              </w:rPr>
              <w:t>eq]</w:t>
            </w:r>
          </w:p>
        </w:tc>
        <w:tc>
          <w:tcPr>
            <w:tcW w:w="1099" w:type="dxa"/>
            <w:shd w:val="clear" w:color="auto" w:fill="C5E0B3"/>
            <w:noWrap/>
          </w:tcPr>
          <w:p w14:paraId="6E9F7ECC" w14:textId="77777777" w:rsidR="001915F8" w:rsidRPr="001915F8" w:rsidRDefault="001915F8">
            <w:pPr>
              <w:pStyle w:val="Tabele"/>
              <w:jc w:val="right"/>
              <w:rPr>
                <w:color w:val="auto"/>
                <w:sz w:val="14"/>
                <w:szCs w:val="14"/>
                <w:lang w:eastAsia="pl-PL"/>
              </w:rPr>
            </w:pPr>
            <w:r w:rsidRPr="001915F8">
              <w:rPr>
                <w:color w:val="auto"/>
                <w:sz w:val="14"/>
                <w:szCs w:val="14"/>
              </w:rPr>
              <w:t>-</w:t>
            </w:r>
          </w:p>
        </w:tc>
        <w:tc>
          <w:tcPr>
            <w:tcW w:w="1099" w:type="dxa"/>
            <w:shd w:val="clear" w:color="auto" w:fill="C5E0B3"/>
            <w:noWrap/>
          </w:tcPr>
          <w:p w14:paraId="77D05BC1" w14:textId="77777777" w:rsidR="001915F8" w:rsidRPr="001915F8" w:rsidRDefault="001915F8">
            <w:pPr>
              <w:pStyle w:val="Tabele"/>
              <w:jc w:val="right"/>
              <w:rPr>
                <w:color w:val="auto"/>
                <w:sz w:val="14"/>
                <w:szCs w:val="14"/>
                <w:lang w:eastAsia="pl-PL"/>
              </w:rPr>
            </w:pPr>
            <w:r w:rsidRPr="001915F8">
              <w:rPr>
                <w:color w:val="auto"/>
                <w:sz w:val="14"/>
                <w:szCs w:val="14"/>
              </w:rPr>
              <w:t>192 032,91</w:t>
            </w:r>
          </w:p>
        </w:tc>
        <w:tc>
          <w:tcPr>
            <w:tcW w:w="1100" w:type="dxa"/>
            <w:shd w:val="clear" w:color="auto" w:fill="C5E0B3" w:themeFill="accent6" w:themeFillTint="66"/>
          </w:tcPr>
          <w:p w14:paraId="0F5D00DD" w14:textId="77777777" w:rsidR="001915F8" w:rsidRPr="001915F8" w:rsidRDefault="001915F8">
            <w:pPr>
              <w:pStyle w:val="Tabele"/>
              <w:jc w:val="right"/>
              <w:rPr>
                <w:rFonts w:cs="Calibri"/>
                <w:color w:val="auto"/>
                <w:sz w:val="14"/>
                <w:szCs w:val="14"/>
              </w:rPr>
            </w:pPr>
            <w:r w:rsidRPr="001915F8">
              <w:rPr>
                <w:color w:val="auto"/>
                <w:sz w:val="14"/>
                <w:szCs w:val="14"/>
              </w:rPr>
              <w:t>184 145,85</w:t>
            </w:r>
          </w:p>
        </w:tc>
        <w:tc>
          <w:tcPr>
            <w:tcW w:w="1099" w:type="dxa"/>
            <w:noWrap/>
          </w:tcPr>
          <w:p w14:paraId="7DF6DA99" w14:textId="77777777" w:rsidR="001915F8" w:rsidRPr="001915F8" w:rsidRDefault="001915F8">
            <w:pPr>
              <w:pStyle w:val="Tabele"/>
              <w:jc w:val="right"/>
              <w:rPr>
                <w:color w:val="auto"/>
                <w:sz w:val="14"/>
                <w:szCs w:val="14"/>
                <w:lang w:eastAsia="pl-PL"/>
              </w:rPr>
            </w:pPr>
            <w:r w:rsidRPr="001915F8">
              <w:rPr>
                <w:color w:val="auto"/>
                <w:sz w:val="14"/>
                <w:szCs w:val="14"/>
              </w:rPr>
              <w:t>155 881,50</w:t>
            </w:r>
          </w:p>
        </w:tc>
        <w:tc>
          <w:tcPr>
            <w:tcW w:w="1100" w:type="dxa"/>
            <w:noWrap/>
          </w:tcPr>
          <w:p w14:paraId="022D2841" w14:textId="77777777" w:rsidR="001915F8" w:rsidRPr="001915F8" w:rsidRDefault="001915F8">
            <w:pPr>
              <w:pStyle w:val="Tabele"/>
              <w:jc w:val="right"/>
              <w:rPr>
                <w:color w:val="auto"/>
                <w:sz w:val="14"/>
                <w:szCs w:val="14"/>
                <w:lang w:eastAsia="pl-PL"/>
              </w:rPr>
            </w:pPr>
            <w:r w:rsidRPr="001915F8">
              <w:rPr>
                <w:color w:val="auto"/>
                <w:sz w:val="14"/>
                <w:szCs w:val="14"/>
              </w:rPr>
              <w:t>112 914,31</w:t>
            </w:r>
          </w:p>
        </w:tc>
        <w:tc>
          <w:tcPr>
            <w:tcW w:w="1099" w:type="dxa"/>
            <w:noWrap/>
          </w:tcPr>
          <w:p w14:paraId="196E0515" w14:textId="77777777" w:rsidR="001915F8" w:rsidRPr="001915F8" w:rsidRDefault="001915F8">
            <w:pPr>
              <w:pStyle w:val="Tabele"/>
              <w:jc w:val="right"/>
              <w:rPr>
                <w:color w:val="auto"/>
                <w:sz w:val="14"/>
                <w:szCs w:val="14"/>
                <w:lang w:eastAsia="pl-PL"/>
              </w:rPr>
            </w:pPr>
            <w:r w:rsidRPr="001915F8">
              <w:rPr>
                <w:color w:val="auto"/>
                <w:sz w:val="14"/>
                <w:szCs w:val="14"/>
              </w:rPr>
              <w:t>91 104,39</w:t>
            </w:r>
          </w:p>
        </w:tc>
        <w:tc>
          <w:tcPr>
            <w:tcW w:w="1100" w:type="dxa"/>
            <w:noWrap/>
          </w:tcPr>
          <w:p w14:paraId="2CC5A457" w14:textId="77777777" w:rsidR="001915F8" w:rsidRPr="001915F8" w:rsidRDefault="001915F8">
            <w:pPr>
              <w:pStyle w:val="Tabele"/>
              <w:jc w:val="right"/>
              <w:rPr>
                <w:color w:val="auto"/>
                <w:sz w:val="14"/>
                <w:szCs w:val="14"/>
                <w:lang w:eastAsia="pl-PL"/>
              </w:rPr>
            </w:pPr>
            <w:r w:rsidRPr="001915F8">
              <w:rPr>
                <w:color w:val="auto"/>
                <w:sz w:val="14"/>
                <w:szCs w:val="14"/>
              </w:rPr>
              <w:t>58 341,43</w:t>
            </w:r>
          </w:p>
        </w:tc>
      </w:tr>
      <w:tr w:rsidR="001915F8" w:rsidRPr="0048392A" w14:paraId="0EE90EA0" w14:textId="77777777" w:rsidTr="00851534">
        <w:trPr>
          <w:trHeight w:val="209"/>
        </w:trPr>
        <w:tc>
          <w:tcPr>
            <w:tcW w:w="1420" w:type="dxa"/>
            <w:tcBorders>
              <w:bottom w:val="single" w:sz="4" w:space="0" w:color="808080"/>
            </w:tcBorders>
            <w:noWrap/>
            <w:hideMark/>
          </w:tcPr>
          <w:p w14:paraId="04287295" w14:textId="77777777" w:rsidR="001915F8" w:rsidRPr="001915F8" w:rsidRDefault="001915F8">
            <w:pPr>
              <w:pStyle w:val="Tabele"/>
              <w:rPr>
                <w:color w:val="auto"/>
                <w:sz w:val="14"/>
                <w:szCs w:val="14"/>
                <w:lang w:eastAsia="pl-PL"/>
              </w:rPr>
            </w:pPr>
            <w:r w:rsidRPr="001915F8">
              <w:rPr>
                <w:color w:val="auto"/>
                <w:sz w:val="14"/>
                <w:szCs w:val="14"/>
                <w:lang w:eastAsia="pl-PL"/>
              </w:rPr>
              <w:t>Emisja w ESR [kt CO</w:t>
            </w:r>
            <w:r w:rsidRPr="001915F8">
              <w:rPr>
                <w:color w:val="auto"/>
                <w:sz w:val="14"/>
                <w:szCs w:val="14"/>
                <w:vertAlign w:val="subscript"/>
                <w:lang w:eastAsia="pl-PL"/>
              </w:rPr>
              <w:t>2</w:t>
            </w:r>
            <w:r w:rsidRPr="001915F8">
              <w:rPr>
                <w:color w:val="auto"/>
                <w:sz w:val="14"/>
                <w:szCs w:val="14"/>
                <w:lang w:eastAsia="pl-PL"/>
              </w:rPr>
              <w:t>eq]</w:t>
            </w:r>
          </w:p>
        </w:tc>
        <w:tc>
          <w:tcPr>
            <w:tcW w:w="1099" w:type="dxa"/>
            <w:tcBorders>
              <w:bottom w:val="single" w:sz="4" w:space="0" w:color="808080"/>
            </w:tcBorders>
            <w:shd w:val="clear" w:color="auto" w:fill="C5E0B3"/>
            <w:noWrap/>
            <w:hideMark/>
          </w:tcPr>
          <w:p w14:paraId="1EC06A7D" w14:textId="77777777" w:rsidR="001915F8" w:rsidRPr="001915F8" w:rsidRDefault="001915F8">
            <w:pPr>
              <w:pStyle w:val="Tabele"/>
              <w:jc w:val="right"/>
              <w:rPr>
                <w:color w:val="auto"/>
                <w:sz w:val="14"/>
                <w:szCs w:val="14"/>
                <w:lang w:eastAsia="pl-PL"/>
              </w:rPr>
            </w:pPr>
            <w:r w:rsidRPr="001915F8">
              <w:rPr>
                <w:color w:val="auto"/>
                <w:sz w:val="14"/>
                <w:szCs w:val="14"/>
              </w:rPr>
              <w:t>192 472,25</w:t>
            </w:r>
          </w:p>
        </w:tc>
        <w:tc>
          <w:tcPr>
            <w:tcW w:w="1099" w:type="dxa"/>
            <w:tcBorders>
              <w:bottom w:val="single" w:sz="4" w:space="0" w:color="808080"/>
            </w:tcBorders>
            <w:shd w:val="clear" w:color="auto" w:fill="C5E0B3"/>
            <w:noWrap/>
            <w:hideMark/>
          </w:tcPr>
          <w:p w14:paraId="56C20544" w14:textId="77777777" w:rsidR="001915F8" w:rsidRPr="001915F8" w:rsidRDefault="001915F8">
            <w:pPr>
              <w:pStyle w:val="Tabele"/>
              <w:jc w:val="right"/>
              <w:rPr>
                <w:color w:val="auto"/>
                <w:sz w:val="14"/>
                <w:szCs w:val="14"/>
                <w:lang w:eastAsia="pl-PL"/>
              </w:rPr>
            </w:pPr>
            <w:r w:rsidRPr="001915F8">
              <w:rPr>
                <w:color w:val="auto"/>
                <w:sz w:val="14"/>
                <w:szCs w:val="14"/>
              </w:rPr>
              <w:t>207 282,99</w:t>
            </w:r>
          </w:p>
        </w:tc>
        <w:tc>
          <w:tcPr>
            <w:tcW w:w="1100" w:type="dxa"/>
            <w:shd w:val="clear" w:color="auto" w:fill="C5E0B3" w:themeFill="accent6" w:themeFillTint="66"/>
          </w:tcPr>
          <w:p w14:paraId="6C50E2F5" w14:textId="77777777" w:rsidR="001915F8" w:rsidRPr="001915F8" w:rsidRDefault="001915F8">
            <w:pPr>
              <w:pStyle w:val="Tabele"/>
              <w:jc w:val="right"/>
              <w:rPr>
                <w:rFonts w:cs="Calibri"/>
                <w:color w:val="auto"/>
                <w:sz w:val="14"/>
                <w:szCs w:val="14"/>
              </w:rPr>
            </w:pPr>
            <w:r w:rsidRPr="001915F8">
              <w:rPr>
                <w:color w:val="auto"/>
                <w:sz w:val="14"/>
                <w:szCs w:val="14"/>
              </w:rPr>
              <w:t>196 234,87</w:t>
            </w:r>
          </w:p>
        </w:tc>
        <w:tc>
          <w:tcPr>
            <w:tcW w:w="1099" w:type="dxa"/>
            <w:noWrap/>
            <w:hideMark/>
          </w:tcPr>
          <w:p w14:paraId="761FC85D" w14:textId="77777777" w:rsidR="001915F8" w:rsidRPr="001915F8" w:rsidRDefault="001915F8">
            <w:pPr>
              <w:pStyle w:val="Tabele"/>
              <w:jc w:val="right"/>
              <w:rPr>
                <w:color w:val="auto"/>
                <w:sz w:val="14"/>
                <w:szCs w:val="14"/>
                <w:lang w:eastAsia="pl-PL"/>
              </w:rPr>
            </w:pPr>
            <w:r w:rsidRPr="001915F8">
              <w:rPr>
                <w:color w:val="auto"/>
                <w:sz w:val="14"/>
                <w:szCs w:val="14"/>
              </w:rPr>
              <w:t>190 925,55</w:t>
            </w:r>
          </w:p>
        </w:tc>
        <w:tc>
          <w:tcPr>
            <w:tcW w:w="1100" w:type="dxa"/>
            <w:noWrap/>
            <w:hideMark/>
          </w:tcPr>
          <w:p w14:paraId="3C567F43" w14:textId="77777777" w:rsidR="001915F8" w:rsidRPr="001915F8" w:rsidRDefault="001915F8">
            <w:pPr>
              <w:pStyle w:val="Tabele"/>
              <w:jc w:val="right"/>
              <w:rPr>
                <w:color w:val="auto"/>
                <w:sz w:val="14"/>
                <w:szCs w:val="14"/>
                <w:lang w:eastAsia="pl-PL"/>
              </w:rPr>
            </w:pPr>
            <w:r w:rsidRPr="001915F8">
              <w:rPr>
                <w:color w:val="auto"/>
                <w:sz w:val="14"/>
                <w:szCs w:val="14"/>
              </w:rPr>
              <w:t>169 448,02</w:t>
            </w:r>
          </w:p>
        </w:tc>
        <w:tc>
          <w:tcPr>
            <w:tcW w:w="1099" w:type="dxa"/>
            <w:noWrap/>
            <w:hideMark/>
          </w:tcPr>
          <w:p w14:paraId="5D5D0155" w14:textId="77777777" w:rsidR="001915F8" w:rsidRPr="001915F8" w:rsidRDefault="001915F8">
            <w:pPr>
              <w:pStyle w:val="Tabele"/>
              <w:jc w:val="right"/>
              <w:rPr>
                <w:color w:val="auto"/>
                <w:sz w:val="14"/>
                <w:szCs w:val="14"/>
                <w:lang w:eastAsia="pl-PL"/>
              </w:rPr>
            </w:pPr>
            <w:r w:rsidRPr="001915F8">
              <w:rPr>
                <w:color w:val="auto"/>
                <w:sz w:val="14"/>
                <w:szCs w:val="14"/>
              </w:rPr>
              <w:t>152 932,14</w:t>
            </w:r>
          </w:p>
        </w:tc>
        <w:tc>
          <w:tcPr>
            <w:tcW w:w="1100" w:type="dxa"/>
            <w:noWrap/>
            <w:hideMark/>
          </w:tcPr>
          <w:p w14:paraId="54090B78" w14:textId="77777777" w:rsidR="001915F8" w:rsidRPr="001915F8" w:rsidRDefault="001915F8">
            <w:pPr>
              <w:pStyle w:val="Tabele"/>
              <w:jc w:val="right"/>
              <w:rPr>
                <w:color w:val="auto"/>
                <w:sz w:val="14"/>
                <w:szCs w:val="14"/>
                <w:lang w:eastAsia="pl-PL"/>
              </w:rPr>
            </w:pPr>
            <w:r w:rsidRPr="001915F8">
              <w:rPr>
                <w:color w:val="auto"/>
                <w:sz w:val="14"/>
                <w:szCs w:val="14"/>
              </w:rPr>
              <w:t>135 682,28</w:t>
            </w:r>
          </w:p>
        </w:tc>
      </w:tr>
      <w:tr w:rsidR="00803711" w:rsidRPr="0048392A" w14:paraId="7A1F45AC" w14:textId="77777777" w:rsidTr="00851534">
        <w:trPr>
          <w:trHeight w:val="209"/>
        </w:trPr>
        <w:tc>
          <w:tcPr>
            <w:tcW w:w="1420" w:type="dxa"/>
            <w:tcBorders>
              <w:left w:val="single" w:sz="4" w:space="0" w:color="FFFFFF" w:themeColor="background1"/>
              <w:right w:val="single" w:sz="4" w:space="0" w:color="FFFFFF"/>
            </w:tcBorders>
            <w:noWrap/>
            <w:hideMark/>
          </w:tcPr>
          <w:p w14:paraId="1DE2BFA2" w14:textId="17976501" w:rsidR="00803711" w:rsidRPr="001915F8" w:rsidRDefault="00803711">
            <w:pPr>
              <w:pStyle w:val="Tabele"/>
              <w:rPr>
                <w:color w:val="auto"/>
                <w:sz w:val="14"/>
                <w:szCs w:val="14"/>
                <w:lang w:eastAsia="pl-PL"/>
              </w:rPr>
            </w:pPr>
          </w:p>
        </w:tc>
        <w:tc>
          <w:tcPr>
            <w:tcW w:w="1099" w:type="dxa"/>
            <w:tcBorders>
              <w:left w:val="single" w:sz="4" w:space="0" w:color="FFFFFF"/>
              <w:right w:val="single" w:sz="4" w:space="0" w:color="FFFFFF"/>
            </w:tcBorders>
            <w:noWrap/>
          </w:tcPr>
          <w:p w14:paraId="1EDE6379" w14:textId="77777777" w:rsidR="00803711" w:rsidRPr="001915F8" w:rsidRDefault="00803711">
            <w:pPr>
              <w:pStyle w:val="Tabele"/>
              <w:jc w:val="right"/>
              <w:rPr>
                <w:color w:val="auto"/>
                <w:sz w:val="14"/>
                <w:szCs w:val="14"/>
                <w:lang w:eastAsia="pl-PL"/>
              </w:rPr>
            </w:pPr>
          </w:p>
        </w:tc>
        <w:tc>
          <w:tcPr>
            <w:tcW w:w="1099" w:type="dxa"/>
            <w:tcBorders>
              <w:left w:val="single" w:sz="4" w:space="0" w:color="FFFFFF"/>
            </w:tcBorders>
            <w:noWrap/>
          </w:tcPr>
          <w:p w14:paraId="549AE695" w14:textId="77777777" w:rsidR="00803711" w:rsidRPr="001915F8" w:rsidRDefault="00803711">
            <w:pPr>
              <w:pStyle w:val="Tabele"/>
              <w:jc w:val="right"/>
              <w:rPr>
                <w:color w:val="auto"/>
                <w:sz w:val="14"/>
                <w:szCs w:val="14"/>
                <w:lang w:eastAsia="pl-PL"/>
              </w:rPr>
            </w:pPr>
          </w:p>
        </w:tc>
        <w:tc>
          <w:tcPr>
            <w:tcW w:w="2199" w:type="dxa"/>
            <w:gridSpan w:val="2"/>
          </w:tcPr>
          <w:p w14:paraId="141C5EDF" w14:textId="72338468" w:rsidR="00803711" w:rsidRPr="001915F8" w:rsidRDefault="00803711">
            <w:pPr>
              <w:pStyle w:val="Tabele"/>
              <w:jc w:val="right"/>
              <w:rPr>
                <w:color w:val="auto"/>
                <w:sz w:val="14"/>
                <w:szCs w:val="14"/>
                <w:lang w:eastAsia="pl-PL"/>
              </w:rPr>
            </w:pPr>
            <w:r w:rsidRPr="001915F8">
              <w:rPr>
                <w:color w:val="auto"/>
                <w:sz w:val="14"/>
                <w:szCs w:val="14"/>
                <w:lang w:eastAsia="pl-PL"/>
              </w:rPr>
              <w:t>Zmiana emisji w ESR w stos. do 2005 r.</w:t>
            </w:r>
          </w:p>
        </w:tc>
        <w:tc>
          <w:tcPr>
            <w:tcW w:w="1100" w:type="dxa"/>
            <w:noWrap/>
            <w:hideMark/>
          </w:tcPr>
          <w:p w14:paraId="1F704889" w14:textId="77777777" w:rsidR="00803711" w:rsidRPr="001915F8" w:rsidRDefault="00803711">
            <w:pPr>
              <w:pStyle w:val="Tabele"/>
              <w:jc w:val="right"/>
              <w:rPr>
                <w:color w:val="auto"/>
                <w:sz w:val="14"/>
                <w:szCs w:val="14"/>
                <w:lang w:eastAsia="pl-PL"/>
              </w:rPr>
            </w:pPr>
            <w:r w:rsidRPr="001915F8">
              <w:rPr>
                <w:color w:val="auto"/>
                <w:sz w:val="14"/>
                <w:szCs w:val="14"/>
              </w:rPr>
              <w:t>-12,0%</w:t>
            </w:r>
          </w:p>
        </w:tc>
        <w:tc>
          <w:tcPr>
            <w:tcW w:w="1099" w:type="dxa"/>
            <w:noWrap/>
            <w:hideMark/>
          </w:tcPr>
          <w:p w14:paraId="319B7A19" w14:textId="77777777" w:rsidR="00803711" w:rsidRPr="001915F8" w:rsidRDefault="00803711">
            <w:pPr>
              <w:pStyle w:val="Tabele"/>
              <w:jc w:val="right"/>
              <w:rPr>
                <w:color w:val="auto"/>
                <w:sz w:val="14"/>
                <w:szCs w:val="14"/>
                <w:lang w:eastAsia="pl-PL"/>
              </w:rPr>
            </w:pPr>
            <w:r w:rsidRPr="001915F8">
              <w:rPr>
                <w:color w:val="auto"/>
                <w:sz w:val="14"/>
                <w:szCs w:val="14"/>
              </w:rPr>
              <w:t>-20,5%</w:t>
            </w:r>
          </w:p>
        </w:tc>
        <w:tc>
          <w:tcPr>
            <w:tcW w:w="1100" w:type="dxa"/>
            <w:noWrap/>
            <w:hideMark/>
          </w:tcPr>
          <w:p w14:paraId="34A7F21D" w14:textId="77777777" w:rsidR="00803711" w:rsidRPr="001915F8" w:rsidRDefault="00803711">
            <w:pPr>
              <w:pStyle w:val="Tabele"/>
              <w:jc w:val="right"/>
              <w:rPr>
                <w:color w:val="auto"/>
                <w:sz w:val="14"/>
                <w:szCs w:val="14"/>
                <w:lang w:eastAsia="pl-PL"/>
              </w:rPr>
            </w:pPr>
            <w:r w:rsidRPr="001915F8">
              <w:rPr>
                <w:color w:val="auto"/>
                <w:sz w:val="14"/>
                <w:szCs w:val="14"/>
              </w:rPr>
              <w:t>-29,5%</w:t>
            </w:r>
          </w:p>
        </w:tc>
      </w:tr>
      <w:tr w:rsidR="001915F8" w:rsidRPr="0048392A" w14:paraId="535C8946" w14:textId="77777777" w:rsidTr="0096172C">
        <w:trPr>
          <w:trHeight w:val="209"/>
        </w:trPr>
        <w:tc>
          <w:tcPr>
            <w:tcW w:w="1420" w:type="dxa"/>
            <w:shd w:val="clear" w:color="auto" w:fill="70AD47" w:themeFill="accent6"/>
            <w:noWrap/>
          </w:tcPr>
          <w:p w14:paraId="1CC0D0CC" w14:textId="77777777" w:rsidR="001915F8" w:rsidRPr="0048392A" w:rsidRDefault="001915F8">
            <w:pPr>
              <w:pStyle w:val="Tabele"/>
              <w:rPr>
                <w:sz w:val="14"/>
                <w:szCs w:val="14"/>
                <w:lang w:eastAsia="pl-PL"/>
              </w:rPr>
            </w:pPr>
          </w:p>
        </w:tc>
        <w:tc>
          <w:tcPr>
            <w:tcW w:w="7696" w:type="dxa"/>
            <w:gridSpan w:val="7"/>
            <w:shd w:val="clear" w:color="auto" w:fill="70AD47" w:themeFill="accent6"/>
          </w:tcPr>
          <w:p w14:paraId="450E1D08" w14:textId="2E786D6C" w:rsidR="006A16FD" w:rsidRPr="0048392A" w:rsidRDefault="00CB74AC">
            <w:pPr>
              <w:pStyle w:val="Tabele"/>
              <w:jc w:val="center"/>
              <w:rPr>
                <w:sz w:val="14"/>
                <w:szCs w:val="14"/>
                <w:lang w:eastAsia="pl-PL"/>
              </w:rPr>
            </w:pPr>
            <w:r w:rsidRPr="0048392A">
              <w:rPr>
                <w:sz w:val="14"/>
                <w:szCs w:val="14"/>
                <w:lang w:eastAsia="pl-PL"/>
              </w:rPr>
              <w:t>WAM</w:t>
            </w:r>
          </w:p>
        </w:tc>
      </w:tr>
      <w:tr w:rsidR="001915F8" w:rsidRPr="0048392A" w14:paraId="0D06077E" w14:textId="77777777" w:rsidTr="0096172C">
        <w:trPr>
          <w:trHeight w:val="209"/>
        </w:trPr>
        <w:tc>
          <w:tcPr>
            <w:tcW w:w="1420" w:type="dxa"/>
            <w:noWrap/>
          </w:tcPr>
          <w:p w14:paraId="200B1FA5" w14:textId="77777777" w:rsidR="001915F8" w:rsidRPr="001915F8" w:rsidRDefault="001915F8">
            <w:pPr>
              <w:pStyle w:val="Tabele"/>
              <w:rPr>
                <w:color w:val="auto"/>
                <w:sz w:val="14"/>
                <w:szCs w:val="14"/>
                <w:lang w:eastAsia="pl-PL"/>
              </w:rPr>
            </w:pPr>
            <w:r w:rsidRPr="001915F8">
              <w:rPr>
                <w:color w:val="auto"/>
                <w:sz w:val="14"/>
                <w:szCs w:val="14"/>
                <w:lang w:eastAsia="pl-PL"/>
              </w:rPr>
              <w:t>Emisja w ETS [kt CO</w:t>
            </w:r>
            <w:r w:rsidRPr="001915F8">
              <w:rPr>
                <w:color w:val="auto"/>
                <w:sz w:val="14"/>
                <w:szCs w:val="14"/>
                <w:vertAlign w:val="subscript"/>
                <w:lang w:eastAsia="pl-PL"/>
              </w:rPr>
              <w:t>2</w:t>
            </w:r>
            <w:r w:rsidRPr="001915F8">
              <w:rPr>
                <w:color w:val="auto"/>
                <w:sz w:val="14"/>
                <w:szCs w:val="14"/>
                <w:lang w:eastAsia="pl-PL"/>
              </w:rPr>
              <w:t>eq]</w:t>
            </w:r>
          </w:p>
        </w:tc>
        <w:tc>
          <w:tcPr>
            <w:tcW w:w="1099" w:type="dxa"/>
            <w:shd w:val="clear" w:color="auto" w:fill="C5E0B3" w:themeFill="accent6" w:themeFillTint="66"/>
            <w:noWrap/>
          </w:tcPr>
          <w:p w14:paraId="65C9AEEB" w14:textId="77777777" w:rsidR="001915F8" w:rsidRPr="001915F8" w:rsidRDefault="001915F8">
            <w:pPr>
              <w:pStyle w:val="Tabele"/>
              <w:jc w:val="right"/>
              <w:rPr>
                <w:color w:val="auto"/>
                <w:sz w:val="14"/>
                <w:szCs w:val="14"/>
                <w:lang w:eastAsia="pl-PL"/>
              </w:rPr>
            </w:pPr>
            <w:r w:rsidRPr="001915F8">
              <w:rPr>
                <w:color w:val="auto"/>
                <w:sz w:val="14"/>
                <w:szCs w:val="14"/>
              </w:rPr>
              <w:t>-</w:t>
            </w:r>
          </w:p>
        </w:tc>
        <w:tc>
          <w:tcPr>
            <w:tcW w:w="1099" w:type="dxa"/>
            <w:shd w:val="clear" w:color="auto" w:fill="C5E0B3" w:themeFill="accent6" w:themeFillTint="66"/>
            <w:noWrap/>
          </w:tcPr>
          <w:p w14:paraId="05484D22" w14:textId="77777777" w:rsidR="001915F8" w:rsidRPr="001915F8" w:rsidRDefault="001915F8">
            <w:pPr>
              <w:pStyle w:val="Tabele"/>
              <w:jc w:val="right"/>
              <w:rPr>
                <w:color w:val="auto"/>
                <w:sz w:val="14"/>
                <w:szCs w:val="14"/>
                <w:lang w:eastAsia="pl-PL"/>
              </w:rPr>
            </w:pPr>
            <w:r w:rsidRPr="001915F8">
              <w:rPr>
                <w:color w:val="auto"/>
                <w:sz w:val="14"/>
                <w:szCs w:val="14"/>
              </w:rPr>
              <w:t>192 032,91</w:t>
            </w:r>
          </w:p>
        </w:tc>
        <w:tc>
          <w:tcPr>
            <w:tcW w:w="1100" w:type="dxa"/>
            <w:shd w:val="clear" w:color="auto" w:fill="C5E0B3" w:themeFill="accent6" w:themeFillTint="66"/>
          </w:tcPr>
          <w:p w14:paraId="41C3CA13" w14:textId="77777777" w:rsidR="001915F8" w:rsidRPr="001915F8" w:rsidRDefault="001915F8">
            <w:pPr>
              <w:pStyle w:val="Tabele"/>
              <w:jc w:val="right"/>
              <w:rPr>
                <w:rFonts w:cs="Calibri"/>
                <w:color w:val="auto"/>
                <w:sz w:val="14"/>
                <w:szCs w:val="14"/>
              </w:rPr>
            </w:pPr>
            <w:r w:rsidRPr="001915F8">
              <w:rPr>
                <w:color w:val="auto"/>
                <w:sz w:val="14"/>
                <w:szCs w:val="14"/>
              </w:rPr>
              <w:t>184 145,85</w:t>
            </w:r>
          </w:p>
        </w:tc>
        <w:tc>
          <w:tcPr>
            <w:tcW w:w="1099" w:type="dxa"/>
            <w:noWrap/>
          </w:tcPr>
          <w:p w14:paraId="0F2C01A3" w14:textId="77777777" w:rsidR="001915F8" w:rsidRPr="001915F8" w:rsidRDefault="001915F8">
            <w:pPr>
              <w:pStyle w:val="Tabele"/>
              <w:jc w:val="right"/>
              <w:rPr>
                <w:color w:val="auto"/>
                <w:sz w:val="14"/>
                <w:szCs w:val="14"/>
                <w:highlight w:val="yellow"/>
                <w:lang w:eastAsia="pl-PL"/>
              </w:rPr>
            </w:pPr>
            <w:r w:rsidRPr="001915F8">
              <w:rPr>
                <w:color w:val="auto"/>
                <w:sz w:val="14"/>
                <w:szCs w:val="14"/>
              </w:rPr>
              <w:t>153 001,50</w:t>
            </w:r>
          </w:p>
        </w:tc>
        <w:tc>
          <w:tcPr>
            <w:tcW w:w="1100" w:type="dxa"/>
            <w:noWrap/>
          </w:tcPr>
          <w:p w14:paraId="26478FAD" w14:textId="77777777" w:rsidR="001915F8" w:rsidRPr="001915F8" w:rsidRDefault="001915F8">
            <w:pPr>
              <w:pStyle w:val="Tabele"/>
              <w:jc w:val="right"/>
              <w:rPr>
                <w:color w:val="auto"/>
                <w:sz w:val="14"/>
                <w:szCs w:val="14"/>
                <w:highlight w:val="yellow"/>
                <w:lang w:eastAsia="pl-PL"/>
              </w:rPr>
            </w:pPr>
            <w:r w:rsidRPr="001915F8">
              <w:rPr>
                <w:color w:val="auto"/>
                <w:sz w:val="14"/>
                <w:szCs w:val="14"/>
              </w:rPr>
              <w:t>102 410,43</w:t>
            </w:r>
          </w:p>
        </w:tc>
        <w:tc>
          <w:tcPr>
            <w:tcW w:w="1099" w:type="dxa"/>
            <w:noWrap/>
          </w:tcPr>
          <w:p w14:paraId="225FA1F0" w14:textId="77777777" w:rsidR="001915F8" w:rsidRPr="001915F8" w:rsidRDefault="001915F8">
            <w:pPr>
              <w:pStyle w:val="Tabele"/>
              <w:jc w:val="right"/>
              <w:rPr>
                <w:color w:val="auto"/>
                <w:sz w:val="14"/>
                <w:szCs w:val="14"/>
                <w:highlight w:val="yellow"/>
                <w:lang w:eastAsia="pl-PL"/>
              </w:rPr>
            </w:pPr>
            <w:r w:rsidRPr="001915F8">
              <w:rPr>
                <w:color w:val="auto"/>
                <w:sz w:val="14"/>
                <w:szCs w:val="14"/>
              </w:rPr>
              <w:t>63 527,52</w:t>
            </w:r>
          </w:p>
        </w:tc>
        <w:tc>
          <w:tcPr>
            <w:tcW w:w="1100" w:type="dxa"/>
            <w:noWrap/>
          </w:tcPr>
          <w:p w14:paraId="49D42F9B" w14:textId="77777777" w:rsidR="001915F8" w:rsidRPr="001915F8" w:rsidRDefault="001915F8">
            <w:pPr>
              <w:pStyle w:val="Tabele"/>
              <w:jc w:val="right"/>
              <w:rPr>
                <w:color w:val="auto"/>
                <w:sz w:val="14"/>
                <w:szCs w:val="14"/>
                <w:highlight w:val="yellow"/>
                <w:lang w:eastAsia="pl-PL"/>
              </w:rPr>
            </w:pPr>
            <w:r w:rsidRPr="001915F8">
              <w:rPr>
                <w:color w:val="auto"/>
                <w:sz w:val="14"/>
                <w:szCs w:val="14"/>
              </w:rPr>
              <w:t>37 043,24</w:t>
            </w:r>
          </w:p>
        </w:tc>
      </w:tr>
      <w:tr w:rsidR="001915F8" w:rsidRPr="0048392A" w14:paraId="631B6ED8" w14:textId="77777777" w:rsidTr="00851534">
        <w:trPr>
          <w:trHeight w:val="209"/>
        </w:trPr>
        <w:tc>
          <w:tcPr>
            <w:tcW w:w="1420" w:type="dxa"/>
            <w:tcBorders>
              <w:bottom w:val="single" w:sz="4" w:space="0" w:color="808080"/>
            </w:tcBorders>
            <w:noWrap/>
            <w:hideMark/>
          </w:tcPr>
          <w:p w14:paraId="3B5A2379" w14:textId="77777777" w:rsidR="001915F8" w:rsidRPr="001915F8" w:rsidRDefault="001915F8">
            <w:pPr>
              <w:pStyle w:val="Tabele"/>
              <w:rPr>
                <w:color w:val="auto"/>
                <w:sz w:val="14"/>
                <w:szCs w:val="14"/>
                <w:lang w:eastAsia="pl-PL"/>
              </w:rPr>
            </w:pPr>
            <w:r w:rsidRPr="001915F8">
              <w:rPr>
                <w:color w:val="auto"/>
                <w:sz w:val="14"/>
                <w:szCs w:val="14"/>
                <w:lang w:eastAsia="pl-PL"/>
              </w:rPr>
              <w:t>Emisja w ESR [kt CO</w:t>
            </w:r>
            <w:r w:rsidRPr="001915F8">
              <w:rPr>
                <w:color w:val="auto"/>
                <w:sz w:val="14"/>
                <w:szCs w:val="14"/>
                <w:vertAlign w:val="subscript"/>
                <w:lang w:eastAsia="pl-PL"/>
              </w:rPr>
              <w:t>2</w:t>
            </w:r>
            <w:r w:rsidRPr="001915F8">
              <w:rPr>
                <w:color w:val="auto"/>
                <w:sz w:val="14"/>
                <w:szCs w:val="14"/>
                <w:lang w:eastAsia="pl-PL"/>
              </w:rPr>
              <w:t>eq]</w:t>
            </w:r>
          </w:p>
        </w:tc>
        <w:tc>
          <w:tcPr>
            <w:tcW w:w="1099" w:type="dxa"/>
            <w:tcBorders>
              <w:bottom w:val="single" w:sz="4" w:space="0" w:color="808080"/>
            </w:tcBorders>
            <w:shd w:val="clear" w:color="auto" w:fill="C5E0B3" w:themeFill="accent6" w:themeFillTint="66"/>
            <w:noWrap/>
            <w:hideMark/>
          </w:tcPr>
          <w:p w14:paraId="0C0FBA5C" w14:textId="77777777" w:rsidR="001915F8" w:rsidRPr="001915F8" w:rsidRDefault="001915F8">
            <w:pPr>
              <w:pStyle w:val="Tabele"/>
              <w:jc w:val="right"/>
              <w:rPr>
                <w:color w:val="auto"/>
                <w:sz w:val="14"/>
                <w:szCs w:val="14"/>
                <w:lang w:eastAsia="pl-PL"/>
              </w:rPr>
            </w:pPr>
            <w:r w:rsidRPr="001915F8">
              <w:rPr>
                <w:color w:val="auto"/>
                <w:sz w:val="14"/>
                <w:szCs w:val="14"/>
              </w:rPr>
              <w:t>192 472,25</w:t>
            </w:r>
          </w:p>
        </w:tc>
        <w:tc>
          <w:tcPr>
            <w:tcW w:w="1099" w:type="dxa"/>
            <w:tcBorders>
              <w:bottom w:val="single" w:sz="4" w:space="0" w:color="808080"/>
            </w:tcBorders>
            <w:shd w:val="clear" w:color="auto" w:fill="C5E0B3" w:themeFill="accent6" w:themeFillTint="66"/>
            <w:noWrap/>
            <w:hideMark/>
          </w:tcPr>
          <w:p w14:paraId="526D04B5" w14:textId="77777777" w:rsidR="001915F8" w:rsidRPr="001915F8" w:rsidRDefault="001915F8">
            <w:pPr>
              <w:pStyle w:val="Tabele"/>
              <w:jc w:val="right"/>
              <w:rPr>
                <w:color w:val="auto"/>
                <w:sz w:val="14"/>
                <w:szCs w:val="14"/>
                <w:lang w:eastAsia="pl-PL"/>
              </w:rPr>
            </w:pPr>
            <w:r w:rsidRPr="001915F8">
              <w:rPr>
                <w:color w:val="auto"/>
                <w:sz w:val="14"/>
                <w:szCs w:val="14"/>
              </w:rPr>
              <w:t>207 282,99</w:t>
            </w:r>
          </w:p>
        </w:tc>
        <w:tc>
          <w:tcPr>
            <w:tcW w:w="1100" w:type="dxa"/>
            <w:shd w:val="clear" w:color="auto" w:fill="C5E0B3" w:themeFill="accent6" w:themeFillTint="66"/>
          </w:tcPr>
          <w:p w14:paraId="3B5A70D1" w14:textId="77777777" w:rsidR="001915F8" w:rsidRPr="001915F8" w:rsidRDefault="001915F8">
            <w:pPr>
              <w:pStyle w:val="Tabele"/>
              <w:jc w:val="right"/>
              <w:rPr>
                <w:rFonts w:cs="Calibri"/>
                <w:color w:val="auto"/>
                <w:sz w:val="14"/>
                <w:szCs w:val="14"/>
              </w:rPr>
            </w:pPr>
            <w:r w:rsidRPr="001915F8">
              <w:rPr>
                <w:color w:val="auto"/>
                <w:sz w:val="14"/>
                <w:szCs w:val="14"/>
              </w:rPr>
              <w:t>196 234,87</w:t>
            </w:r>
          </w:p>
        </w:tc>
        <w:tc>
          <w:tcPr>
            <w:tcW w:w="1099" w:type="dxa"/>
            <w:noWrap/>
            <w:hideMark/>
          </w:tcPr>
          <w:p w14:paraId="17A6CC55" w14:textId="77777777" w:rsidR="001915F8" w:rsidRPr="001915F8" w:rsidRDefault="001915F8">
            <w:pPr>
              <w:pStyle w:val="Tabele"/>
              <w:jc w:val="right"/>
              <w:rPr>
                <w:color w:val="auto"/>
                <w:sz w:val="14"/>
                <w:szCs w:val="14"/>
                <w:highlight w:val="yellow"/>
                <w:lang w:eastAsia="pl-PL"/>
              </w:rPr>
            </w:pPr>
            <w:r w:rsidRPr="001915F8">
              <w:rPr>
                <w:color w:val="auto"/>
                <w:sz w:val="14"/>
                <w:szCs w:val="14"/>
              </w:rPr>
              <w:t>180 446,53</w:t>
            </w:r>
          </w:p>
        </w:tc>
        <w:tc>
          <w:tcPr>
            <w:tcW w:w="1100" w:type="dxa"/>
            <w:noWrap/>
            <w:hideMark/>
          </w:tcPr>
          <w:p w14:paraId="74F99A83" w14:textId="77777777" w:rsidR="001915F8" w:rsidRPr="001915F8" w:rsidRDefault="001915F8">
            <w:pPr>
              <w:pStyle w:val="Tabele"/>
              <w:jc w:val="right"/>
              <w:rPr>
                <w:color w:val="auto"/>
                <w:sz w:val="14"/>
                <w:szCs w:val="14"/>
                <w:highlight w:val="yellow"/>
                <w:lang w:eastAsia="pl-PL"/>
              </w:rPr>
            </w:pPr>
            <w:r w:rsidRPr="001915F8">
              <w:rPr>
                <w:color w:val="auto"/>
                <w:sz w:val="14"/>
                <w:szCs w:val="14"/>
              </w:rPr>
              <w:t>150 186,29</w:t>
            </w:r>
          </w:p>
        </w:tc>
        <w:tc>
          <w:tcPr>
            <w:tcW w:w="1099" w:type="dxa"/>
            <w:noWrap/>
            <w:hideMark/>
          </w:tcPr>
          <w:p w14:paraId="26A9984A" w14:textId="77777777" w:rsidR="001915F8" w:rsidRPr="001915F8" w:rsidRDefault="001915F8">
            <w:pPr>
              <w:pStyle w:val="Tabele"/>
              <w:jc w:val="right"/>
              <w:rPr>
                <w:color w:val="auto"/>
                <w:sz w:val="14"/>
                <w:szCs w:val="14"/>
                <w:highlight w:val="yellow"/>
                <w:lang w:eastAsia="pl-PL"/>
              </w:rPr>
            </w:pPr>
            <w:r w:rsidRPr="001915F8">
              <w:rPr>
                <w:color w:val="auto"/>
                <w:sz w:val="14"/>
                <w:szCs w:val="14"/>
              </w:rPr>
              <w:t>124 971,12</w:t>
            </w:r>
          </w:p>
        </w:tc>
        <w:tc>
          <w:tcPr>
            <w:tcW w:w="1100" w:type="dxa"/>
            <w:noWrap/>
            <w:hideMark/>
          </w:tcPr>
          <w:p w14:paraId="53441CBC" w14:textId="77777777" w:rsidR="001915F8" w:rsidRPr="001915F8" w:rsidRDefault="001915F8">
            <w:pPr>
              <w:pStyle w:val="Tabele"/>
              <w:jc w:val="right"/>
              <w:rPr>
                <w:color w:val="auto"/>
                <w:sz w:val="14"/>
                <w:szCs w:val="14"/>
                <w:highlight w:val="yellow"/>
                <w:lang w:eastAsia="pl-PL"/>
              </w:rPr>
            </w:pPr>
            <w:r w:rsidRPr="001915F8">
              <w:rPr>
                <w:color w:val="auto"/>
                <w:sz w:val="14"/>
                <w:szCs w:val="14"/>
              </w:rPr>
              <w:t>105 976,78</w:t>
            </w:r>
          </w:p>
        </w:tc>
      </w:tr>
      <w:tr w:rsidR="001915F8" w:rsidRPr="0048392A" w14:paraId="35854BF8" w14:textId="77777777">
        <w:trPr>
          <w:trHeight w:val="209"/>
        </w:trPr>
        <w:tc>
          <w:tcPr>
            <w:tcW w:w="2519" w:type="dxa"/>
            <w:gridSpan w:val="2"/>
            <w:tcBorders>
              <w:left w:val="single" w:sz="4" w:space="0" w:color="FFFFFF"/>
              <w:bottom w:val="single" w:sz="4" w:space="0" w:color="FFFFFF"/>
              <w:right w:val="single" w:sz="4" w:space="0" w:color="FFFFFF"/>
            </w:tcBorders>
            <w:noWrap/>
            <w:hideMark/>
          </w:tcPr>
          <w:p w14:paraId="2247F9F6" w14:textId="77777777" w:rsidR="00851534" w:rsidRDefault="00851534" w:rsidP="00851534">
            <w:pPr>
              <w:pStyle w:val="ardo"/>
            </w:pPr>
            <w:r>
              <w:t>* rok bazowy tylko dla ESR</w:t>
            </w:r>
          </w:p>
          <w:p w14:paraId="56781D22" w14:textId="77777777" w:rsidR="001915F8" w:rsidRPr="001915F8" w:rsidRDefault="001915F8">
            <w:pPr>
              <w:pStyle w:val="Tabele"/>
              <w:jc w:val="right"/>
              <w:rPr>
                <w:color w:val="auto"/>
                <w:sz w:val="14"/>
                <w:szCs w:val="14"/>
                <w:lang w:eastAsia="pl-PL"/>
              </w:rPr>
            </w:pPr>
          </w:p>
        </w:tc>
        <w:tc>
          <w:tcPr>
            <w:tcW w:w="1099" w:type="dxa"/>
            <w:tcBorders>
              <w:left w:val="single" w:sz="4" w:space="0" w:color="FFFFFF"/>
              <w:bottom w:val="single" w:sz="4" w:space="0" w:color="FFFFFF"/>
            </w:tcBorders>
            <w:noWrap/>
          </w:tcPr>
          <w:p w14:paraId="590289CD" w14:textId="77777777" w:rsidR="001915F8" w:rsidRPr="001915F8" w:rsidRDefault="001915F8">
            <w:pPr>
              <w:pStyle w:val="Tabele"/>
              <w:jc w:val="right"/>
              <w:rPr>
                <w:color w:val="auto"/>
                <w:sz w:val="14"/>
                <w:szCs w:val="14"/>
                <w:lang w:eastAsia="pl-PL"/>
              </w:rPr>
            </w:pPr>
          </w:p>
        </w:tc>
        <w:tc>
          <w:tcPr>
            <w:tcW w:w="2199" w:type="dxa"/>
            <w:gridSpan w:val="2"/>
          </w:tcPr>
          <w:p w14:paraId="6BEC1C06" w14:textId="53E8D06C" w:rsidR="001915F8" w:rsidRPr="001915F8" w:rsidRDefault="00851534">
            <w:pPr>
              <w:pStyle w:val="Tabele"/>
              <w:jc w:val="right"/>
              <w:rPr>
                <w:color w:val="auto"/>
                <w:sz w:val="14"/>
                <w:szCs w:val="14"/>
                <w:highlight w:val="yellow"/>
                <w:lang w:eastAsia="pl-PL"/>
              </w:rPr>
            </w:pPr>
            <w:r w:rsidRPr="001915F8">
              <w:rPr>
                <w:color w:val="auto"/>
                <w:sz w:val="14"/>
                <w:szCs w:val="14"/>
                <w:lang w:eastAsia="pl-PL"/>
              </w:rPr>
              <w:t>Zmiana emisji w ESR w stos. do 2005 r.</w:t>
            </w:r>
          </w:p>
        </w:tc>
        <w:tc>
          <w:tcPr>
            <w:tcW w:w="1100" w:type="dxa"/>
            <w:noWrap/>
            <w:hideMark/>
          </w:tcPr>
          <w:p w14:paraId="5BFC0318" w14:textId="77777777" w:rsidR="001915F8" w:rsidRPr="001915F8" w:rsidRDefault="001915F8">
            <w:pPr>
              <w:pStyle w:val="Tabele"/>
              <w:jc w:val="right"/>
              <w:rPr>
                <w:color w:val="auto"/>
                <w:sz w:val="14"/>
                <w:szCs w:val="14"/>
                <w:highlight w:val="yellow"/>
                <w:lang w:eastAsia="pl-PL"/>
              </w:rPr>
            </w:pPr>
            <w:r w:rsidRPr="001915F8">
              <w:rPr>
                <w:color w:val="auto"/>
                <w:sz w:val="14"/>
                <w:szCs w:val="14"/>
              </w:rPr>
              <w:t>-22,0%</w:t>
            </w:r>
          </w:p>
        </w:tc>
        <w:tc>
          <w:tcPr>
            <w:tcW w:w="1099" w:type="dxa"/>
            <w:noWrap/>
            <w:hideMark/>
          </w:tcPr>
          <w:p w14:paraId="6E0FA5BA" w14:textId="77777777" w:rsidR="001915F8" w:rsidRPr="001915F8" w:rsidRDefault="001915F8">
            <w:pPr>
              <w:pStyle w:val="Tabele"/>
              <w:jc w:val="right"/>
              <w:rPr>
                <w:color w:val="auto"/>
                <w:sz w:val="14"/>
                <w:szCs w:val="14"/>
                <w:highlight w:val="yellow"/>
                <w:lang w:eastAsia="pl-PL"/>
              </w:rPr>
            </w:pPr>
            <w:r w:rsidRPr="001915F8">
              <w:rPr>
                <w:color w:val="auto"/>
                <w:sz w:val="14"/>
                <w:szCs w:val="14"/>
              </w:rPr>
              <w:t>-35,1%</w:t>
            </w:r>
          </w:p>
        </w:tc>
        <w:tc>
          <w:tcPr>
            <w:tcW w:w="1100" w:type="dxa"/>
            <w:noWrap/>
            <w:hideMark/>
          </w:tcPr>
          <w:p w14:paraId="6955D3FE" w14:textId="77777777" w:rsidR="001915F8" w:rsidRPr="001915F8" w:rsidRDefault="001915F8">
            <w:pPr>
              <w:pStyle w:val="Tabele"/>
              <w:jc w:val="right"/>
              <w:rPr>
                <w:color w:val="auto"/>
                <w:sz w:val="14"/>
                <w:szCs w:val="14"/>
                <w:highlight w:val="yellow"/>
                <w:lang w:eastAsia="pl-PL"/>
              </w:rPr>
            </w:pPr>
            <w:r w:rsidRPr="001915F8">
              <w:rPr>
                <w:color w:val="auto"/>
                <w:sz w:val="14"/>
                <w:szCs w:val="14"/>
              </w:rPr>
              <w:t>-44,9%</w:t>
            </w:r>
          </w:p>
        </w:tc>
      </w:tr>
    </w:tbl>
    <w:p w14:paraId="5902085D" w14:textId="77777777" w:rsidR="005C4144" w:rsidRPr="00C668DA" w:rsidRDefault="005C4144" w:rsidP="00851534">
      <w:pPr>
        <w:pStyle w:val="Legenda"/>
      </w:pPr>
      <w:r w:rsidRPr="00BB1158">
        <w:t>Źródło: Opracowanie własne KOBIZE, IOŚ-PIB</w:t>
      </w:r>
    </w:p>
    <w:p w14:paraId="05BE8368" w14:textId="60C548A4" w:rsidR="00A00844" w:rsidRPr="004D39F4" w:rsidRDefault="00A00844" w:rsidP="00851534">
      <w:pPr>
        <w:jc w:val="left"/>
      </w:pPr>
      <w:r w:rsidRPr="004D39F4">
        <w:t>Prognozowany spadek emisji GHG raportowanych przez instalacje objęte systemem EU ETS w 2030 r. w stosunku do 2021 r. w scenariuszu WAM wyn</w:t>
      </w:r>
      <w:r>
        <w:t>iesie</w:t>
      </w:r>
      <w:r w:rsidRPr="004D39F4">
        <w:t xml:space="preserve"> 47% (w scen. WEM 41%), zaś </w:t>
      </w:r>
      <w:r w:rsidRPr="000818DA">
        <w:t xml:space="preserve">dla </w:t>
      </w:r>
      <w:r w:rsidR="00F128CB">
        <w:t>2040 r.</w:t>
      </w:r>
      <w:r w:rsidRPr="000818DA">
        <w:t xml:space="preserve"> </w:t>
      </w:r>
      <w:r w:rsidR="00C726C7" w:rsidRPr="000818DA">
        <w:t>81</w:t>
      </w:r>
      <w:r w:rsidRPr="000818DA">
        <w:t xml:space="preserve"> %</w:t>
      </w:r>
      <w:r w:rsidRPr="004D39F4">
        <w:t xml:space="preserve"> (</w:t>
      </w:r>
      <w:r w:rsidRPr="000818DA">
        <w:t xml:space="preserve">w scen. WEM </w:t>
      </w:r>
      <w:r w:rsidR="00C726C7" w:rsidRPr="000818DA">
        <w:t>70</w:t>
      </w:r>
      <w:r w:rsidRPr="000818DA">
        <w:t>%).</w:t>
      </w:r>
      <w:r>
        <w:t xml:space="preserve"> </w:t>
      </w:r>
      <w:r w:rsidRPr="000818DA">
        <w:t>Emisja GHG z sektorów nieobjętych EU ETS (ESR) również będzie niższa w scenariuszu WAM aniżeli w scenariuszu WEM, aczkolwiek różnica ta będzie mniejsza niż w EU ETS, natomiast tylko w scenariuszu WAM zostanie osiągnięty cel wyznaczony dla Polski w wielko</w:t>
      </w:r>
      <w:r w:rsidRPr="000818DA">
        <w:rPr>
          <w:rFonts w:cs="Lato"/>
        </w:rPr>
        <w:t>ś</w:t>
      </w:r>
      <w:r w:rsidRPr="000818DA">
        <w:t xml:space="preserve">ci </w:t>
      </w:r>
      <w:r w:rsidR="001A4572">
        <w:t xml:space="preserve">redukcji emisji o </w:t>
      </w:r>
      <w:r w:rsidRPr="000818DA">
        <w:t>17,7%.</w:t>
      </w:r>
    </w:p>
    <w:p w14:paraId="588E5A33" w14:textId="734A1385" w:rsidR="005C4144" w:rsidRPr="00396AB6" w:rsidRDefault="005C4144" w:rsidP="003A39F1">
      <w:pPr>
        <w:pStyle w:val="Nagwek3"/>
      </w:pPr>
      <w:bookmarkStart w:id="135" w:name="_Toc202966879"/>
      <w:r w:rsidRPr="00396AB6">
        <w:t>Porównanie prognoz emisji substancji zanieczyszczających powietrze</w:t>
      </w:r>
      <w:r w:rsidR="003A39F1">
        <w:t xml:space="preserve"> – scenariusz WAM vs. scenariusz WEM</w:t>
      </w:r>
      <w:bookmarkEnd w:id="135"/>
    </w:p>
    <w:p w14:paraId="68273B01" w14:textId="2030E252" w:rsidR="005C4144" w:rsidRDefault="005C4144" w:rsidP="00542FD7">
      <w:pPr>
        <w:jc w:val="left"/>
      </w:pPr>
      <w:r>
        <w:t>Poniżej (</w:t>
      </w:r>
      <w:r w:rsidR="00E208C2">
        <w:fldChar w:fldCharType="begin"/>
      </w:r>
      <w:r w:rsidR="00E208C2">
        <w:instrText xml:space="preserve"> REF _Ref195870552 \h </w:instrText>
      </w:r>
      <w:r w:rsidR="00E208C2">
        <w:fldChar w:fldCharType="separate"/>
      </w:r>
      <w:r w:rsidR="00F27D6F">
        <w:t xml:space="preserve">Tabela </w:t>
      </w:r>
      <w:r w:rsidR="00F27D6F">
        <w:rPr>
          <w:noProof/>
        </w:rPr>
        <w:t>1</w:t>
      </w:r>
      <w:r w:rsidR="00F27D6F">
        <w:t>.</w:t>
      </w:r>
      <w:r w:rsidR="00F27D6F">
        <w:rPr>
          <w:noProof/>
        </w:rPr>
        <w:t>17</w:t>
      </w:r>
      <w:r w:rsidR="00E208C2">
        <w:fldChar w:fldCharType="end"/>
      </w:r>
      <w:r>
        <w:t xml:space="preserve">; </w:t>
      </w:r>
      <w:r w:rsidR="00E208C2">
        <w:fldChar w:fldCharType="begin"/>
      </w:r>
      <w:r w:rsidR="00E208C2">
        <w:instrText xml:space="preserve"> REF _Ref195870563 \h </w:instrText>
      </w:r>
      <w:r w:rsidR="00E208C2">
        <w:fldChar w:fldCharType="separate"/>
      </w:r>
      <w:r w:rsidR="00F27D6F">
        <w:t xml:space="preserve">Tabela </w:t>
      </w:r>
      <w:r w:rsidR="00F27D6F">
        <w:rPr>
          <w:noProof/>
        </w:rPr>
        <w:t>1</w:t>
      </w:r>
      <w:r w:rsidR="00F27D6F">
        <w:t>.</w:t>
      </w:r>
      <w:r w:rsidR="00F27D6F">
        <w:rPr>
          <w:noProof/>
        </w:rPr>
        <w:t>18</w:t>
      </w:r>
      <w:r w:rsidR="00E208C2">
        <w:fldChar w:fldCharType="end"/>
      </w:r>
      <w:r>
        <w:t xml:space="preserve">; </w:t>
      </w:r>
      <w:r w:rsidR="00E208C2">
        <w:fldChar w:fldCharType="begin"/>
      </w:r>
      <w:r w:rsidR="00E208C2">
        <w:instrText xml:space="preserve"> REF _Ref195793631 \h </w:instrText>
      </w:r>
      <w:r w:rsidR="00E208C2">
        <w:fldChar w:fldCharType="separate"/>
      </w:r>
      <w:r w:rsidR="00F27D6F">
        <w:t xml:space="preserve">Tabela </w:t>
      </w:r>
      <w:r w:rsidR="00F27D6F">
        <w:rPr>
          <w:noProof/>
        </w:rPr>
        <w:t>1</w:t>
      </w:r>
      <w:r w:rsidR="00F27D6F">
        <w:t>.</w:t>
      </w:r>
      <w:r w:rsidR="00F27D6F">
        <w:rPr>
          <w:noProof/>
        </w:rPr>
        <w:t>19</w:t>
      </w:r>
      <w:r w:rsidR="00E208C2">
        <w:fldChar w:fldCharType="end"/>
      </w:r>
      <w:r>
        <w:t xml:space="preserve">; </w:t>
      </w:r>
      <w:r w:rsidR="00E208C2">
        <w:fldChar w:fldCharType="begin"/>
      </w:r>
      <w:r w:rsidR="00E208C2">
        <w:instrText xml:space="preserve"> REF _Ref195870591 \h </w:instrText>
      </w:r>
      <w:r w:rsidR="00E208C2">
        <w:fldChar w:fldCharType="separate"/>
      </w:r>
      <w:r w:rsidR="00F27D6F">
        <w:t xml:space="preserve">Tabela </w:t>
      </w:r>
      <w:r w:rsidR="00F27D6F">
        <w:rPr>
          <w:noProof/>
        </w:rPr>
        <w:t>1</w:t>
      </w:r>
      <w:r w:rsidR="00F27D6F">
        <w:t>.</w:t>
      </w:r>
      <w:r w:rsidR="00F27D6F">
        <w:rPr>
          <w:noProof/>
        </w:rPr>
        <w:t>20</w:t>
      </w:r>
      <w:r w:rsidR="00E208C2">
        <w:fldChar w:fldCharType="end"/>
      </w:r>
      <w:r>
        <w:t xml:space="preserve">; </w:t>
      </w:r>
      <w:r w:rsidR="00010427">
        <w:fldChar w:fldCharType="begin"/>
      </w:r>
      <w:r w:rsidR="00010427">
        <w:instrText xml:space="preserve"> REF _Ref195870599 \h </w:instrText>
      </w:r>
      <w:r w:rsidR="00010427">
        <w:fldChar w:fldCharType="separate"/>
      </w:r>
      <w:r w:rsidR="00F27D6F">
        <w:t xml:space="preserve">Tabela </w:t>
      </w:r>
      <w:r w:rsidR="00F27D6F">
        <w:rPr>
          <w:noProof/>
        </w:rPr>
        <w:t>1</w:t>
      </w:r>
      <w:r w:rsidR="00F27D6F">
        <w:t>.</w:t>
      </w:r>
      <w:r w:rsidR="00F27D6F">
        <w:rPr>
          <w:noProof/>
        </w:rPr>
        <w:t>21</w:t>
      </w:r>
      <w:r w:rsidR="00010427">
        <w:fldChar w:fldCharType="end"/>
      </w:r>
      <w:r w:rsidR="00010427">
        <w:t>)</w:t>
      </w:r>
      <w:r w:rsidR="002A532C">
        <w:t xml:space="preserve"> </w:t>
      </w:r>
      <w:r>
        <w:t xml:space="preserve">przedstawiono </w:t>
      </w:r>
      <w:r w:rsidR="00DC077F">
        <w:t>wyniki prognozowanych redukcji emisji substancji zanieczyszczających powietrze, określonych w dyrektywie NEC (S</w:t>
      </w:r>
      <w:r w:rsidR="00DC077F" w:rsidRPr="00940113">
        <w:t>O</w:t>
      </w:r>
      <w:r w:rsidR="00DC077F" w:rsidRPr="00940113">
        <w:rPr>
          <w:vertAlign w:val="subscript"/>
        </w:rPr>
        <w:t>2</w:t>
      </w:r>
      <w:r w:rsidR="00DC077F" w:rsidRPr="00940113">
        <w:t>, NO</w:t>
      </w:r>
      <w:r w:rsidR="00DC077F" w:rsidRPr="005C7B82">
        <w:rPr>
          <w:vertAlign w:val="subscript"/>
        </w:rPr>
        <w:t>x</w:t>
      </w:r>
      <w:r w:rsidR="00DC077F" w:rsidRPr="00940113">
        <w:t>, NMLZO, NH</w:t>
      </w:r>
      <w:r w:rsidR="00DC077F" w:rsidRPr="00940113">
        <w:rPr>
          <w:vertAlign w:val="subscript"/>
        </w:rPr>
        <w:t>3</w:t>
      </w:r>
      <w:r w:rsidR="00DC077F">
        <w:t xml:space="preserve"> i </w:t>
      </w:r>
      <w:r w:rsidR="00DC077F" w:rsidRPr="00940113">
        <w:t>PM2</w:t>
      </w:r>
      <w:r w:rsidR="00DC077F">
        <w:t>,</w:t>
      </w:r>
      <w:r w:rsidR="00DC077F" w:rsidRPr="00940113">
        <w:t>5</w:t>
      </w:r>
      <w:r w:rsidR="00DC077F">
        <w:t xml:space="preserve">), w wyniku przyjęcia scenariusza WAM w stosunku do emisji obliczonych dla scenariusza WEM. </w:t>
      </w:r>
    </w:p>
    <w:p w14:paraId="440F8575" w14:textId="1CEBFEDD" w:rsidR="005C4144" w:rsidRDefault="005C4144" w:rsidP="005C4144">
      <w:pPr>
        <w:pStyle w:val="Legenda"/>
        <w:keepNext/>
      </w:pPr>
      <w:bookmarkStart w:id="136" w:name="_Ref161305989"/>
      <w:bookmarkStart w:id="137" w:name="_Ref195870552"/>
      <w:bookmarkStart w:id="138" w:name="_Toc167442095"/>
      <w:bookmarkStart w:id="139" w:name="_Toc171587176"/>
      <w:bookmarkStart w:id="140" w:name="_Toc174710960"/>
      <w:bookmarkStart w:id="141" w:name="_Toc202966962"/>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17</w:t>
      </w:r>
      <w:r w:rsidR="00653D9A">
        <w:rPr>
          <w:noProof/>
        </w:rPr>
        <w:fldChar w:fldCharType="end"/>
      </w:r>
      <w:bookmarkEnd w:id="136"/>
      <w:bookmarkEnd w:id="137"/>
      <w:r>
        <w:t>.</w:t>
      </w:r>
      <w:r w:rsidRPr="00121959">
        <w:t xml:space="preserve"> </w:t>
      </w:r>
      <w:r>
        <w:t xml:space="preserve">Prognozy zmiany </w:t>
      </w:r>
      <w:r w:rsidRPr="00524DBC">
        <w:t>emisji dwutlenku siarki, według sektorów (kategorii NFR)</w:t>
      </w:r>
      <w:r>
        <w:t>, scenariusz WAM vs. WEM</w:t>
      </w:r>
      <w:bookmarkEnd w:id="138"/>
      <w:bookmarkEnd w:id="139"/>
      <w:bookmarkEnd w:id="140"/>
      <w:bookmarkEnd w:id="141"/>
    </w:p>
    <w:tbl>
      <w:tblPr>
        <w:tblStyle w:val="KPEiK"/>
        <w:tblW w:w="4971" w:type="pct"/>
        <w:tblLook w:val="04A0" w:firstRow="1" w:lastRow="0" w:firstColumn="1" w:lastColumn="0" w:noHBand="0" w:noVBand="1"/>
      </w:tblPr>
      <w:tblGrid>
        <w:gridCol w:w="2311"/>
        <w:gridCol w:w="1673"/>
        <w:gridCol w:w="1674"/>
        <w:gridCol w:w="1674"/>
        <w:gridCol w:w="1677"/>
      </w:tblGrid>
      <w:tr w:rsidR="00543103" w:rsidRPr="00DE4FED" w14:paraId="48B2E49B" w14:textId="77777777" w:rsidTr="00543103">
        <w:trPr>
          <w:cnfStyle w:val="100000000000" w:firstRow="1" w:lastRow="0" w:firstColumn="0" w:lastColumn="0" w:oddVBand="0" w:evenVBand="0" w:oddHBand="0" w:evenHBand="0" w:firstRowFirstColumn="0" w:firstRowLastColumn="0" w:lastRowFirstColumn="0" w:lastRowLastColumn="0"/>
          <w:trHeight w:val="229"/>
          <w:tblHeader/>
        </w:trPr>
        <w:tc>
          <w:tcPr>
            <w:tcW w:w="2311" w:type="dxa"/>
            <w:vMerge w:val="restart"/>
          </w:tcPr>
          <w:p w14:paraId="49B639F7" w14:textId="77777777" w:rsidR="00543103" w:rsidRDefault="00543103">
            <w:pPr>
              <w:pStyle w:val="Tabele"/>
              <w:jc w:val="center"/>
              <w:rPr>
                <w:b w:val="0"/>
              </w:rPr>
            </w:pPr>
            <w:r w:rsidRPr="00DE4FED">
              <w:t>Sektor</w:t>
            </w:r>
          </w:p>
          <w:p w14:paraId="6EDAA7D9" w14:textId="77777777" w:rsidR="00543103" w:rsidRPr="00DE4FED" w:rsidRDefault="00543103">
            <w:pPr>
              <w:pStyle w:val="Tabele"/>
              <w:jc w:val="center"/>
            </w:pPr>
            <w:r>
              <w:t>(kategoria NFR)</w:t>
            </w:r>
          </w:p>
        </w:tc>
        <w:tc>
          <w:tcPr>
            <w:tcW w:w="6698" w:type="dxa"/>
            <w:gridSpan w:val="4"/>
          </w:tcPr>
          <w:p w14:paraId="4A9D6CCF" w14:textId="4472AFE7" w:rsidR="00543103" w:rsidRPr="0095716F" w:rsidRDefault="00543103">
            <w:pPr>
              <w:pStyle w:val="Tabele"/>
              <w:jc w:val="center"/>
              <w:rPr>
                <w:vertAlign w:val="subscript"/>
              </w:rPr>
            </w:pPr>
            <w:r w:rsidRPr="0095716F">
              <w:t>Zmiana emisji SO</w:t>
            </w:r>
            <w:r w:rsidRPr="0095716F">
              <w:rPr>
                <w:vertAlign w:val="subscript"/>
              </w:rPr>
              <w:t>2</w:t>
            </w:r>
            <w:r w:rsidRPr="0095716F">
              <w:t xml:space="preserve"> WAM vs. WEM [%]</w:t>
            </w:r>
          </w:p>
        </w:tc>
      </w:tr>
      <w:tr w:rsidR="00543103" w:rsidRPr="00DE4FED" w14:paraId="5FCA880F" w14:textId="77777777" w:rsidTr="00543103">
        <w:trPr>
          <w:cnfStyle w:val="100000000000" w:firstRow="1" w:lastRow="0" w:firstColumn="0" w:lastColumn="0" w:oddVBand="0" w:evenVBand="0" w:oddHBand="0" w:evenHBand="0" w:firstRowFirstColumn="0" w:firstRowLastColumn="0" w:lastRowFirstColumn="0" w:lastRowLastColumn="0"/>
          <w:trHeight w:val="229"/>
          <w:tblHeader/>
        </w:trPr>
        <w:tc>
          <w:tcPr>
            <w:tcW w:w="2311" w:type="dxa"/>
            <w:vMerge/>
          </w:tcPr>
          <w:p w14:paraId="11F8E1C8" w14:textId="77777777" w:rsidR="00543103" w:rsidRPr="00DE4FED" w:rsidRDefault="00543103">
            <w:pPr>
              <w:pStyle w:val="Tabele"/>
              <w:jc w:val="center"/>
            </w:pPr>
          </w:p>
        </w:tc>
        <w:tc>
          <w:tcPr>
            <w:tcW w:w="1673" w:type="dxa"/>
            <w:tcBorders>
              <w:bottom w:val="single" w:sz="4" w:space="0" w:color="AEAAAA" w:themeColor="background2" w:themeShade="BF"/>
            </w:tcBorders>
          </w:tcPr>
          <w:p w14:paraId="13FA7679" w14:textId="77777777" w:rsidR="00543103" w:rsidRPr="00DE4FED" w:rsidRDefault="00543103">
            <w:pPr>
              <w:pStyle w:val="Tabele"/>
              <w:jc w:val="center"/>
            </w:pPr>
            <w:r w:rsidRPr="00DE4FED">
              <w:t>2025</w:t>
            </w:r>
          </w:p>
        </w:tc>
        <w:tc>
          <w:tcPr>
            <w:tcW w:w="1674" w:type="dxa"/>
            <w:tcBorders>
              <w:bottom w:val="single" w:sz="4" w:space="0" w:color="AEAAAA" w:themeColor="background2" w:themeShade="BF"/>
            </w:tcBorders>
          </w:tcPr>
          <w:p w14:paraId="0A9FB802" w14:textId="77777777" w:rsidR="00543103" w:rsidRPr="00DE4FED" w:rsidRDefault="00543103">
            <w:pPr>
              <w:pStyle w:val="Tabele"/>
              <w:jc w:val="center"/>
            </w:pPr>
            <w:r w:rsidRPr="00DE4FED">
              <w:t>2030</w:t>
            </w:r>
          </w:p>
        </w:tc>
        <w:tc>
          <w:tcPr>
            <w:tcW w:w="1674" w:type="dxa"/>
            <w:tcBorders>
              <w:bottom w:val="single" w:sz="4" w:space="0" w:color="AEAAAA" w:themeColor="background2" w:themeShade="BF"/>
            </w:tcBorders>
          </w:tcPr>
          <w:p w14:paraId="2C62D31C" w14:textId="77777777" w:rsidR="00543103" w:rsidRPr="00DE4FED" w:rsidRDefault="00543103">
            <w:pPr>
              <w:pStyle w:val="Tabele"/>
              <w:jc w:val="center"/>
            </w:pPr>
            <w:r w:rsidRPr="00DE4FED">
              <w:t>2035</w:t>
            </w:r>
          </w:p>
        </w:tc>
        <w:tc>
          <w:tcPr>
            <w:tcW w:w="1674" w:type="dxa"/>
            <w:tcBorders>
              <w:bottom w:val="single" w:sz="4" w:space="0" w:color="AEAAAA" w:themeColor="background2" w:themeShade="BF"/>
            </w:tcBorders>
          </w:tcPr>
          <w:p w14:paraId="66499D5B" w14:textId="77777777" w:rsidR="00543103" w:rsidRPr="00DE4FED" w:rsidRDefault="00543103">
            <w:pPr>
              <w:pStyle w:val="Tabele"/>
              <w:jc w:val="center"/>
            </w:pPr>
            <w:r w:rsidRPr="00DE4FED">
              <w:t>2040</w:t>
            </w:r>
          </w:p>
        </w:tc>
      </w:tr>
      <w:tr w:rsidR="00543103" w:rsidRPr="004669DE" w14:paraId="419BB1BE" w14:textId="77777777" w:rsidTr="00543103">
        <w:trPr>
          <w:trHeight w:val="229"/>
        </w:trPr>
        <w:tc>
          <w:tcPr>
            <w:tcW w:w="2311" w:type="dxa"/>
            <w:tcBorders>
              <w:right w:val="single" w:sz="4" w:space="0" w:color="AEAAAA" w:themeColor="background2" w:themeShade="BF"/>
            </w:tcBorders>
          </w:tcPr>
          <w:p w14:paraId="77D28781" w14:textId="77777777" w:rsidR="00543103" w:rsidRPr="00F43A85" w:rsidRDefault="00543103">
            <w:pPr>
              <w:pStyle w:val="Tabele"/>
              <w:rPr>
                <w:b/>
                <w:bCs/>
              </w:rPr>
            </w:pPr>
            <w:r>
              <w:rPr>
                <w:rFonts w:cs="Calibri"/>
                <w:b/>
                <w:bCs/>
                <w:color w:val="000000"/>
                <w:szCs w:val="16"/>
              </w:rPr>
              <w:t xml:space="preserve">1. Energia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2A55AD2" w14:textId="77777777" w:rsidR="00543103" w:rsidRPr="006813B9" w:rsidRDefault="00543103">
            <w:pPr>
              <w:pStyle w:val="Tabele"/>
              <w:jc w:val="right"/>
              <w:rPr>
                <w:highlight w:val="yellow"/>
              </w:rPr>
            </w:pPr>
            <w:r>
              <w:rPr>
                <w:rFonts w:cs="Calibri"/>
                <w:b/>
                <w:bCs/>
                <w:color w:val="000000"/>
                <w:szCs w:val="16"/>
              </w:rPr>
              <w:t>-7,1%</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9A06F9" w14:textId="77777777" w:rsidR="00543103" w:rsidRPr="006813B9" w:rsidRDefault="00543103">
            <w:pPr>
              <w:pStyle w:val="Tabele"/>
              <w:jc w:val="right"/>
              <w:rPr>
                <w:highlight w:val="yellow"/>
              </w:rPr>
            </w:pPr>
            <w:r>
              <w:rPr>
                <w:rFonts w:cs="Calibri"/>
                <w:b/>
                <w:bCs/>
                <w:color w:val="000000"/>
                <w:szCs w:val="16"/>
              </w:rPr>
              <w:t>-22,6%</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0A72BF" w14:textId="77777777" w:rsidR="00543103" w:rsidRPr="006813B9" w:rsidRDefault="00543103">
            <w:pPr>
              <w:pStyle w:val="Tabele"/>
              <w:jc w:val="right"/>
              <w:rPr>
                <w:highlight w:val="yellow"/>
              </w:rPr>
            </w:pPr>
            <w:r>
              <w:rPr>
                <w:rFonts w:cs="Calibri"/>
                <w:b/>
                <w:bCs/>
                <w:color w:val="000000"/>
                <w:szCs w:val="16"/>
              </w:rPr>
              <w:t>-45,9%</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E0DFA0" w14:textId="77777777" w:rsidR="00543103" w:rsidRPr="006813B9" w:rsidRDefault="00543103">
            <w:pPr>
              <w:pStyle w:val="Tabele"/>
              <w:jc w:val="right"/>
              <w:rPr>
                <w:highlight w:val="yellow"/>
              </w:rPr>
            </w:pPr>
            <w:r>
              <w:rPr>
                <w:rFonts w:cs="Calibri"/>
                <w:b/>
                <w:bCs/>
                <w:color w:val="000000"/>
                <w:szCs w:val="16"/>
              </w:rPr>
              <w:t>-57,8%</w:t>
            </w:r>
          </w:p>
        </w:tc>
      </w:tr>
      <w:tr w:rsidR="00543103" w:rsidRPr="004669DE" w14:paraId="05FE487E" w14:textId="77777777" w:rsidTr="00543103">
        <w:trPr>
          <w:trHeight w:val="229"/>
        </w:trPr>
        <w:tc>
          <w:tcPr>
            <w:tcW w:w="2311" w:type="dxa"/>
            <w:tcBorders>
              <w:right w:val="single" w:sz="4" w:space="0" w:color="AEAAAA" w:themeColor="background2" w:themeShade="BF"/>
            </w:tcBorders>
          </w:tcPr>
          <w:p w14:paraId="0CFE9946" w14:textId="77777777" w:rsidR="00543103" w:rsidRPr="004669DE" w:rsidRDefault="00543103">
            <w:pPr>
              <w:pStyle w:val="Tabele"/>
              <w:rPr>
                <w:b/>
                <w:bCs/>
              </w:rPr>
            </w:pPr>
            <w:r>
              <w:rPr>
                <w:rFonts w:cs="Calibri"/>
                <w:color w:val="000000"/>
                <w:szCs w:val="16"/>
              </w:rPr>
              <w:t xml:space="preserve">A. Spalanie paliw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4ABE57" w14:textId="77777777" w:rsidR="00543103" w:rsidRPr="006813B9" w:rsidRDefault="00543103">
            <w:pPr>
              <w:pStyle w:val="Tabele"/>
              <w:jc w:val="right"/>
              <w:rPr>
                <w:highlight w:val="yellow"/>
              </w:rPr>
            </w:pPr>
            <w:r>
              <w:rPr>
                <w:rFonts w:cs="Calibri"/>
                <w:color w:val="000000"/>
                <w:szCs w:val="16"/>
              </w:rPr>
              <w:t>-7,2%</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474D404" w14:textId="77777777" w:rsidR="00543103" w:rsidRPr="006813B9" w:rsidRDefault="00543103">
            <w:pPr>
              <w:pStyle w:val="Tabele"/>
              <w:jc w:val="right"/>
              <w:rPr>
                <w:highlight w:val="yellow"/>
              </w:rPr>
            </w:pPr>
            <w:r>
              <w:rPr>
                <w:rFonts w:cs="Calibri"/>
                <w:color w:val="000000"/>
                <w:szCs w:val="16"/>
              </w:rPr>
              <w:t>-23,4%</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0F67114" w14:textId="77777777" w:rsidR="00543103" w:rsidRPr="006813B9" w:rsidRDefault="00543103">
            <w:pPr>
              <w:pStyle w:val="Tabele"/>
              <w:jc w:val="right"/>
              <w:rPr>
                <w:highlight w:val="yellow"/>
              </w:rPr>
            </w:pPr>
            <w:r>
              <w:rPr>
                <w:rFonts w:cs="Calibri"/>
                <w:color w:val="000000"/>
                <w:szCs w:val="16"/>
              </w:rPr>
              <w:t>-48,2%</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95CB4A8" w14:textId="77777777" w:rsidR="00543103" w:rsidRPr="006813B9" w:rsidRDefault="00543103">
            <w:pPr>
              <w:pStyle w:val="Tabele"/>
              <w:jc w:val="right"/>
              <w:rPr>
                <w:highlight w:val="yellow"/>
              </w:rPr>
            </w:pPr>
            <w:r>
              <w:rPr>
                <w:rFonts w:cs="Calibri"/>
                <w:color w:val="000000"/>
                <w:szCs w:val="16"/>
              </w:rPr>
              <w:t>-62,0%</w:t>
            </w:r>
          </w:p>
        </w:tc>
      </w:tr>
      <w:tr w:rsidR="00543103" w:rsidRPr="004669DE" w14:paraId="129F4ECF" w14:textId="77777777" w:rsidTr="00543103">
        <w:trPr>
          <w:trHeight w:val="229"/>
        </w:trPr>
        <w:tc>
          <w:tcPr>
            <w:tcW w:w="2311" w:type="dxa"/>
            <w:tcBorders>
              <w:right w:val="single" w:sz="4" w:space="0" w:color="AEAAAA" w:themeColor="background2" w:themeShade="BF"/>
            </w:tcBorders>
          </w:tcPr>
          <w:p w14:paraId="072FB65C" w14:textId="77777777" w:rsidR="00543103" w:rsidRPr="004669DE" w:rsidRDefault="00543103">
            <w:pPr>
              <w:pStyle w:val="Tabele"/>
              <w:rPr>
                <w:bCs/>
              </w:rPr>
            </w:pPr>
            <w:r>
              <w:rPr>
                <w:rFonts w:cs="Calibri"/>
                <w:color w:val="000000"/>
                <w:szCs w:val="16"/>
              </w:rPr>
              <w:t xml:space="preserve">1. Przemysły energetyczne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C739DD2" w14:textId="77777777" w:rsidR="00543103" w:rsidRPr="006813B9" w:rsidRDefault="00543103">
            <w:pPr>
              <w:pStyle w:val="Tabele"/>
              <w:jc w:val="right"/>
              <w:rPr>
                <w:highlight w:val="yellow"/>
              </w:rPr>
            </w:pPr>
            <w:r>
              <w:rPr>
                <w:rFonts w:cs="Calibri"/>
                <w:color w:val="000000"/>
                <w:szCs w:val="16"/>
              </w:rPr>
              <w:t>-6,9%</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A7A5630" w14:textId="77777777" w:rsidR="00543103" w:rsidRPr="006813B9" w:rsidRDefault="00543103">
            <w:pPr>
              <w:pStyle w:val="Tabele"/>
              <w:jc w:val="right"/>
              <w:rPr>
                <w:highlight w:val="yellow"/>
              </w:rPr>
            </w:pPr>
            <w:r>
              <w:rPr>
                <w:rFonts w:cs="Calibri"/>
                <w:color w:val="000000"/>
                <w:szCs w:val="16"/>
              </w:rPr>
              <w:t>-21,3%</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2491B33" w14:textId="77777777" w:rsidR="00543103" w:rsidRPr="006813B9" w:rsidRDefault="00543103">
            <w:pPr>
              <w:pStyle w:val="Tabele"/>
              <w:jc w:val="right"/>
              <w:rPr>
                <w:highlight w:val="yellow"/>
              </w:rPr>
            </w:pPr>
            <w:r>
              <w:rPr>
                <w:rFonts w:cs="Calibri"/>
                <w:color w:val="000000"/>
                <w:szCs w:val="16"/>
              </w:rPr>
              <w:t>-50,5%</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A52A01" w14:textId="77777777" w:rsidR="00543103" w:rsidRPr="006813B9" w:rsidRDefault="00543103">
            <w:pPr>
              <w:pStyle w:val="Tabele"/>
              <w:jc w:val="right"/>
              <w:rPr>
                <w:highlight w:val="yellow"/>
              </w:rPr>
            </w:pPr>
            <w:r>
              <w:rPr>
                <w:rFonts w:cs="Calibri"/>
                <w:color w:val="000000"/>
                <w:szCs w:val="16"/>
              </w:rPr>
              <w:t>-62,4%</w:t>
            </w:r>
          </w:p>
        </w:tc>
      </w:tr>
      <w:tr w:rsidR="00543103" w:rsidRPr="004669DE" w14:paraId="437C1422" w14:textId="77777777" w:rsidTr="00543103">
        <w:trPr>
          <w:trHeight w:val="229"/>
        </w:trPr>
        <w:tc>
          <w:tcPr>
            <w:tcW w:w="2311" w:type="dxa"/>
            <w:tcBorders>
              <w:right w:val="single" w:sz="4" w:space="0" w:color="AEAAAA" w:themeColor="background2" w:themeShade="BF"/>
            </w:tcBorders>
          </w:tcPr>
          <w:p w14:paraId="049F1426" w14:textId="77777777" w:rsidR="00543103" w:rsidRPr="004669DE" w:rsidRDefault="00543103">
            <w:pPr>
              <w:pStyle w:val="Tabele"/>
              <w:rPr>
                <w:bCs/>
              </w:rPr>
            </w:pPr>
            <w:r>
              <w:rPr>
                <w:rFonts w:cs="Calibri"/>
                <w:color w:val="000000"/>
                <w:szCs w:val="16"/>
              </w:rPr>
              <w:t xml:space="preserve">2. Przemysł wytwórczy i budownictwo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D4AB14" w14:textId="77777777" w:rsidR="00543103" w:rsidRPr="006813B9" w:rsidRDefault="00543103">
            <w:pPr>
              <w:pStyle w:val="Tabele"/>
              <w:jc w:val="right"/>
              <w:rPr>
                <w:highlight w:val="yellow"/>
              </w:rPr>
            </w:pPr>
            <w:r>
              <w:rPr>
                <w:rFonts w:cs="Calibri"/>
                <w:color w:val="000000"/>
                <w:szCs w:val="16"/>
              </w:rPr>
              <w:t>-20,2%</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B3FDBA" w14:textId="77777777" w:rsidR="00543103" w:rsidRPr="006813B9" w:rsidRDefault="00543103">
            <w:pPr>
              <w:pStyle w:val="Tabele"/>
              <w:jc w:val="right"/>
              <w:rPr>
                <w:highlight w:val="yellow"/>
              </w:rPr>
            </w:pPr>
            <w:r>
              <w:rPr>
                <w:rFonts w:cs="Calibri"/>
                <w:color w:val="000000"/>
                <w:szCs w:val="16"/>
              </w:rPr>
              <w:t>-42,8%</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6198BC8" w14:textId="77777777" w:rsidR="00543103" w:rsidRPr="006813B9" w:rsidRDefault="00543103">
            <w:pPr>
              <w:pStyle w:val="Tabele"/>
              <w:jc w:val="right"/>
              <w:rPr>
                <w:highlight w:val="yellow"/>
              </w:rPr>
            </w:pPr>
            <w:r>
              <w:rPr>
                <w:rFonts w:cs="Calibri"/>
                <w:color w:val="000000"/>
                <w:szCs w:val="16"/>
              </w:rPr>
              <w:t>-48,7%</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144EE0" w14:textId="77777777" w:rsidR="00543103" w:rsidRPr="006813B9" w:rsidRDefault="00543103">
            <w:pPr>
              <w:pStyle w:val="Tabele"/>
              <w:jc w:val="right"/>
              <w:rPr>
                <w:highlight w:val="yellow"/>
              </w:rPr>
            </w:pPr>
            <w:r>
              <w:rPr>
                <w:rFonts w:cs="Calibri"/>
                <w:color w:val="000000"/>
                <w:szCs w:val="16"/>
              </w:rPr>
              <w:t>-51,1%</w:t>
            </w:r>
          </w:p>
        </w:tc>
      </w:tr>
      <w:tr w:rsidR="00543103" w:rsidRPr="004669DE" w14:paraId="4E2BB232" w14:textId="77777777" w:rsidTr="00543103">
        <w:trPr>
          <w:trHeight w:val="229"/>
        </w:trPr>
        <w:tc>
          <w:tcPr>
            <w:tcW w:w="2311" w:type="dxa"/>
            <w:tcBorders>
              <w:right w:val="single" w:sz="4" w:space="0" w:color="AEAAAA" w:themeColor="background2" w:themeShade="BF"/>
            </w:tcBorders>
          </w:tcPr>
          <w:p w14:paraId="0A1D3E49" w14:textId="77777777" w:rsidR="00543103" w:rsidRPr="004669DE" w:rsidRDefault="00543103">
            <w:pPr>
              <w:pStyle w:val="Tabele"/>
              <w:rPr>
                <w:bCs/>
              </w:rPr>
            </w:pPr>
            <w:r>
              <w:rPr>
                <w:rFonts w:cs="Calibri"/>
                <w:color w:val="000000"/>
                <w:szCs w:val="16"/>
              </w:rPr>
              <w:t xml:space="preserve">3. Transport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EB3982" w14:textId="77777777" w:rsidR="00543103" w:rsidRPr="006813B9" w:rsidRDefault="00543103">
            <w:pPr>
              <w:pStyle w:val="Tabele"/>
              <w:jc w:val="right"/>
              <w:rPr>
                <w:highlight w:val="yellow"/>
              </w:rPr>
            </w:pPr>
            <w:r>
              <w:rPr>
                <w:rFonts w:cs="Calibri"/>
                <w:color w:val="000000"/>
                <w:szCs w:val="16"/>
              </w:rPr>
              <w:t>-0,5%</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09F28A" w14:textId="77777777" w:rsidR="00543103" w:rsidRPr="006813B9" w:rsidRDefault="00543103">
            <w:pPr>
              <w:pStyle w:val="Tabele"/>
              <w:jc w:val="right"/>
              <w:rPr>
                <w:highlight w:val="yellow"/>
              </w:rPr>
            </w:pPr>
            <w:r>
              <w:rPr>
                <w:rFonts w:cs="Calibri"/>
                <w:color w:val="000000"/>
                <w:szCs w:val="16"/>
              </w:rPr>
              <w:t>-0,8%</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AA6875" w14:textId="77777777" w:rsidR="00543103" w:rsidRPr="006813B9" w:rsidRDefault="00543103">
            <w:pPr>
              <w:pStyle w:val="Tabele"/>
              <w:jc w:val="right"/>
              <w:rPr>
                <w:highlight w:val="yellow"/>
              </w:rPr>
            </w:pPr>
            <w:r>
              <w:rPr>
                <w:rFonts w:cs="Calibri"/>
                <w:color w:val="000000"/>
                <w:szCs w:val="16"/>
              </w:rPr>
              <w:t>-1,1%</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761F8D" w14:textId="77777777" w:rsidR="00543103" w:rsidRPr="006813B9" w:rsidRDefault="00543103">
            <w:pPr>
              <w:pStyle w:val="Tabele"/>
              <w:jc w:val="right"/>
              <w:rPr>
                <w:highlight w:val="yellow"/>
              </w:rPr>
            </w:pPr>
            <w:r>
              <w:rPr>
                <w:rFonts w:cs="Calibri"/>
                <w:color w:val="000000"/>
                <w:szCs w:val="16"/>
              </w:rPr>
              <w:t>-2,1%</w:t>
            </w:r>
          </w:p>
        </w:tc>
      </w:tr>
      <w:tr w:rsidR="00543103" w:rsidRPr="004669DE" w14:paraId="37F8057E" w14:textId="77777777" w:rsidTr="00543103">
        <w:trPr>
          <w:trHeight w:val="229"/>
        </w:trPr>
        <w:tc>
          <w:tcPr>
            <w:tcW w:w="2311" w:type="dxa"/>
            <w:tcBorders>
              <w:right w:val="single" w:sz="4" w:space="0" w:color="AEAAAA" w:themeColor="background2" w:themeShade="BF"/>
            </w:tcBorders>
          </w:tcPr>
          <w:p w14:paraId="7D600346" w14:textId="77777777" w:rsidR="00543103" w:rsidRPr="004669DE" w:rsidRDefault="00543103">
            <w:pPr>
              <w:pStyle w:val="Tabele"/>
              <w:rPr>
                <w:bCs/>
              </w:rPr>
            </w:pPr>
            <w:r>
              <w:rPr>
                <w:rFonts w:cs="Calibri"/>
                <w:color w:val="000000"/>
                <w:szCs w:val="16"/>
              </w:rPr>
              <w:t xml:space="preserve">4. Inne sektory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76A8FD6" w14:textId="77777777" w:rsidR="00543103" w:rsidRPr="006813B9" w:rsidRDefault="00543103">
            <w:pPr>
              <w:pStyle w:val="Tabele"/>
              <w:jc w:val="right"/>
              <w:rPr>
                <w:highlight w:val="yellow"/>
              </w:rPr>
            </w:pPr>
            <w:r>
              <w:rPr>
                <w:rFonts w:cs="Calibri"/>
                <w:color w:val="000000"/>
                <w:szCs w:val="16"/>
              </w:rPr>
              <w:t>-3,2%</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E1CE4DF" w14:textId="77777777" w:rsidR="00543103" w:rsidRPr="006813B9" w:rsidRDefault="00543103">
            <w:pPr>
              <w:pStyle w:val="Tabele"/>
              <w:jc w:val="right"/>
              <w:rPr>
                <w:highlight w:val="yellow"/>
              </w:rPr>
            </w:pPr>
            <w:r>
              <w:rPr>
                <w:rFonts w:cs="Calibri"/>
                <w:color w:val="000000"/>
                <w:szCs w:val="16"/>
              </w:rPr>
              <w:t>-17,2%</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8540F0" w14:textId="77777777" w:rsidR="00543103" w:rsidRPr="006813B9" w:rsidRDefault="00543103">
            <w:pPr>
              <w:pStyle w:val="Tabele"/>
              <w:jc w:val="right"/>
              <w:rPr>
                <w:highlight w:val="yellow"/>
              </w:rPr>
            </w:pPr>
            <w:r>
              <w:rPr>
                <w:rFonts w:cs="Calibri"/>
                <w:color w:val="000000"/>
                <w:szCs w:val="16"/>
              </w:rPr>
              <w:t>-45,7%</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4190FD4" w14:textId="77777777" w:rsidR="00543103" w:rsidRPr="006813B9" w:rsidRDefault="00543103">
            <w:pPr>
              <w:pStyle w:val="Tabele"/>
              <w:jc w:val="right"/>
              <w:rPr>
                <w:highlight w:val="yellow"/>
              </w:rPr>
            </w:pPr>
            <w:r>
              <w:rPr>
                <w:rFonts w:cs="Calibri"/>
                <w:color w:val="000000"/>
                <w:szCs w:val="16"/>
              </w:rPr>
              <w:t>-72,1%</w:t>
            </w:r>
          </w:p>
        </w:tc>
      </w:tr>
      <w:tr w:rsidR="00543103" w:rsidRPr="004669DE" w14:paraId="3D85DAC0" w14:textId="77777777" w:rsidTr="00543103">
        <w:trPr>
          <w:trHeight w:val="229"/>
        </w:trPr>
        <w:tc>
          <w:tcPr>
            <w:tcW w:w="2311" w:type="dxa"/>
            <w:tcBorders>
              <w:right w:val="single" w:sz="4" w:space="0" w:color="AEAAAA" w:themeColor="background2" w:themeShade="BF"/>
            </w:tcBorders>
          </w:tcPr>
          <w:p w14:paraId="40F79082" w14:textId="77777777" w:rsidR="00543103" w:rsidRPr="004669DE" w:rsidRDefault="00543103">
            <w:pPr>
              <w:pStyle w:val="Tabele"/>
              <w:rPr>
                <w:bCs/>
              </w:rPr>
            </w:pPr>
            <w:r>
              <w:rPr>
                <w:rFonts w:cs="Calibri"/>
                <w:color w:val="000000"/>
                <w:szCs w:val="16"/>
              </w:rPr>
              <w:t xml:space="preserve">B. Emisja lotna z paliw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46FADFB" w14:textId="77777777" w:rsidR="00543103" w:rsidRPr="006813B9" w:rsidRDefault="00543103">
            <w:pPr>
              <w:pStyle w:val="Tabele"/>
              <w:jc w:val="right"/>
              <w:rPr>
                <w:highlight w:val="yellow"/>
              </w:rPr>
            </w:pPr>
            <w:r>
              <w:rPr>
                <w:rFonts w:cs="Calibri"/>
                <w:color w:val="000000"/>
                <w:szCs w:val="16"/>
              </w:rPr>
              <w:t>-1,5%</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725F74" w14:textId="77777777" w:rsidR="00543103" w:rsidRPr="006813B9" w:rsidRDefault="00543103">
            <w:pPr>
              <w:pStyle w:val="Tabele"/>
              <w:jc w:val="right"/>
              <w:rPr>
                <w:highlight w:val="yellow"/>
              </w:rPr>
            </w:pPr>
            <w:r>
              <w:rPr>
                <w:rFonts w:cs="Calibri"/>
                <w:color w:val="000000"/>
                <w:szCs w:val="16"/>
              </w:rPr>
              <w:t>-1,0%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C4ED48" w14:textId="77777777" w:rsidR="00543103" w:rsidRPr="006813B9" w:rsidRDefault="00543103">
            <w:pPr>
              <w:pStyle w:val="Tabele"/>
              <w:jc w:val="right"/>
              <w:rPr>
                <w:highlight w:val="yellow"/>
              </w:rPr>
            </w:pPr>
            <w:r>
              <w:rPr>
                <w:rFonts w:cs="Calibri"/>
                <w:color w:val="000000"/>
                <w:szCs w:val="16"/>
              </w:rPr>
              <w:t>-1,3%</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6CFE502" w14:textId="77777777" w:rsidR="00543103" w:rsidRPr="006813B9" w:rsidRDefault="00543103">
            <w:pPr>
              <w:pStyle w:val="Tabele"/>
              <w:jc w:val="right"/>
              <w:rPr>
                <w:highlight w:val="yellow"/>
              </w:rPr>
            </w:pPr>
            <w:r>
              <w:rPr>
                <w:rFonts w:cs="Calibri"/>
                <w:color w:val="000000"/>
                <w:szCs w:val="16"/>
              </w:rPr>
              <w:t>-2,8%</w:t>
            </w:r>
          </w:p>
        </w:tc>
      </w:tr>
      <w:tr w:rsidR="00543103" w:rsidRPr="004669DE" w14:paraId="3B6699A2" w14:textId="77777777" w:rsidTr="00543103">
        <w:trPr>
          <w:trHeight w:val="229"/>
        </w:trPr>
        <w:tc>
          <w:tcPr>
            <w:tcW w:w="2311" w:type="dxa"/>
            <w:tcBorders>
              <w:right w:val="single" w:sz="4" w:space="0" w:color="AEAAAA" w:themeColor="background2" w:themeShade="BF"/>
            </w:tcBorders>
          </w:tcPr>
          <w:p w14:paraId="5325C321" w14:textId="77777777" w:rsidR="00543103" w:rsidRPr="004669DE" w:rsidRDefault="00543103">
            <w:pPr>
              <w:pStyle w:val="Tabele"/>
              <w:rPr>
                <w:bCs/>
              </w:rPr>
            </w:pPr>
            <w:r>
              <w:rPr>
                <w:rFonts w:cs="Calibri"/>
                <w:color w:val="000000"/>
                <w:szCs w:val="16"/>
              </w:rPr>
              <w:t xml:space="preserve">1. Paliwa stałe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BB987C" w14:textId="77777777" w:rsidR="00543103" w:rsidRPr="006813B9" w:rsidRDefault="00543103">
            <w:pPr>
              <w:pStyle w:val="Tabele"/>
              <w:jc w:val="right"/>
              <w:rPr>
                <w:highlight w:val="yellow"/>
              </w:rPr>
            </w:pPr>
            <w:r>
              <w:rPr>
                <w:rFonts w:cs="Calibri"/>
                <w:color w:val="000000"/>
                <w:szCs w:val="16"/>
              </w:rPr>
              <w:t>-4,5%</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D5C289" w14:textId="77777777" w:rsidR="00543103" w:rsidRPr="006813B9" w:rsidRDefault="00543103">
            <w:pPr>
              <w:pStyle w:val="Tabele"/>
              <w:jc w:val="right"/>
              <w:rPr>
                <w:highlight w:val="yellow"/>
              </w:rPr>
            </w:pPr>
            <w:r>
              <w:rPr>
                <w:rFonts w:cs="Calibri"/>
                <w:color w:val="000000"/>
                <w:szCs w:val="16"/>
              </w:rPr>
              <w:t>-5,0%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894D46A" w14:textId="77777777" w:rsidR="00543103" w:rsidRPr="006813B9" w:rsidRDefault="00543103">
            <w:pPr>
              <w:pStyle w:val="Tabele"/>
              <w:jc w:val="right"/>
              <w:rPr>
                <w:highlight w:val="yellow"/>
              </w:rPr>
            </w:pPr>
            <w:r>
              <w:rPr>
                <w:rFonts w:cs="Calibri"/>
                <w:color w:val="000000"/>
                <w:szCs w:val="16"/>
              </w:rPr>
              <w:t>-4,6%</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0A5CDC2" w14:textId="77777777" w:rsidR="00543103" w:rsidRPr="006813B9" w:rsidRDefault="00543103">
            <w:pPr>
              <w:pStyle w:val="Tabele"/>
              <w:jc w:val="right"/>
              <w:rPr>
                <w:highlight w:val="yellow"/>
              </w:rPr>
            </w:pPr>
            <w:r>
              <w:rPr>
                <w:rFonts w:cs="Calibri"/>
                <w:color w:val="000000"/>
                <w:szCs w:val="16"/>
              </w:rPr>
              <w:t>-5,6%</w:t>
            </w:r>
          </w:p>
        </w:tc>
      </w:tr>
      <w:tr w:rsidR="00543103" w:rsidRPr="004669DE" w14:paraId="568EF401" w14:textId="77777777" w:rsidTr="00543103">
        <w:trPr>
          <w:trHeight w:val="229"/>
        </w:trPr>
        <w:tc>
          <w:tcPr>
            <w:tcW w:w="2311" w:type="dxa"/>
            <w:tcBorders>
              <w:right w:val="single" w:sz="4" w:space="0" w:color="AEAAAA" w:themeColor="background2" w:themeShade="BF"/>
            </w:tcBorders>
          </w:tcPr>
          <w:p w14:paraId="6A20BD7B" w14:textId="77777777" w:rsidR="00543103" w:rsidRPr="004669DE" w:rsidRDefault="00543103">
            <w:pPr>
              <w:pStyle w:val="Tabele"/>
              <w:rPr>
                <w:bCs/>
              </w:rPr>
            </w:pPr>
            <w:r>
              <w:rPr>
                <w:rFonts w:cs="Calibri"/>
                <w:color w:val="000000"/>
                <w:szCs w:val="16"/>
              </w:rPr>
              <w:t xml:space="preserve">2. Ropa naftowa i gaz ziemny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120B87" w14:textId="77777777" w:rsidR="00543103" w:rsidRPr="006813B9" w:rsidRDefault="00543103">
            <w:pPr>
              <w:pStyle w:val="Tabele"/>
              <w:jc w:val="right"/>
              <w:rPr>
                <w:highlight w:val="yellow"/>
              </w:rPr>
            </w:pPr>
            <w:r>
              <w:rPr>
                <w:rFonts w:cs="Calibri"/>
                <w:color w:val="000000"/>
                <w:szCs w:val="16"/>
              </w:rPr>
              <w:t>-1,5%</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050E67A" w14:textId="77777777" w:rsidR="00543103" w:rsidRPr="006813B9" w:rsidRDefault="00543103">
            <w:pPr>
              <w:pStyle w:val="Tabele"/>
              <w:jc w:val="right"/>
              <w:rPr>
                <w:highlight w:val="yellow"/>
              </w:rPr>
            </w:pPr>
            <w:r>
              <w:rPr>
                <w:rFonts w:cs="Calibri"/>
                <w:color w:val="000000"/>
                <w:szCs w:val="16"/>
              </w:rPr>
              <w:t>-1,0%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A6A525" w14:textId="77777777" w:rsidR="00543103" w:rsidRPr="006813B9" w:rsidRDefault="00543103">
            <w:pPr>
              <w:pStyle w:val="Tabele"/>
              <w:jc w:val="right"/>
              <w:rPr>
                <w:highlight w:val="yellow"/>
              </w:rPr>
            </w:pPr>
            <w:r>
              <w:rPr>
                <w:rFonts w:cs="Calibri"/>
                <w:color w:val="000000"/>
                <w:szCs w:val="16"/>
              </w:rPr>
              <w:t>-1,3%</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1A5994" w14:textId="77777777" w:rsidR="00543103" w:rsidRPr="006813B9" w:rsidRDefault="00543103">
            <w:pPr>
              <w:pStyle w:val="Tabele"/>
              <w:jc w:val="right"/>
              <w:rPr>
                <w:highlight w:val="yellow"/>
              </w:rPr>
            </w:pPr>
            <w:r>
              <w:rPr>
                <w:rFonts w:cs="Calibri"/>
                <w:color w:val="000000"/>
                <w:szCs w:val="16"/>
              </w:rPr>
              <w:t>-2,8%</w:t>
            </w:r>
          </w:p>
        </w:tc>
      </w:tr>
      <w:tr w:rsidR="00543103" w:rsidRPr="004669DE" w14:paraId="2CD0E363" w14:textId="77777777" w:rsidTr="00543103">
        <w:trPr>
          <w:trHeight w:val="229"/>
        </w:trPr>
        <w:tc>
          <w:tcPr>
            <w:tcW w:w="2311" w:type="dxa"/>
            <w:tcBorders>
              <w:right w:val="single" w:sz="4" w:space="0" w:color="AEAAAA" w:themeColor="background2" w:themeShade="BF"/>
            </w:tcBorders>
          </w:tcPr>
          <w:p w14:paraId="45339B96" w14:textId="77777777" w:rsidR="00543103" w:rsidRPr="00F43A85" w:rsidRDefault="00543103">
            <w:pPr>
              <w:pStyle w:val="Tabele"/>
              <w:rPr>
                <w:b/>
                <w:bCs/>
              </w:rPr>
            </w:pPr>
            <w:r>
              <w:rPr>
                <w:rFonts w:cs="Calibri"/>
                <w:b/>
                <w:bCs/>
                <w:color w:val="000000"/>
                <w:szCs w:val="16"/>
              </w:rPr>
              <w:t xml:space="preserve">2. Procesy przemysłowe i użytkowanie produktów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7E49F6F" w14:textId="77777777" w:rsidR="00543103" w:rsidRPr="006813B9" w:rsidRDefault="00543103">
            <w:pPr>
              <w:pStyle w:val="Tabele"/>
              <w:jc w:val="right"/>
              <w:rPr>
                <w:highlight w:val="yellow"/>
              </w:rPr>
            </w:pPr>
            <w:r>
              <w:rPr>
                <w:rFonts w:cs="Calibri"/>
                <w:b/>
                <w:bCs/>
                <w:color w:val="000000"/>
                <w:szCs w:val="16"/>
              </w:rPr>
              <w:t>-5,4%</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8C54C47" w14:textId="77777777" w:rsidR="00543103" w:rsidRPr="006813B9" w:rsidRDefault="00543103">
            <w:pPr>
              <w:pStyle w:val="Tabele"/>
              <w:jc w:val="right"/>
              <w:rPr>
                <w:highlight w:val="yellow"/>
              </w:rPr>
            </w:pPr>
            <w:r>
              <w:rPr>
                <w:rFonts w:cs="Calibri"/>
                <w:b/>
                <w:bCs/>
                <w:color w:val="000000"/>
                <w:szCs w:val="16"/>
              </w:rPr>
              <w:t>-5,2%</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40C094C" w14:textId="77777777" w:rsidR="00543103" w:rsidRPr="006813B9" w:rsidRDefault="00543103">
            <w:pPr>
              <w:pStyle w:val="Tabele"/>
              <w:jc w:val="right"/>
              <w:rPr>
                <w:highlight w:val="yellow"/>
              </w:rPr>
            </w:pPr>
            <w:r>
              <w:rPr>
                <w:rFonts w:cs="Calibri"/>
                <w:b/>
                <w:bCs/>
                <w:color w:val="000000"/>
                <w:szCs w:val="16"/>
              </w:rPr>
              <w:t>-3,3%</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CCD89B7" w14:textId="77777777" w:rsidR="00543103" w:rsidRPr="006813B9" w:rsidRDefault="00543103">
            <w:pPr>
              <w:pStyle w:val="Tabele"/>
              <w:jc w:val="right"/>
              <w:rPr>
                <w:highlight w:val="yellow"/>
              </w:rPr>
            </w:pPr>
            <w:r>
              <w:rPr>
                <w:rFonts w:cs="Calibri"/>
                <w:b/>
                <w:bCs/>
                <w:color w:val="000000"/>
                <w:szCs w:val="16"/>
              </w:rPr>
              <w:t>-3,3%</w:t>
            </w:r>
          </w:p>
        </w:tc>
      </w:tr>
      <w:tr w:rsidR="00543103" w:rsidRPr="004669DE" w14:paraId="7B7BE338" w14:textId="77777777" w:rsidTr="00543103">
        <w:trPr>
          <w:trHeight w:val="229"/>
        </w:trPr>
        <w:tc>
          <w:tcPr>
            <w:tcW w:w="2311" w:type="dxa"/>
            <w:tcBorders>
              <w:right w:val="single" w:sz="4" w:space="0" w:color="AEAAAA" w:themeColor="background2" w:themeShade="BF"/>
            </w:tcBorders>
          </w:tcPr>
          <w:p w14:paraId="64B01844" w14:textId="77777777" w:rsidR="00543103" w:rsidRPr="004669DE" w:rsidRDefault="00543103">
            <w:pPr>
              <w:pStyle w:val="Tabele"/>
              <w:rPr>
                <w:bCs/>
              </w:rPr>
            </w:pPr>
            <w:r>
              <w:rPr>
                <w:rFonts w:cs="Calibri"/>
                <w:color w:val="000000"/>
                <w:szCs w:val="16"/>
              </w:rPr>
              <w:t xml:space="preserve">B. Przemysł chemiczny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29FD799" w14:textId="77777777" w:rsidR="00543103" w:rsidRPr="006813B9" w:rsidRDefault="00543103">
            <w:pPr>
              <w:pStyle w:val="Tabele"/>
              <w:jc w:val="right"/>
              <w:rPr>
                <w:highlight w:val="yellow"/>
              </w:rPr>
            </w:pPr>
            <w:r>
              <w:rPr>
                <w:rFonts w:cs="Calibri"/>
                <w:color w:val="000000"/>
                <w:szCs w:val="16"/>
              </w:rPr>
              <w:t>0,0%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1EDBD3" w14:textId="77777777" w:rsidR="00543103" w:rsidRPr="006813B9" w:rsidRDefault="00543103">
            <w:pPr>
              <w:pStyle w:val="Tabele"/>
              <w:jc w:val="right"/>
              <w:rPr>
                <w:highlight w:val="yellow"/>
              </w:rPr>
            </w:pPr>
            <w:r>
              <w:rPr>
                <w:rFonts w:cs="Calibri"/>
                <w:color w:val="000000"/>
                <w:szCs w:val="16"/>
              </w:rPr>
              <w:t>0,0%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E4264A" w14:textId="77777777" w:rsidR="00543103" w:rsidRPr="006813B9" w:rsidRDefault="00543103">
            <w:pPr>
              <w:pStyle w:val="Tabele"/>
              <w:jc w:val="right"/>
              <w:rPr>
                <w:highlight w:val="yellow"/>
              </w:rPr>
            </w:pPr>
            <w:r>
              <w:rPr>
                <w:rFonts w:cs="Calibri"/>
                <w:color w:val="000000"/>
                <w:szCs w:val="16"/>
              </w:rPr>
              <w:t>0,0%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9DA94B" w14:textId="77777777" w:rsidR="00543103" w:rsidRPr="006813B9" w:rsidRDefault="00543103">
            <w:pPr>
              <w:pStyle w:val="Tabele"/>
              <w:jc w:val="right"/>
              <w:rPr>
                <w:highlight w:val="yellow"/>
              </w:rPr>
            </w:pPr>
            <w:r>
              <w:rPr>
                <w:rFonts w:cs="Calibri"/>
                <w:color w:val="000000"/>
                <w:szCs w:val="16"/>
              </w:rPr>
              <w:t>0,0%</w:t>
            </w:r>
          </w:p>
        </w:tc>
      </w:tr>
      <w:tr w:rsidR="00543103" w:rsidRPr="004669DE" w14:paraId="76FE46B4" w14:textId="77777777" w:rsidTr="00543103">
        <w:trPr>
          <w:trHeight w:val="229"/>
        </w:trPr>
        <w:tc>
          <w:tcPr>
            <w:tcW w:w="2311" w:type="dxa"/>
            <w:tcBorders>
              <w:right w:val="single" w:sz="4" w:space="0" w:color="AEAAAA" w:themeColor="background2" w:themeShade="BF"/>
            </w:tcBorders>
          </w:tcPr>
          <w:p w14:paraId="5AC8D733" w14:textId="77777777" w:rsidR="00543103" w:rsidRPr="004669DE" w:rsidRDefault="00543103">
            <w:pPr>
              <w:pStyle w:val="Tabele"/>
              <w:rPr>
                <w:bCs/>
              </w:rPr>
            </w:pPr>
            <w:r>
              <w:rPr>
                <w:rFonts w:cs="Calibri"/>
                <w:color w:val="000000"/>
                <w:szCs w:val="16"/>
              </w:rPr>
              <w:t xml:space="preserve">C. Produkcja metali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F4A31B" w14:textId="77777777" w:rsidR="00543103" w:rsidRPr="006813B9" w:rsidRDefault="00543103">
            <w:pPr>
              <w:pStyle w:val="Tabele"/>
              <w:jc w:val="right"/>
              <w:rPr>
                <w:highlight w:val="yellow"/>
              </w:rPr>
            </w:pPr>
            <w:r>
              <w:rPr>
                <w:rFonts w:cs="Calibri"/>
                <w:color w:val="000000"/>
                <w:szCs w:val="16"/>
              </w:rPr>
              <w:t>-0,9%</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5222C01" w14:textId="77777777" w:rsidR="00543103" w:rsidRPr="006813B9" w:rsidRDefault="00543103">
            <w:pPr>
              <w:pStyle w:val="Tabele"/>
              <w:jc w:val="right"/>
              <w:rPr>
                <w:highlight w:val="yellow"/>
              </w:rPr>
            </w:pPr>
            <w:r>
              <w:rPr>
                <w:rFonts w:cs="Calibri"/>
                <w:color w:val="000000"/>
                <w:szCs w:val="16"/>
              </w:rPr>
              <w:t>0,6%</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AFF2377" w14:textId="77777777" w:rsidR="00543103" w:rsidRPr="006813B9" w:rsidRDefault="00543103">
            <w:pPr>
              <w:pStyle w:val="Tabele"/>
              <w:jc w:val="right"/>
              <w:rPr>
                <w:highlight w:val="yellow"/>
              </w:rPr>
            </w:pPr>
            <w:r>
              <w:rPr>
                <w:rFonts w:cs="Calibri"/>
                <w:color w:val="000000"/>
                <w:szCs w:val="16"/>
              </w:rPr>
              <w:t>1,6%</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90064DE" w14:textId="77777777" w:rsidR="00543103" w:rsidRPr="006813B9" w:rsidRDefault="00543103">
            <w:pPr>
              <w:pStyle w:val="Tabele"/>
              <w:jc w:val="right"/>
              <w:rPr>
                <w:highlight w:val="yellow"/>
              </w:rPr>
            </w:pPr>
            <w:r>
              <w:rPr>
                <w:rFonts w:cs="Calibri"/>
                <w:color w:val="000000"/>
                <w:szCs w:val="16"/>
              </w:rPr>
              <w:t>3,7%</w:t>
            </w:r>
          </w:p>
        </w:tc>
      </w:tr>
      <w:tr w:rsidR="00543103" w:rsidRPr="004669DE" w14:paraId="02C7C550" w14:textId="77777777" w:rsidTr="00543103">
        <w:trPr>
          <w:trHeight w:val="229"/>
        </w:trPr>
        <w:tc>
          <w:tcPr>
            <w:tcW w:w="2311" w:type="dxa"/>
            <w:tcBorders>
              <w:right w:val="single" w:sz="4" w:space="0" w:color="AEAAAA" w:themeColor="background2" w:themeShade="BF"/>
            </w:tcBorders>
          </w:tcPr>
          <w:p w14:paraId="13EB6B7E" w14:textId="77777777" w:rsidR="00543103" w:rsidRPr="00EB3B96" w:rsidRDefault="00543103">
            <w:pPr>
              <w:pStyle w:val="Tabele"/>
              <w:rPr>
                <w:b/>
              </w:rPr>
            </w:pPr>
            <w:r>
              <w:rPr>
                <w:rFonts w:cs="Calibri"/>
                <w:color w:val="000000"/>
                <w:szCs w:val="16"/>
              </w:rPr>
              <w:t>G. – L. Inne</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9877D3E" w14:textId="77777777" w:rsidR="00543103" w:rsidRPr="006813B9" w:rsidRDefault="00543103">
            <w:pPr>
              <w:pStyle w:val="Tabele"/>
              <w:jc w:val="right"/>
              <w:rPr>
                <w:highlight w:val="yellow"/>
              </w:rPr>
            </w:pPr>
            <w:r>
              <w:rPr>
                <w:rFonts w:cs="Calibri"/>
                <w:color w:val="000000"/>
                <w:szCs w:val="16"/>
              </w:rPr>
              <w:t>-19,2%</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DC7D66" w14:textId="77777777" w:rsidR="00543103" w:rsidRPr="006813B9" w:rsidRDefault="00543103">
            <w:pPr>
              <w:pStyle w:val="Tabele"/>
              <w:jc w:val="right"/>
              <w:rPr>
                <w:highlight w:val="yellow"/>
              </w:rPr>
            </w:pPr>
            <w:r>
              <w:rPr>
                <w:rFonts w:cs="Calibri"/>
                <w:color w:val="000000"/>
                <w:szCs w:val="16"/>
              </w:rPr>
              <w:t>-19,6%</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C3B601" w14:textId="77777777" w:rsidR="00543103" w:rsidRPr="006813B9" w:rsidRDefault="00543103">
            <w:pPr>
              <w:pStyle w:val="Tabele"/>
              <w:jc w:val="right"/>
              <w:rPr>
                <w:highlight w:val="yellow"/>
              </w:rPr>
            </w:pPr>
            <w:r>
              <w:rPr>
                <w:rFonts w:cs="Calibri"/>
                <w:color w:val="000000"/>
                <w:szCs w:val="16"/>
              </w:rPr>
              <w:t>-14,2%</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52A1941" w14:textId="77777777" w:rsidR="00543103" w:rsidRPr="006813B9" w:rsidRDefault="00543103">
            <w:pPr>
              <w:pStyle w:val="Tabele"/>
              <w:jc w:val="right"/>
              <w:rPr>
                <w:highlight w:val="yellow"/>
              </w:rPr>
            </w:pPr>
            <w:r>
              <w:rPr>
                <w:rFonts w:cs="Calibri"/>
                <w:color w:val="000000"/>
                <w:szCs w:val="16"/>
              </w:rPr>
              <w:t>-16,0%</w:t>
            </w:r>
          </w:p>
        </w:tc>
      </w:tr>
      <w:tr w:rsidR="00543103" w:rsidRPr="004669DE" w14:paraId="1EF37801" w14:textId="77777777" w:rsidTr="00543103">
        <w:trPr>
          <w:trHeight w:val="229"/>
        </w:trPr>
        <w:tc>
          <w:tcPr>
            <w:tcW w:w="2311" w:type="dxa"/>
            <w:tcBorders>
              <w:right w:val="single" w:sz="4" w:space="0" w:color="AEAAAA" w:themeColor="background2" w:themeShade="BF"/>
            </w:tcBorders>
          </w:tcPr>
          <w:p w14:paraId="44E93CAB" w14:textId="77777777" w:rsidR="00543103" w:rsidRPr="00F43A85" w:rsidRDefault="00543103">
            <w:pPr>
              <w:pStyle w:val="Tabele"/>
              <w:rPr>
                <w:b/>
                <w:bCs/>
              </w:rPr>
            </w:pPr>
            <w:r>
              <w:rPr>
                <w:rFonts w:cs="Calibri"/>
                <w:b/>
                <w:bCs/>
                <w:color w:val="000000"/>
                <w:szCs w:val="16"/>
              </w:rPr>
              <w:t xml:space="preserve">3. Rolnictwo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2C94537" w14:textId="77777777" w:rsidR="00543103" w:rsidRPr="006813B9" w:rsidRDefault="00543103">
            <w:pPr>
              <w:pStyle w:val="Tabele"/>
              <w:jc w:val="right"/>
              <w:rPr>
                <w:highlight w:val="yellow"/>
              </w:rPr>
            </w:pPr>
            <w:r>
              <w:rPr>
                <w:rFonts w:cs="Calibri"/>
                <w:b/>
                <w:bCs/>
                <w:color w:val="000000"/>
                <w:szCs w:val="16"/>
              </w:rPr>
              <w:t>0,0%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711856" w14:textId="77777777" w:rsidR="00543103" w:rsidRPr="006813B9" w:rsidRDefault="00543103">
            <w:pPr>
              <w:pStyle w:val="Tabele"/>
              <w:jc w:val="right"/>
              <w:rPr>
                <w:highlight w:val="yellow"/>
              </w:rPr>
            </w:pPr>
            <w:r>
              <w:rPr>
                <w:rFonts w:cs="Calibri"/>
                <w:b/>
                <w:bCs/>
                <w:color w:val="000000"/>
                <w:szCs w:val="16"/>
              </w:rPr>
              <w:t>0,0%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BF6E6A" w14:textId="77777777" w:rsidR="00543103" w:rsidRPr="006813B9" w:rsidRDefault="00543103">
            <w:pPr>
              <w:pStyle w:val="Tabele"/>
              <w:jc w:val="right"/>
              <w:rPr>
                <w:highlight w:val="yellow"/>
              </w:rPr>
            </w:pPr>
            <w:r>
              <w:rPr>
                <w:rFonts w:cs="Calibri"/>
                <w:b/>
                <w:bCs/>
                <w:color w:val="000000"/>
                <w:szCs w:val="16"/>
              </w:rPr>
              <w:t>0,0%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FBA3D0" w14:textId="77777777" w:rsidR="00543103" w:rsidRPr="006813B9" w:rsidRDefault="00543103">
            <w:pPr>
              <w:pStyle w:val="Tabele"/>
              <w:jc w:val="right"/>
              <w:rPr>
                <w:highlight w:val="yellow"/>
              </w:rPr>
            </w:pPr>
            <w:r>
              <w:rPr>
                <w:rFonts w:cs="Calibri"/>
                <w:b/>
                <w:bCs/>
                <w:color w:val="000000"/>
                <w:szCs w:val="16"/>
              </w:rPr>
              <w:t>0,0%</w:t>
            </w:r>
          </w:p>
        </w:tc>
      </w:tr>
      <w:tr w:rsidR="00543103" w:rsidRPr="004669DE" w14:paraId="4A8D5D08" w14:textId="77777777" w:rsidTr="00543103">
        <w:trPr>
          <w:trHeight w:val="229"/>
        </w:trPr>
        <w:tc>
          <w:tcPr>
            <w:tcW w:w="2311" w:type="dxa"/>
            <w:tcBorders>
              <w:right w:val="single" w:sz="4" w:space="0" w:color="AEAAAA" w:themeColor="background2" w:themeShade="BF"/>
            </w:tcBorders>
          </w:tcPr>
          <w:p w14:paraId="7D4F82C5" w14:textId="77777777" w:rsidR="00543103" w:rsidRPr="004669DE" w:rsidRDefault="00543103">
            <w:pPr>
              <w:pStyle w:val="Tabele"/>
              <w:rPr>
                <w:bCs/>
              </w:rPr>
            </w:pPr>
            <w:r>
              <w:rPr>
                <w:rFonts w:cs="Calibri"/>
                <w:color w:val="000000"/>
                <w:szCs w:val="16"/>
              </w:rPr>
              <w:t xml:space="preserve">F. Spalanie resztek roślinnych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58B98C" w14:textId="77777777" w:rsidR="00543103" w:rsidRPr="006813B9" w:rsidRDefault="00543103">
            <w:pPr>
              <w:pStyle w:val="Tabele"/>
              <w:jc w:val="right"/>
              <w:rPr>
                <w:highlight w:val="yellow"/>
              </w:rPr>
            </w:pPr>
            <w:r>
              <w:rPr>
                <w:rFonts w:cs="Calibri"/>
                <w:color w:val="000000"/>
                <w:szCs w:val="16"/>
              </w:rPr>
              <w:t>0,0%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CD324F9" w14:textId="77777777" w:rsidR="00543103" w:rsidRPr="006813B9" w:rsidRDefault="00543103">
            <w:pPr>
              <w:pStyle w:val="Tabele"/>
              <w:jc w:val="right"/>
              <w:rPr>
                <w:highlight w:val="yellow"/>
              </w:rPr>
            </w:pPr>
            <w:r>
              <w:rPr>
                <w:rFonts w:cs="Calibri"/>
                <w:color w:val="000000"/>
                <w:szCs w:val="16"/>
              </w:rPr>
              <w:t>0,0%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B3E3AB3" w14:textId="77777777" w:rsidR="00543103" w:rsidRPr="006813B9" w:rsidRDefault="00543103">
            <w:pPr>
              <w:pStyle w:val="Tabele"/>
              <w:jc w:val="right"/>
              <w:rPr>
                <w:highlight w:val="yellow"/>
              </w:rPr>
            </w:pPr>
            <w:r>
              <w:rPr>
                <w:rFonts w:cs="Calibri"/>
                <w:color w:val="000000"/>
                <w:szCs w:val="16"/>
              </w:rPr>
              <w:t>0,0%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5EC17E" w14:textId="77777777" w:rsidR="00543103" w:rsidRPr="006813B9" w:rsidRDefault="00543103">
            <w:pPr>
              <w:pStyle w:val="Tabele"/>
              <w:jc w:val="right"/>
              <w:rPr>
                <w:highlight w:val="yellow"/>
              </w:rPr>
            </w:pPr>
            <w:r>
              <w:rPr>
                <w:rFonts w:cs="Calibri"/>
                <w:color w:val="000000"/>
                <w:szCs w:val="16"/>
              </w:rPr>
              <w:t>0,0%</w:t>
            </w:r>
          </w:p>
        </w:tc>
      </w:tr>
      <w:tr w:rsidR="00543103" w:rsidRPr="004669DE" w14:paraId="439CB553" w14:textId="77777777" w:rsidTr="00543103">
        <w:trPr>
          <w:trHeight w:val="229"/>
        </w:trPr>
        <w:tc>
          <w:tcPr>
            <w:tcW w:w="2311" w:type="dxa"/>
            <w:tcBorders>
              <w:right w:val="single" w:sz="4" w:space="0" w:color="AEAAAA" w:themeColor="background2" w:themeShade="BF"/>
            </w:tcBorders>
          </w:tcPr>
          <w:p w14:paraId="2C36E5DB" w14:textId="77777777" w:rsidR="00543103" w:rsidRPr="00F43A85" w:rsidRDefault="00543103">
            <w:pPr>
              <w:pStyle w:val="Tabele"/>
              <w:rPr>
                <w:b/>
                <w:bCs/>
              </w:rPr>
            </w:pPr>
            <w:r>
              <w:rPr>
                <w:rFonts w:cs="Calibri"/>
                <w:b/>
                <w:bCs/>
                <w:color w:val="000000"/>
                <w:szCs w:val="16"/>
              </w:rPr>
              <w:t xml:space="preserve">5. Odpady </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1CD641" w14:textId="77777777" w:rsidR="00543103" w:rsidRPr="006813B9" w:rsidRDefault="00543103">
            <w:pPr>
              <w:pStyle w:val="Tabele"/>
              <w:jc w:val="right"/>
              <w:rPr>
                <w:highlight w:val="yellow"/>
              </w:rPr>
            </w:pPr>
            <w:r>
              <w:rPr>
                <w:rFonts w:cs="Calibri"/>
                <w:b/>
                <w:bCs/>
                <w:color w:val="000000"/>
                <w:szCs w:val="16"/>
              </w:rPr>
              <w:t>-1,0%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545154" w14:textId="77777777" w:rsidR="00543103" w:rsidRPr="006813B9" w:rsidRDefault="00543103">
            <w:pPr>
              <w:pStyle w:val="Tabele"/>
              <w:jc w:val="right"/>
              <w:rPr>
                <w:highlight w:val="yellow"/>
              </w:rPr>
            </w:pPr>
            <w:r>
              <w:rPr>
                <w:rFonts w:cs="Calibri"/>
                <w:b/>
                <w:bCs/>
                <w:color w:val="000000"/>
                <w:szCs w:val="16"/>
              </w:rPr>
              <w:t>-3,9%</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C0FBEC" w14:textId="77777777" w:rsidR="00543103" w:rsidRPr="006813B9" w:rsidRDefault="00543103">
            <w:pPr>
              <w:pStyle w:val="Tabele"/>
              <w:jc w:val="right"/>
              <w:rPr>
                <w:highlight w:val="yellow"/>
              </w:rPr>
            </w:pPr>
            <w:r>
              <w:rPr>
                <w:rFonts w:cs="Calibri"/>
                <w:b/>
                <w:bCs/>
                <w:color w:val="000000"/>
                <w:szCs w:val="16"/>
              </w:rPr>
              <w:t>-5,0%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8D88F7" w14:textId="77777777" w:rsidR="00543103" w:rsidRPr="006813B9" w:rsidRDefault="00543103">
            <w:pPr>
              <w:pStyle w:val="Tabele"/>
              <w:jc w:val="right"/>
              <w:rPr>
                <w:highlight w:val="yellow"/>
              </w:rPr>
            </w:pPr>
            <w:r>
              <w:rPr>
                <w:rFonts w:cs="Calibri"/>
                <w:b/>
                <w:bCs/>
                <w:color w:val="000000"/>
                <w:szCs w:val="16"/>
              </w:rPr>
              <w:t>-7,3%</w:t>
            </w:r>
          </w:p>
        </w:tc>
      </w:tr>
      <w:tr w:rsidR="00543103" w:rsidRPr="004669DE" w14:paraId="1BFD81A0" w14:textId="77777777" w:rsidTr="00543103">
        <w:trPr>
          <w:trHeight w:val="229"/>
        </w:trPr>
        <w:tc>
          <w:tcPr>
            <w:tcW w:w="2311" w:type="dxa"/>
            <w:tcBorders>
              <w:right w:val="single" w:sz="4" w:space="0" w:color="AEAAAA" w:themeColor="background2" w:themeShade="BF"/>
            </w:tcBorders>
          </w:tcPr>
          <w:p w14:paraId="6DE4F87B" w14:textId="77777777" w:rsidR="00543103" w:rsidRPr="00EB3B96" w:rsidRDefault="00543103">
            <w:pPr>
              <w:pStyle w:val="Tabele"/>
              <w:rPr>
                <w:bCs/>
              </w:rPr>
            </w:pPr>
            <w:r>
              <w:rPr>
                <w:rFonts w:cs="Calibri"/>
                <w:color w:val="000000"/>
                <w:szCs w:val="16"/>
              </w:rPr>
              <w:t>C. Spalanie odpadów</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41D83E5" w14:textId="77777777" w:rsidR="00543103" w:rsidRPr="006813B9" w:rsidRDefault="00543103">
            <w:pPr>
              <w:pStyle w:val="Tabele"/>
              <w:jc w:val="right"/>
              <w:rPr>
                <w:highlight w:val="yellow"/>
              </w:rPr>
            </w:pPr>
            <w:r>
              <w:rPr>
                <w:rFonts w:cs="Calibri"/>
                <w:color w:val="000000"/>
                <w:szCs w:val="16"/>
              </w:rPr>
              <w:t>-1,0%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598962" w14:textId="77777777" w:rsidR="00543103" w:rsidRPr="006813B9" w:rsidRDefault="00543103">
            <w:pPr>
              <w:pStyle w:val="Tabele"/>
              <w:jc w:val="right"/>
              <w:rPr>
                <w:highlight w:val="yellow"/>
              </w:rPr>
            </w:pPr>
            <w:r>
              <w:rPr>
                <w:rFonts w:cs="Calibri"/>
                <w:color w:val="000000"/>
                <w:szCs w:val="16"/>
              </w:rPr>
              <w:t>-3,9%</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4F86059" w14:textId="77777777" w:rsidR="00543103" w:rsidRPr="006813B9" w:rsidRDefault="00543103">
            <w:pPr>
              <w:pStyle w:val="Tabele"/>
              <w:jc w:val="right"/>
              <w:rPr>
                <w:highlight w:val="yellow"/>
              </w:rPr>
            </w:pPr>
            <w:r>
              <w:rPr>
                <w:rFonts w:cs="Calibri"/>
                <w:color w:val="000000"/>
                <w:szCs w:val="16"/>
              </w:rPr>
              <w:t>-5,0%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9517F7" w14:textId="77777777" w:rsidR="00543103" w:rsidRPr="006813B9" w:rsidRDefault="00543103">
            <w:pPr>
              <w:pStyle w:val="Tabele"/>
              <w:jc w:val="right"/>
              <w:rPr>
                <w:highlight w:val="yellow"/>
              </w:rPr>
            </w:pPr>
            <w:r>
              <w:rPr>
                <w:rFonts w:cs="Calibri"/>
                <w:color w:val="000000"/>
                <w:szCs w:val="16"/>
              </w:rPr>
              <w:t>-7,3%</w:t>
            </w:r>
          </w:p>
        </w:tc>
      </w:tr>
      <w:tr w:rsidR="00543103" w:rsidRPr="00860E1E" w14:paraId="602E9CA7" w14:textId="77777777" w:rsidTr="00543103">
        <w:trPr>
          <w:trHeight w:val="229"/>
        </w:trPr>
        <w:tc>
          <w:tcPr>
            <w:tcW w:w="2311" w:type="dxa"/>
            <w:tcBorders>
              <w:right w:val="single" w:sz="4" w:space="0" w:color="AEAAAA" w:themeColor="background2" w:themeShade="BF"/>
            </w:tcBorders>
          </w:tcPr>
          <w:p w14:paraId="676294DD" w14:textId="77777777" w:rsidR="00543103" w:rsidRPr="00860E1E" w:rsidRDefault="00543103">
            <w:pPr>
              <w:pStyle w:val="Tabele"/>
              <w:rPr>
                <w:b/>
                <w:bCs/>
              </w:rPr>
            </w:pPr>
            <w:r>
              <w:rPr>
                <w:rFonts w:cs="Calibri"/>
                <w:b/>
                <w:bCs/>
                <w:color w:val="000000"/>
                <w:szCs w:val="16"/>
              </w:rPr>
              <w:t>OGÓŁEM</w:t>
            </w:r>
          </w:p>
        </w:tc>
        <w:tc>
          <w:tcPr>
            <w:tcW w:w="167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BF5D5E6" w14:textId="77777777" w:rsidR="00543103" w:rsidRPr="006813B9" w:rsidRDefault="00543103">
            <w:pPr>
              <w:pStyle w:val="Tabele"/>
              <w:jc w:val="right"/>
              <w:rPr>
                <w:b/>
                <w:bCs/>
                <w:highlight w:val="yellow"/>
              </w:rPr>
            </w:pPr>
            <w:r>
              <w:rPr>
                <w:rFonts w:cs="Calibri"/>
                <w:b/>
                <w:bCs/>
                <w:color w:val="000000"/>
                <w:szCs w:val="16"/>
              </w:rPr>
              <w:t>-7,0%</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1BBCCF" w14:textId="77777777" w:rsidR="00543103" w:rsidRPr="006813B9" w:rsidRDefault="00543103">
            <w:pPr>
              <w:pStyle w:val="Tabele"/>
              <w:jc w:val="right"/>
              <w:rPr>
                <w:b/>
                <w:bCs/>
                <w:highlight w:val="yellow"/>
              </w:rPr>
            </w:pPr>
            <w:r>
              <w:rPr>
                <w:rFonts w:cs="Calibri"/>
                <w:b/>
                <w:bCs/>
                <w:color w:val="000000"/>
                <w:szCs w:val="16"/>
              </w:rPr>
              <w:t>-21,6%</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0272C64" w14:textId="77777777" w:rsidR="00543103" w:rsidRPr="006813B9" w:rsidRDefault="00543103">
            <w:pPr>
              <w:pStyle w:val="Tabele"/>
              <w:jc w:val="right"/>
              <w:rPr>
                <w:b/>
                <w:bCs/>
                <w:highlight w:val="yellow"/>
              </w:rPr>
            </w:pPr>
            <w:r>
              <w:rPr>
                <w:rFonts w:cs="Calibri"/>
                <w:b/>
                <w:bCs/>
                <w:color w:val="000000"/>
                <w:szCs w:val="16"/>
              </w:rPr>
              <w:t>-42,2%</w:t>
            </w:r>
          </w:p>
        </w:tc>
        <w:tc>
          <w:tcPr>
            <w:tcW w:w="167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9DEADFA" w14:textId="77777777" w:rsidR="00543103" w:rsidRPr="006813B9" w:rsidRDefault="00543103">
            <w:pPr>
              <w:pStyle w:val="Tabele"/>
              <w:jc w:val="right"/>
              <w:rPr>
                <w:b/>
                <w:bCs/>
                <w:highlight w:val="yellow"/>
              </w:rPr>
            </w:pPr>
            <w:r>
              <w:rPr>
                <w:rFonts w:cs="Calibri"/>
                <w:b/>
                <w:bCs/>
                <w:color w:val="000000"/>
                <w:szCs w:val="16"/>
              </w:rPr>
              <w:t>-50,8%</w:t>
            </w:r>
          </w:p>
        </w:tc>
      </w:tr>
    </w:tbl>
    <w:p w14:paraId="49674BC1" w14:textId="77777777" w:rsidR="005C4144" w:rsidRPr="00BB1158" w:rsidRDefault="005C4144" w:rsidP="008773B0">
      <w:pPr>
        <w:pStyle w:val="Legenda"/>
        <w:keepNext/>
      </w:pPr>
      <w:r w:rsidRPr="00BB1158">
        <w:t>Źródło: Opracowanie własne KOBIZE, IOŚ-PIB</w:t>
      </w:r>
    </w:p>
    <w:p w14:paraId="42F141E3" w14:textId="4D114EBD" w:rsidR="00FB34BE" w:rsidRPr="00493F5B" w:rsidRDefault="00FB34BE" w:rsidP="00FB34BE">
      <w:bookmarkStart w:id="142" w:name="_Ref161305991"/>
      <w:bookmarkStart w:id="143" w:name="_Ref169814458"/>
      <w:bookmarkStart w:id="144" w:name="_Toc167442096"/>
      <w:bookmarkStart w:id="145" w:name="_Toc171587177"/>
      <w:bookmarkStart w:id="146" w:name="_Toc174710961"/>
      <w:r>
        <w:t>Jak wyjaśniono w</w:t>
      </w:r>
      <w:r w:rsidR="00A726A9">
        <w:t>cześniej</w:t>
      </w:r>
      <w:r>
        <w:t>, głównym źródłem emisji SO</w:t>
      </w:r>
      <w:r w:rsidRPr="00493F5B">
        <w:rPr>
          <w:vertAlign w:val="subscript"/>
        </w:rPr>
        <w:t>2</w:t>
      </w:r>
      <w:r>
        <w:t xml:space="preserve"> w Polsce jest spalanie paliw w energetyce, przemyśle i małych źródłach emisji. W 202</w:t>
      </w:r>
      <w:r w:rsidR="00BE2ED8">
        <w:t>0 r.</w:t>
      </w:r>
      <w:r>
        <w:t xml:space="preserve"> udział ten wynosił 95%. Zmniejszenie zużycia paliw kopalnych w tych sektorach jest powodem spadku emisji, przy czym w scenariuszu WAM redukcje te są większe niż w scenariuszu WEM, stąd prognozowane zmniejszenie emisji w scenariuszu WAM jest większe niż w WEM. </w:t>
      </w:r>
    </w:p>
    <w:p w14:paraId="04B0665A" w14:textId="4B109116" w:rsidR="005C4144" w:rsidRDefault="005C4144" w:rsidP="005C4144">
      <w:pPr>
        <w:pStyle w:val="Legenda"/>
        <w:keepNext/>
      </w:pPr>
      <w:bookmarkStart w:id="147" w:name="_Ref195774481"/>
      <w:bookmarkStart w:id="148" w:name="_Ref195870563"/>
      <w:bookmarkStart w:id="149" w:name="_Toc202966963"/>
      <w:r>
        <w:t xml:space="preserve">Tabela </w:t>
      </w:r>
      <w:bookmarkEnd w:id="147"/>
      <w:r w:rsidR="006C7D6C">
        <w:fldChar w:fldCharType="begin"/>
      </w:r>
      <w:r w:rsidR="006C7D6C">
        <w:instrText xml:space="preserve"> STYLEREF 1 \s </w:instrText>
      </w:r>
      <w:r w:rsidR="006C7D6C">
        <w:fldChar w:fldCharType="separate"/>
      </w:r>
      <w:r w:rsidR="00F27D6F">
        <w:rPr>
          <w:noProof/>
        </w:rPr>
        <w:t>1</w:t>
      </w:r>
      <w:r w:rsidR="006C7D6C">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18</w:t>
      </w:r>
      <w:r w:rsidR="00653D9A">
        <w:rPr>
          <w:noProof/>
        </w:rPr>
        <w:fldChar w:fldCharType="end"/>
      </w:r>
      <w:bookmarkEnd w:id="142"/>
      <w:bookmarkEnd w:id="143"/>
      <w:bookmarkEnd w:id="148"/>
      <w:r>
        <w:t>.</w:t>
      </w:r>
      <w:r w:rsidRPr="00851E5C">
        <w:t xml:space="preserve"> </w:t>
      </w:r>
      <w:r>
        <w:t xml:space="preserve">Prognozy zmiany </w:t>
      </w:r>
      <w:r w:rsidRPr="00524DBC">
        <w:t xml:space="preserve">emisji </w:t>
      </w:r>
      <w:r w:rsidRPr="00EB3130">
        <w:t>tlenków azotu</w:t>
      </w:r>
      <w:r w:rsidRPr="00524DBC">
        <w:t>, według sektorów (kategorii NFR)</w:t>
      </w:r>
      <w:r>
        <w:t>, scenariusz WAM vs. WEM</w:t>
      </w:r>
      <w:bookmarkEnd w:id="144"/>
      <w:bookmarkEnd w:id="145"/>
      <w:bookmarkEnd w:id="146"/>
      <w:bookmarkEnd w:id="149"/>
    </w:p>
    <w:tbl>
      <w:tblPr>
        <w:tblStyle w:val="KPEiK"/>
        <w:tblW w:w="5000" w:type="pct"/>
        <w:tblLook w:val="04A0" w:firstRow="1" w:lastRow="0" w:firstColumn="1" w:lastColumn="0" w:noHBand="0" w:noVBand="1"/>
      </w:tblPr>
      <w:tblGrid>
        <w:gridCol w:w="2325"/>
        <w:gridCol w:w="1683"/>
        <w:gridCol w:w="1685"/>
        <w:gridCol w:w="1684"/>
        <w:gridCol w:w="1685"/>
      </w:tblGrid>
      <w:tr w:rsidR="00370F6C" w:rsidRPr="00DE4FED" w14:paraId="02F0E9A1" w14:textId="77777777" w:rsidTr="00F334B6">
        <w:trPr>
          <w:cnfStyle w:val="100000000000" w:firstRow="1" w:lastRow="0" w:firstColumn="0" w:lastColumn="0" w:oddVBand="0" w:evenVBand="0" w:oddHBand="0" w:evenHBand="0" w:firstRowFirstColumn="0" w:firstRowLastColumn="0" w:lastRowFirstColumn="0" w:lastRowLastColumn="0"/>
          <w:trHeight w:val="235"/>
          <w:tblHeader/>
        </w:trPr>
        <w:tc>
          <w:tcPr>
            <w:tcW w:w="2325" w:type="dxa"/>
            <w:vMerge w:val="restart"/>
          </w:tcPr>
          <w:p w14:paraId="5651AE8B" w14:textId="77777777" w:rsidR="00370F6C" w:rsidRDefault="00370F6C">
            <w:pPr>
              <w:pStyle w:val="Tabele"/>
              <w:jc w:val="center"/>
              <w:rPr>
                <w:b w:val="0"/>
              </w:rPr>
            </w:pPr>
            <w:r w:rsidRPr="00DE4FED">
              <w:t>Sektor</w:t>
            </w:r>
          </w:p>
          <w:p w14:paraId="16A1F293" w14:textId="77777777" w:rsidR="00370F6C" w:rsidRPr="00DE4FED" w:rsidRDefault="00370F6C">
            <w:pPr>
              <w:pStyle w:val="Tabele"/>
              <w:jc w:val="center"/>
            </w:pPr>
            <w:r>
              <w:t>(kategoria NFR)</w:t>
            </w:r>
          </w:p>
        </w:tc>
        <w:tc>
          <w:tcPr>
            <w:tcW w:w="6737" w:type="dxa"/>
            <w:gridSpan w:val="4"/>
          </w:tcPr>
          <w:p w14:paraId="2E997BE1" w14:textId="29026D87" w:rsidR="00370F6C" w:rsidRPr="00DE4FED" w:rsidRDefault="00F334B6">
            <w:pPr>
              <w:pStyle w:val="Tabele"/>
              <w:jc w:val="center"/>
              <w:rPr>
                <w:b w:val="0"/>
              </w:rPr>
            </w:pPr>
            <w:r w:rsidRPr="0095716F">
              <w:t>Zmiana emisji NOx WAM vs. WEM [%]</w:t>
            </w:r>
          </w:p>
        </w:tc>
      </w:tr>
      <w:tr w:rsidR="00370F6C" w:rsidRPr="00DE4FED" w14:paraId="40C97104" w14:textId="77777777" w:rsidTr="00F334B6">
        <w:trPr>
          <w:cnfStyle w:val="100000000000" w:firstRow="1" w:lastRow="0" w:firstColumn="0" w:lastColumn="0" w:oddVBand="0" w:evenVBand="0" w:oddHBand="0" w:evenHBand="0" w:firstRowFirstColumn="0" w:firstRowLastColumn="0" w:lastRowFirstColumn="0" w:lastRowLastColumn="0"/>
          <w:trHeight w:val="235"/>
          <w:tblHeader/>
        </w:trPr>
        <w:tc>
          <w:tcPr>
            <w:tcW w:w="2325" w:type="dxa"/>
            <w:vMerge/>
          </w:tcPr>
          <w:p w14:paraId="6F3F67CE" w14:textId="77777777" w:rsidR="00370F6C" w:rsidRPr="00DE4FED" w:rsidRDefault="00370F6C">
            <w:pPr>
              <w:pStyle w:val="Tabele"/>
              <w:jc w:val="center"/>
            </w:pPr>
          </w:p>
        </w:tc>
        <w:tc>
          <w:tcPr>
            <w:tcW w:w="1683" w:type="dxa"/>
            <w:tcBorders>
              <w:bottom w:val="single" w:sz="4" w:space="0" w:color="AEAAAA" w:themeColor="background2" w:themeShade="BF"/>
            </w:tcBorders>
          </w:tcPr>
          <w:p w14:paraId="6E7E2B05" w14:textId="77777777" w:rsidR="00370F6C" w:rsidRPr="00DE4FED" w:rsidRDefault="00370F6C">
            <w:pPr>
              <w:pStyle w:val="Tabele"/>
              <w:jc w:val="center"/>
            </w:pPr>
            <w:r w:rsidRPr="00DE4FED">
              <w:t>2025</w:t>
            </w:r>
          </w:p>
        </w:tc>
        <w:tc>
          <w:tcPr>
            <w:tcW w:w="1685" w:type="dxa"/>
            <w:tcBorders>
              <w:bottom w:val="single" w:sz="4" w:space="0" w:color="AEAAAA" w:themeColor="background2" w:themeShade="BF"/>
            </w:tcBorders>
          </w:tcPr>
          <w:p w14:paraId="79453FD8" w14:textId="77777777" w:rsidR="00370F6C" w:rsidRPr="00DE4FED" w:rsidRDefault="00370F6C">
            <w:pPr>
              <w:pStyle w:val="Tabele"/>
              <w:jc w:val="center"/>
            </w:pPr>
            <w:r w:rsidRPr="00DE4FED">
              <w:t>2030</w:t>
            </w:r>
          </w:p>
        </w:tc>
        <w:tc>
          <w:tcPr>
            <w:tcW w:w="1684" w:type="dxa"/>
            <w:tcBorders>
              <w:bottom w:val="single" w:sz="4" w:space="0" w:color="AEAAAA" w:themeColor="background2" w:themeShade="BF"/>
            </w:tcBorders>
          </w:tcPr>
          <w:p w14:paraId="70AF4A5C" w14:textId="77777777" w:rsidR="00370F6C" w:rsidRPr="00DE4FED" w:rsidRDefault="00370F6C">
            <w:pPr>
              <w:pStyle w:val="Tabele"/>
              <w:jc w:val="center"/>
            </w:pPr>
            <w:r w:rsidRPr="00DE4FED">
              <w:t>2035</w:t>
            </w:r>
          </w:p>
        </w:tc>
        <w:tc>
          <w:tcPr>
            <w:tcW w:w="1685" w:type="dxa"/>
            <w:tcBorders>
              <w:bottom w:val="single" w:sz="4" w:space="0" w:color="AEAAAA" w:themeColor="background2" w:themeShade="BF"/>
            </w:tcBorders>
          </w:tcPr>
          <w:p w14:paraId="0FC4A63C" w14:textId="77777777" w:rsidR="00370F6C" w:rsidRPr="00DE4FED" w:rsidRDefault="00370F6C">
            <w:pPr>
              <w:pStyle w:val="Tabele"/>
              <w:jc w:val="center"/>
            </w:pPr>
            <w:r w:rsidRPr="00DE4FED">
              <w:t>2040</w:t>
            </w:r>
          </w:p>
        </w:tc>
      </w:tr>
      <w:tr w:rsidR="00370F6C" w:rsidRPr="004669DE" w14:paraId="330CFBA4" w14:textId="77777777" w:rsidTr="00F334B6">
        <w:trPr>
          <w:trHeight w:val="235"/>
        </w:trPr>
        <w:tc>
          <w:tcPr>
            <w:tcW w:w="2325" w:type="dxa"/>
            <w:tcBorders>
              <w:right w:val="single" w:sz="4" w:space="0" w:color="AEAAAA" w:themeColor="background2" w:themeShade="BF"/>
            </w:tcBorders>
          </w:tcPr>
          <w:p w14:paraId="0B0189F6" w14:textId="77777777" w:rsidR="00370F6C" w:rsidRPr="00F43A85" w:rsidRDefault="00370F6C">
            <w:pPr>
              <w:pStyle w:val="Tabele"/>
              <w:rPr>
                <w:b/>
                <w:bCs/>
              </w:rPr>
            </w:pPr>
            <w:r>
              <w:rPr>
                <w:rFonts w:cs="Calibri"/>
                <w:b/>
                <w:bCs/>
                <w:color w:val="000000"/>
                <w:szCs w:val="16"/>
              </w:rPr>
              <w:t xml:space="preserve">1. Energia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165E3C" w14:textId="77777777" w:rsidR="00370F6C" w:rsidRPr="006813B9" w:rsidRDefault="00370F6C">
            <w:pPr>
              <w:pStyle w:val="Tabele"/>
              <w:jc w:val="right"/>
              <w:rPr>
                <w:highlight w:val="yellow"/>
              </w:rPr>
            </w:pPr>
            <w:r>
              <w:rPr>
                <w:rFonts w:cs="Calibri"/>
                <w:b/>
                <w:bCs/>
                <w:color w:val="000000"/>
                <w:szCs w:val="16"/>
              </w:rPr>
              <w:t>-2,1%</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62A02A8" w14:textId="77777777" w:rsidR="00370F6C" w:rsidRPr="006813B9" w:rsidRDefault="00370F6C">
            <w:pPr>
              <w:pStyle w:val="Tabele"/>
              <w:jc w:val="right"/>
              <w:rPr>
                <w:highlight w:val="yellow"/>
              </w:rPr>
            </w:pPr>
            <w:r>
              <w:rPr>
                <w:rFonts w:cs="Calibri"/>
                <w:b/>
                <w:bCs/>
                <w:color w:val="000000"/>
                <w:szCs w:val="16"/>
              </w:rPr>
              <w:t>-8,1%</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B4BF39" w14:textId="77777777" w:rsidR="00370F6C" w:rsidRPr="006813B9" w:rsidRDefault="00370F6C">
            <w:pPr>
              <w:pStyle w:val="Tabele"/>
              <w:jc w:val="right"/>
              <w:rPr>
                <w:highlight w:val="yellow"/>
              </w:rPr>
            </w:pPr>
            <w:r>
              <w:rPr>
                <w:rFonts w:cs="Calibri"/>
                <w:b/>
                <w:bCs/>
                <w:color w:val="000000"/>
                <w:szCs w:val="16"/>
              </w:rPr>
              <w:t>-20,2%</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18BF87" w14:textId="77777777" w:rsidR="00370F6C" w:rsidRPr="006813B9" w:rsidRDefault="00370F6C">
            <w:pPr>
              <w:pStyle w:val="Tabele"/>
              <w:jc w:val="right"/>
              <w:rPr>
                <w:highlight w:val="yellow"/>
              </w:rPr>
            </w:pPr>
            <w:r>
              <w:rPr>
                <w:rFonts w:cs="Calibri"/>
                <w:b/>
                <w:bCs/>
                <w:color w:val="000000"/>
                <w:szCs w:val="16"/>
              </w:rPr>
              <w:t>-28,3%</w:t>
            </w:r>
          </w:p>
        </w:tc>
      </w:tr>
      <w:tr w:rsidR="00370F6C" w:rsidRPr="004669DE" w14:paraId="66F3F406" w14:textId="77777777" w:rsidTr="00F334B6">
        <w:trPr>
          <w:trHeight w:val="235"/>
        </w:trPr>
        <w:tc>
          <w:tcPr>
            <w:tcW w:w="2325" w:type="dxa"/>
            <w:tcBorders>
              <w:right w:val="single" w:sz="4" w:space="0" w:color="AEAAAA" w:themeColor="background2" w:themeShade="BF"/>
            </w:tcBorders>
          </w:tcPr>
          <w:p w14:paraId="141E8784" w14:textId="77777777" w:rsidR="00370F6C" w:rsidRPr="004669DE" w:rsidRDefault="00370F6C">
            <w:pPr>
              <w:pStyle w:val="Tabele"/>
              <w:rPr>
                <w:b/>
                <w:bCs/>
              </w:rPr>
            </w:pPr>
            <w:r>
              <w:rPr>
                <w:rFonts w:cs="Calibri"/>
                <w:color w:val="000000"/>
                <w:szCs w:val="16"/>
              </w:rPr>
              <w:t xml:space="preserve">A. Spalanie paliw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2418A9F" w14:textId="77777777" w:rsidR="00370F6C" w:rsidRPr="006813B9" w:rsidRDefault="00370F6C">
            <w:pPr>
              <w:pStyle w:val="Tabele"/>
              <w:jc w:val="right"/>
              <w:rPr>
                <w:highlight w:val="yellow"/>
              </w:rPr>
            </w:pPr>
            <w:r>
              <w:rPr>
                <w:rFonts w:cs="Calibri"/>
                <w:color w:val="000000"/>
                <w:szCs w:val="16"/>
              </w:rPr>
              <w:t>-2,1%</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76FF464" w14:textId="77777777" w:rsidR="00370F6C" w:rsidRPr="006813B9" w:rsidRDefault="00370F6C">
            <w:pPr>
              <w:pStyle w:val="Tabele"/>
              <w:jc w:val="right"/>
              <w:rPr>
                <w:highlight w:val="yellow"/>
              </w:rPr>
            </w:pPr>
            <w:r>
              <w:rPr>
                <w:rFonts w:cs="Calibri"/>
                <w:color w:val="000000"/>
                <w:szCs w:val="16"/>
              </w:rPr>
              <w:t>-8,2%</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FF7944" w14:textId="77777777" w:rsidR="00370F6C" w:rsidRPr="006813B9" w:rsidRDefault="00370F6C">
            <w:pPr>
              <w:pStyle w:val="Tabele"/>
              <w:jc w:val="right"/>
              <w:rPr>
                <w:highlight w:val="yellow"/>
              </w:rPr>
            </w:pPr>
            <w:r>
              <w:rPr>
                <w:rFonts w:cs="Calibri"/>
                <w:color w:val="000000"/>
                <w:szCs w:val="16"/>
              </w:rPr>
              <w:t>-20,4%</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DC16D8" w14:textId="77777777" w:rsidR="00370F6C" w:rsidRPr="006813B9" w:rsidRDefault="00370F6C">
            <w:pPr>
              <w:pStyle w:val="Tabele"/>
              <w:jc w:val="right"/>
              <w:rPr>
                <w:highlight w:val="yellow"/>
              </w:rPr>
            </w:pPr>
            <w:r>
              <w:rPr>
                <w:rFonts w:cs="Calibri"/>
                <w:color w:val="000000"/>
                <w:szCs w:val="16"/>
              </w:rPr>
              <w:t>-28,6%</w:t>
            </w:r>
          </w:p>
        </w:tc>
      </w:tr>
      <w:tr w:rsidR="00370F6C" w:rsidRPr="004669DE" w14:paraId="2F199CD1" w14:textId="77777777" w:rsidTr="00F334B6">
        <w:trPr>
          <w:trHeight w:val="235"/>
        </w:trPr>
        <w:tc>
          <w:tcPr>
            <w:tcW w:w="2325" w:type="dxa"/>
            <w:tcBorders>
              <w:right w:val="single" w:sz="4" w:space="0" w:color="AEAAAA" w:themeColor="background2" w:themeShade="BF"/>
            </w:tcBorders>
          </w:tcPr>
          <w:p w14:paraId="37E58A62" w14:textId="77777777" w:rsidR="00370F6C" w:rsidRPr="004669DE" w:rsidRDefault="00370F6C">
            <w:pPr>
              <w:pStyle w:val="Tabele"/>
              <w:rPr>
                <w:bCs/>
              </w:rPr>
            </w:pPr>
            <w:r>
              <w:rPr>
                <w:rFonts w:cs="Calibri"/>
                <w:color w:val="000000"/>
                <w:szCs w:val="16"/>
              </w:rPr>
              <w:t xml:space="preserve">1. Przemysły energetyczne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FAA345" w14:textId="77777777" w:rsidR="00370F6C" w:rsidRPr="006813B9" w:rsidRDefault="00370F6C">
            <w:pPr>
              <w:pStyle w:val="Tabele"/>
              <w:jc w:val="right"/>
              <w:rPr>
                <w:highlight w:val="yellow"/>
              </w:rPr>
            </w:pPr>
            <w:r>
              <w:rPr>
                <w:rFonts w:cs="Calibri"/>
                <w:color w:val="000000"/>
                <w:szCs w:val="16"/>
              </w:rPr>
              <w:t>-5,5%</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9568DD1" w14:textId="77777777" w:rsidR="00370F6C" w:rsidRPr="006813B9" w:rsidRDefault="00370F6C">
            <w:pPr>
              <w:pStyle w:val="Tabele"/>
              <w:jc w:val="right"/>
              <w:rPr>
                <w:highlight w:val="yellow"/>
              </w:rPr>
            </w:pPr>
            <w:r>
              <w:rPr>
                <w:rFonts w:cs="Calibri"/>
                <w:color w:val="000000"/>
                <w:szCs w:val="16"/>
              </w:rPr>
              <w:t>-15,4%</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88B7F96" w14:textId="77777777" w:rsidR="00370F6C" w:rsidRPr="006813B9" w:rsidRDefault="00370F6C">
            <w:pPr>
              <w:pStyle w:val="Tabele"/>
              <w:jc w:val="right"/>
              <w:rPr>
                <w:highlight w:val="yellow"/>
              </w:rPr>
            </w:pPr>
            <w:r>
              <w:rPr>
                <w:rFonts w:cs="Calibri"/>
                <w:color w:val="000000"/>
                <w:szCs w:val="16"/>
              </w:rPr>
              <w:t>-42,6%</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AAA9693" w14:textId="77777777" w:rsidR="00370F6C" w:rsidRPr="006813B9" w:rsidRDefault="00370F6C">
            <w:pPr>
              <w:pStyle w:val="Tabele"/>
              <w:jc w:val="right"/>
              <w:rPr>
                <w:highlight w:val="yellow"/>
              </w:rPr>
            </w:pPr>
            <w:r>
              <w:rPr>
                <w:rFonts w:cs="Calibri"/>
                <w:color w:val="000000"/>
                <w:szCs w:val="16"/>
              </w:rPr>
              <w:t>-52,8%</w:t>
            </w:r>
          </w:p>
        </w:tc>
      </w:tr>
      <w:tr w:rsidR="00370F6C" w:rsidRPr="004669DE" w14:paraId="6587C6EF" w14:textId="77777777" w:rsidTr="00F334B6">
        <w:trPr>
          <w:trHeight w:val="235"/>
        </w:trPr>
        <w:tc>
          <w:tcPr>
            <w:tcW w:w="2325" w:type="dxa"/>
            <w:tcBorders>
              <w:right w:val="single" w:sz="4" w:space="0" w:color="AEAAAA" w:themeColor="background2" w:themeShade="BF"/>
            </w:tcBorders>
          </w:tcPr>
          <w:p w14:paraId="04A1BEF8" w14:textId="77777777" w:rsidR="00370F6C" w:rsidRPr="004669DE" w:rsidRDefault="00370F6C">
            <w:pPr>
              <w:pStyle w:val="Tabele"/>
              <w:rPr>
                <w:bCs/>
              </w:rPr>
            </w:pPr>
            <w:r>
              <w:rPr>
                <w:rFonts w:cs="Calibri"/>
                <w:color w:val="000000"/>
                <w:szCs w:val="16"/>
              </w:rPr>
              <w:t xml:space="preserve">2. Przemysł wytwórczy i budownictwo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C27D6AE" w14:textId="77777777" w:rsidR="00370F6C" w:rsidRPr="006813B9" w:rsidRDefault="00370F6C">
            <w:pPr>
              <w:pStyle w:val="Tabele"/>
              <w:jc w:val="right"/>
              <w:rPr>
                <w:highlight w:val="yellow"/>
              </w:rPr>
            </w:pPr>
            <w:r>
              <w:rPr>
                <w:rFonts w:cs="Calibri"/>
                <w:color w:val="000000"/>
                <w:szCs w:val="16"/>
              </w:rPr>
              <w:t>-4,1%</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F63BFF5" w14:textId="77777777" w:rsidR="00370F6C" w:rsidRPr="006813B9" w:rsidRDefault="00370F6C">
            <w:pPr>
              <w:pStyle w:val="Tabele"/>
              <w:jc w:val="right"/>
              <w:rPr>
                <w:highlight w:val="yellow"/>
              </w:rPr>
            </w:pPr>
            <w:r>
              <w:rPr>
                <w:rFonts w:cs="Calibri"/>
                <w:color w:val="000000"/>
                <w:szCs w:val="16"/>
              </w:rPr>
              <w:t>-16,8%</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0C7DF51" w14:textId="77777777" w:rsidR="00370F6C" w:rsidRPr="006813B9" w:rsidRDefault="00370F6C">
            <w:pPr>
              <w:pStyle w:val="Tabele"/>
              <w:jc w:val="right"/>
              <w:rPr>
                <w:highlight w:val="yellow"/>
              </w:rPr>
            </w:pPr>
            <w:r>
              <w:rPr>
                <w:rFonts w:cs="Calibri"/>
                <w:color w:val="000000"/>
                <w:szCs w:val="16"/>
              </w:rPr>
              <w:t>-23,1%</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CEDA94" w14:textId="77777777" w:rsidR="00370F6C" w:rsidRPr="006813B9" w:rsidRDefault="00370F6C">
            <w:pPr>
              <w:pStyle w:val="Tabele"/>
              <w:jc w:val="right"/>
              <w:rPr>
                <w:highlight w:val="yellow"/>
              </w:rPr>
            </w:pPr>
            <w:r>
              <w:rPr>
                <w:rFonts w:cs="Calibri"/>
                <w:color w:val="000000"/>
                <w:szCs w:val="16"/>
              </w:rPr>
              <w:t>-29,8%</w:t>
            </w:r>
          </w:p>
        </w:tc>
      </w:tr>
      <w:tr w:rsidR="00370F6C" w:rsidRPr="004669DE" w14:paraId="03A272CD" w14:textId="77777777" w:rsidTr="00F334B6">
        <w:trPr>
          <w:trHeight w:val="235"/>
        </w:trPr>
        <w:tc>
          <w:tcPr>
            <w:tcW w:w="2325" w:type="dxa"/>
            <w:tcBorders>
              <w:right w:val="single" w:sz="4" w:space="0" w:color="AEAAAA" w:themeColor="background2" w:themeShade="BF"/>
            </w:tcBorders>
          </w:tcPr>
          <w:p w14:paraId="24E7B79C" w14:textId="77777777" w:rsidR="00370F6C" w:rsidRPr="004669DE" w:rsidRDefault="00370F6C">
            <w:pPr>
              <w:pStyle w:val="Tabele"/>
              <w:rPr>
                <w:bCs/>
              </w:rPr>
            </w:pPr>
            <w:r>
              <w:rPr>
                <w:rFonts w:cs="Calibri"/>
                <w:color w:val="000000"/>
                <w:szCs w:val="16"/>
              </w:rPr>
              <w:t xml:space="preserve">3. Transport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87BAE04" w14:textId="77777777" w:rsidR="00370F6C" w:rsidRPr="006813B9" w:rsidRDefault="00370F6C">
            <w:pPr>
              <w:pStyle w:val="Tabele"/>
              <w:jc w:val="right"/>
              <w:rPr>
                <w:highlight w:val="yellow"/>
              </w:rPr>
            </w:pPr>
            <w:r>
              <w:rPr>
                <w:rFonts w:cs="Calibri"/>
                <w:color w:val="000000"/>
                <w:szCs w:val="16"/>
              </w:rPr>
              <w:t>0,5%</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CFC131" w14:textId="77777777" w:rsidR="00370F6C" w:rsidRPr="006813B9" w:rsidRDefault="00370F6C">
            <w:pPr>
              <w:pStyle w:val="Tabele"/>
              <w:jc w:val="right"/>
              <w:rPr>
                <w:highlight w:val="yellow"/>
              </w:rPr>
            </w:pPr>
            <w:r>
              <w:rPr>
                <w:rFonts w:cs="Calibri"/>
                <w:color w:val="000000"/>
                <w:szCs w:val="16"/>
              </w:rPr>
              <w:t>-2,7%</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336AAA" w14:textId="77777777" w:rsidR="00370F6C" w:rsidRPr="006813B9" w:rsidRDefault="00370F6C">
            <w:pPr>
              <w:pStyle w:val="Tabele"/>
              <w:jc w:val="right"/>
              <w:rPr>
                <w:highlight w:val="yellow"/>
              </w:rPr>
            </w:pPr>
            <w:r>
              <w:rPr>
                <w:rFonts w:cs="Calibri"/>
                <w:color w:val="000000"/>
                <w:szCs w:val="16"/>
              </w:rPr>
              <w:t>-10,7%</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8FCAF4" w14:textId="77777777" w:rsidR="00370F6C" w:rsidRPr="006813B9" w:rsidRDefault="00370F6C">
            <w:pPr>
              <w:pStyle w:val="Tabele"/>
              <w:jc w:val="right"/>
              <w:rPr>
                <w:highlight w:val="yellow"/>
              </w:rPr>
            </w:pPr>
            <w:r>
              <w:rPr>
                <w:rFonts w:cs="Calibri"/>
                <w:color w:val="000000"/>
                <w:szCs w:val="16"/>
              </w:rPr>
              <w:t>-22,9%</w:t>
            </w:r>
          </w:p>
        </w:tc>
      </w:tr>
      <w:tr w:rsidR="00370F6C" w:rsidRPr="004669DE" w14:paraId="0240E27E" w14:textId="77777777" w:rsidTr="00F334B6">
        <w:trPr>
          <w:trHeight w:val="235"/>
        </w:trPr>
        <w:tc>
          <w:tcPr>
            <w:tcW w:w="2325" w:type="dxa"/>
            <w:tcBorders>
              <w:right w:val="single" w:sz="4" w:space="0" w:color="AEAAAA" w:themeColor="background2" w:themeShade="BF"/>
            </w:tcBorders>
          </w:tcPr>
          <w:p w14:paraId="0A1AC937" w14:textId="77777777" w:rsidR="00370F6C" w:rsidRPr="004669DE" w:rsidRDefault="00370F6C">
            <w:pPr>
              <w:pStyle w:val="Tabele"/>
              <w:rPr>
                <w:bCs/>
              </w:rPr>
            </w:pPr>
            <w:r>
              <w:rPr>
                <w:rFonts w:cs="Calibri"/>
                <w:color w:val="000000"/>
                <w:szCs w:val="16"/>
              </w:rPr>
              <w:t xml:space="preserve">4. Inne sektory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0A5F2EF" w14:textId="77777777" w:rsidR="00370F6C" w:rsidRPr="006813B9" w:rsidRDefault="00370F6C">
            <w:pPr>
              <w:pStyle w:val="Tabele"/>
              <w:jc w:val="right"/>
              <w:rPr>
                <w:highlight w:val="yellow"/>
              </w:rPr>
            </w:pPr>
            <w:r>
              <w:rPr>
                <w:rFonts w:cs="Calibri"/>
                <w:color w:val="000000"/>
                <w:szCs w:val="16"/>
              </w:rPr>
              <w:t>-3,0%</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659E41" w14:textId="77777777" w:rsidR="00370F6C" w:rsidRPr="006813B9" w:rsidRDefault="00370F6C">
            <w:pPr>
              <w:pStyle w:val="Tabele"/>
              <w:jc w:val="right"/>
              <w:rPr>
                <w:highlight w:val="yellow"/>
              </w:rPr>
            </w:pPr>
            <w:r>
              <w:rPr>
                <w:rFonts w:cs="Calibri"/>
                <w:color w:val="000000"/>
                <w:szCs w:val="16"/>
              </w:rPr>
              <w:t>-8,0%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A74FEE1" w14:textId="77777777" w:rsidR="00370F6C" w:rsidRPr="006813B9" w:rsidRDefault="00370F6C">
            <w:pPr>
              <w:pStyle w:val="Tabele"/>
              <w:jc w:val="right"/>
              <w:rPr>
                <w:highlight w:val="yellow"/>
              </w:rPr>
            </w:pPr>
            <w:r>
              <w:rPr>
                <w:rFonts w:cs="Calibri"/>
                <w:color w:val="000000"/>
                <w:szCs w:val="16"/>
              </w:rPr>
              <w:t>-17,5%</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62BA5B" w14:textId="77777777" w:rsidR="00370F6C" w:rsidRPr="006813B9" w:rsidRDefault="00370F6C">
            <w:pPr>
              <w:pStyle w:val="Tabele"/>
              <w:jc w:val="right"/>
              <w:rPr>
                <w:highlight w:val="yellow"/>
              </w:rPr>
            </w:pPr>
            <w:r>
              <w:rPr>
                <w:rFonts w:cs="Calibri"/>
                <w:color w:val="000000"/>
                <w:szCs w:val="16"/>
              </w:rPr>
              <w:t>-22,4%</w:t>
            </w:r>
          </w:p>
        </w:tc>
      </w:tr>
      <w:tr w:rsidR="00370F6C" w:rsidRPr="004669DE" w14:paraId="04474F74" w14:textId="77777777" w:rsidTr="00F334B6">
        <w:trPr>
          <w:trHeight w:val="235"/>
        </w:trPr>
        <w:tc>
          <w:tcPr>
            <w:tcW w:w="2325" w:type="dxa"/>
            <w:tcBorders>
              <w:right w:val="single" w:sz="4" w:space="0" w:color="AEAAAA" w:themeColor="background2" w:themeShade="BF"/>
            </w:tcBorders>
          </w:tcPr>
          <w:p w14:paraId="0E3DA07E" w14:textId="77777777" w:rsidR="00370F6C" w:rsidRPr="004669DE" w:rsidRDefault="00370F6C">
            <w:pPr>
              <w:pStyle w:val="Tabele"/>
              <w:rPr>
                <w:bCs/>
              </w:rPr>
            </w:pPr>
            <w:r>
              <w:rPr>
                <w:rFonts w:cs="Calibri"/>
                <w:color w:val="000000"/>
                <w:szCs w:val="16"/>
              </w:rPr>
              <w:t xml:space="preserve">B. Emisja lotna z paliw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42B566" w14:textId="77777777" w:rsidR="00370F6C" w:rsidRPr="006813B9" w:rsidRDefault="00370F6C">
            <w:pPr>
              <w:pStyle w:val="Tabele"/>
              <w:jc w:val="right"/>
              <w:rPr>
                <w:highlight w:val="yellow"/>
              </w:rPr>
            </w:pPr>
            <w:r>
              <w:rPr>
                <w:rFonts w:cs="Calibri"/>
                <w:color w:val="000000"/>
                <w:szCs w:val="16"/>
              </w:rPr>
              <w:t>-1,5%</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3600AB" w14:textId="77777777" w:rsidR="00370F6C" w:rsidRPr="006813B9" w:rsidRDefault="00370F6C">
            <w:pPr>
              <w:pStyle w:val="Tabele"/>
              <w:jc w:val="right"/>
              <w:rPr>
                <w:highlight w:val="yellow"/>
              </w:rPr>
            </w:pPr>
            <w:r>
              <w:rPr>
                <w:rFonts w:cs="Calibri"/>
                <w:color w:val="000000"/>
                <w:szCs w:val="16"/>
              </w:rPr>
              <w:t>-1,0%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C46847" w14:textId="77777777" w:rsidR="00370F6C" w:rsidRPr="006813B9" w:rsidRDefault="00370F6C">
            <w:pPr>
              <w:pStyle w:val="Tabele"/>
              <w:jc w:val="right"/>
              <w:rPr>
                <w:highlight w:val="yellow"/>
              </w:rPr>
            </w:pPr>
            <w:r>
              <w:rPr>
                <w:rFonts w:cs="Calibri"/>
                <w:color w:val="000000"/>
                <w:szCs w:val="16"/>
              </w:rPr>
              <w:t>-1,3%</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E1428F" w14:textId="77777777" w:rsidR="00370F6C" w:rsidRPr="006813B9" w:rsidRDefault="00370F6C">
            <w:pPr>
              <w:pStyle w:val="Tabele"/>
              <w:jc w:val="right"/>
              <w:rPr>
                <w:highlight w:val="yellow"/>
              </w:rPr>
            </w:pPr>
            <w:r>
              <w:rPr>
                <w:rFonts w:cs="Calibri"/>
                <w:color w:val="000000"/>
                <w:szCs w:val="16"/>
              </w:rPr>
              <w:t>-2,8%</w:t>
            </w:r>
          </w:p>
        </w:tc>
      </w:tr>
      <w:tr w:rsidR="00370F6C" w:rsidRPr="004669DE" w14:paraId="1C17F080" w14:textId="77777777" w:rsidTr="00F334B6">
        <w:trPr>
          <w:trHeight w:val="235"/>
        </w:trPr>
        <w:tc>
          <w:tcPr>
            <w:tcW w:w="2325" w:type="dxa"/>
            <w:tcBorders>
              <w:right w:val="single" w:sz="4" w:space="0" w:color="AEAAAA" w:themeColor="background2" w:themeShade="BF"/>
            </w:tcBorders>
          </w:tcPr>
          <w:p w14:paraId="3EBFD7E7" w14:textId="77777777" w:rsidR="00370F6C" w:rsidRPr="004669DE" w:rsidRDefault="00370F6C">
            <w:pPr>
              <w:pStyle w:val="Tabele"/>
              <w:rPr>
                <w:bCs/>
              </w:rPr>
            </w:pPr>
            <w:r>
              <w:rPr>
                <w:rFonts w:cs="Calibri"/>
                <w:color w:val="000000"/>
                <w:szCs w:val="16"/>
              </w:rPr>
              <w:t xml:space="preserve">1. Paliwa stałe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0CA8CB0" w14:textId="77777777" w:rsidR="00370F6C" w:rsidRPr="006813B9" w:rsidRDefault="00370F6C">
            <w:pPr>
              <w:pStyle w:val="Tabele"/>
              <w:jc w:val="right"/>
              <w:rPr>
                <w:highlight w:val="yellow"/>
              </w:rPr>
            </w:pPr>
            <w:r>
              <w:rPr>
                <w:rFonts w:cs="Calibri"/>
                <w:color w:val="000000"/>
                <w:szCs w:val="16"/>
              </w:rPr>
              <w:t>-4,5%</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84189F" w14:textId="77777777" w:rsidR="00370F6C" w:rsidRPr="006813B9" w:rsidRDefault="00370F6C">
            <w:pPr>
              <w:pStyle w:val="Tabele"/>
              <w:jc w:val="right"/>
              <w:rPr>
                <w:highlight w:val="yellow"/>
              </w:rPr>
            </w:pPr>
            <w:r>
              <w:rPr>
                <w:rFonts w:cs="Calibri"/>
                <w:color w:val="000000"/>
                <w:szCs w:val="16"/>
              </w:rPr>
              <w:t>-5,0%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7B1800D" w14:textId="77777777" w:rsidR="00370F6C" w:rsidRPr="006813B9" w:rsidRDefault="00370F6C">
            <w:pPr>
              <w:pStyle w:val="Tabele"/>
              <w:jc w:val="right"/>
              <w:rPr>
                <w:highlight w:val="yellow"/>
              </w:rPr>
            </w:pPr>
            <w:r>
              <w:rPr>
                <w:rFonts w:cs="Calibri"/>
                <w:color w:val="000000"/>
                <w:szCs w:val="16"/>
              </w:rPr>
              <w:t>-4,6%</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F8A48F6" w14:textId="77777777" w:rsidR="00370F6C" w:rsidRPr="006813B9" w:rsidRDefault="00370F6C">
            <w:pPr>
              <w:pStyle w:val="Tabele"/>
              <w:jc w:val="right"/>
              <w:rPr>
                <w:highlight w:val="yellow"/>
              </w:rPr>
            </w:pPr>
            <w:r>
              <w:rPr>
                <w:rFonts w:cs="Calibri"/>
                <w:color w:val="000000"/>
                <w:szCs w:val="16"/>
              </w:rPr>
              <w:t>-5,6%</w:t>
            </w:r>
          </w:p>
        </w:tc>
      </w:tr>
      <w:tr w:rsidR="00370F6C" w:rsidRPr="004669DE" w14:paraId="5E77D01D" w14:textId="77777777" w:rsidTr="00F334B6">
        <w:trPr>
          <w:trHeight w:val="235"/>
        </w:trPr>
        <w:tc>
          <w:tcPr>
            <w:tcW w:w="2325" w:type="dxa"/>
            <w:tcBorders>
              <w:right w:val="single" w:sz="4" w:space="0" w:color="AEAAAA" w:themeColor="background2" w:themeShade="BF"/>
            </w:tcBorders>
          </w:tcPr>
          <w:p w14:paraId="5D721233" w14:textId="77777777" w:rsidR="00370F6C" w:rsidRPr="004669DE" w:rsidRDefault="00370F6C">
            <w:pPr>
              <w:pStyle w:val="Tabele"/>
              <w:rPr>
                <w:bCs/>
              </w:rPr>
            </w:pPr>
            <w:r>
              <w:rPr>
                <w:rFonts w:cs="Calibri"/>
                <w:color w:val="000000"/>
                <w:szCs w:val="16"/>
              </w:rPr>
              <w:t xml:space="preserve">2. Ropa naftowa i gaz ziemny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31151A" w14:textId="77777777" w:rsidR="00370F6C" w:rsidRPr="006813B9" w:rsidRDefault="00370F6C">
            <w:pPr>
              <w:pStyle w:val="Tabele"/>
              <w:jc w:val="right"/>
              <w:rPr>
                <w:highlight w:val="yellow"/>
              </w:rPr>
            </w:pPr>
            <w:r>
              <w:rPr>
                <w:rFonts w:cs="Calibri"/>
                <w:color w:val="000000"/>
                <w:szCs w:val="16"/>
              </w:rPr>
              <w:t>-1,5%</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0379D7" w14:textId="77777777" w:rsidR="00370F6C" w:rsidRPr="006813B9" w:rsidRDefault="00370F6C">
            <w:pPr>
              <w:pStyle w:val="Tabele"/>
              <w:jc w:val="right"/>
              <w:rPr>
                <w:highlight w:val="yellow"/>
              </w:rPr>
            </w:pPr>
            <w:r>
              <w:rPr>
                <w:rFonts w:cs="Calibri"/>
                <w:color w:val="000000"/>
                <w:szCs w:val="16"/>
              </w:rPr>
              <w:t>-1,0%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65D617" w14:textId="77777777" w:rsidR="00370F6C" w:rsidRPr="006813B9" w:rsidRDefault="00370F6C">
            <w:pPr>
              <w:pStyle w:val="Tabele"/>
              <w:jc w:val="right"/>
              <w:rPr>
                <w:highlight w:val="yellow"/>
              </w:rPr>
            </w:pPr>
            <w:r>
              <w:rPr>
                <w:rFonts w:cs="Calibri"/>
                <w:color w:val="000000"/>
                <w:szCs w:val="16"/>
              </w:rPr>
              <w:t>-1,3%</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D317E9" w14:textId="77777777" w:rsidR="00370F6C" w:rsidRPr="006813B9" w:rsidRDefault="00370F6C">
            <w:pPr>
              <w:pStyle w:val="Tabele"/>
              <w:jc w:val="right"/>
              <w:rPr>
                <w:highlight w:val="yellow"/>
              </w:rPr>
            </w:pPr>
            <w:r>
              <w:rPr>
                <w:rFonts w:cs="Calibri"/>
                <w:color w:val="000000"/>
                <w:szCs w:val="16"/>
              </w:rPr>
              <w:t>-2,8%</w:t>
            </w:r>
          </w:p>
        </w:tc>
      </w:tr>
      <w:tr w:rsidR="00370F6C" w:rsidRPr="004669DE" w14:paraId="3FF3DA5F" w14:textId="77777777" w:rsidTr="00F334B6">
        <w:trPr>
          <w:trHeight w:val="235"/>
        </w:trPr>
        <w:tc>
          <w:tcPr>
            <w:tcW w:w="2325" w:type="dxa"/>
            <w:tcBorders>
              <w:right w:val="single" w:sz="4" w:space="0" w:color="AEAAAA" w:themeColor="background2" w:themeShade="BF"/>
            </w:tcBorders>
          </w:tcPr>
          <w:p w14:paraId="3577E272" w14:textId="77777777" w:rsidR="00370F6C" w:rsidRPr="00F43A85" w:rsidRDefault="00370F6C">
            <w:pPr>
              <w:pStyle w:val="Tabele"/>
              <w:rPr>
                <w:b/>
                <w:bCs/>
              </w:rPr>
            </w:pPr>
            <w:r>
              <w:rPr>
                <w:rFonts w:cs="Calibri"/>
                <w:b/>
                <w:bCs/>
                <w:color w:val="000000"/>
                <w:szCs w:val="16"/>
              </w:rPr>
              <w:t>2. Procesy przemysłowe</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36F732" w14:textId="77777777" w:rsidR="00370F6C" w:rsidRPr="006813B9" w:rsidRDefault="00370F6C">
            <w:pPr>
              <w:pStyle w:val="Tabele"/>
              <w:jc w:val="right"/>
              <w:rPr>
                <w:highlight w:val="yellow"/>
              </w:rPr>
            </w:pPr>
            <w:r>
              <w:rPr>
                <w:rFonts w:cs="Calibri"/>
                <w:b/>
                <w:bCs/>
                <w:color w:val="000000"/>
                <w:szCs w:val="16"/>
              </w:rPr>
              <w:t>-1,7%</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EB61373" w14:textId="77777777" w:rsidR="00370F6C" w:rsidRPr="006813B9" w:rsidRDefault="00370F6C">
            <w:pPr>
              <w:pStyle w:val="Tabele"/>
              <w:jc w:val="right"/>
              <w:rPr>
                <w:highlight w:val="yellow"/>
              </w:rPr>
            </w:pPr>
            <w:r>
              <w:rPr>
                <w:rFonts w:cs="Calibri"/>
                <w:b/>
                <w:bCs/>
                <w:color w:val="000000"/>
                <w:szCs w:val="16"/>
              </w:rPr>
              <w:t>-1,3%</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151E43" w14:textId="77777777" w:rsidR="00370F6C" w:rsidRPr="006813B9" w:rsidRDefault="00370F6C">
            <w:pPr>
              <w:pStyle w:val="Tabele"/>
              <w:jc w:val="right"/>
              <w:rPr>
                <w:highlight w:val="yellow"/>
              </w:rPr>
            </w:pPr>
            <w:r>
              <w:rPr>
                <w:rFonts w:cs="Calibri"/>
                <w:b/>
                <w:bCs/>
                <w:color w:val="000000"/>
                <w:szCs w:val="16"/>
              </w:rPr>
              <w:t>-0,6%</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736B102" w14:textId="77777777" w:rsidR="00370F6C" w:rsidRPr="006813B9" w:rsidRDefault="00370F6C">
            <w:pPr>
              <w:pStyle w:val="Tabele"/>
              <w:jc w:val="right"/>
              <w:rPr>
                <w:highlight w:val="yellow"/>
              </w:rPr>
            </w:pPr>
            <w:r>
              <w:rPr>
                <w:rFonts w:cs="Calibri"/>
                <w:b/>
                <w:bCs/>
                <w:color w:val="000000"/>
                <w:szCs w:val="16"/>
              </w:rPr>
              <w:t>-0,1%</w:t>
            </w:r>
          </w:p>
        </w:tc>
      </w:tr>
      <w:tr w:rsidR="00370F6C" w:rsidRPr="004669DE" w14:paraId="33F1DB66" w14:textId="77777777" w:rsidTr="00F334B6">
        <w:trPr>
          <w:trHeight w:val="235"/>
        </w:trPr>
        <w:tc>
          <w:tcPr>
            <w:tcW w:w="2325" w:type="dxa"/>
            <w:tcBorders>
              <w:right w:val="single" w:sz="4" w:space="0" w:color="AEAAAA" w:themeColor="background2" w:themeShade="BF"/>
            </w:tcBorders>
          </w:tcPr>
          <w:p w14:paraId="090D3446" w14:textId="77777777" w:rsidR="00370F6C" w:rsidRPr="004669DE" w:rsidRDefault="00370F6C">
            <w:pPr>
              <w:pStyle w:val="Tabele"/>
              <w:rPr>
                <w:bCs/>
              </w:rPr>
            </w:pPr>
            <w:r>
              <w:rPr>
                <w:rFonts w:cs="Calibri"/>
                <w:color w:val="000000"/>
                <w:szCs w:val="16"/>
              </w:rPr>
              <w:t xml:space="preserve">B. Przemysł chemiczny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A9B1906" w14:textId="77777777" w:rsidR="00370F6C" w:rsidRPr="006813B9" w:rsidRDefault="00370F6C">
            <w:pPr>
              <w:pStyle w:val="Tabele"/>
              <w:jc w:val="right"/>
              <w:rPr>
                <w:highlight w:val="yellow"/>
              </w:rPr>
            </w:pPr>
            <w:r>
              <w:rPr>
                <w:rFonts w:cs="Calibri"/>
                <w:color w:val="000000"/>
                <w:szCs w:val="16"/>
              </w:rPr>
              <w:t>0,0%</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B1BF2D8" w14:textId="77777777" w:rsidR="00370F6C" w:rsidRPr="006813B9" w:rsidRDefault="00370F6C">
            <w:pPr>
              <w:pStyle w:val="Tabele"/>
              <w:jc w:val="right"/>
              <w:rPr>
                <w:highlight w:val="yellow"/>
              </w:rPr>
            </w:pPr>
            <w:r>
              <w:rPr>
                <w:rFonts w:cs="Calibri"/>
                <w:color w:val="000000"/>
                <w:szCs w:val="16"/>
              </w:rPr>
              <w:t>0,0%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A3FFF04" w14:textId="77777777" w:rsidR="00370F6C" w:rsidRPr="006813B9" w:rsidRDefault="00370F6C">
            <w:pPr>
              <w:pStyle w:val="Tabele"/>
              <w:jc w:val="right"/>
              <w:rPr>
                <w:highlight w:val="yellow"/>
              </w:rPr>
            </w:pPr>
            <w:r>
              <w:rPr>
                <w:rFonts w:cs="Calibri"/>
                <w:color w:val="000000"/>
                <w:szCs w:val="16"/>
              </w:rPr>
              <w:t>0,0%</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4271F49" w14:textId="77777777" w:rsidR="00370F6C" w:rsidRPr="006813B9" w:rsidRDefault="00370F6C">
            <w:pPr>
              <w:pStyle w:val="Tabele"/>
              <w:jc w:val="right"/>
              <w:rPr>
                <w:highlight w:val="yellow"/>
              </w:rPr>
            </w:pPr>
            <w:r>
              <w:rPr>
                <w:rFonts w:cs="Calibri"/>
                <w:color w:val="000000"/>
                <w:szCs w:val="16"/>
              </w:rPr>
              <w:t>0,0%</w:t>
            </w:r>
          </w:p>
        </w:tc>
      </w:tr>
      <w:tr w:rsidR="00370F6C" w:rsidRPr="004669DE" w14:paraId="48660B43" w14:textId="77777777" w:rsidTr="00F334B6">
        <w:trPr>
          <w:trHeight w:val="235"/>
        </w:trPr>
        <w:tc>
          <w:tcPr>
            <w:tcW w:w="2325" w:type="dxa"/>
            <w:tcBorders>
              <w:right w:val="single" w:sz="4" w:space="0" w:color="AEAAAA" w:themeColor="background2" w:themeShade="BF"/>
            </w:tcBorders>
          </w:tcPr>
          <w:p w14:paraId="607AA335" w14:textId="77777777" w:rsidR="00370F6C" w:rsidRPr="004669DE" w:rsidRDefault="00370F6C">
            <w:pPr>
              <w:pStyle w:val="Tabele"/>
              <w:rPr>
                <w:bCs/>
              </w:rPr>
            </w:pPr>
            <w:r>
              <w:rPr>
                <w:rFonts w:cs="Calibri"/>
                <w:color w:val="000000"/>
                <w:szCs w:val="16"/>
              </w:rPr>
              <w:t xml:space="preserve">C. Produkcja metali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BD40936" w14:textId="77777777" w:rsidR="00370F6C" w:rsidRPr="006813B9" w:rsidRDefault="00370F6C">
            <w:pPr>
              <w:pStyle w:val="Tabele"/>
              <w:jc w:val="right"/>
              <w:rPr>
                <w:highlight w:val="yellow"/>
              </w:rPr>
            </w:pPr>
            <w:r>
              <w:rPr>
                <w:rFonts w:cs="Calibri"/>
                <w:color w:val="000000"/>
                <w:szCs w:val="16"/>
              </w:rPr>
              <w:t>-3,0%</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72381A" w14:textId="77777777" w:rsidR="00370F6C" w:rsidRPr="006813B9" w:rsidRDefault="00370F6C">
            <w:pPr>
              <w:pStyle w:val="Tabele"/>
              <w:jc w:val="right"/>
              <w:rPr>
                <w:highlight w:val="yellow"/>
              </w:rPr>
            </w:pPr>
            <w:r>
              <w:rPr>
                <w:rFonts w:cs="Calibri"/>
                <w:color w:val="000000"/>
                <w:szCs w:val="16"/>
              </w:rPr>
              <w:t>1,6%</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8DF3554" w14:textId="77777777" w:rsidR="00370F6C" w:rsidRPr="006813B9" w:rsidRDefault="00370F6C">
            <w:pPr>
              <w:pStyle w:val="Tabele"/>
              <w:jc w:val="right"/>
              <w:rPr>
                <w:highlight w:val="yellow"/>
              </w:rPr>
            </w:pPr>
            <w:r>
              <w:rPr>
                <w:rFonts w:cs="Calibri"/>
                <w:color w:val="000000"/>
                <w:szCs w:val="16"/>
              </w:rPr>
              <w:t>4,4%</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60DC955" w14:textId="77777777" w:rsidR="00370F6C" w:rsidRPr="006813B9" w:rsidRDefault="00370F6C">
            <w:pPr>
              <w:pStyle w:val="Tabele"/>
              <w:jc w:val="right"/>
              <w:rPr>
                <w:highlight w:val="yellow"/>
              </w:rPr>
            </w:pPr>
            <w:r>
              <w:rPr>
                <w:rFonts w:cs="Calibri"/>
                <w:color w:val="000000"/>
                <w:szCs w:val="16"/>
              </w:rPr>
              <w:t>10,7%</w:t>
            </w:r>
          </w:p>
        </w:tc>
      </w:tr>
      <w:tr w:rsidR="00370F6C" w:rsidRPr="004669DE" w14:paraId="40C52C07" w14:textId="77777777" w:rsidTr="00F334B6">
        <w:trPr>
          <w:trHeight w:val="235"/>
        </w:trPr>
        <w:tc>
          <w:tcPr>
            <w:tcW w:w="2325" w:type="dxa"/>
            <w:tcBorders>
              <w:right w:val="single" w:sz="4" w:space="0" w:color="AEAAAA" w:themeColor="background2" w:themeShade="BF"/>
            </w:tcBorders>
          </w:tcPr>
          <w:p w14:paraId="0DCAED13" w14:textId="77777777" w:rsidR="00370F6C" w:rsidRPr="00EB3B96" w:rsidRDefault="00370F6C">
            <w:pPr>
              <w:pStyle w:val="Tabele"/>
              <w:rPr>
                <w:b/>
              </w:rPr>
            </w:pPr>
            <w:r>
              <w:rPr>
                <w:rFonts w:cs="Calibri"/>
                <w:color w:val="000000"/>
                <w:szCs w:val="16"/>
              </w:rPr>
              <w:t>G. – L. Inne</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F59C50" w14:textId="77777777" w:rsidR="00370F6C" w:rsidRPr="006813B9" w:rsidRDefault="00370F6C">
            <w:pPr>
              <w:pStyle w:val="Tabele"/>
              <w:jc w:val="right"/>
              <w:rPr>
                <w:highlight w:val="yellow"/>
              </w:rPr>
            </w:pPr>
            <w:r>
              <w:rPr>
                <w:rFonts w:cs="Calibri"/>
                <w:color w:val="000000"/>
                <w:szCs w:val="16"/>
              </w:rPr>
              <w:t>-25,0%</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7A7B8F" w14:textId="77777777" w:rsidR="00370F6C" w:rsidRPr="006813B9" w:rsidRDefault="00370F6C">
            <w:pPr>
              <w:pStyle w:val="Tabele"/>
              <w:jc w:val="right"/>
              <w:rPr>
                <w:highlight w:val="yellow"/>
              </w:rPr>
            </w:pPr>
            <w:r>
              <w:rPr>
                <w:rFonts w:cs="Calibri"/>
                <w:color w:val="000000"/>
                <w:szCs w:val="16"/>
              </w:rPr>
              <w:t>-24,9%</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6E2F644" w14:textId="77777777" w:rsidR="00370F6C" w:rsidRPr="006813B9" w:rsidRDefault="00370F6C">
            <w:pPr>
              <w:pStyle w:val="Tabele"/>
              <w:jc w:val="right"/>
              <w:rPr>
                <w:highlight w:val="yellow"/>
              </w:rPr>
            </w:pPr>
            <w:r>
              <w:rPr>
                <w:rFonts w:cs="Calibri"/>
                <w:color w:val="000000"/>
                <w:szCs w:val="16"/>
              </w:rPr>
              <w:t>-18,3%</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0E55F6" w14:textId="77777777" w:rsidR="00370F6C" w:rsidRPr="006813B9" w:rsidRDefault="00370F6C">
            <w:pPr>
              <w:pStyle w:val="Tabele"/>
              <w:jc w:val="right"/>
              <w:rPr>
                <w:highlight w:val="yellow"/>
              </w:rPr>
            </w:pPr>
            <w:r>
              <w:rPr>
                <w:rFonts w:cs="Calibri"/>
                <w:color w:val="000000"/>
                <w:szCs w:val="16"/>
              </w:rPr>
              <w:t>-19,0%</w:t>
            </w:r>
          </w:p>
        </w:tc>
      </w:tr>
      <w:tr w:rsidR="00370F6C" w:rsidRPr="004669DE" w14:paraId="0EAD392E" w14:textId="77777777" w:rsidTr="00F334B6">
        <w:trPr>
          <w:trHeight w:val="235"/>
        </w:trPr>
        <w:tc>
          <w:tcPr>
            <w:tcW w:w="2325" w:type="dxa"/>
            <w:tcBorders>
              <w:right w:val="single" w:sz="4" w:space="0" w:color="AEAAAA" w:themeColor="background2" w:themeShade="BF"/>
            </w:tcBorders>
          </w:tcPr>
          <w:p w14:paraId="6736F1AB" w14:textId="77777777" w:rsidR="00370F6C" w:rsidRPr="00F43A85" w:rsidRDefault="00370F6C">
            <w:pPr>
              <w:pStyle w:val="Tabele"/>
              <w:rPr>
                <w:b/>
                <w:bCs/>
              </w:rPr>
            </w:pPr>
            <w:r>
              <w:rPr>
                <w:rFonts w:cs="Calibri"/>
                <w:b/>
                <w:bCs/>
                <w:color w:val="000000"/>
                <w:szCs w:val="16"/>
              </w:rPr>
              <w:t xml:space="preserve">3. Rolnictwo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E217E5" w14:textId="77777777" w:rsidR="00370F6C" w:rsidRPr="006813B9" w:rsidRDefault="00370F6C">
            <w:pPr>
              <w:pStyle w:val="Tabele"/>
              <w:jc w:val="right"/>
              <w:rPr>
                <w:highlight w:val="yellow"/>
              </w:rPr>
            </w:pPr>
            <w:r>
              <w:rPr>
                <w:rFonts w:cs="Calibri"/>
                <w:b/>
                <w:bCs/>
                <w:color w:val="000000"/>
                <w:szCs w:val="16"/>
              </w:rPr>
              <w:t>-0,7%</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BB7FD0" w14:textId="77777777" w:rsidR="00370F6C" w:rsidRPr="006813B9" w:rsidRDefault="00370F6C">
            <w:pPr>
              <w:pStyle w:val="Tabele"/>
              <w:jc w:val="right"/>
              <w:rPr>
                <w:highlight w:val="yellow"/>
              </w:rPr>
            </w:pPr>
            <w:r>
              <w:rPr>
                <w:rFonts w:cs="Calibri"/>
                <w:b/>
                <w:bCs/>
                <w:color w:val="000000"/>
                <w:szCs w:val="16"/>
              </w:rPr>
              <w:t>-5,3%</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9231D50" w14:textId="77777777" w:rsidR="00370F6C" w:rsidRPr="006813B9" w:rsidRDefault="00370F6C">
            <w:pPr>
              <w:pStyle w:val="Tabele"/>
              <w:jc w:val="right"/>
              <w:rPr>
                <w:highlight w:val="yellow"/>
              </w:rPr>
            </w:pPr>
            <w:r>
              <w:rPr>
                <w:rFonts w:cs="Calibri"/>
                <w:b/>
                <w:bCs/>
                <w:color w:val="000000"/>
                <w:szCs w:val="16"/>
              </w:rPr>
              <w:t>-7,3%</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3285C3A" w14:textId="77777777" w:rsidR="00370F6C" w:rsidRPr="006813B9" w:rsidRDefault="00370F6C">
            <w:pPr>
              <w:pStyle w:val="Tabele"/>
              <w:jc w:val="right"/>
              <w:rPr>
                <w:highlight w:val="yellow"/>
              </w:rPr>
            </w:pPr>
            <w:r>
              <w:rPr>
                <w:rFonts w:cs="Calibri"/>
                <w:b/>
                <w:bCs/>
                <w:color w:val="000000"/>
                <w:szCs w:val="16"/>
              </w:rPr>
              <w:t>-10,1%</w:t>
            </w:r>
          </w:p>
        </w:tc>
      </w:tr>
      <w:tr w:rsidR="00370F6C" w:rsidRPr="004669DE" w14:paraId="0AB54131" w14:textId="77777777" w:rsidTr="00F334B6">
        <w:trPr>
          <w:trHeight w:val="235"/>
        </w:trPr>
        <w:tc>
          <w:tcPr>
            <w:tcW w:w="2325" w:type="dxa"/>
            <w:tcBorders>
              <w:right w:val="single" w:sz="4" w:space="0" w:color="AEAAAA" w:themeColor="background2" w:themeShade="BF"/>
            </w:tcBorders>
          </w:tcPr>
          <w:p w14:paraId="26775249" w14:textId="77777777" w:rsidR="00370F6C" w:rsidRPr="004669DE" w:rsidRDefault="00370F6C">
            <w:pPr>
              <w:pStyle w:val="Tabele"/>
              <w:rPr>
                <w:bCs/>
              </w:rPr>
            </w:pPr>
            <w:r>
              <w:rPr>
                <w:rFonts w:cs="Calibri"/>
                <w:color w:val="000000"/>
                <w:szCs w:val="16"/>
              </w:rPr>
              <w:t xml:space="preserve">B. Nawozy naturalne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A9C7351" w14:textId="77777777" w:rsidR="00370F6C" w:rsidRPr="006813B9" w:rsidRDefault="00370F6C">
            <w:pPr>
              <w:pStyle w:val="Tabele"/>
              <w:jc w:val="right"/>
              <w:rPr>
                <w:highlight w:val="yellow"/>
              </w:rPr>
            </w:pPr>
            <w:r>
              <w:rPr>
                <w:rFonts w:cs="Calibri"/>
                <w:color w:val="000000"/>
                <w:szCs w:val="16"/>
              </w:rPr>
              <w:t>-0,2%</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00B820" w14:textId="77777777" w:rsidR="00370F6C" w:rsidRPr="006813B9" w:rsidRDefault="00370F6C">
            <w:pPr>
              <w:pStyle w:val="Tabele"/>
              <w:jc w:val="right"/>
              <w:rPr>
                <w:highlight w:val="yellow"/>
              </w:rPr>
            </w:pPr>
            <w:r>
              <w:rPr>
                <w:rFonts w:cs="Calibri"/>
                <w:color w:val="000000"/>
                <w:szCs w:val="16"/>
              </w:rPr>
              <w:t>-3,4%</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9A48B54" w14:textId="77777777" w:rsidR="00370F6C" w:rsidRPr="006813B9" w:rsidRDefault="00370F6C">
            <w:pPr>
              <w:pStyle w:val="Tabele"/>
              <w:jc w:val="right"/>
              <w:rPr>
                <w:highlight w:val="yellow"/>
              </w:rPr>
            </w:pPr>
            <w:r>
              <w:rPr>
                <w:rFonts w:cs="Calibri"/>
                <w:color w:val="000000"/>
                <w:szCs w:val="16"/>
              </w:rPr>
              <w:t>-4,5%</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81D7FB" w14:textId="77777777" w:rsidR="00370F6C" w:rsidRPr="006813B9" w:rsidRDefault="00370F6C">
            <w:pPr>
              <w:pStyle w:val="Tabele"/>
              <w:jc w:val="right"/>
              <w:rPr>
                <w:highlight w:val="yellow"/>
              </w:rPr>
            </w:pPr>
            <w:r>
              <w:rPr>
                <w:rFonts w:cs="Calibri"/>
                <w:color w:val="000000"/>
                <w:szCs w:val="16"/>
              </w:rPr>
              <w:t>-4,9%</w:t>
            </w:r>
          </w:p>
        </w:tc>
      </w:tr>
      <w:tr w:rsidR="00370F6C" w:rsidRPr="004669DE" w14:paraId="4B3D0168" w14:textId="77777777" w:rsidTr="00F334B6">
        <w:trPr>
          <w:trHeight w:val="235"/>
        </w:trPr>
        <w:tc>
          <w:tcPr>
            <w:tcW w:w="2325" w:type="dxa"/>
            <w:tcBorders>
              <w:right w:val="single" w:sz="4" w:space="0" w:color="AEAAAA" w:themeColor="background2" w:themeShade="BF"/>
            </w:tcBorders>
          </w:tcPr>
          <w:p w14:paraId="6692B9BC" w14:textId="77777777" w:rsidR="00370F6C" w:rsidRPr="00F43A85" w:rsidRDefault="00370F6C">
            <w:pPr>
              <w:pStyle w:val="Tabele"/>
              <w:rPr>
                <w:b/>
                <w:bCs/>
              </w:rPr>
            </w:pPr>
            <w:r>
              <w:rPr>
                <w:rFonts w:cs="Calibri"/>
                <w:color w:val="000000"/>
                <w:szCs w:val="16"/>
              </w:rPr>
              <w:t xml:space="preserve">D. Gleby rolne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5EC3F55" w14:textId="77777777" w:rsidR="00370F6C" w:rsidRPr="006813B9" w:rsidRDefault="00370F6C">
            <w:pPr>
              <w:pStyle w:val="Tabele"/>
              <w:jc w:val="right"/>
              <w:rPr>
                <w:highlight w:val="yellow"/>
              </w:rPr>
            </w:pPr>
            <w:r>
              <w:rPr>
                <w:rFonts w:cs="Calibri"/>
                <w:color w:val="000000"/>
                <w:szCs w:val="16"/>
              </w:rPr>
              <w:t>-0,8%</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467824" w14:textId="77777777" w:rsidR="00370F6C" w:rsidRPr="006813B9" w:rsidRDefault="00370F6C">
            <w:pPr>
              <w:pStyle w:val="Tabele"/>
              <w:jc w:val="right"/>
              <w:rPr>
                <w:highlight w:val="yellow"/>
              </w:rPr>
            </w:pPr>
            <w:r>
              <w:rPr>
                <w:rFonts w:cs="Calibri"/>
                <w:color w:val="000000"/>
                <w:szCs w:val="16"/>
              </w:rPr>
              <w:t>-5,5%</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7BFC3B" w14:textId="77777777" w:rsidR="00370F6C" w:rsidRPr="006813B9" w:rsidRDefault="00370F6C">
            <w:pPr>
              <w:pStyle w:val="Tabele"/>
              <w:jc w:val="right"/>
              <w:rPr>
                <w:highlight w:val="yellow"/>
              </w:rPr>
            </w:pPr>
            <w:r>
              <w:rPr>
                <w:rFonts w:cs="Calibri"/>
                <w:color w:val="000000"/>
                <w:szCs w:val="16"/>
              </w:rPr>
              <w:t>-7,5%</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8846B7" w14:textId="77777777" w:rsidR="00370F6C" w:rsidRPr="006813B9" w:rsidRDefault="00370F6C">
            <w:pPr>
              <w:pStyle w:val="Tabele"/>
              <w:jc w:val="right"/>
              <w:rPr>
                <w:highlight w:val="yellow"/>
              </w:rPr>
            </w:pPr>
            <w:r>
              <w:rPr>
                <w:rFonts w:cs="Calibri"/>
                <w:color w:val="000000"/>
                <w:szCs w:val="16"/>
              </w:rPr>
              <w:t>-10,6%</w:t>
            </w:r>
          </w:p>
        </w:tc>
      </w:tr>
      <w:tr w:rsidR="00370F6C" w:rsidRPr="004669DE" w14:paraId="7B3C6218" w14:textId="77777777" w:rsidTr="00F334B6">
        <w:trPr>
          <w:trHeight w:val="235"/>
        </w:trPr>
        <w:tc>
          <w:tcPr>
            <w:tcW w:w="2325" w:type="dxa"/>
            <w:tcBorders>
              <w:right w:val="single" w:sz="4" w:space="0" w:color="AEAAAA" w:themeColor="background2" w:themeShade="BF"/>
            </w:tcBorders>
          </w:tcPr>
          <w:p w14:paraId="7E6BCF8A" w14:textId="77777777" w:rsidR="00370F6C" w:rsidRPr="00EB3B96" w:rsidRDefault="00370F6C">
            <w:pPr>
              <w:pStyle w:val="Tabele"/>
              <w:rPr>
                <w:bCs/>
              </w:rPr>
            </w:pPr>
            <w:r>
              <w:rPr>
                <w:rFonts w:cs="Calibri"/>
                <w:color w:val="000000"/>
                <w:szCs w:val="16"/>
              </w:rPr>
              <w:t xml:space="preserve">F. Spalanie resztek roślinnych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905DC65" w14:textId="77777777" w:rsidR="00370F6C" w:rsidRPr="006813B9" w:rsidRDefault="00370F6C">
            <w:pPr>
              <w:pStyle w:val="Tabele"/>
              <w:jc w:val="right"/>
              <w:rPr>
                <w:highlight w:val="yellow"/>
              </w:rPr>
            </w:pPr>
            <w:r>
              <w:rPr>
                <w:rFonts w:cs="Calibri"/>
                <w:color w:val="000000"/>
                <w:szCs w:val="16"/>
              </w:rPr>
              <w:t>0,0%</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0E4BA86" w14:textId="77777777" w:rsidR="00370F6C" w:rsidRPr="006813B9" w:rsidRDefault="00370F6C">
            <w:pPr>
              <w:pStyle w:val="Tabele"/>
              <w:jc w:val="right"/>
              <w:rPr>
                <w:highlight w:val="yellow"/>
              </w:rPr>
            </w:pPr>
            <w:r>
              <w:rPr>
                <w:rFonts w:cs="Calibri"/>
                <w:color w:val="000000"/>
                <w:szCs w:val="16"/>
              </w:rPr>
              <w:t>0,0%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D48A7D" w14:textId="77777777" w:rsidR="00370F6C" w:rsidRPr="006813B9" w:rsidRDefault="00370F6C">
            <w:pPr>
              <w:pStyle w:val="Tabele"/>
              <w:jc w:val="right"/>
              <w:rPr>
                <w:highlight w:val="yellow"/>
              </w:rPr>
            </w:pPr>
            <w:r>
              <w:rPr>
                <w:rFonts w:cs="Calibri"/>
                <w:color w:val="000000"/>
                <w:szCs w:val="16"/>
              </w:rPr>
              <w:t>0,0%</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D18EC9" w14:textId="77777777" w:rsidR="00370F6C" w:rsidRPr="006813B9" w:rsidRDefault="00370F6C">
            <w:pPr>
              <w:pStyle w:val="Tabele"/>
              <w:jc w:val="right"/>
              <w:rPr>
                <w:highlight w:val="yellow"/>
              </w:rPr>
            </w:pPr>
            <w:r>
              <w:rPr>
                <w:rFonts w:cs="Calibri"/>
                <w:color w:val="000000"/>
                <w:szCs w:val="16"/>
              </w:rPr>
              <w:t>0,0%</w:t>
            </w:r>
          </w:p>
        </w:tc>
      </w:tr>
      <w:tr w:rsidR="00370F6C" w:rsidRPr="004669DE" w14:paraId="0E6AC38D" w14:textId="77777777" w:rsidTr="00F334B6">
        <w:trPr>
          <w:trHeight w:val="235"/>
        </w:trPr>
        <w:tc>
          <w:tcPr>
            <w:tcW w:w="2325" w:type="dxa"/>
            <w:tcBorders>
              <w:right w:val="single" w:sz="4" w:space="0" w:color="AEAAAA" w:themeColor="background2" w:themeShade="BF"/>
            </w:tcBorders>
          </w:tcPr>
          <w:p w14:paraId="568C3278" w14:textId="77777777" w:rsidR="00370F6C" w:rsidRPr="00EB3B96" w:rsidRDefault="00370F6C">
            <w:pPr>
              <w:pStyle w:val="Tabele"/>
              <w:rPr>
                <w:bCs/>
              </w:rPr>
            </w:pPr>
            <w:r>
              <w:rPr>
                <w:rFonts w:cs="Calibri"/>
                <w:b/>
                <w:bCs/>
                <w:color w:val="000000"/>
                <w:szCs w:val="16"/>
              </w:rPr>
              <w:t xml:space="preserve">5. Odpady </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B791A41" w14:textId="77777777" w:rsidR="00370F6C" w:rsidRPr="006813B9" w:rsidRDefault="00370F6C">
            <w:pPr>
              <w:pStyle w:val="Tabele"/>
              <w:jc w:val="right"/>
              <w:rPr>
                <w:highlight w:val="yellow"/>
              </w:rPr>
            </w:pPr>
            <w:r>
              <w:rPr>
                <w:rFonts w:cs="Calibri"/>
                <w:b/>
                <w:bCs/>
                <w:color w:val="000000"/>
                <w:szCs w:val="16"/>
              </w:rPr>
              <w:t>-1,1%</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FF128B2" w14:textId="77777777" w:rsidR="00370F6C" w:rsidRPr="006813B9" w:rsidRDefault="00370F6C">
            <w:pPr>
              <w:pStyle w:val="Tabele"/>
              <w:jc w:val="right"/>
              <w:rPr>
                <w:highlight w:val="yellow"/>
              </w:rPr>
            </w:pPr>
            <w:r>
              <w:rPr>
                <w:rFonts w:cs="Calibri"/>
                <w:b/>
                <w:bCs/>
                <w:color w:val="000000"/>
                <w:szCs w:val="16"/>
              </w:rPr>
              <w:t>-5,5%</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B322E2" w14:textId="77777777" w:rsidR="00370F6C" w:rsidRPr="006813B9" w:rsidRDefault="00370F6C">
            <w:pPr>
              <w:pStyle w:val="Tabele"/>
              <w:jc w:val="right"/>
              <w:rPr>
                <w:highlight w:val="yellow"/>
              </w:rPr>
            </w:pPr>
            <w:r>
              <w:rPr>
                <w:rFonts w:cs="Calibri"/>
                <w:b/>
                <w:bCs/>
                <w:color w:val="000000"/>
                <w:szCs w:val="16"/>
              </w:rPr>
              <w:t>-6,1%</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04E195D" w14:textId="77777777" w:rsidR="00370F6C" w:rsidRPr="006813B9" w:rsidRDefault="00370F6C">
            <w:pPr>
              <w:pStyle w:val="Tabele"/>
              <w:jc w:val="right"/>
              <w:rPr>
                <w:highlight w:val="yellow"/>
              </w:rPr>
            </w:pPr>
            <w:r>
              <w:rPr>
                <w:rFonts w:cs="Calibri"/>
                <w:b/>
                <w:bCs/>
                <w:color w:val="000000"/>
                <w:szCs w:val="16"/>
              </w:rPr>
              <w:t>-8,4%</w:t>
            </w:r>
          </w:p>
        </w:tc>
      </w:tr>
      <w:tr w:rsidR="00370F6C" w:rsidRPr="00860E1E" w14:paraId="40CFA102" w14:textId="77777777" w:rsidTr="00F334B6">
        <w:trPr>
          <w:trHeight w:val="235"/>
        </w:trPr>
        <w:tc>
          <w:tcPr>
            <w:tcW w:w="2325" w:type="dxa"/>
            <w:tcBorders>
              <w:right w:val="single" w:sz="4" w:space="0" w:color="AEAAAA" w:themeColor="background2" w:themeShade="BF"/>
            </w:tcBorders>
          </w:tcPr>
          <w:p w14:paraId="30DCBCA2" w14:textId="77777777" w:rsidR="00370F6C" w:rsidRPr="00860E1E" w:rsidRDefault="00370F6C">
            <w:pPr>
              <w:pStyle w:val="Tabele"/>
              <w:rPr>
                <w:b/>
                <w:bCs/>
              </w:rPr>
            </w:pPr>
            <w:r>
              <w:rPr>
                <w:rFonts w:cs="Calibri"/>
                <w:color w:val="000000"/>
                <w:szCs w:val="16"/>
              </w:rPr>
              <w:t>C. Spalanie odpadów</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F3D6679" w14:textId="77777777" w:rsidR="00370F6C" w:rsidRPr="006813B9" w:rsidRDefault="00370F6C">
            <w:pPr>
              <w:pStyle w:val="Tabele"/>
              <w:jc w:val="right"/>
              <w:rPr>
                <w:b/>
                <w:bCs/>
                <w:highlight w:val="yellow"/>
              </w:rPr>
            </w:pPr>
            <w:r>
              <w:rPr>
                <w:rFonts w:cs="Calibri"/>
                <w:color w:val="000000"/>
                <w:szCs w:val="16"/>
              </w:rPr>
              <w:t>-1,1%</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190FEB6" w14:textId="77777777" w:rsidR="00370F6C" w:rsidRPr="006813B9" w:rsidRDefault="00370F6C">
            <w:pPr>
              <w:pStyle w:val="Tabele"/>
              <w:jc w:val="right"/>
              <w:rPr>
                <w:b/>
                <w:bCs/>
                <w:highlight w:val="yellow"/>
              </w:rPr>
            </w:pPr>
            <w:r>
              <w:rPr>
                <w:rFonts w:cs="Calibri"/>
                <w:color w:val="000000"/>
                <w:szCs w:val="16"/>
              </w:rPr>
              <w:t>-5,5%</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883BED" w14:textId="77777777" w:rsidR="00370F6C" w:rsidRPr="006813B9" w:rsidRDefault="00370F6C">
            <w:pPr>
              <w:pStyle w:val="Tabele"/>
              <w:jc w:val="right"/>
              <w:rPr>
                <w:b/>
                <w:bCs/>
                <w:highlight w:val="yellow"/>
              </w:rPr>
            </w:pPr>
            <w:r>
              <w:rPr>
                <w:rFonts w:cs="Calibri"/>
                <w:color w:val="000000"/>
                <w:szCs w:val="16"/>
              </w:rPr>
              <w:t>-6,1%</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6FA23A" w14:textId="77777777" w:rsidR="00370F6C" w:rsidRPr="006813B9" w:rsidRDefault="00370F6C">
            <w:pPr>
              <w:pStyle w:val="Tabele"/>
              <w:jc w:val="right"/>
              <w:rPr>
                <w:b/>
                <w:bCs/>
                <w:highlight w:val="yellow"/>
              </w:rPr>
            </w:pPr>
            <w:r>
              <w:rPr>
                <w:rFonts w:cs="Calibri"/>
                <w:color w:val="000000"/>
                <w:szCs w:val="16"/>
              </w:rPr>
              <w:t>-8,4%</w:t>
            </w:r>
          </w:p>
        </w:tc>
      </w:tr>
      <w:tr w:rsidR="00370F6C" w:rsidRPr="00860E1E" w14:paraId="1C912C0E" w14:textId="77777777" w:rsidTr="00F334B6">
        <w:trPr>
          <w:trHeight w:val="235"/>
        </w:trPr>
        <w:tc>
          <w:tcPr>
            <w:tcW w:w="2325" w:type="dxa"/>
            <w:tcBorders>
              <w:right w:val="single" w:sz="4" w:space="0" w:color="AEAAAA" w:themeColor="background2" w:themeShade="BF"/>
            </w:tcBorders>
          </w:tcPr>
          <w:p w14:paraId="7860A2BD" w14:textId="77777777" w:rsidR="00370F6C" w:rsidRDefault="00370F6C">
            <w:pPr>
              <w:pStyle w:val="Tabele"/>
              <w:rPr>
                <w:rFonts w:cs="Calibri"/>
                <w:color w:val="000000"/>
                <w:szCs w:val="16"/>
              </w:rPr>
            </w:pPr>
            <w:r>
              <w:rPr>
                <w:rFonts w:cs="Calibri"/>
                <w:b/>
                <w:bCs/>
                <w:color w:val="000000"/>
                <w:szCs w:val="16"/>
              </w:rPr>
              <w:t>OGÓŁEM</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5024C6" w14:textId="77777777" w:rsidR="00370F6C" w:rsidRPr="006813B9" w:rsidRDefault="00370F6C">
            <w:pPr>
              <w:pStyle w:val="Tabele"/>
              <w:jc w:val="right"/>
              <w:rPr>
                <w:b/>
                <w:bCs/>
                <w:highlight w:val="yellow"/>
              </w:rPr>
            </w:pPr>
            <w:r>
              <w:rPr>
                <w:rFonts w:cs="Calibri"/>
                <w:b/>
                <w:bCs/>
                <w:color w:val="000000"/>
                <w:szCs w:val="16"/>
              </w:rPr>
              <w:t>-1,9%</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9F7A00" w14:textId="77777777" w:rsidR="00370F6C" w:rsidRPr="006813B9" w:rsidRDefault="00370F6C">
            <w:pPr>
              <w:pStyle w:val="Tabele"/>
              <w:jc w:val="right"/>
              <w:rPr>
                <w:b/>
                <w:bCs/>
                <w:highlight w:val="yellow"/>
              </w:rPr>
            </w:pPr>
            <w:r>
              <w:rPr>
                <w:rFonts w:cs="Calibri"/>
                <w:b/>
                <w:bCs/>
                <w:color w:val="000000"/>
                <w:szCs w:val="16"/>
              </w:rPr>
              <w:t>-7,4%</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182313" w14:textId="77777777" w:rsidR="00370F6C" w:rsidRPr="006813B9" w:rsidRDefault="00370F6C">
            <w:pPr>
              <w:pStyle w:val="Tabele"/>
              <w:jc w:val="right"/>
              <w:rPr>
                <w:b/>
                <w:bCs/>
                <w:highlight w:val="yellow"/>
              </w:rPr>
            </w:pPr>
            <w:r>
              <w:rPr>
                <w:rFonts w:cs="Calibri"/>
                <w:b/>
                <w:bCs/>
                <w:color w:val="000000"/>
                <w:szCs w:val="16"/>
              </w:rPr>
              <w:t>-17,0%</w:t>
            </w:r>
          </w:p>
        </w:tc>
        <w:tc>
          <w:tcPr>
            <w:tcW w:w="168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0657E9" w14:textId="77777777" w:rsidR="00370F6C" w:rsidRPr="006813B9" w:rsidRDefault="00370F6C">
            <w:pPr>
              <w:pStyle w:val="Tabele"/>
              <w:jc w:val="right"/>
              <w:rPr>
                <w:b/>
                <w:bCs/>
                <w:highlight w:val="yellow"/>
              </w:rPr>
            </w:pPr>
            <w:r>
              <w:rPr>
                <w:rFonts w:cs="Calibri"/>
                <w:b/>
                <w:bCs/>
                <w:color w:val="000000"/>
                <w:szCs w:val="16"/>
              </w:rPr>
              <w:t>-22,8%</w:t>
            </w:r>
          </w:p>
        </w:tc>
      </w:tr>
    </w:tbl>
    <w:p w14:paraId="442DE76A" w14:textId="77777777" w:rsidR="005C4144" w:rsidRPr="00BB1158" w:rsidRDefault="005C4144" w:rsidP="00370F6C">
      <w:pPr>
        <w:pStyle w:val="Legenda"/>
        <w:keepNext/>
      </w:pPr>
      <w:r w:rsidRPr="00BB1158">
        <w:t>Źródło: Opracowanie własne KOBIZE, IOŚ-PIB</w:t>
      </w:r>
    </w:p>
    <w:p w14:paraId="258417E6" w14:textId="7A9F7E54" w:rsidR="00C27AE4" w:rsidRPr="00493F5B" w:rsidRDefault="00C27AE4" w:rsidP="00C27AE4">
      <w:bookmarkStart w:id="150" w:name="_Ref161305993"/>
      <w:bookmarkStart w:id="151" w:name="_Ref169814471"/>
      <w:bookmarkStart w:id="152" w:name="_Toc167442097"/>
      <w:bookmarkStart w:id="153" w:name="_Toc171587178"/>
      <w:bookmarkStart w:id="154" w:name="_Toc174710962"/>
      <w:r w:rsidRPr="00493F5B">
        <w:t>Po</w:t>
      </w:r>
      <w:r>
        <w:t>dobnie jak w przypadku SO</w:t>
      </w:r>
      <w:r w:rsidRPr="00493F5B">
        <w:rPr>
          <w:vertAlign w:val="subscript"/>
        </w:rPr>
        <w:t>2</w:t>
      </w:r>
      <w:r>
        <w:t>, emisja tlenków azotu spowodowana jest głównie przez spalanie paliw w energetyce, przemyśle, transporcie i małych źródłach (takich jak gospodarstwa domowe). W 202</w:t>
      </w:r>
      <w:r w:rsidR="00BE2ED8">
        <w:t>0 r.</w:t>
      </w:r>
      <w:r>
        <w:t xml:space="preserve"> udział tych kategorii w emisji krajowej wynosił 84%. Zmniejszenie zużycia paliw kopalnych w tych sektorach jest powodem spadku emisji, przy czym w scenariuszu WAM redukcje te są większe niż w scenariuszu WEM, stąd prognozowane zmniejszenie emisji w scenariuszu WAM jest większe niż w WEM. </w:t>
      </w:r>
      <w:r w:rsidRPr="003174E1">
        <w:t xml:space="preserve">Innym znaczącym źródłem emisji jest kategoria 3D. Gleby rolne, gdzie w scenariuszu WAM emisja NOx jest niższa niż w </w:t>
      </w:r>
      <w:r w:rsidRPr="001A31E3">
        <w:t>WEM</w:t>
      </w:r>
      <w:r w:rsidR="001A31E3" w:rsidRPr="001A31E3">
        <w:t xml:space="preserve">, </w:t>
      </w:r>
      <w:r w:rsidR="003D09EB" w:rsidRPr="001A31E3">
        <w:t>co wynika z uwzględnienia szerszego zastosowania praktyk rolniczych ograniczających emisje.</w:t>
      </w:r>
      <w:r w:rsidR="002A532C">
        <w:t xml:space="preserve"> </w:t>
      </w:r>
    </w:p>
    <w:p w14:paraId="7CCE5596" w14:textId="0066DB2C" w:rsidR="005C4144" w:rsidRDefault="005C4144" w:rsidP="005C4144">
      <w:pPr>
        <w:pStyle w:val="Legenda"/>
        <w:keepNext/>
      </w:pPr>
      <w:bookmarkStart w:id="155" w:name="_Ref195774499"/>
      <w:bookmarkStart w:id="156" w:name="_Ref195793631"/>
      <w:bookmarkStart w:id="157" w:name="_Toc202966964"/>
      <w:r>
        <w:t xml:space="preserve">Tabela </w:t>
      </w:r>
      <w:bookmarkEnd w:id="155"/>
      <w:r w:rsidR="006C7D6C">
        <w:fldChar w:fldCharType="begin"/>
      </w:r>
      <w:r w:rsidR="006C7D6C">
        <w:instrText xml:space="preserve"> STYLEREF 1 \s </w:instrText>
      </w:r>
      <w:r w:rsidR="006C7D6C">
        <w:fldChar w:fldCharType="separate"/>
      </w:r>
      <w:r w:rsidR="00F27D6F">
        <w:rPr>
          <w:noProof/>
        </w:rPr>
        <w:t>1</w:t>
      </w:r>
      <w:r w:rsidR="006C7D6C">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19</w:t>
      </w:r>
      <w:r w:rsidR="00653D9A">
        <w:rPr>
          <w:noProof/>
        </w:rPr>
        <w:fldChar w:fldCharType="end"/>
      </w:r>
      <w:bookmarkEnd w:id="150"/>
      <w:bookmarkEnd w:id="151"/>
      <w:bookmarkEnd w:id="156"/>
      <w:r>
        <w:t>.</w:t>
      </w:r>
      <w:r w:rsidRPr="00851E5C">
        <w:t xml:space="preserve"> </w:t>
      </w:r>
      <w:r>
        <w:t xml:space="preserve">Prognozy zmiany </w:t>
      </w:r>
      <w:r w:rsidRPr="00524DBC">
        <w:t xml:space="preserve">emisji </w:t>
      </w:r>
      <w:r>
        <w:t>NMLZO</w:t>
      </w:r>
      <w:r w:rsidRPr="00524DBC">
        <w:t>, według sektorów (kategorii NFR)</w:t>
      </w:r>
      <w:r>
        <w:t>, scenariusz WAM vs. WEM</w:t>
      </w:r>
      <w:bookmarkEnd w:id="152"/>
      <w:bookmarkEnd w:id="153"/>
      <w:bookmarkEnd w:id="154"/>
      <w:bookmarkEnd w:id="157"/>
    </w:p>
    <w:tbl>
      <w:tblPr>
        <w:tblStyle w:val="KPEiK"/>
        <w:tblW w:w="5000" w:type="pct"/>
        <w:tblLook w:val="04A0" w:firstRow="1" w:lastRow="0" w:firstColumn="1" w:lastColumn="0" w:noHBand="0" w:noVBand="1"/>
      </w:tblPr>
      <w:tblGrid>
        <w:gridCol w:w="2326"/>
        <w:gridCol w:w="1682"/>
        <w:gridCol w:w="1684"/>
        <w:gridCol w:w="1684"/>
        <w:gridCol w:w="1686"/>
      </w:tblGrid>
      <w:tr w:rsidR="00F334B6" w:rsidRPr="00DE4FED" w14:paraId="4B6D452F" w14:textId="77777777" w:rsidTr="00B74754">
        <w:trPr>
          <w:cnfStyle w:val="100000000000" w:firstRow="1" w:lastRow="0" w:firstColumn="0" w:lastColumn="0" w:oddVBand="0" w:evenVBand="0" w:oddHBand="0" w:evenHBand="0" w:firstRowFirstColumn="0" w:firstRowLastColumn="0" w:lastRowFirstColumn="0" w:lastRowLastColumn="0"/>
          <w:trHeight w:val="227"/>
          <w:tblHeader/>
        </w:trPr>
        <w:tc>
          <w:tcPr>
            <w:tcW w:w="2326" w:type="dxa"/>
            <w:vMerge w:val="restart"/>
          </w:tcPr>
          <w:p w14:paraId="6DBE2145" w14:textId="77777777" w:rsidR="00F334B6" w:rsidRDefault="00F334B6">
            <w:pPr>
              <w:pStyle w:val="Tabele"/>
              <w:jc w:val="center"/>
              <w:rPr>
                <w:b w:val="0"/>
              </w:rPr>
            </w:pPr>
            <w:r w:rsidRPr="00DE4FED">
              <w:t>Sektor</w:t>
            </w:r>
          </w:p>
          <w:p w14:paraId="320F4728" w14:textId="77777777" w:rsidR="00F334B6" w:rsidRPr="00DE4FED" w:rsidRDefault="00F334B6">
            <w:pPr>
              <w:pStyle w:val="Tabele"/>
              <w:jc w:val="center"/>
            </w:pPr>
            <w:r>
              <w:t>(kategoria NFR)</w:t>
            </w:r>
          </w:p>
        </w:tc>
        <w:tc>
          <w:tcPr>
            <w:tcW w:w="6736" w:type="dxa"/>
            <w:gridSpan w:val="4"/>
          </w:tcPr>
          <w:p w14:paraId="17202BC5" w14:textId="149D008B" w:rsidR="00F334B6" w:rsidRPr="00DE4FED" w:rsidRDefault="00F334B6">
            <w:pPr>
              <w:pStyle w:val="Tabele"/>
              <w:jc w:val="center"/>
              <w:rPr>
                <w:b w:val="0"/>
              </w:rPr>
            </w:pPr>
            <w:r w:rsidRPr="00355540">
              <w:t>Zmiana emisji NMLZO WAM vs. WEM [%]</w:t>
            </w:r>
          </w:p>
        </w:tc>
      </w:tr>
      <w:tr w:rsidR="00F334B6" w:rsidRPr="00DE4FED" w14:paraId="01C88211" w14:textId="77777777" w:rsidTr="00B74754">
        <w:trPr>
          <w:cnfStyle w:val="100000000000" w:firstRow="1" w:lastRow="0" w:firstColumn="0" w:lastColumn="0" w:oddVBand="0" w:evenVBand="0" w:oddHBand="0" w:evenHBand="0" w:firstRowFirstColumn="0" w:firstRowLastColumn="0" w:lastRowFirstColumn="0" w:lastRowLastColumn="0"/>
          <w:trHeight w:val="227"/>
          <w:tblHeader/>
        </w:trPr>
        <w:tc>
          <w:tcPr>
            <w:tcW w:w="2326" w:type="dxa"/>
            <w:vMerge/>
          </w:tcPr>
          <w:p w14:paraId="3A03F577" w14:textId="77777777" w:rsidR="00F334B6" w:rsidRPr="00DE4FED" w:rsidRDefault="00F334B6">
            <w:pPr>
              <w:pStyle w:val="Tabele"/>
              <w:jc w:val="center"/>
            </w:pPr>
          </w:p>
        </w:tc>
        <w:tc>
          <w:tcPr>
            <w:tcW w:w="1682" w:type="dxa"/>
            <w:tcBorders>
              <w:bottom w:val="single" w:sz="4" w:space="0" w:color="AEAAAA" w:themeColor="background2" w:themeShade="BF"/>
            </w:tcBorders>
          </w:tcPr>
          <w:p w14:paraId="44ECA475" w14:textId="77777777" w:rsidR="00F334B6" w:rsidRPr="00DE4FED" w:rsidRDefault="00F334B6">
            <w:pPr>
              <w:pStyle w:val="Tabele"/>
              <w:jc w:val="center"/>
            </w:pPr>
            <w:r w:rsidRPr="00DE4FED">
              <w:t>2025</w:t>
            </w:r>
          </w:p>
        </w:tc>
        <w:tc>
          <w:tcPr>
            <w:tcW w:w="1684" w:type="dxa"/>
            <w:tcBorders>
              <w:bottom w:val="single" w:sz="4" w:space="0" w:color="AEAAAA" w:themeColor="background2" w:themeShade="BF"/>
            </w:tcBorders>
          </w:tcPr>
          <w:p w14:paraId="456DE842" w14:textId="77777777" w:rsidR="00F334B6" w:rsidRPr="00DE4FED" w:rsidRDefault="00F334B6">
            <w:pPr>
              <w:pStyle w:val="Tabele"/>
              <w:jc w:val="center"/>
            </w:pPr>
            <w:r w:rsidRPr="00DE4FED">
              <w:t>2030</w:t>
            </w:r>
          </w:p>
        </w:tc>
        <w:tc>
          <w:tcPr>
            <w:tcW w:w="1684" w:type="dxa"/>
            <w:tcBorders>
              <w:bottom w:val="single" w:sz="4" w:space="0" w:color="AEAAAA" w:themeColor="background2" w:themeShade="BF"/>
            </w:tcBorders>
          </w:tcPr>
          <w:p w14:paraId="2473F7F5" w14:textId="77777777" w:rsidR="00F334B6" w:rsidRPr="00DE4FED" w:rsidRDefault="00F334B6">
            <w:pPr>
              <w:pStyle w:val="Tabele"/>
              <w:jc w:val="center"/>
            </w:pPr>
            <w:r w:rsidRPr="00DE4FED">
              <w:t>2035</w:t>
            </w:r>
          </w:p>
        </w:tc>
        <w:tc>
          <w:tcPr>
            <w:tcW w:w="1686" w:type="dxa"/>
            <w:tcBorders>
              <w:bottom w:val="single" w:sz="4" w:space="0" w:color="AEAAAA" w:themeColor="background2" w:themeShade="BF"/>
            </w:tcBorders>
          </w:tcPr>
          <w:p w14:paraId="0FFC2C87" w14:textId="77777777" w:rsidR="00F334B6" w:rsidRPr="00DE4FED" w:rsidRDefault="00F334B6">
            <w:pPr>
              <w:pStyle w:val="Tabele"/>
              <w:jc w:val="center"/>
            </w:pPr>
            <w:r w:rsidRPr="00DE4FED">
              <w:t>2040</w:t>
            </w:r>
          </w:p>
        </w:tc>
      </w:tr>
      <w:tr w:rsidR="00F334B6" w:rsidRPr="004669DE" w14:paraId="138E4578" w14:textId="77777777" w:rsidTr="00B74754">
        <w:trPr>
          <w:trHeight w:val="227"/>
        </w:trPr>
        <w:tc>
          <w:tcPr>
            <w:tcW w:w="2326" w:type="dxa"/>
            <w:tcBorders>
              <w:right w:val="single" w:sz="4" w:space="0" w:color="AEAAAA" w:themeColor="background2" w:themeShade="BF"/>
            </w:tcBorders>
          </w:tcPr>
          <w:p w14:paraId="043279CE" w14:textId="77777777" w:rsidR="00F334B6" w:rsidRPr="00F43A85" w:rsidRDefault="00F334B6">
            <w:pPr>
              <w:pStyle w:val="Tabele"/>
              <w:rPr>
                <w:b/>
                <w:bCs/>
              </w:rPr>
            </w:pPr>
            <w:r>
              <w:rPr>
                <w:rFonts w:cs="Calibri"/>
                <w:b/>
                <w:bCs/>
                <w:color w:val="000000"/>
                <w:szCs w:val="16"/>
              </w:rPr>
              <w:t xml:space="preserve">1. Energia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F778D16" w14:textId="77777777" w:rsidR="00F334B6" w:rsidRPr="006813B9" w:rsidRDefault="00F334B6">
            <w:pPr>
              <w:pStyle w:val="Tabele"/>
              <w:jc w:val="right"/>
              <w:rPr>
                <w:highlight w:val="yellow"/>
              </w:rPr>
            </w:pPr>
            <w:r>
              <w:rPr>
                <w:rFonts w:cs="Calibri"/>
                <w:b/>
                <w:bCs/>
                <w:color w:val="000000"/>
                <w:szCs w:val="16"/>
              </w:rPr>
              <w:t>-1,6%</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86C46C5" w14:textId="77777777" w:rsidR="00F334B6" w:rsidRPr="006813B9" w:rsidRDefault="00F334B6">
            <w:pPr>
              <w:pStyle w:val="Tabele"/>
              <w:jc w:val="right"/>
              <w:rPr>
                <w:highlight w:val="yellow"/>
              </w:rPr>
            </w:pPr>
            <w:r>
              <w:rPr>
                <w:rFonts w:cs="Calibri"/>
                <w:b/>
                <w:bCs/>
                <w:color w:val="000000"/>
                <w:szCs w:val="16"/>
              </w:rPr>
              <w:t>-6,6%</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E3D096" w14:textId="77777777" w:rsidR="00F334B6" w:rsidRPr="006813B9" w:rsidRDefault="00F334B6">
            <w:pPr>
              <w:pStyle w:val="Tabele"/>
              <w:jc w:val="right"/>
              <w:rPr>
                <w:highlight w:val="yellow"/>
              </w:rPr>
            </w:pPr>
            <w:r>
              <w:rPr>
                <w:rFonts w:cs="Calibri"/>
                <w:b/>
                <w:bCs/>
                <w:color w:val="000000"/>
                <w:szCs w:val="16"/>
              </w:rPr>
              <w:t>-12,6%</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AC60AEB" w14:textId="77777777" w:rsidR="00F334B6" w:rsidRPr="006813B9" w:rsidRDefault="00F334B6">
            <w:pPr>
              <w:pStyle w:val="Tabele"/>
              <w:jc w:val="right"/>
              <w:rPr>
                <w:highlight w:val="yellow"/>
              </w:rPr>
            </w:pPr>
            <w:r>
              <w:rPr>
                <w:rFonts w:cs="Calibri"/>
                <w:b/>
                <w:bCs/>
                <w:color w:val="000000"/>
                <w:szCs w:val="16"/>
              </w:rPr>
              <w:t>-16,6%</w:t>
            </w:r>
          </w:p>
        </w:tc>
      </w:tr>
      <w:tr w:rsidR="00F334B6" w:rsidRPr="004669DE" w14:paraId="52223434" w14:textId="77777777" w:rsidTr="00B74754">
        <w:trPr>
          <w:trHeight w:val="227"/>
        </w:trPr>
        <w:tc>
          <w:tcPr>
            <w:tcW w:w="2326" w:type="dxa"/>
            <w:tcBorders>
              <w:right w:val="single" w:sz="4" w:space="0" w:color="AEAAAA" w:themeColor="background2" w:themeShade="BF"/>
            </w:tcBorders>
          </w:tcPr>
          <w:p w14:paraId="540BCE88" w14:textId="77777777" w:rsidR="00F334B6" w:rsidRPr="004669DE" w:rsidRDefault="00F334B6">
            <w:pPr>
              <w:pStyle w:val="Tabele"/>
              <w:rPr>
                <w:b/>
                <w:bCs/>
              </w:rPr>
            </w:pPr>
            <w:r>
              <w:rPr>
                <w:rFonts w:cs="Calibri"/>
                <w:color w:val="000000"/>
                <w:szCs w:val="16"/>
              </w:rPr>
              <w:t xml:space="preserve">A. Spalanie paliw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3FF16C0" w14:textId="77777777" w:rsidR="00F334B6" w:rsidRPr="006813B9" w:rsidRDefault="00F334B6">
            <w:pPr>
              <w:pStyle w:val="Tabele"/>
              <w:jc w:val="right"/>
              <w:rPr>
                <w:highlight w:val="yellow"/>
              </w:rPr>
            </w:pPr>
            <w:r>
              <w:rPr>
                <w:rFonts w:cs="Calibri"/>
                <w:color w:val="000000"/>
                <w:szCs w:val="16"/>
              </w:rPr>
              <w:t>-3,3%</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C18B617" w14:textId="77777777" w:rsidR="00F334B6" w:rsidRPr="006813B9" w:rsidRDefault="00F334B6">
            <w:pPr>
              <w:pStyle w:val="Tabele"/>
              <w:jc w:val="right"/>
              <w:rPr>
                <w:highlight w:val="yellow"/>
              </w:rPr>
            </w:pPr>
            <w:r>
              <w:rPr>
                <w:rFonts w:cs="Calibri"/>
                <w:color w:val="000000"/>
                <w:szCs w:val="16"/>
              </w:rPr>
              <w:t>-6,0%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0E713C" w14:textId="77777777" w:rsidR="00F334B6" w:rsidRPr="006813B9" w:rsidRDefault="00F334B6">
            <w:pPr>
              <w:pStyle w:val="Tabele"/>
              <w:jc w:val="right"/>
              <w:rPr>
                <w:highlight w:val="yellow"/>
              </w:rPr>
            </w:pPr>
            <w:r>
              <w:rPr>
                <w:rFonts w:cs="Calibri"/>
                <w:color w:val="000000"/>
                <w:szCs w:val="16"/>
              </w:rPr>
              <w:t>-8,0%</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1B05AE" w14:textId="77777777" w:rsidR="00F334B6" w:rsidRPr="006813B9" w:rsidRDefault="00F334B6">
            <w:pPr>
              <w:pStyle w:val="Tabele"/>
              <w:jc w:val="right"/>
              <w:rPr>
                <w:highlight w:val="yellow"/>
              </w:rPr>
            </w:pPr>
            <w:r>
              <w:rPr>
                <w:rFonts w:cs="Calibri"/>
                <w:color w:val="000000"/>
                <w:szCs w:val="16"/>
              </w:rPr>
              <w:t>-14,3%</w:t>
            </w:r>
          </w:p>
        </w:tc>
      </w:tr>
      <w:tr w:rsidR="00F334B6" w:rsidRPr="004669DE" w14:paraId="6D111CD2" w14:textId="77777777" w:rsidTr="00B74754">
        <w:trPr>
          <w:trHeight w:val="227"/>
        </w:trPr>
        <w:tc>
          <w:tcPr>
            <w:tcW w:w="2326" w:type="dxa"/>
            <w:tcBorders>
              <w:right w:val="single" w:sz="4" w:space="0" w:color="AEAAAA" w:themeColor="background2" w:themeShade="BF"/>
            </w:tcBorders>
          </w:tcPr>
          <w:p w14:paraId="05398E81" w14:textId="77777777" w:rsidR="00F334B6" w:rsidRPr="004669DE" w:rsidRDefault="00F334B6">
            <w:pPr>
              <w:pStyle w:val="Tabele"/>
              <w:rPr>
                <w:bCs/>
              </w:rPr>
            </w:pPr>
            <w:r>
              <w:rPr>
                <w:rFonts w:cs="Calibri"/>
                <w:color w:val="000000"/>
                <w:szCs w:val="16"/>
              </w:rPr>
              <w:t xml:space="preserve">1. Przemysły energetyczne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1C95A7" w14:textId="77777777" w:rsidR="00F334B6" w:rsidRPr="006813B9" w:rsidRDefault="00F334B6">
            <w:pPr>
              <w:pStyle w:val="Tabele"/>
              <w:jc w:val="right"/>
              <w:rPr>
                <w:highlight w:val="yellow"/>
              </w:rPr>
            </w:pPr>
            <w:r>
              <w:rPr>
                <w:rFonts w:cs="Calibri"/>
                <w:color w:val="000000"/>
                <w:szCs w:val="16"/>
              </w:rPr>
              <w:t>0,1%</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A5D048" w14:textId="77777777" w:rsidR="00F334B6" w:rsidRPr="006813B9" w:rsidRDefault="00F334B6">
            <w:pPr>
              <w:pStyle w:val="Tabele"/>
              <w:jc w:val="right"/>
              <w:rPr>
                <w:highlight w:val="yellow"/>
              </w:rPr>
            </w:pPr>
            <w:r>
              <w:rPr>
                <w:rFonts w:cs="Calibri"/>
                <w:color w:val="000000"/>
                <w:szCs w:val="16"/>
              </w:rPr>
              <w:t>-3,9%</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7341EDD" w14:textId="77777777" w:rsidR="00F334B6" w:rsidRPr="006813B9" w:rsidRDefault="00F334B6">
            <w:pPr>
              <w:pStyle w:val="Tabele"/>
              <w:jc w:val="right"/>
              <w:rPr>
                <w:highlight w:val="yellow"/>
              </w:rPr>
            </w:pPr>
            <w:r>
              <w:rPr>
                <w:rFonts w:cs="Calibri"/>
                <w:color w:val="000000"/>
                <w:szCs w:val="16"/>
              </w:rPr>
              <w:t>-23,4%</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90F3C8" w14:textId="77777777" w:rsidR="00F334B6" w:rsidRPr="006813B9" w:rsidRDefault="00F334B6">
            <w:pPr>
              <w:pStyle w:val="Tabele"/>
              <w:jc w:val="right"/>
              <w:rPr>
                <w:highlight w:val="yellow"/>
              </w:rPr>
            </w:pPr>
            <w:r>
              <w:rPr>
                <w:rFonts w:cs="Calibri"/>
                <w:color w:val="000000"/>
                <w:szCs w:val="16"/>
              </w:rPr>
              <w:t>-63,9%</w:t>
            </w:r>
          </w:p>
        </w:tc>
      </w:tr>
      <w:tr w:rsidR="00F334B6" w:rsidRPr="004669DE" w14:paraId="4E8AC7BE" w14:textId="77777777" w:rsidTr="00B74754">
        <w:trPr>
          <w:trHeight w:val="227"/>
        </w:trPr>
        <w:tc>
          <w:tcPr>
            <w:tcW w:w="2326" w:type="dxa"/>
            <w:tcBorders>
              <w:right w:val="single" w:sz="4" w:space="0" w:color="AEAAAA" w:themeColor="background2" w:themeShade="BF"/>
            </w:tcBorders>
          </w:tcPr>
          <w:p w14:paraId="448BA88A" w14:textId="77777777" w:rsidR="00F334B6" w:rsidRPr="004669DE" w:rsidRDefault="00F334B6">
            <w:pPr>
              <w:pStyle w:val="Tabele"/>
              <w:rPr>
                <w:bCs/>
              </w:rPr>
            </w:pPr>
            <w:r>
              <w:rPr>
                <w:rFonts w:cs="Calibri"/>
                <w:color w:val="000000"/>
                <w:szCs w:val="16"/>
              </w:rPr>
              <w:t xml:space="preserve">2. Przemysł wytwórczy i budownictwo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CD808A" w14:textId="77777777" w:rsidR="00F334B6" w:rsidRPr="006813B9" w:rsidRDefault="00F334B6">
            <w:pPr>
              <w:pStyle w:val="Tabele"/>
              <w:jc w:val="right"/>
              <w:rPr>
                <w:highlight w:val="yellow"/>
              </w:rPr>
            </w:pPr>
            <w:r>
              <w:rPr>
                <w:rFonts w:cs="Calibri"/>
                <w:color w:val="000000"/>
                <w:szCs w:val="16"/>
              </w:rPr>
              <w:t>-2,4%</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C8EFC5" w14:textId="77777777" w:rsidR="00F334B6" w:rsidRPr="006813B9" w:rsidRDefault="00F334B6">
            <w:pPr>
              <w:pStyle w:val="Tabele"/>
              <w:jc w:val="right"/>
              <w:rPr>
                <w:highlight w:val="yellow"/>
              </w:rPr>
            </w:pPr>
            <w:r>
              <w:rPr>
                <w:rFonts w:cs="Calibri"/>
                <w:color w:val="000000"/>
                <w:szCs w:val="16"/>
              </w:rPr>
              <w:t>-10,2%</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1A336E6" w14:textId="77777777" w:rsidR="00F334B6" w:rsidRPr="006813B9" w:rsidRDefault="00F334B6">
            <w:pPr>
              <w:pStyle w:val="Tabele"/>
              <w:jc w:val="right"/>
              <w:rPr>
                <w:highlight w:val="yellow"/>
              </w:rPr>
            </w:pPr>
            <w:r>
              <w:rPr>
                <w:rFonts w:cs="Calibri"/>
                <w:color w:val="000000"/>
                <w:szCs w:val="16"/>
              </w:rPr>
              <w:t>-10,8%</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D7E09B1" w14:textId="77777777" w:rsidR="00F334B6" w:rsidRPr="006813B9" w:rsidRDefault="00F334B6">
            <w:pPr>
              <w:pStyle w:val="Tabele"/>
              <w:jc w:val="right"/>
              <w:rPr>
                <w:highlight w:val="yellow"/>
              </w:rPr>
            </w:pPr>
            <w:r>
              <w:rPr>
                <w:rFonts w:cs="Calibri"/>
                <w:color w:val="000000"/>
                <w:szCs w:val="16"/>
              </w:rPr>
              <w:t>-11,1%</w:t>
            </w:r>
          </w:p>
        </w:tc>
      </w:tr>
      <w:tr w:rsidR="00F334B6" w:rsidRPr="004669DE" w14:paraId="7D90873B" w14:textId="77777777" w:rsidTr="00B74754">
        <w:trPr>
          <w:trHeight w:val="227"/>
        </w:trPr>
        <w:tc>
          <w:tcPr>
            <w:tcW w:w="2326" w:type="dxa"/>
            <w:tcBorders>
              <w:right w:val="single" w:sz="4" w:space="0" w:color="AEAAAA" w:themeColor="background2" w:themeShade="BF"/>
            </w:tcBorders>
          </w:tcPr>
          <w:p w14:paraId="3D1DADBF" w14:textId="77777777" w:rsidR="00F334B6" w:rsidRPr="004669DE" w:rsidRDefault="00F334B6">
            <w:pPr>
              <w:pStyle w:val="Tabele"/>
              <w:rPr>
                <w:bCs/>
              </w:rPr>
            </w:pPr>
            <w:r>
              <w:rPr>
                <w:rFonts w:cs="Calibri"/>
                <w:color w:val="000000"/>
                <w:szCs w:val="16"/>
              </w:rPr>
              <w:t xml:space="preserve">3. Transport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69F5D8A" w14:textId="77777777" w:rsidR="00F334B6" w:rsidRPr="006813B9" w:rsidRDefault="00F334B6">
            <w:pPr>
              <w:pStyle w:val="Tabele"/>
              <w:jc w:val="right"/>
              <w:rPr>
                <w:highlight w:val="yellow"/>
              </w:rPr>
            </w:pPr>
            <w:r>
              <w:rPr>
                <w:rFonts w:cs="Calibri"/>
                <w:color w:val="000000"/>
                <w:szCs w:val="16"/>
              </w:rPr>
              <w:t>8,9%</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D45937" w14:textId="77777777" w:rsidR="00F334B6" w:rsidRPr="006813B9" w:rsidRDefault="00F334B6">
            <w:pPr>
              <w:pStyle w:val="Tabele"/>
              <w:jc w:val="right"/>
              <w:rPr>
                <w:highlight w:val="yellow"/>
              </w:rPr>
            </w:pPr>
            <w:r>
              <w:rPr>
                <w:rFonts w:cs="Calibri"/>
                <w:color w:val="000000"/>
                <w:szCs w:val="16"/>
              </w:rPr>
              <w:t>9,3%</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F6F63E7" w14:textId="77777777" w:rsidR="00F334B6" w:rsidRPr="006813B9" w:rsidRDefault="00F334B6">
            <w:pPr>
              <w:pStyle w:val="Tabele"/>
              <w:jc w:val="right"/>
              <w:rPr>
                <w:highlight w:val="yellow"/>
              </w:rPr>
            </w:pPr>
            <w:r>
              <w:rPr>
                <w:rFonts w:cs="Calibri"/>
                <w:color w:val="000000"/>
                <w:szCs w:val="16"/>
              </w:rPr>
              <w:t>5,6%</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F58755A" w14:textId="77777777" w:rsidR="00F334B6" w:rsidRPr="006813B9" w:rsidRDefault="00F334B6">
            <w:pPr>
              <w:pStyle w:val="Tabele"/>
              <w:jc w:val="right"/>
              <w:rPr>
                <w:highlight w:val="yellow"/>
              </w:rPr>
            </w:pPr>
            <w:r>
              <w:rPr>
                <w:rFonts w:cs="Calibri"/>
                <w:color w:val="000000"/>
                <w:szCs w:val="16"/>
              </w:rPr>
              <w:t>-7,9%</w:t>
            </w:r>
          </w:p>
        </w:tc>
      </w:tr>
      <w:tr w:rsidR="00F334B6" w:rsidRPr="004669DE" w14:paraId="36B1CF77" w14:textId="77777777" w:rsidTr="00B74754">
        <w:trPr>
          <w:trHeight w:val="227"/>
        </w:trPr>
        <w:tc>
          <w:tcPr>
            <w:tcW w:w="2326" w:type="dxa"/>
            <w:tcBorders>
              <w:right w:val="single" w:sz="4" w:space="0" w:color="AEAAAA" w:themeColor="background2" w:themeShade="BF"/>
            </w:tcBorders>
          </w:tcPr>
          <w:p w14:paraId="2CA0D18E" w14:textId="77777777" w:rsidR="00F334B6" w:rsidRPr="004669DE" w:rsidRDefault="00F334B6">
            <w:pPr>
              <w:pStyle w:val="Tabele"/>
              <w:rPr>
                <w:bCs/>
              </w:rPr>
            </w:pPr>
            <w:r>
              <w:rPr>
                <w:rFonts w:cs="Calibri"/>
                <w:color w:val="000000"/>
                <w:szCs w:val="16"/>
              </w:rPr>
              <w:t xml:space="preserve">4. Inne sektory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93F673" w14:textId="77777777" w:rsidR="00F334B6" w:rsidRPr="006813B9" w:rsidRDefault="00F334B6">
            <w:pPr>
              <w:pStyle w:val="Tabele"/>
              <w:jc w:val="right"/>
              <w:rPr>
                <w:highlight w:val="yellow"/>
              </w:rPr>
            </w:pPr>
            <w:r>
              <w:rPr>
                <w:rFonts w:cs="Calibri"/>
                <w:color w:val="000000"/>
                <w:szCs w:val="16"/>
              </w:rPr>
              <w:t>-6,6%</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6266A8" w14:textId="77777777" w:rsidR="00F334B6" w:rsidRPr="006813B9" w:rsidRDefault="00F334B6">
            <w:pPr>
              <w:pStyle w:val="Tabele"/>
              <w:jc w:val="right"/>
              <w:rPr>
                <w:highlight w:val="yellow"/>
              </w:rPr>
            </w:pPr>
            <w:r>
              <w:rPr>
                <w:rFonts w:cs="Calibri"/>
                <w:color w:val="000000"/>
                <w:szCs w:val="16"/>
              </w:rPr>
              <w:t>-8,6%</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08FC71" w14:textId="77777777" w:rsidR="00F334B6" w:rsidRPr="006813B9" w:rsidRDefault="00F334B6">
            <w:pPr>
              <w:pStyle w:val="Tabele"/>
              <w:jc w:val="right"/>
              <w:rPr>
                <w:highlight w:val="yellow"/>
              </w:rPr>
            </w:pPr>
            <w:r>
              <w:rPr>
                <w:rFonts w:cs="Calibri"/>
                <w:color w:val="000000"/>
                <w:szCs w:val="16"/>
              </w:rPr>
              <w:t>-18,1%</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4C96AD8" w14:textId="77777777" w:rsidR="00F334B6" w:rsidRPr="006813B9" w:rsidRDefault="00F334B6">
            <w:pPr>
              <w:pStyle w:val="Tabele"/>
              <w:jc w:val="right"/>
              <w:rPr>
                <w:highlight w:val="yellow"/>
              </w:rPr>
            </w:pPr>
            <w:r>
              <w:rPr>
                <w:rFonts w:cs="Calibri"/>
                <w:color w:val="000000"/>
                <w:szCs w:val="16"/>
              </w:rPr>
              <w:t>-23,6%</w:t>
            </w:r>
          </w:p>
        </w:tc>
      </w:tr>
      <w:tr w:rsidR="00F334B6" w:rsidRPr="004669DE" w14:paraId="44B21643" w14:textId="77777777" w:rsidTr="00B74754">
        <w:trPr>
          <w:trHeight w:val="227"/>
        </w:trPr>
        <w:tc>
          <w:tcPr>
            <w:tcW w:w="2326" w:type="dxa"/>
            <w:tcBorders>
              <w:right w:val="single" w:sz="4" w:space="0" w:color="AEAAAA" w:themeColor="background2" w:themeShade="BF"/>
            </w:tcBorders>
          </w:tcPr>
          <w:p w14:paraId="5E70D7F4" w14:textId="77777777" w:rsidR="00F334B6" w:rsidRPr="004669DE" w:rsidRDefault="00F334B6">
            <w:pPr>
              <w:pStyle w:val="Tabele"/>
              <w:rPr>
                <w:bCs/>
              </w:rPr>
            </w:pPr>
            <w:r>
              <w:rPr>
                <w:rFonts w:cs="Calibri"/>
                <w:color w:val="000000"/>
                <w:szCs w:val="16"/>
              </w:rPr>
              <w:t xml:space="preserve">B. Emisja lotna z paliw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198FAC" w14:textId="77777777" w:rsidR="00F334B6" w:rsidRPr="006813B9" w:rsidRDefault="00F334B6">
            <w:pPr>
              <w:pStyle w:val="Tabele"/>
              <w:jc w:val="right"/>
              <w:rPr>
                <w:highlight w:val="yellow"/>
              </w:rPr>
            </w:pPr>
            <w:r>
              <w:rPr>
                <w:rFonts w:cs="Calibri"/>
                <w:color w:val="000000"/>
                <w:szCs w:val="16"/>
              </w:rPr>
              <w:t>2,4%</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A97FC5" w14:textId="77777777" w:rsidR="00F334B6" w:rsidRPr="006813B9" w:rsidRDefault="00F334B6">
            <w:pPr>
              <w:pStyle w:val="Tabele"/>
              <w:jc w:val="right"/>
              <w:rPr>
                <w:highlight w:val="yellow"/>
              </w:rPr>
            </w:pPr>
            <w:r>
              <w:rPr>
                <w:rFonts w:cs="Calibri"/>
                <w:color w:val="000000"/>
                <w:szCs w:val="16"/>
              </w:rPr>
              <w:t>-7,9%</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E976A94" w14:textId="77777777" w:rsidR="00F334B6" w:rsidRPr="006813B9" w:rsidRDefault="00F334B6">
            <w:pPr>
              <w:pStyle w:val="Tabele"/>
              <w:jc w:val="right"/>
              <w:rPr>
                <w:highlight w:val="yellow"/>
              </w:rPr>
            </w:pPr>
            <w:r>
              <w:rPr>
                <w:rFonts w:cs="Calibri"/>
                <w:color w:val="000000"/>
                <w:szCs w:val="16"/>
              </w:rPr>
              <w:t>-18,2%</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E08A95" w14:textId="77777777" w:rsidR="00F334B6" w:rsidRPr="006813B9" w:rsidRDefault="00F334B6">
            <w:pPr>
              <w:pStyle w:val="Tabele"/>
              <w:jc w:val="right"/>
              <w:rPr>
                <w:highlight w:val="yellow"/>
              </w:rPr>
            </w:pPr>
            <w:r>
              <w:rPr>
                <w:rFonts w:cs="Calibri"/>
                <w:color w:val="000000"/>
                <w:szCs w:val="16"/>
              </w:rPr>
              <w:t>-19,8%</w:t>
            </w:r>
          </w:p>
        </w:tc>
      </w:tr>
      <w:tr w:rsidR="00F334B6" w:rsidRPr="004669DE" w14:paraId="78A195CC" w14:textId="77777777" w:rsidTr="00B74754">
        <w:trPr>
          <w:trHeight w:val="227"/>
        </w:trPr>
        <w:tc>
          <w:tcPr>
            <w:tcW w:w="2326" w:type="dxa"/>
            <w:tcBorders>
              <w:right w:val="single" w:sz="4" w:space="0" w:color="AEAAAA" w:themeColor="background2" w:themeShade="BF"/>
            </w:tcBorders>
          </w:tcPr>
          <w:p w14:paraId="7F0CF31C" w14:textId="77777777" w:rsidR="00F334B6" w:rsidRPr="004669DE" w:rsidRDefault="00F334B6">
            <w:pPr>
              <w:pStyle w:val="Tabele"/>
              <w:rPr>
                <w:bCs/>
              </w:rPr>
            </w:pPr>
            <w:r>
              <w:rPr>
                <w:rFonts w:cs="Calibri"/>
                <w:color w:val="000000"/>
                <w:szCs w:val="16"/>
              </w:rPr>
              <w:t xml:space="preserve">1. Paliwa stałe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D77328" w14:textId="77777777" w:rsidR="00F334B6" w:rsidRPr="006813B9" w:rsidRDefault="00F334B6">
            <w:pPr>
              <w:pStyle w:val="Tabele"/>
              <w:jc w:val="right"/>
              <w:rPr>
                <w:highlight w:val="yellow"/>
              </w:rPr>
            </w:pPr>
            <w:r>
              <w:rPr>
                <w:rFonts w:cs="Calibri"/>
                <w:color w:val="000000"/>
                <w:szCs w:val="16"/>
              </w:rPr>
              <w:t>2,5%</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699449" w14:textId="77777777" w:rsidR="00F334B6" w:rsidRPr="006813B9" w:rsidRDefault="00F334B6">
            <w:pPr>
              <w:pStyle w:val="Tabele"/>
              <w:jc w:val="right"/>
              <w:rPr>
                <w:highlight w:val="yellow"/>
              </w:rPr>
            </w:pPr>
            <w:r>
              <w:rPr>
                <w:rFonts w:cs="Calibri"/>
                <w:color w:val="000000"/>
                <w:szCs w:val="16"/>
              </w:rPr>
              <w:t>-14,4%</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F6A6452" w14:textId="77777777" w:rsidR="00F334B6" w:rsidRPr="006813B9" w:rsidRDefault="00F334B6">
            <w:pPr>
              <w:pStyle w:val="Tabele"/>
              <w:jc w:val="right"/>
              <w:rPr>
                <w:highlight w:val="yellow"/>
              </w:rPr>
            </w:pPr>
            <w:r>
              <w:rPr>
                <w:rFonts w:cs="Calibri"/>
                <w:color w:val="000000"/>
                <w:szCs w:val="16"/>
              </w:rPr>
              <w:t>-27,9%</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F9799A6" w14:textId="77777777" w:rsidR="00F334B6" w:rsidRPr="006813B9" w:rsidRDefault="00F334B6">
            <w:pPr>
              <w:pStyle w:val="Tabele"/>
              <w:jc w:val="right"/>
              <w:rPr>
                <w:highlight w:val="yellow"/>
              </w:rPr>
            </w:pPr>
            <w:r>
              <w:rPr>
                <w:rFonts w:cs="Calibri"/>
                <w:color w:val="000000"/>
                <w:szCs w:val="16"/>
              </w:rPr>
              <w:t>-31,5%</w:t>
            </w:r>
          </w:p>
        </w:tc>
      </w:tr>
      <w:tr w:rsidR="00F334B6" w:rsidRPr="004669DE" w14:paraId="0A08C705" w14:textId="77777777" w:rsidTr="00B74754">
        <w:trPr>
          <w:trHeight w:val="227"/>
        </w:trPr>
        <w:tc>
          <w:tcPr>
            <w:tcW w:w="2326" w:type="dxa"/>
            <w:tcBorders>
              <w:right w:val="single" w:sz="4" w:space="0" w:color="AEAAAA" w:themeColor="background2" w:themeShade="BF"/>
            </w:tcBorders>
          </w:tcPr>
          <w:p w14:paraId="69FCB1A9" w14:textId="77777777" w:rsidR="00F334B6" w:rsidRPr="004669DE" w:rsidRDefault="00F334B6">
            <w:pPr>
              <w:pStyle w:val="Tabele"/>
              <w:rPr>
                <w:bCs/>
              </w:rPr>
            </w:pPr>
            <w:r>
              <w:rPr>
                <w:rFonts w:cs="Calibri"/>
                <w:color w:val="000000"/>
                <w:szCs w:val="16"/>
              </w:rPr>
              <w:t xml:space="preserve">2. Ropa naftowa i gaz ziemny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3898A8" w14:textId="77777777" w:rsidR="00F334B6" w:rsidRPr="006813B9" w:rsidRDefault="00F334B6">
            <w:pPr>
              <w:pStyle w:val="Tabele"/>
              <w:jc w:val="right"/>
              <w:rPr>
                <w:highlight w:val="yellow"/>
              </w:rPr>
            </w:pPr>
            <w:r>
              <w:rPr>
                <w:rFonts w:cs="Calibri"/>
                <w:color w:val="000000"/>
                <w:szCs w:val="16"/>
              </w:rPr>
              <w:t>2,3%</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452CF6" w14:textId="77777777" w:rsidR="00F334B6" w:rsidRPr="006813B9" w:rsidRDefault="00F334B6">
            <w:pPr>
              <w:pStyle w:val="Tabele"/>
              <w:jc w:val="right"/>
              <w:rPr>
                <w:highlight w:val="yellow"/>
              </w:rPr>
            </w:pPr>
            <w:r>
              <w:rPr>
                <w:rFonts w:cs="Calibri"/>
                <w:color w:val="000000"/>
                <w:szCs w:val="16"/>
              </w:rPr>
              <w:t>0,4%</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4DAC199" w14:textId="77777777" w:rsidR="00F334B6" w:rsidRPr="006813B9" w:rsidRDefault="00F334B6">
            <w:pPr>
              <w:pStyle w:val="Tabele"/>
              <w:jc w:val="right"/>
              <w:rPr>
                <w:highlight w:val="yellow"/>
              </w:rPr>
            </w:pPr>
            <w:r>
              <w:rPr>
                <w:rFonts w:cs="Calibri"/>
                <w:color w:val="000000"/>
                <w:szCs w:val="16"/>
              </w:rPr>
              <w:t>-8,2%</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741B12B" w14:textId="77777777" w:rsidR="00F334B6" w:rsidRPr="006813B9" w:rsidRDefault="00F334B6">
            <w:pPr>
              <w:pStyle w:val="Tabele"/>
              <w:jc w:val="right"/>
              <w:rPr>
                <w:highlight w:val="yellow"/>
              </w:rPr>
            </w:pPr>
            <w:r>
              <w:rPr>
                <w:rFonts w:cs="Calibri"/>
                <w:color w:val="000000"/>
                <w:szCs w:val="16"/>
              </w:rPr>
              <w:t>-11,8%</w:t>
            </w:r>
          </w:p>
        </w:tc>
      </w:tr>
      <w:tr w:rsidR="00F334B6" w:rsidRPr="004669DE" w14:paraId="1CC5D5F3" w14:textId="77777777" w:rsidTr="00B74754">
        <w:trPr>
          <w:trHeight w:val="227"/>
        </w:trPr>
        <w:tc>
          <w:tcPr>
            <w:tcW w:w="2326" w:type="dxa"/>
            <w:tcBorders>
              <w:right w:val="single" w:sz="4" w:space="0" w:color="AEAAAA" w:themeColor="background2" w:themeShade="BF"/>
            </w:tcBorders>
          </w:tcPr>
          <w:p w14:paraId="0DC7CE7B" w14:textId="77777777" w:rsidR="00F334B6" w:rsidRPr="00F43A85" w:rsidRDefault="00F334B6">
            <w:pPr>
              <w:pStyle w:val="Tabele"/>
              <w:rPr>
                <w:b/>
                <w:bCs/>
              </w:rPr>
            </w:pPr>
            <w:r>
              <w:rPr>
                <w:rFonts w:cs="Calibri"/>
                <w:b/>
                <w:bCs/>
                <w:color w:val="000000"/>
                <w:szCs w:val="16"/>
              </w:rPr>
              <w:t xml:space="preserve">2. Procesy przemysłowe i użytkowanie produktów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548F8FC" w14:textId="77777777" w:rsidR="00F334B6" w:rsidRPr="006813B9" w:rsidRDefault="00F334B6">
            <w:pPr>
              <w:pStyle w:val="Tabele"/>
              <w:jc w:val="right"/>
              <w:rPr>
                <w:highlight w:val="yellow"/>
              </w:rPr>
            </w:pPr>
            <w:r>
              <w:rPr>
                <w:rFonts w:cs="Calibri"/>
                <w:b/>
                <w:bCs/>
                <w:color w:val="000000"/>
                <w:szCs w:val="16"/>
              </w:rPr>
              <w:t>-0,6%</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B84AD25" w14:textId="77777777" w:rsidR="00F334B6" w:rsidRPr="006813B9" w:rsidRDefault="00F334B6">
            <w:pPr>
              <w:pStyle w:val="Tabele"/>
              <w:jc w:val="right"/>
              <w:rPr>
                <w:highlight w:val="yellow"/>
              </w:rPr>
            </w:pPr>
            <w:r>
              <w:rPr>
                <w:rFonts w:cs="Calibri"/>
                <w:b/>
                <w:bCs/>
                <w:color w:val="000000"/>
                <w:szCs w:val="16"/>
              </w:rPr>
              <w:t>-0,6%</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BF336DD" w14:textId="77777777" w:rsidR="00F334B6" w:rsidRPr="006813B9" w:rsidRDefault="00F334B6">
            <w:pPr>
              <w:pStyle w:val="Tabele"/>
              <w:jc w:val="right"/>
              <w:rPr>
                <w:highlight w:val="yellow"/>
              </w:rPr>
            </w:pPr>
            <w:r>
              <w:rPr>
                <w:rFonts w:cs="Calibri"/>
                <w:b/>
                <w:bCs/>
                <w:color w:val="000000"/>
                <w:szCs w:val="16"/>
              </w:rPr>
              <w:t>-0,4%</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C8C8EA2" w14:textId="77777777" w:rsidR="00F334B6" w:rsidRPr="006813B9" w:rsidRDefault="00F334B6">
            <w:pPr>
              <w:pStyle w:val="Tabele"/>
              <w:jc w:val="right"/>
              <w:rPr>
                <w:highlight w:val="yellow"/>
              </w:rPr>
            </w:pPr>
            <w:r>
              <w:rPr>
                <w:rFonts w:cs="Calibri"/>
                <w:b/>
                <w:bCs/>
                <w:color w:val="000000"/>
                <w:szCs w:val="16"/>
              </w:rPr>
              <w:t>-0,5%</w:t>
            </w:r>
          </w:p>
        </w:tc>
      </w:tr>
      <w:tr w:rsidR="00F334B6" w:rsidRPr="004669DE" w14:paraId="220EA810" w14:textId="77777777" w:rsidTr="00B74754">
        <w:trPr>
          <w:trHeight w:val="227"/>
        </w:trPr>
        <w:tc>
          <w:tcPr>
            <w:tcW w:w="2326" w:type="dxa"/>
            <w:tcBorders>
              <w:right w:val="single" w:sz="4" w:space="0" w:color="AEAAAA" w:themeColor="background2" w:themeShade="BF"/>
            </w:tcBorders>
          </w:tcPr>
          <w:p w14:paraId="6CAD9DEC" w14:textId="77777777" w:rsidR="00F334B6" w:rsidRPr="004669DE" w:rsidRDefault="00F334B6">
            <w:pPr>
              <w:pStyle w:val="Tabele"/>
              <w:rPr>
                <w:bCs/>
              </w:rPr>
            </w:pPr>
            <w:r>
              <w:rPr>
                <w:rFonts w:cs="Calibri"/>
                <w:color w:val="000000"/>
                <w:szCs w:val="16"/>
              </w:rPr>
              <w:t xml:space="preserve">B. Przemysł chemiczny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B904DFC" w14:textId="77777777" w:rsidR="00F334B6" w:rsidRPr="006813B9" w:rsidRDefault="00F334B6">
            <w:pPr>
              <w:pStyle w:val="Tabele"/>
              <w:jc w:val="right"/>
              <w:rPr>
                <w:highlight w:val="yellow"/>
              </w:rPr>
            </w:pPr>
            <w:r>
              <w:rPr>
                <w:rFonts w:cs="Calibri"/>
                <w:color w:val="000000"/>
                <w:szCs w:val="16"/>
              </w:rPr>
              <w:t>0,0%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A0CA213" w14:textId="77777777" w:rsidR="00F334B6" w:rsidRPr="006813B9" w:rsidRDefault="00F334B6">
            <w:pPr>
              <w:pStyle w:val="Tabele"/>
              <w:jc w:val="right"/>
              <w:rPr>
                <w:highlight w:val="yellow"/>
              </w:rPr>
            </w:pPr>
            <w:r>
              <w:rPr>
                <w:rFonts w:cs="Calibri"/>
                <w:color w:val="000000"/>
                <w:szCs w:val="16"/>
              </w:rPr>
              <w:t>0,0%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1B29176" w14:textId="77777777" w:rsidR="00F334B6" w:rsidRPr="006813B9" w:rsidRDefault="00F334B6">
            <w:pPr>
              <w:pStyle w:val="Tabele"/>
              <w:jc w:val="right"/>
              <w:rPr>
                <w:highlight w:val="yellow"/>
              </w:rPr>
            </w:pPr>
            <w:r>
              <w:rPr>
                <w:rFonts w:cs="Calibri"/>
                <w:color w:val="000000"/>
                <w:szCs w:val="16"/>
              </w:rPr>
              <w:t>0,0%</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833E8D" w14:textId="77777777" w:rsidR="00F334B6" w:rsidRPr="006813B9" w:rsidRDefault="00F334B6">
            <w:pPr>
              <w:pStyle w:val="Tabele"/>
              <w:jc w:val="right"/>
              <w:rPr>
                <w:highlight w:val="yellow"/>
              </w:rPr>
            </w:pPr>
            <w:r>
              <w:rPr>
                <w:rFonts w:cs="Calibri"/>
                <w:color w:val="000000"/>
                <w:szCs w:val="16"/>
              </w:rPr>
              <w:t>0,0%</w:t>
            </w:r>
          </w:p>
        </w:tc>
      </w:tr>
      <w:tr w:rsidR="00F334B6" w:rsidRPr="004669DE" w14:paraId="267374B0" w14:textId="77777777" w:rsidTr="00B74754">
        <w:trPr>
          <w:trHeight w:val="227"/>
        </w:trPr>
        <w:tc>
          <w:tcPr>
            <w:tcW w:w="2326" w:type="dxa"/>
            <w:tcBorders>
              <w:right w:val="single" w:sz="4" w:space="0" w:color="AEAAAA" w:themeColor="background2" w:themeShade="BF"/>
            </w:tcBorders>
          </w:tcPr>
          <w:p w14:paraId="27524029" w14:textId="77777777" w:rsidR="00F334B6" w:rsidRPr="004669DE" w:rsidRDefault="00F334B6">
            <w:pPr>
              <w:pStyle w:val="Tabele"/>
              <w:rPr>
                <w:bCs/>
              </w:rPr>
            </w:pPr>
            <w:r>
              <w:rPr>
                <w:rFonts w:cs="Calibri"/>
                <w:color w:val="000000"/>
                <w:szCs w:val="16"/>
              </w:rPr>
              <w:t xml:space="preserve">C. Produkcja metali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743046" w14:textId="77777777" w:rsidR="00F334B6" w:rsidRPr="006813B9" w:rsidRDefault="00F334B6">
            <w:pPr>
              <w:pStyle w:val="Tabele"/>
              <w:jc w:val="right"/>
              <w:rPr>
                <w:highlight w:val="yellow"/>
              </w:rPr>
            </w:pPr>
            <w:r>
              <w:rPr>
                <w:rFonts w:cs="Calibri"/>
                <w:color w:val="000000"/>
                <w:szCs w:val="16"/>
              </w:rPr>
              <w:t>-2,4%</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6CBCEE" w14:textId="77777777" w:rsidR="00F334B6" w:rsidRPr="006813B9" w:rsidRDefault="00F334B6">
            <w:pPr>
              <w:pStyle w:val="Tabele"/>
              <w:jc w:val="right"/>
              <w:rPr>
                <w:highlight w:val="yellow"/>
              </w:rPr>
            </w:pPr>
            <w:r>
              <w:rPr>
                <w:rFonts w:cs="Calibri"/>
                <w:color w:val="000000"/>
                <w:szCs w:val="16"/>
              </w:rPr>
              <w:t>-5,7%</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98C595" w14:textId="77777777" w:rsidR="00F334B6" w:rsidRPr="006813B9" w:rsidRDefault="00F334B6">
            <w:pPr>
              <w:pStyle w:val="Tabele"/>
              <w:jc w:val="right"/>
              <w:rPr>
                <w:highlight w:val="yellow"/>
              </w:rPr>
            </w:pPr>
            <w:r>
              <w:rPr>
                <w:rFonts w:cs="Calibri"/>
                <w:color w:val="000000"/>
                <w:szCs w:val="16"/>
              </w:rPr>
              <w:t>-3,4%</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E0DE24" w14:textId="77777777" w:rsidR="00F334B6" w:rsidRPr="006813B9" w:rsidRDefault="00F334B6">
            <w:pPr>
              <w:pStyle w:val="Tabele"/>
              <w:jc w:val="right"/>
              <w:rPr>
                <w:highlight w:val="yellow"/>
              </w:rPr>
            </w:pPr>
            <w:r>
              <w:rPr>
                <w:rFonts w:cs="Calibri"/>
                <w:color w:val="000000"/>
                <w:szCs w:val="16"/>
              </w:rPr>
              <w:t>-7,7%</w:t>
            </w:r>
          </w:p>
        </w:tc>
      </w:tr>
      <w:tr w:rsidR="00F334B6" w:rsidRPr="004669DE" w14:paraId="132F2264" w14:textId="77777777" w:rsidTr="00B74754">
        <w:trPr>
          <w:trHeight w:val="227"/>
        </w:trPr>
        <w:tc>
          <w:tcPr>
            <w:tcW w:w="2326" w:type="dxa"/>
            <w:tcBorders>
              <w:right w:val="single" w:sz="4" w:space="0" w:color="AEAAAA" w:themeColor="background2" w:themeShade="BF"/>
            </w:tcBorders>
          </w:tcPr>
          <w:p w14:paraId="365048DF" w14:textId="77777777" w:rsidR="00F334B6" w:rsidRPr="00EB3B96" w:rsidRDefault="00F334B6">
            <w:pPr>
              <w:pStyle w:val="Tabele"/>
              <w:rPr>
                <w:b/>
              </w:rPr>
            </w:pPr>
            <w:r>
              <w:rPr>
                <w:rFonts w:cs="Calibri"/>
                <w:color w:val="000000"/>
                <w:szCs w:val="16"/>
              </w:rPr>
              <w:t>D. Stosowanie rozpuszczalników i innych produktów</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08710C" w14:textId="77777777" w:rsidR="00F334B6" w:rsidRPr="006813B9" w:rsidRDefault="00F334B6">
            <w:pPr>
              <w:pStyle w:val="Tabele"/>
              <w:jc w:val="right"/>
              <w:rPr>
                <w:highlight w:val="yellow"/>
              </w:rPr>
            </w:pPr>
            <w:r>
              <w:rPr>
                <w:rFonts w:cs="Calibri"/>
                <w:color w:val="000000"/>
                <w:szCs w:val="16"/>
              </w:rPr>
              <w:t>0,0%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E5B19F" w14:textId="77777777" w:rsidR="00F334B6" w:rsidRPr="006813B9" w:rsidRDefault="00F334B6">
            <w:pPr>
              <w:pStyle w:val="Tabele"/>
              <w:jc w:val="right"/>
              <w:rPr>
                <w:highlight w:val="yellow"/>
              </w:rPr>
            </w:pPr>
            <w:r>
              <w:rPr>
                <w:rFonts w:cs="Calibri"/>
                <w:color w:val="000000"/>
                <w:szCs w:val="16"/>
              </w:rPr>
              <w:t>0,0%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DC1FEA" w14:textId="77777777" w:rsidR="00F334B6" w:rsidRPr="006813B9" w:rsidRDefault="00F334B6">
            <w:pPr>
              <w:pStyle w:val="Tabele"/>
              <w:jc w:val="right"/>
              <w:rPr>
                <w:highlight w:val="yellow"/>
              </w:rPr>
            </w:pPr>
            <w:r>
              <w:rPr>
                <w:rFonts w:cs="Calibri"/>
                <w:color w:val="000000"/>
                <w:szCs w:val="16"/>
              </w:rPr>
              <w:t>0,0%</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8C13749" w14:textId="77777777" w:rsidR="00F334B6" w:rsidRPr="006813B9" w:rsidRDefault="00F334B6">
            <w:pPr>
              <w:pStyle w:val="Tabele"/>
              <w:jc w:val="right"/>
              <w:rPr>
                <w:highlight w:val="yellow"/>
              </w:rPr>
            </w:pPr>
            <w:r>
              <w:rPr>
                <w:rFonts w:cs="Calibri"/>
                <w:color w:val="000000"/>
                <w:szCs w:val="16"/>
              </w:rPr>
              <w:t>0,0%</w:t>
            </w:r>
          </w:p>
        </w:tc>
      </w:tr>
      <w:tr w:rsidR="00F334B6" w:rsidRPr="004669DE" w14:paraId="22DF84B1" w14:textId="77777777" w:rsidTr="00B74754">
        <w:trPr>
          <w:trHeight w:val="227"/>
        </w:trPr>
        <w:tc>
          <w:tcPr>
            <w:tcW w:w="2326" w:type="dxa"/>
            <w:tcBorders>
              <w:right w:val="single" w:sz="4" w:space="0" w:color="AEAAAA" w:themeColor="background2" w:themeShade="BF"/>
            </w:tcBorders>
          </w:tcPr>
          <w:p w14:paraId="12470C5B" w14:textId="77777777" w:rsidR="00F334B6" w:rsidRPr="00F43A85" w:rsidRDefault="00F334B6">
            <w:pPr>
              <w:pStyle w:val="Tabele"/>
              <w:rPr>
                <w:b/>
                <w:bCs/>
              </w:rPr>
            </w:pPr>
            <w:r>
              <w:rPr>
                <w:rFonts w:cs="Calibri"/>
                <w:color w:val="000000"/>
                <w:szCs w:val="16"/>
              </w:rPr>
              <w:t>G. – L. Inne</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AB1B11C" w14:textId="77777777" w:rsidR="00F334B6" w:rsidRPr="006813B9" w:rsidRDefault="00F334B6">
            <w:pPr>
              <w:pStyle w:val="Tabele"/>
              <w:jc w:val="right"/>
              <w:rPr>
                <w:highlight w:val="yellow"/>
              </w:rPr>
            </w:pPr>
            <w:r>
              <w:rPr>
                <w:rFonts w:cs="Calibri"/>
                <w:color w:val="000000"/>
                <w:szCs w:val="16"/>
              </w:rPr>
              <w:t>-12,6%</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DE465E7" w14:textId="77777777" w:rsidR="00F334B6" w:rsidRPr="006813B9" w:rsidRDefault="00F334B6">
            <w:pPr>
              <w:pStyle w:val="Tabele"/>
              <w:jc w:val="right"/>
              <w:rPr>
                <w:highlight w:val="yellow"/>
              </w:rPr>
            </w:pPr>
            <w:r>
              <w:rPr>
                <w:rFonts w:cs="Calibri"/>
                <w:color w:val="000000"/>
                <w:szCs w:val="16"/>
              </w:rPr>
              <w:t>-12,8%</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E260384" w14:textId="77777777" w:rsidR="00F334B6" w:rsidRPr="006813B9" w:rsidRDefault="00F334B6">
            <w:pPr>
              <w:pStyle w:val="Tabele"/>
              <w:jc w:val="right"/>
              <w:rPr>
                <w:highlight w:val="yellow"/>
              </w:rPr>
            </w:pPr>
            <w:r>
              <w:rPr>
                <w:rFonts w:cs="Calibri"/>
                <w:color w:val="000000"/>
                <w:szCs w:val="16"/>
              </w:rPr>
              <w:t>-9,1%</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61CC6C" w14:textId="77777777" w:rsidR="00F334B6" w:rsidRPr="006813B9" w:rsidRDefault="00F334B6">
            <w:pPr>
              <w:pStyle w:val="Tabele"/>
              <w:jc w:val="right"/>
              <w:rPr>
                <w:highlight w:val="yellow"/>
              </w:rPr>
            </w:pPr>
            <w:r>
              <w:rPr>
                <w:rFonts w:cs="Calibri"/>
                <w:color w:val="000000"/>
                <w:szCs w:val="16"/>
              </w:rPr>
              <w:t>-9,6%</w:t>
            </w:r>
          </w:p>
        </w:tc>
      </w:tr>
      <w:tr w:rsidR="00F334B6" w:rsidRPr="004669DE" w14:paraId="3BADA2E4" w14:textId="77777777" w:rsidTr="00B74754">
        <w:trPr>
          <w:trHeight w:val="227"/>
        </w:trPr>
        <w:tc>
          <w:tcPr>
            <w:tcW w:w="2326" w:type="dxa"/>
            <w:tcBorders>
              <w:right w:val="single" w:sz="4" w:space="0" w:color="AEAAAA" w:themeColor="background2" w:themeShade="BF"/>
            </w:tcBorders>
          </w:tcPr>
          <w:p w14:paraId="73F2441A" w14:textId="77777777" w:rsidR="00F334B6" w:rsidRPr="004669DE" w:rsidRDefault="00F334B6">
            <w:pPr>
              <w:pStyle w:val="Tabele"/>
              <w:rPr>
                <w:bCs/>
              </w:rPr>
            </w:pPr>
            <w:r>
              <w:rPr>
                <w:rFonts w:cs="Calibri"/>
                <w:b/>
                <w:bCs/>
                <w:color w:val="000000"/>
                <w:szCs w:val="16"/>
              </w:rPr>
              <w:t xml:space="preserve">3. Rolnictwo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02B966D" w14:textId="77777777" w:rsidR="00F334B6" w:rsidRPr="006813B9" w:rsidRDefault="00F334B6">
            <w:pPr>
              <w:pStyle w:val="Tabele"/>
              <w:jc w:val="right"/>
              <w:rPr>
                <w:highlight w:val="yellow"/>
              </w:rPr>
            </w:pPr>
            <w:r>
              <w:rPr>
                <w:rFonts w:cs="Calibri"/>
                <w:b/>
                <w:bCs/>
                <w:color w:val="000000"/>
                <w:szCs w:val="16"/>
              </w:rPr>
              <w:t>-6,2%</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36AC8A" w14:textId="77777777" w:rsidR="00F334B6" w:rsidRPr="006813B9" w:rsidRDefault="00F334B6">
            <w:pPr>
              <w:pStyle w:val="Tabele"/>
              <w:jc w:val="right"/>
              <w:rPr>
                <w:highlight w:val="yellow"/>
              </w:rPr>
            </w:pPr>
            <w:r>
              <w:rPr>
                <w:rFonts w:cs="Calibri"/>
                <w:b/>
                <w:bCs/>
                <w:color w:val="000000"/>
                <w:szCs w:val="16"/>
              </w:rPr>
              <w:t>-12,1%</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85F4EA" w14:textId="77777777" w:rsidR="00F334B6" w:rsidRPr="006813B9" w:rsidRDefault="00F334B6">
            <w:pPr>
              <w:pStyle w:val="Tabele"/>
              <w:jc w:val="right"/>
              <w:rPr>
                <w:highlight w:val="yellow"/>
              </w:rPr>
            </w:pPr>
            <w:r>
              <w:rPr>
                <w:rFonts w:cs="Calibri"/>
                <w:b/>
                <w:bCs/>
                <w:color w:val="000000"/>
                <w:szCs w:val="16"/>
              </w:rPr>
              <w:t>-12,2%</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5117320" w14:textId="77777777" w:rsidR="00F334B6" w:rsidRPr="006813B9" w:rsidRDefault="00F334B6">
            <w:pPr>
              <w:pStyle w:val="Tabele"/>
              <w:jc w:val="right"/>
              <w:rPr>
                <w:highlight w:val="yellow"/>
              </w:rPr>
            </w:pPr>
            <w:r>
              <w:rPr>
                <w:rFonts w:cs="Calibri"/>
                <w:b/>
                <w:bCs/>
                <w:color w:val="000000"/>
                <w:szCs w:val="16"/>
              </w:rPr>
              <w:t>-12,7%</w:t>
            </w:r>
          </w:p>
        </w:tc>
      </w:tr>
      <w:tr w:rsidR="00F334B6" w:rsidRPr="004669DE" w14:paraId="08B3E220" w14:textId="77777777" w:rsidTr="00B74754">
        <w:trPr>
          <w:trHeight w:val="227"/>
        </w:trPr>
        <w:tc>
          <w:tcPr>
            <w:tcW w:w="2326" w:type="dxa"/>
            <w:tcBorders>
              <w:right w:val="single" w:sz="4" w:space="0" w:color="AEAAAA" w:themeColor="background2" w:themeShade="BF"/>
            </w:tcBorders>
          </w:tcPr>
          <w:p w14:paraId="0F4ED634" w14:textId="77777777" w:rsidR="00F334B6" w:rsidRPr="00F43A85" w:rsidRDefault="00F334B6">
            <w:pPr>
              <w:pStyle w:val="Tabele"/>
              <w:rPr>
                <w:b/>
                <w:bCs/>
              </w:rPr>
            </w:pPr>
            <w:r>
              <w:rPr>
                <w:rFonts w:cs="Calibri"/>
                <w:color w:val="000000"/>
                <w:szCs w:val="16"/>
              </w:rPr>
              <w:t xml:space="preserve">B. Nawozy naturalne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E7C4668" w14:textId="77777777" w:rsidR="00F334B6" w:rsidRPr="006813B9" w:rsidRDefault="00F334B6">
            <w:pPr>
              <w:pStyle w:val="Tabele"/>
              <w:jc w:val="right"/>
              <w:rPr>
                <w:highlight w:val="yellow"/>
              </w:rPr>
            </w:pPr>
            <w:r>
              <w:rPr>
                <w:rFonts w:cs="Calibri"/>
                <w:color w:val="000000"/>
                <w:szCs w:val="16"/>
              </w:rPr>
              <w:t>-6,6%</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0A5E27D" w14:textId="77777777" w:rsidR="00F334B6" w:rsidRPr="006813B9" w:rsidRDefault="00F334B6">
            <w:pPr>
              <w:pStyle w:val="Tabele"/>
              <w:jc w:val="right"/>
              <w:rPr>
                <w:highlight w:val="yellow"/>
              </w:rPr>
            </w:pPr>
            <w:r>
              <w:rPr>
                <w:rFonts w:cs="Calibri"/>
                <w:color w:val="000000"/>
                <w:szCs w:val="16"/>
              </w:rPr>
              <w:t>-12,8%</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6EEC607" w14:textId="77777777" w:rsidR="00F334B6" w:rsidRPr="006813B9" w:rsidRDefault="00F334B6">
            <w:pPr>
              <w:pStyle w:val="Tabele"/>
              <w:jc w:val="right"/>
              <w:rPr>
                <w:highlight w:val="yellow"/>
              </w:rPr>
            </w:pPr>
            <w:r>
              <w:rPr>
                <w:rFonts w:cs="Calibri"/>
                <w:color w:val="000000"/>
                <w:szCs w:val="16"/>
              </w:rPr>
              <w:t>-12,8%</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12FD49C" w14:textId="77777777" w:rsidR="00F334B6" w:rsidRPr="006813B9" w:rsidRDefault="00F334B6">
            <w:pPr>
              <w:pStyle w:val="Tabele"/>
              <w:jc w:val="right"/>
              <w:rPr>
                <w:highlight w:val="yellow"/>
              </w:rPr>
            </w:pPr>
            <w:r>
              <w:rPr>
                <w:rFonts w:cs="Calibri"/>
                <w:color w:val="000000"/>
                <w:szCs w:val="16"/>
              </w:rPr>
              <w:t>-13,2%</w:t>
            </w:r>
          </w:p>
        </w:tc>
      </w:tr>
      <w:tr w:rsidR="00F334B6" w:rsidRPr="004669DE" w14:paraId="7204A272" w14:textId="77777777" w:rsidTr="00B74754">
        <w:trPr>
          <w:trHeight w:val="227"/>
        </w:trPr>
        <w:tc>
          <w:tcPr>
            <w:tcW w:w="2326" w:type="dxa"/>
            <w:tcBorders>
              <w:right w:val="single" w:sz="4" w:space="0" w:color="AEAAAA" w:themeColor="background2" w:themeShade="BF"/>
            </w:tcBorders>
          </w:tcPr>
          <w:p w14:paraId="77F6A6CF" w14:textId="77777777" w:rsidR="00F334B6" w:rsidRPr="00EB3B96" w:rsidRDefault="00F334B6">
            <w:pPr>
              <w:pStyle w:val="Tabele"/>
              <w:rPr>
                <w:bCs/>
              </w:rPr>
            </w:pPr>
            <w:r>
              <w:rPr>
                <w:rFonts w:cs="Calibri"/>
                <w:color w:val="000000"/>
                <w:szCs w:val="16"/>
              </w:rPr>
              <w:t xml:space="preserve">D. Gleby rolne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C6A5473" w14:textId="77777777" w:rsidR="00F334B6" w:rsidRPr="006813B9" w:rsidRDefault="00F334B6">
            <w:pPr>
              <w:pStyle w:val="Tabele"/>
              <w:jc w:val="right"/>
              <w:rPr>
                <w:highlight w:val="yellow"/>
              </w:rPr>
            </w:pPr>
            <w:r>
              <w:rPr>
                <w:rFonts w:cs="Calibri"/>
                <w:color w:val="000000"/>
                <w:szCs w:val="16"/>
              </w:rPr>
              <w:t>-0,4%</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36A65B" w14:textId="77777777" w:rsidR="00F334B6" w:rsidRPr="006813B9" w:rsidRDefault="00F334B6">
            <w:pPr>
              <w:pStyle w:val="Tabele"/>
              <w:jc w:val="right"/>
              <w:rPr>
                <w:highlight w:val="yellow"/>
              </w:rPr>
            </w:pPr>
            <w:r>
              <w:rPr>
                <w:rFonts w:cs="Calibri"/>
                <w:color w:val="000000"/>
                <w:szCs w:val="16"/>
              </w:rPr>
              <w:t>-1,5%</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98BE16" w14:textId="77777777" w:rsidR="00F334B6" w:rsidRPr="006813B9" w:rsidRDefault="00F334B6">
            <w:pPr>
              <w:pStyle w:val="Tabele"/>
              <w:jc w:val="right"/>
              <w:rPr>
                <w:highlight w:val="yellow"/>
              </w:rPr>
            </w:pPr>
            <w:r>
              <w:rPr>
                <w:rFonts w:cs="Calibri"/>
                <w:color w:val="000000"/>
                <w:szCs w:val="16"/>
              </w:rPr>
              <w:t>-2,9%</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C12158" w14:textId="77777777" w:rsidR="00F334B6" w:rsidRPr="006813B9" w:rsidRDefault="00F334B6">
            <w:pPr>
              <w:pStyle w:val="Tabele"/>
              <w:jc w:val="right"/>
              <w:rPr>
                <w:highlight w:val="yellow"/>
              </w:rPr>
            </w:pPr>
            <w:r>
              <w:rPr>
                <w:rFonts w:cs="Calibri"/>
                <w:color w:val="000000"/>
                <w:szCs w:val="16"/>
              </w:rPr>
              <w:t>-5,3%</w:t>
            </w:r>
          </w:p>
        </w:tc>
      </w:tr>
      <w:tr w:rsidR="00F334B6" w:rsidRPr="004669DE" w14:paraId="45351584" w14:textId="77777777" w:rsidTr="00B74754">
        <w:trPr>
          <w:trHeight w:val="227"/>
        </w:trPr>
        <w:tc>
          <w:tcPr>
            <w:tcW w:w="2326" w:type="dxa"/>
            <w:tcBorders>
              <w:right w:val="single" w:sz="4" w:space="0" w:color="AEAAAA" w:themeColor="background2" w:themeShade="BF"/>
            </w:tcBorders>
          </w:tcPr>
          <w:p w14:paraId="36D8E2CE" w14:textId="77777777" w:rsidR="00F334B6" w:rsidRPr="00EB3B96" w:rsidRDefault="00F334B6">
            <w:pPr>
              <w:pStyle w:val="Tabele"/>
              <w:rPr>
                <w:bCs/>
              </w:rPr>
            </w:pPr>
            <w:r>
              <w:rPr>
                <w:rFonts w:cs="Calibri"/>
                <w:color w:val="000000"/>
                <w:szCs w:val="16"/>
              </w:rPr>
              <w:t xml:space="preserve">F. Spalanie resztek roślinnych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81C830" w14:textId="77777777" w:rsidR="00F334B6" w:rsidRPr="006813B9" w:rsidRDefault="00F334B6">
            <w:pPr>
              <w:pStyle w:val="Tabele"/>
              <w:jc w:val="right"/>
              <w:rPr>
                <w:highlight w:val="yellow"/>
              </w:rPr>
            </w:pPr>
            <w:r>
              <w:rPr>
                <w:rFonts w:cs="Calibri"/>
                <w:color w:val="000000"/>
                <w:szCs w:val="16"/>
              </w:rPr>
              <w:t>0,0%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2E99AA0" w14:textId="77777777" w:rsidR="00F334B6" w:rsidRPr="006813B9" w:rsidRDefault="00F334B6">
            <w:pPr>
              <w:pStyle w:val="Tabele"/>
              <w:jc w:val="right"/>
              <w:rPr>
                <w:highlight w:val="yellow"/>
              </w:rPr>
            </w:pPr>
            <w:r>
              <w:rPr>
                <w:rFonts w:cs="Calibri"/>
                <w:color w:val="000000"/>
                <w:szCs w:val="16"/>
              </w:rPr>
              <w:t>0,0%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6DDC704" w14:textId="77777777" w:rsidR="00F334B6" w:rsidRPr="006813B9" w:rsidRDefault="00F334B6">
            <w:pPr>
              <w:pStyle w:val="Tabele"/>
              <w:jc w:val="right"/>
              <w:rPr>
                <w:highlight w:val="yellow"/>
              </w:rPr>
            </w:pPr>
            <w:r>
              <w:rPr>
                <w:rFonts w:cs="Calibri"/>
                <w:color w:val="000000"/>
                <w:szCs w:val="16"/>
              </w:rPr>
              <w:t>0,0%</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28A497" w14:textId="77777777" w:rsidR="00F334B6" w:rsidRPr="006813B9" w:rsidRDefault="00F334B6">
            <w:pPr>
              <w:pStyle w:val="Tabele"/>
              <w:jc w:val="right"/>
              <w:rPr>
                <w:highlight w:val="yellow"/>
              </w:rPr>
            </w:pPr>
            <w:r>
              <w:rPr>
                <w:rFonts w:cs="Calibri"/>
                <w:color w:val="000000"/>
                <w:szCs w:val="16"/>
              </w:rPr>
              <w:t>0,0%</w:t>
            </w:r>
          </w:p>
        </w:tc>
      </w:tr>
      <w:tr w:rsidR="00F334B6" w:rsidRPr="00860E1E" w14:paraId="54FF959C" w14:textId="77777777" w:rsidTr="00B74754">
        <w:trPr>
          <w:trHeight w:val="227"/>
        </w:trPr>
        <w:tc>
          <w:tcPr>
            <w:tcW w:w="2326" w:type="dxa"/>
            <w:tcBorders>
              <w:right w:val="single" w:sz="4" w:space="0" w:color="AEAAAA" w:themeColor="background2" w:themeShade="BF"/>
            </w:tcBorders>
          </w:tcPr>
          <w:p w14:paraId="20874771" w14:textId="77777777" w:rsidR="00F334B6" w:rsidRPr="00860E1E" w:rsidRDefault="00F334B6">
            <w:pPr>
              <w:pStyle w:val="Tabele"/>
              <w:rPr>
                <w:b/>
                <w:bCs/>
              </w:rPr>
            </w:pPr>
            <w:r>
              <w:rPr>
                <w:rFonts w:cs="Calibri"/>
                <w:b/>
                <w:bCs/>
                <w:color w:val="000000"/>
                <w:szCs w:val="16"/>
              </w:rPr>
              <w:t xml:space="preserve">5. Odpady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0CC6F67" w14:textId="77777777" w:rsidR="00F334B6" w:rsidRPr="006813B9" w:rsidRDefault="00F334B6">
            <w:pPr>
              <w:pStyle w:val="Tabele"/>
              <w:jc w:val="right"/>
              <w:rPr>
                <w:b/>
                <w:bCs/>
                <w:highlight w:val="yellow"/>
              </w:rPr>
            </w:pPr>
            <w:r>
              <w:rPr>
                <w:rFonts w:cs="Calibri"/>
                <w:b/>
                <w:bCs/>
                <w:color w:val="000000"/>
                <w:szCs w:val="16"/>
              </w:rPr>
              <w:t>-0,8%</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DDA827B" w14:textId="77777777" w:rsidR="00F334B6" w:rsidRPr="006813B9" w:rsidRDefault="00F334B6">
            <w:pPr>
              <w:pStyle w:val="Tabele"/>
              <w:jc w:val="right"/>
              <w:rPr>
                <w:b/>
                <w:bCs/>
                <w:highlight w:val="yellow"/>
              </w:rPr>
            </w:pPr>
            <w:r>
              <w:rPr>
                <w:rFonts w:cs="Calibri"/>
                <w:b/>
                <w:bCs/>
                <w:color w:val="000000"/>
                <w:szCs w:val="16"/>
              </w:rPr>
              <w:t>-4,1%</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CC8E24" w14:textId="77777777" w:rsidR="00F334B6" w:rsidRPr="006813B9" w:rsidRDefault="00F334B6">
            <w:pPr>
              <w:pStyle w:val="Tabele"/>
              <w:jc w:val="right"/>
              <w:rPr>
                <w:b/>
                <w:bCs/>
                <w:highlight w:val="yellow"/>
              </w:rPr>
            </w:pPr>
            <w:r>
              <w:rPr>
                <w:rFonts w:cs="Calibri"/>
                <w:b/>
                <w:bCs/>
                <w:color w:val="000000"/>
                <w:szCs w:val="16"/>
              </w:rPr>
              <w:t>-6,4%</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C75B7C4" w14:textId="77777777" w:rsidR="00F334B6" w:rsidRPr="006813B9" w:rsidRDefault="00F334B6">
            <w:pPr>
              <w:pStyle w:val="Tabele"/>
              <w:jc w:val="right"/>
              <w:rPr>
                <w:b/>
                <w:bCs/>
                <w:highlight w:val="yellow"/>
              </w:rPr>
            </w:pPr>
            <w:r>
              <w:rPr>
                <w:rFonts w:cs="Calibri"/>
                <w:b/>
                <w:bCs/>
                <w:color w:val="000000"/>
                <w:szCs w:val="16"/>
              </w:rPr>
              <w:t>-10,5%</w:t>
            </w:r>
          </w:p>
        </w:tc>
      </w:tr>
      <w:tr w:rsidR="00F334B6" w:rsidRPr="00860E1E" w14:paraId="1CDC76E1" w14:textId="77777777" w:rsidTr="00B74754">
        <w:trPr>
          <w:trHeight w:val="227"/>
        </w:trPr>
        <w:tc>
          <w:tcPr>
            <w:tcW w:w="2326" w:type="dxa"/>
            <w:tcBorders>
              <w:right w:val="single" w:sz="4" w:space="0" w:color="AEAAAA" w:themeColor="background2" w:themeShade="BF"/>
            </w:tcBorders>
          </w:tcPr>
          <w:p w14:paraId="6C1B6998" w14:textId="77777777" w:rsidR="00F334B6" w:rsidRDefault="00F334B6">
            <w:pPr>
              <w:pStyle w:val="Tabele"/>
              <w:rPr>
                <w:rFonts w:cs="Calibri"/>
                <w:b/>
                <w:bCs/>
                <w:color w:val="000000"/>
                <w:szCs w:val="16"/>
              </w:rPr>
            </w:pPr>
            <w:r>
              <w:rPr>
                <w:rFonts w:cs="Calibri"/>
                <w:color w:val="000000"/>
                <w:szCs w:val="16"/>
              </w:rPr>
              <w:t xml:space="preserve">A. Składowanie odpadów stałych </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2AEE9F2" w14:textId="77777777" w:rsidR="00F334B6" w:rsidRPr="006813B9" w:rsidRDefault="00F334B6">
            <w:pPr>
              <w:pStyle w:val="Tabele"/>
              <w:jc w:val="right"/>
              <w:rPr>
                <w:b/>
                <w:bCs/>
                <w:highlight w:val="yellow"/>
              </w:rPr>
            </w:pPr>
            <w:r>
              <w:rPr>
                <w:rFonts w:cs="Calibri"/>
                <w:color w:val="000000"/>
                <w:szCs w:val="16"/>
              </w:rPr>
              <w:t>0,0%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B51E153" w14:textId="77777777" w:rsidR="00F334B6" w:rsidRPr="006813B9" w:rsidRDefault="00F334B6">
            <w:pPr>
              <w:pStyle w:val="Tabele"/>
              <w:jc w:val="right"/>
              <w:rPr>
                <w:b/>
                <w:bCs/>
                <w:highlight w:val="yellow"/>
              </w:rPr>
            </w:pPr>
            <w:r>
              <w:rPr>
                <w:rFonts w:cs="Calibri"/>
                <w:color w:val="000000"/>
                <w:szCs w:val="16"/>
              </w:rPr>
              <w:t>0,0%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F3E0318" w14:textId="77777777" w:rsidR="00F334B6" w:rsidRPr="006813B9" w:rsidRDefault="00F334B6">
            <w:pPr>
              <w:pStyle w:val="Tabele"/>
              <w:jc w:val="right"/>
              <w:rPr>
                <w:b/>
                <w:bCs/>
                <w:highlight w:val="yellow"/>
              </w:rPr>
            </w:pPr>
            <w:r>
              <w:rPr>
                <w:rFonts w:cs="Calibri"/>
                <w:color w:val="000000"/>
                <w:szCs w:val="16"/>
              </w:rPr>
              <w:t>0,0%</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0996AC" w14:textId="77777777" w:rsidR="00F334B6" w:rsidRPr="006813B9" w:rsidRDefault="00F334B6">
            <w:pPr>
              <w:pStyle w:val="Tabele"/>
              <w:jc w:val="right"/>
              <w:rPr>
                <w:b/>
                <w:bCs/>
                <w:highlight w:val="yellow"/>
              </w:rPr>
            </w:pPr>
            <w:r>
              <w:rPr>
                <w:rFonts w:cs="Calibri"/>
                <w:color w:val="000000"/>
                <w:szCs w:val="16"/>
              </w:rPr>
              <w:t>0,0%</w:t>
            </w:r>
          </w:p>
        </w:tc>
      </w:tr>
      <w:tr w:rsidR="00F334B6" w:rsidRPr="00860E1E" w14:paraId="58A908BE" w14:textId="77777777" w:rsidTr="00B74754">
        <w:trPr>
          <w:trHeight w:val="227"/>
        </w:trPr>
        <w:tc>
          <w:tcPr>
            <w:tcW w:w="2326" w:type="dxa"/>
            <w:tcBorders>
              <w:right w:val="single" w:sz="4" w:space="0" w:color="AEAAAA" w:themeColor="background2" w:themeShade="BF"/>
            </w:tcBorders>
          </w:tcPr>
          <w:p w14:paraId="50C95F04" w14:textId="77777777" w:rsidR="00F334B6" w:rsidRDefault="00F334B6">
            <w:pPr>
              <w:pStyle w:val="Tabele"/>
              <w:rPr>
                <w:rFonts w:cs="Calibri"/>
                <w:b/>
                <w:bCs/>
                <w:color w:val="000000"/>
                <w:szCs w:val="16"/>
              </w:rPr>
            </w:pPr>
            <w:r>
              <w:rPr>
                <w:rFonts w:cs="Calibri"/>
                <w:color w:val="000000"/>
                <w:szCs w:val="16"/>
              </w:rPr>
              <w:t>C. Spalanie odpadów</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84F0F04" w14:textId="77777777" w:rsidR="00F334B6" w:rsidRPr="006813B9" w:rsidRDefault="00F334B6">
            <w:pPr>
              <w:pStyle w:val="Tabele"/>
              <w:jc w:val="right"/>
              <w:rPr>
                <w:b/>
                <w:bCs/>
                <w:highlight w:val="yellow"/>
              </w:rPr>
            </w:pPr>
            <w:r>
              <w:rPr>
                <w:rFonts w:cs="Calibri"/>
                <w:color w:val="000000"/>
                <w:szCs w:val="16"/>
              </w:rPr>
              <w:t>-1,5%</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C00023D" w14:textId="77777777" w:rsidR="00F334B6" w:rsidRPr="006813B9" w:rsidRDefault="00F334B6">
            <w:pPr>
              <w:pStyle w:val="Tabele"/>
              <w:jc w:val="right"/>
              <w:rPr>
                <w:b/>
                <w:bCs/>
                <w:highlight w:val="yellow"/>
              </w:rPr>
            </w:pPr>
            <w:r>
              <w:rPr>
                <w:rFonts w:cs="Calibri"/>
                <w:color w:val="000000"/>
                <w:szCs w:val="16"/>
              </w:rPr>
              <w:t>-6,3%</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762CCAE" w14:textId="77777777" w:rsidR="00F334B6" w:rsidRPr="006813B9" w:rsidRDefault="00F334B6">
            <w:pPr>
              <w:pStyle w:val="Tabele"/>
              <w:jc w:val="right"/>
              <w:rPr>
                <w:b/>
                <w:bCs/>
                <w:highlight w:val="yellow"/>
              </w:rPr>
            </w:pPr>
            <w:r>
              <w:rPr>
                <w:rFonts w:cs="Calibri"/>
                <w:color w:val="000000"/>
                <w:szCs w:val="16"/>
              </w:rPr>
              <w:t>-8,2%</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453060F" w14:textId="77777777" w:rsidR="00F334B6" w:rsidRPr="006813B9" w:rsidRDefault="00F334B6">
            <w:pPr>
              <w:pStyle w:val="Tabele"/>
              <w:jc w:val="right"/>
              <w:rPr>
                <w:b/>
                <w:bCs/>
                <w:highlight w:val="yellow"/>
              </w:rPr>
            </w:pPr>
            <w:r>
              <w:rPr>
                <w:rFonts w:cs="Calibri"/>
                <w:color w:val="000000"/>
                <w:szCs w:val="16"/>
              </w:rPr>
              <w:t>-12,0%</w:t>
            </w:r>
          </w:p>
        </w:tc>
      </w:tr>
      <w:tr w:rsidR="00F334B6" w:rsidRPr="00860E1E" w14:paraId="61641D24" w14:textId="77777777" w:rsidTr="00B74754">
        <w:trPr>
          <w:trHeight w:val="227"/>
        </w:trPr>
        <w:tc>
          <w:tcPr>
            <w:tcW w:w="2326" w:type="dxa"/>
            <w:tcBorders>
              <w:right w:val="single" w:sz="4" w:space="0" w:color="AEAAAA" w:themeColor="background2" w:themeShade="BF"/>
            </w:tcBorders>
          </w:tcPr>
          <w:p w14:paraId="67C154EF" w14:textId="77777777" w:rsidR="00F334B6" w:rsidRDefault="00F334B6">
            <w:pPr>
              <w:pStyle w:val="Tabele"/>
              <w:rPr>
                <w:rFonts w:cs="Calibri"/>
                <w:b/>
                <w:bCs/>
                <w:color w:val="000000"/>
                <w:szCs w:val="16"/>
              </w:rPr>
            </w:pPr>
            <w:r>
              <w:rPr>
                <w:rFonts w:cs="Calibri"/>
                <w:color w:val="000000"/>
                <w:szCs w:val="16"/>
              </w:rPr>
              <w:t>D. Gospodarka ściekami</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EE454F3" w14:textId="77777777" w:rsidR="00F334B6" w:rsidRPr="006813B9" w:rsidRDefault="00F334B6">
            <w:pPr>
              <w:pStyle w:val="Tabele"/>
              <w:jc w:val="right"/>
              <w:rPr>
                <w:b/>
                <w:bCs/>
                <w:highlight w:val="yellow"/>
              </w:rPr>
            </w:pPr>
            <w:r>
              <w:rPr>
                <w:rFonts w:cs="Calibri"/>
                <w:color w:val="000000"/>
                <w:szCs w:val="16"/>
              </w:rPr>
              <w:t>0,0%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9BDF59" w14:textId="77777777" w:rsidR="00F334B6" w:rsidRPr="006813B9" w:rsidRDefault="00F334B6">
            <w:pPr>
              <w:pStyle w:val="Tabele"/>
              <w:jc w:val="right"/>
              <w:rPr>
                <w:b/>
                <w:bCs/>
                <w:highlight w:val="yellow"/>
              </w:rPr>
            </w:pPr>
            <w:r>
              <w:rPr>
                <w:rFonts w:cs="Calibri"/>
                <w:color w:val="000000"/>
                <w:szCs w:val="16"/>
              </w:rPr>
              <w:t>0,0%</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D4108E" w14:textId="77777777" w:rsidR="00F334B6" w:rsidRPr="006813B9" w:rsidRDefault="00F334B6">
            <w:pPr>
              <w:pStyle w:val="Tabele"/>
              <w:jc w:val="right"/>
              <w:rPr>
                <w:b/>
                <w:bCs/>
                <w:highlight w:val="yellow"/>
              </w:rPr>
            </w:pPr>
            <w:r>
              <w:rPr>
                <w:rFonts w:cs="Calibri"/>
                <w:color w:val="000000"/>
                <w:szCs w:val="16"/>
              </w:rPr>
              <w:t>0,0%</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8BEC68" w14:textId="77777777" w:rsidR="00F334B6" w:rsidRPr="006813B9" w:rsidRDefault="00F334B6">
            <w:pPr>
              <w:pStyle w:val="Tabele"/>
              <w:jc w:val="right"/>
              <w:rPr>
                <w:b/>
                <w:bCs/>
                <w:highlight w:val="yellow"/>
              </w:rPr>
            </w:pPr>
            <w:r>
              <w:rPr>
                <w:rFonts w:cs="Calibri"/>
                <w:color w:val="000000"/>
                <w:szCs w:val="16"/>
              </w:rPr>
              <w:t>0,0%</w:t>
            </w:r>
          </w:p>
        </w:tc>
      </w:tr>
      <w:tr w:rsidR="00F334B6" w:rsidRPr="00860E1E" w14:paraId="2D55F6D9" w14:textId="77777777" w:rsidTr="00B74754">
        <w:trPr>
          <w:trHeight w:val="227"/>
        </w:trPr>
        <w:tc>
          <w:tcPr>
            <w:tcW w:w="2326" w:type="dxa"/>
            <w:tcBorders>
              <w:right w:val="single" w:sz="4" w:space="0" w:color="AEAAAA" w:themeColor="background2" w:themeShade="BF"/>
            </w:tcBorders>
          </w:tcPr>
          <w:p w14:paraId="58BEE5F6" w14:textId="77777777" w:rsidR="00F334B6" w:rsidRDefault="00F334B6">
            <w:pPr>
              <w:pStyle w:val="Tabele"/>
              <w:rPr>
                <w:rFonts w:cs="Calibri"/>
                <w:b/>
                <w:bCs/>
                <w:color w:val="000000"/>
                <w:szCs w:val="16"/>
              </w:rPr>
            </w:pPr>
            <w:r>
              <w:rPr>
                <w:rFonts w:cs="Calibri"/>
                <w:b/>
                <w:bCs/>
                <w:color w:val="000000"/>
                <w:szCs w:val="16"/>
              </w:rPr>
              <w:t>OGÓŁEM</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89002F" w14:textId="77777777" w:rsidR="00F334B6" w:rsidRPr="006813B9" w:rsidRDefault="00F334B6">
            <w:pPr>
              <w:pStyle w:val="Tabele"/>
              <w:jc w:val="right"/>
              <w:rPr>
                <w:b/>
                <w:bCs/>
                <w:highlight w:val="yellow"/>
              </w:rPr>
            </w:pPr>
            <w:r>
              <w:rPr>
                <w:rFonts w:cs="Calibri"/>
                <w:b/>
                <w:bCs/>
                <w:color w:val="000000"/>
                <w:szCs w:val="16"/>
              </w:rPr>
              <w:t>-2,2%</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8D8E18A" w14:textId="77777777" w:rsidR="00F334B6" w:rsidRPr="006813B9" w:rsidRDefault="00F334B6">
            <w:pPr>
              <w:pStyle w:val="Tabele"/>
              <w:jc w:val="right"/>
              <w:rPr>
                <w:b/>
                <w:bCs/>
                <w:highlight w:val="yellow"/>
              </w:rPr>
            </w:pPr>
            <w:r>
              <w:rPr>
                <w:rFonts w:cs="Calibri"/>
                <w:b/>
                <w:bCs/>
                <w:color w:val="000000"/>
                <w:szCs w:val="16"/>
              </w:rPr>
              <w:t>-5,6%</w:t>
            </w:r>
          </w:p>
        </w:tc>
        <w:tc>
          <w:tcPr>
            <w:tcW w:w="168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515C81" w14:textId="77777777" w:rsidR="00F334B6" w:rsidRPr="006813B9" w:rsidRDefault="00F334B6">
            <w:pPr>
              <w:pStyle w:val="Tabele"/>
              <w:jc w:val="right"/>
              <w:rPr>
                <w:b/>
                <w:bCs/>
                <w:highlight w:val="yellow"/>
              </w:rPr>
            </w:pPr>
            <w:r>
              <w:rPr>
                <w:rFonts w:cs="Calibri"/>
                <w:b/>
                <w:bCs/>
                <w:color w:val="000000"/>
                <w:szCs w:val="16"/>
              </w:rPr>
              <w:t>-7,0%</w:t>
            </w:r>
          </w:p>
        </w:tc>
        <w:tc>
          <w:tcPr>
            <w:tcW w:w="168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566D86" w14:textId="77777777" w:rsidR="00F334B6" w:rsidRPr="006813B9" w:rsidRDefault="00F334B6">
            <w:pPr>
              <w:pStyle w:val="Tabele"/>
              <w:jc w:val="right"/>
              <w:rPr>
                <w:b/>
                <w:bCs/>
                <w:highlight w:val="yellow"/>
              </w:rPr>
            </w:pPr>
            <w:r>
              <w:rPr>
                <w:rFonts w:cs="Calibri"/>
                <w:b/>
                <w:bCs/>
                <w:color w:val="000000"/>
                <w:szCs w:val="16"/>
              </w:rPr>
              <w:t>-7,9%</w:t>
            </w:r>
          </w:p>
        </w:tc>
      </w:tr>
    </w:tbl>
    <w:p w14:paraId="1FAFE3A5" w14:textId="77777777" w:rsidR="00DF5751" w:rsidRDefault="00DF5751" w:rsidP="00B74754">
      <w:bookmarkStart w:id="158" w:name="_Ref161305995"/>
      <w:bookmarkStart w:id="159" w:name="_Toc167442098"/>
    </w:p>
    <w:p w14:paraId="1FBFDC5A" w14:textId="45303825" w:rsidR="005C4144" w:rsidRDefault="00B74754" w:rsidP="005C4144">
      <w:r w:rsidRPr="00740426">
        <w:t>Wykazane w scenariuszu WAM mniejsze emisje NMLZO w porównaniu z WEM wynikają z</w:t>
      </w:r>
      <w:r>
        <w:t>e</w:t>
      </w:r>
      <w:r w:rsidR="00293B0C">
        <w:t xml:space="preserve"> </w:t>
      </w:r>
      <w:r w:rsidRPr="00740426">
        <w:t>zmniejszonego użycia paliw kopalnych w</w:t>
      </w:r>
      <w:r>
        <w:t xml:space="preserve"> </w:t>
      </w:r>
      <w:r w:rsidRPr="00740426">
        <w:t>sektorze 1. Energia, którego udział w emisji krajowej w</w:t>
      </w:r>
      <w:r>
        <w:t> </w:t>
      </w:r>
      <w:r w:rsidRPr="00740426">
        <w:t>202</w:t>
      </w:r>
      <w:r w:rsidR="00BE2ED8">
        <w:t>0 r.</w:t>
      </w:r>
      <w:r w:rsidRPr="00740426">
        <w:t xml:space="preserve"> wyniósł 4</w:t>
      </w:r>
      <w:r>
        <w:t>7</w:t>
      </w:r>
      <w:r w:rsidRPr="00740426">
        <w:t>%</w:t>
      </w:r>
      <w:r w:rsidR="00293B0C">
        <w:t xml:space="preserve"> a także ze </w:t>
      </w:r>
      <w:r w:rsidRPr="0036568A">
        <w:t xml:space="preserve">zmniejszonego pogłowia bydła </w:t>
      </w:r>
      <w:r>
        <w:t xml:space="preserve">i świń </w:t>
      </w:r>
      <w:r w:rsidRPr="0036568A">
        <w:t xml:space="preserve">w </w:t>
      </w:r>
      <w:r>
        <w:t>sektorze 3. R</w:t>
      </w:r>
      <w:r w:rsidRPr="0036568A">
        <w:t>olnictw</w:t>
      </w:r>
      <w:r>
        <w:t>o</w:t>
      </w:r>
      <w:r w:rsidRPr="0036568A">
        <w:t xml:space="preserve"> (kategoria 3.B, której udział w emisji krajowej NMLZO wyniósł 1</w:t>
      </w:r>
      <w:r>
        <w:t>6</w:t>
      </w:r>
      <w:r w:rsidRPr="0036568A">
        <w:t>% w 202</w:t>
      </w:r>
      <w:r w:rsidR="00BE2ED8">
        <w:t>0 r.</w:t>
      </w:r>
      <w:r w:rsidRPr="0036568A">
        <w:t>).</w:t>
      </w:r>
      <w:r w:rsidR="00B90DC4">
        <w:t xml:space="preserve"> </w:t>
      </w:r>
      <w:r>
        <w:t>Wzrost emisji NMLZO w sektorze 1.A.3 Transport w pierwszych latach prognozy wynika z większego zużycia paliw w scenariuszu WAM względem scenariusza WEM.</w:t>
      </w:r>
      <w:r w:rsidR="00B90DC4">
        <w:t xml:space="preserve"> </w:t>
      </w:r>
      <w:r w:rsidR="005C4144">
        <w:t xml:space="preserve">Wykazana w </w:t>
      </w:r>
      <w:r w:rsidR="005C4144" w:rsidRPr="00EC6C98">
        <w:t xml:space="preserve">tabeli </w:t>
      </w:r>
      <w:r w:rsidR="00F416E7" w:rsidRPr="00EC6C98">
        <w:t>(</w:t>
      </w:r>
      <w:r w:rsidR="00EC6C98" w:rsidRPr="00EC6C98">
        <w:fldChar w:fldCharType="begin"/>
      </w:r>
      <w:r w:rsidR="00EC6C98" w:rsidRPr="00EC6C98">
        <w:instrText xml:space="preserve"> REF _Ref195793631 \h </w:instrText>
      </w:r>
      <w:r w:rsidR="00EC6C98">
        <w:instrText xml:space="preserve"> \* MERGEFORMAT </w:instrText>
      </w:r>
      <w:r w:rsidR="00EC6C98" w:rsidRPr="00EC6C98">
        <w:fldChar w:fldCharType="separate"/>
      </w:r>
      <w:r w:rsidR="00F27D6F">
        <w:t xml:space="preserve">Tabela </w:t>
      </w:r>
      <w:r w:rsidR="00F27D6F">
        <w:rPr>
          <w:noProof/>
        </w:rPr>
        <w:t>1</w:t>
      </w:r>
      <w:r w:rsidR="00F27D6F">
        <w:t>.</w:t>
      </w:r>
      <w:r w:rsidR="00F27D6F">
        <w:rPr>
          <w:noProof/>
        </w:rPr>
        <w:t>19</w:t>
      </w:r>
      <w:r w:rsidR="00EC6C98" w:rsidRPr="00EC6C98">
        <w:fldChar w:fldCharType="end"/>
      </w:r>
      <w:r w:rsidR="00F416E7" w:rsidRPr="00EC6C98">
        <w:t>)</w:t>
      </w:r>
      <w:r w:rsidR="005C4144">
        <w:t xml:space="preserve"> </w:t>
      </w:r>
      <w:r w:rsidR="0099058E">
        <w:t xml:space="preserve">znacząca różnica procentowa w kategorii 2.C Produkcja metali nie ma istotnego wpływu na różnicę w emisji krajowej pomiędzy scenariuszami, gdyż udział tej kategorii w emisji krajowej NMLZO jest niewielki (0,1% w 2020 r.). </w:t>
      </w:r>
    </w:p>
    <w:p w14:paraId="1E752444" w14:textId="629239C1" w:rsidR="005C4144" w:rsidRDefault="005C4144" w:rsidP="005C4144">
      <w:pPr>
        <w:pStyle w:val="Legenda"/>
        <w:keepNext/>
      </w:pPr>
      <w:bookmarkStart w:id="160" w:name="_Ref169814485"/>
      <w:bookmarkStart w:id="161" w:name="_Ref195870591"/>
      <w:bookmarkStart w:id="162" w:name="_Toc171587179"/>
      <w:bookmarkStart w:id="163" w:name="_Toc174710963"/>
      <w:bookmarkStart w:id="164" w:name="_Toc202966965"/>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20</w:t>
      </w:r>
      <w:r w:rsidR="00653D9A">
        <w:rPr>
          <w:noProof/>
        </w:rPr>
        <w:fldChar w:fldCharType="end"/>
      </w:r>
      <w:bookmarkEnd w:id="158"/>
      <w:bookmarkEnd w:id="160"/>
      <w:bookmarkEnd w:id="161"/>
      <w:r>
        <w:t>.</w:t>
      </w:r>
      <w:r w:rsidRPr="002628CE">
        <w:t xml:space="preserve"> </w:t>
      </w:r>
      <w:r>
        <w:t xml:space="preserve">Prognozy zmiany </w:t>
      </w:r>
      <w:r w:rsidRPr="00524DBC">
        <w:t xml:space="preserve">emisji </w:t>
      </w:r>
      <w:r>
        <w:t>amoniaku</w:t>
      </w:r>
      <w:r w:rsidRPr="00524DBC">
        <w:t>, według sektorów (kategorii NFR)</w:t>
      </w:r>
      <w:r>
        <w:t>, scenariusz WAM vs. WEM</w:t>
      </w:r>
      <w:bookmarkEnd w:id="159"/>
      <w:bookmarkEnd w:id="162"/>
      <w:bookmarkEnd w:id="163"/>
      <w:bookmarkEnd w:id="164"/>
    </w:p>
    <w:tbl>
      <w:tblPr>
        <w:tblStyle w:val="KPEiK"/>
        <w:tblW w:w="4953" w:type="pct"/>
        <w:tblLook w:val="04A0" w:firstRow="1" w:lastRow="0" w:firstColumn="1" w:lastColumn="0" w:noHBand="0" w:noVBand="1"/>
      </w:tblPr>
      <w:tblGrid>
        <w:gridCol w:w="2304"/>
        <w:gridCol w:w="1667"/>
        <w:gridCol w:w="1668"/>
        <w:gridCol w:w="1668"/>
        <w:gridCol w:w="1670"/>
      </w:tblGrid>
      <w:tr w:rsidR="00053EF1" w:rsidRPr="00DE4FED" w14:paraId="75119B65" w14:textId="77777777" w:rsidTr="00053EF1">
        <w:trPr>
          <w:cnfStyle w:val="100000000000" w:firstRow="1" w:lastRow="0" w:firstColumn="0" w:lastColumn="0" w:oddVBand="0" w:evenVBand="0" w:oddHBand="0" w:evenHBand="0" w:firstRowFirstColumn="0" w:firstRowLastColumn="0" w:lastRowFirstColumn="0" w:lastRowLastColumn="0"/>
          <w:trHeight w:val="227"/>
          <w:tblHeader/>
        </w:trPr>
        <w:tc>
          <w:tcPr>
            <w:tcW w:w="2303" w:type="dxa"/>
            <w:vMerge w:val="restart"/>
          </w:tcPr>
          <w:p w14:paraId="4E7957F5" w14:textId="77777777" w:rsidR="00053EF1" w:rsidRDefault="00053EF1">
            <w:pPr>
              <w:pStyle w:val="Tabele"/>
              <w:jc w:val="center"/>
              <w:rPr>
                <w:b w:val="0"/>
              </w:rPr>
            </w:pPr>
            <w:r w:rsidRPr="00DE4FED">
              <w:t>Sektor</w:t>
            </w:r>
          </w:p>
          <w:p w14:paraId="20301F8F" w14:textId="77777777" w:rsidR="00053EF1" w:rsidRPr="00DE4FED" w:rsidRDefault="00053EF1">
            <w:pPr>
              <w:pStyle w:val="Tabele"/>
              <w:jc w:val="center"/>
            </w:pPr>
            <w:r>
              <w:t>(kategoria NFR)</w:t>
            </w:r>
          </w:p>
        </w:tc>
        <w:tc>
          <w:tcPr>
            <w:tcW w:w="6673" w:type="dxa"/>
            <w:gridSpan w:val="4"/>
          </w:tcPr>
          <w:p w14:paraId="4D573196" w14:textId="0A476041" w:rsidR="00053EF1" w:rsidRPr="00DE4FED" w:rsidRDefault="00053EF1">
            <w:pPr>
              <w:pStyle w:val="Tabele"/>
              <w:jc w:val="center"/>
              <w:rPr>
                <w:b w:val="0"/>
              </w:rPr>
            </w:pPr>
            <w:r w:rsidRPr="00355540">
              <w:t>Zmiana emisji amoniaku WAM vs. WEM [%]</w:t>
            </w:r>
          </w:p>
        </w:tc>
      </w:tr>
      <w:tr w:rsidR="00053EF1" w:rsidRPr="00DE4FED" w14:paraId="400F8A6F" w14:textId="77777777" w:rsidTr="00053EF1">
        <w:trPr>
          <w:cnfStyle w:val="100000000000" w:firstRow="1" w:lastRow="0" w:firstColumn="0" w:lastColumn="0" w:oddVBand="0" w:evenVBand="0" w:oddHBand="0" w:evenHBand="0" w:firstRowFirstColumn="0" w:firstRowLastColumn="0" w:lastRowFirstColumn="0" w:lastRowLastColumn="0"/>
          <w:trHeight w:val="227"/>
          <w:tblHeader/>
        </w:trPr>
        <w:tc>
          <w:tcPr>
            <w:tcW w:w="2303" w:type="dxa"/>
            <w:vMerge/>
          </w:tcPr>
          <w:p w14:paraId="3F8375A4" w14:textId="77777777" w:rsidR="00053EF1" w:rsidRPr="00DE4FED" w:rsidRDefault="00053EF1">
            <w:pPr>
              <w:pStyle w:val="Tabele"/>
              <w:jc w:val="center"/>
            </w:pPr>
          </w:p>
        </w:tc>
        <w:tc>
          <w:tcPr>
            <w:tcW w:w="1667" w:type="dxa"/>
            <w:tcBorders>
              <w:bottom w:val="single" w:sz="4" w:space="0" w:color="AEAAAA" w:themeColor="background2" w:themeShade="BF"/>
            </w:tcBorders>
          </w:tcPr>
          <w:p w14:paraId="3144E979" w14:textId="77777777" w:rsidR="00053EF1" w:rsidRPr="00DE4FED" w:rsidRDefault="00053EF1">
            <w:pPr>
              <w:pStyle w:val="Tabele"/>
              <w:jc w:val="center"/>
            </w:pPr>
            <w:r w:rsidRPr="00DE4FED">
              <w:t>2025</w:t>
            </w:r>
          </w:p>
        </w:tc>
        <w:tc>
          <w:tcPr>
            <w:tcW w:w="1668" w:type="dxa"/>
            <w:tcBorders>
              <w:bottom w:val="single" w:sz="4" w:space="0" w:color="AEAAAA" w:themeColor="background2" w:themeShade="BF"/>
            </w:tcBorders>
          </w:tcPr>
          <w:p w14:paraId="3BBD9914" w14:textId="77777777" w:rsidR="00053EF1" w:rsidRPr="00DE4FED" w:rsidRDefault="00053EF1">
            <w:pPr>
              <w:pStyle w:val="Tabele"/>
              <w:jc w:val="center"/>
            </w:pPr>
            <w:r w:rsidRPr="00DE4FED">
              <w:t>2030</w:t>
            </w:r>
          </w:p>
        </w:tc>
        <w:tc>
          <w:tcPr>
            <w:tcW w:w="1668" w:type="dxa"/>
            <w:tcBorders>
              <w:bottom w:val="single" w:sz="4" w:space="0" w:color="AEAAAA" w:themeColor="background2" w:themeShade="BF"/>
            </w:tcBorders>
          </w:tcPr>
          <w:p w14:paraId="73A67119" w14:textId="77777777" w:rsidR="00053EF1" w:rsidRPr="00DE4FED" w:rsidRDefault="00053EF1">
            <w:pPr>
              <w:pStyle w:val="Tabele"/>
              <w:jc w:val="center"/>
            </w:pPr>
            <w:r w:rsidRPr="00DE4FED">
              <w:t>2035</w:t>
            </w:r>
          </w:p>
        </w:tc>
        <w:tc>
          <w:tcPr>
            <w:tcW w:w="1668" w:type="dxa"/>
            <w:tcBorders>
              <w:bottom w:val="single" w:sz="4" w:space="0" w:color="AEAAAA" w:themeColor="background2" w:themeShade="BF"/>
            </w:tcBorders>
          </w:tcPr>
          <w:p w14:paraId="534DCE4E" w14:textId="77777777" w:rsidR="00053EF1" w:rsidRPr="00DE4FED" w:rsidRDefault="00053EF1">
            <w:pPr>
              <w:pStyle w:val="Tabele"/>
              <w:jc w:val="center"/>
            </w:pPr>
            <w:r w:rsidRPr="00DE4FED">
              <w:t>2040</w:t>
            </w:r>
          </w:p>
        </w:tc>
      </w:tr>
      <w:tr w:rsidR="00053EF1" w:rsidRPr="004669DE" w14:paraId="3AEBD9DC" w14:textId="77777777" w:rsidTr="00053EF1">
        <w:trPr>
          <w:trHeight w:val="227"/>
        </w:trPr>
        <w:tc>
          <w:tcPr>
            <w:tcW w:w="2303" w:type="dxa"/>
            <w:tcBorders>
              <w:right w:val="single" w:sz="4" w:space="0" w:color="AEAAAA" w:themeColor="background2" w:themeShade="BF"/>
            </w:tcBorders>
          </w:tcPr>
          <w:p w14:paraId="2F3E8C68" w14:textId="77777777" w:rsidR="00053EF1" w:rsidRPr="00F43A85" w:rsidRDefault="00053EF1">
            <w:pPr>
              <w:pStyle w:val="Tabele"/>
              <w:rPr>
                <w:b/>
                <w:bCs/>
              </w:rPr>
            </w:pPr>
            <w:r>
              <w:rPr>
                <w:rFonts w:cs="Calibri"/>
                <w:b/>
                <w:bCs/>
                <w:color w:val="000000"/>
                <w:szCs w:val="16"/>
              </w:rPr>
              <w:t xml:space="preserve">1. Energia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9D4195" w14:textId="77777777" w:rsidR="00053EF1" w:rsidRPr="006813B9" w:rsidRDefault="00053EF1">
            <w:pPr>
              <w:pStyle w:val="Tabele"/>
              <w:jc w:val="right"/>
              <w:rPr>
                <w:highlight w:val="yellow"/>
              </w:rPr>
            </w:pPr>
            <w:r>
              <w:rPr>
                <w:rFonts w:cs="Calibri"/>
                <w:b/>
                <w:bCs/>
                <w:color w:val="000000"/>
                <w:szCs w:val="16"/>
              </w:rPr>
              <w:t>5,6%</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E9B5C3" w14:textId="77777777" w:rsidR="00053EF1" w:rsidRPr="006813B9" w:rsidRDefault="00053EF1">
            <w:pPr>
              <w:pStyle w:val="Tabele"/>
              <w:jc w:val="right"/>
              <w:rPr>
                <w:highlight w:val="yellow"/>
              </w:rPr>
            </w:pPr>
            <w:r>
              <w:rPr>
                <w:rFonts w:cs="Calibri"/>
                <w:b/>
                <w:bCs/>
                <w:color w:val="000000"/>
                <w:szCs w:val="16"/>
              </w:rPr>
              <w:t>4,8%</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4EEE25D" w14:textId="77777777" w:rsidR="00053EF1" w:rsidRPr="006813B9" w:rsidRDefault="00053EF1">
            <w:pPr>
              <w:pStyle w:val="Tabele"/>
              <w:jc w:val="right"/>
              <w:rPr>
                <w:highlight w:val="yellow"/>
              </w:rPr>
            </w:pPr>
            <w:r>
              <w:rPr>
                <w:rFonts w:cs="Calibri"/>
                <w:b/>
                <w:bCs/>
                <w:color w:val="000000"/>
                <w:szCs w:val="16"/>
              </w:rPr>
              <w:t>4,2%</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B6EF28A" w14:textId="77777777" w:rsidR="00053EF1" w:rsidRPr="006813B9" w:rsidRDefault="00053EF1">
            <w:pPr>
              <w:pStyle w:val="Tabele"/>
              <w:jc w:val="right"/>
              <w:rPr>
                <w:highlight w:val="yellow"/>
              </w:rPr>
            </w:pPr>
            <w:r>
              <w:rPr>
                <w:rFonts w:cs="Calibri"/>
                <w:b/>
                <w:bCs/>
                <w:color w:val="000000"/>
                <w:szCs w:val="16"/>
              </w:rPr>
              <w:t>4,4%</w:t>
            </w:r>
          </w:p>
        </w:tc>
      </w:tr>
      <w:tr w:rsidR="00053EF1" w:rsidRPr="004669DE" w14:paraId="770F419F" w14:textId="77777777" w:rsidTr="00053EF1">
        <w:trPr>
          <w:trHeight w:val="227"/>
        </w:trPr>
        <w:tc>
          <w:tcPr>
            <w:tcW w:w="2303" w:type="dxa"/>
            <w:tcBorders>
              <w:right w:val="single" w:sz="4" w:space="0" w:color="AEAAAA" w:themeColor="background2" w:themeShade="BF"/>
            </w:tcBorders>
          </w:tcPr>
          <w:p w14:paraId="05118F2A" w14:textId="77777777" w:rsidR="00053EF1" w:rsidRPr="004669DE" w:rsidRDefault="00053EF1">
            <w:pPr>
              <w:pStyle w:val="Tabele"/>
              <w:rPr>
                <w:b/>
                <w:bCs/>
              </w:rPr>
            </w:pPr>
            <w:r>
              <w:rPr>
                <w:rFonts w:cs="Calibri"/>
                <w:color w:val="000000"/>
                <w:szCs w:val="16"/>
              </w:rPr>
              <w:t xml:space="preserve">A. Spalanie paliw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DADE141" w14:textId="77777777" w:rsidR="00053EF1" w:rsidRPr="006813B9" w:rsidRDefault="00053EF1">
            <w:pPr>
              <w:pStyle w:val="Tabele"/>
              <w:jc w:val="right"/>
              <w:rPr>
                <w:highlight w:val="yellow"/>
              </w:rPr>
            </w:pPr>
            <w:r>
              <w:rPr>
                <w:rFonts w:cs="Calibri"/>
                <w:color w:val="000000"/>
                <w:szCs w:val="16"/>
              </w:rPr>
              <w:t>5,6%</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2A7276B" w14:textId="77777777" w:rsidR="00053EF1" w:rsidRPr="006813B9" w:rsidRDefault="00053EF1">
            <w:pPr>
              <w:pStyle w:val="Tabele"/>
              <w:jc w:val="right"/>
              <w:rPr>
                <w:highlight w:val="yellow"/>
              </w:rPr>
            </w:pPr>
            <w:r>
              <w:rPr>
                <w:rFonts w:cs="Calibri"/>
                <w:color w:val="000000"/>
                <w:szCs w:val="16"/>
              </w:rPr>
              <w:t>4,9%</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A0258A" w14:textId="77777777" w:rsidR="00053EF1" w:rsidRPr="006813B9" w:rsidRDefault="00053EF1">
            <w:pPr>
              <w:pStyle w:val="Tabele"/>
              <w:jc w:val="right"/>
              <w:rPr>
                <w:highlight w:val="yellow"/>
              </w:rPr>
            </w:pPr>
            <w:r>
              <w:rPr>
                <w:rFonts w:cs="Calibri"/>
                <w:color w:val="000000"/>
                <w:szCs w:val="16"/>
              </w:rPr>
              <w:t>4,3%</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7CCE7AA" w14:textId="77777777" w:rsidR="00053EF1" w:rsidRPr="006813B9" w:rsidRDefault="00053EF1">
            <w:pPr>
              <w:pStyle w:val="Tabele"/>
              <w:jc w:val="right"/>
              <w:rPr>
                <w:highlight w:val="yellow"/>
              </w:rPr>
            </w:pPr>
            <w:r>
              <w:rPr>
                <w:rFonts w:cs="Calibri"/>
                <w:color w:val="000000"/>
                <w:szCs w:val="16"/>
              </w:rPr>
              <w:t>4,5%</w:t>
            </w:r>
          </w:p>
        </w:tc>
      </w:tr>
      <w:tr w:rsidR="00053EF1" w:rsidRPr="004669DE" w14:paraId="7E399A0C" w14:textId="77777777" w:rsidTr="00053EF1">
        <w:trPr>
          <w:trHeight w:val="227"/>
        </w:trPr>
        <w:tc>
          <w:tcPr>
            <w:tcW w:w="2303" w:type="dxa"/>
            <w:tcBorders>
              <w:right w:val="single" w:sz="4" w:space="0" w:color="AEAAAA" w:themeColor="background2" w:themeShade="BF"/>
            </w:tcBorders>
          </w:tcPr>
          <w:p w14:paraId="1F556ABF" w14:textId="77777777" w:rsidR="00053EF1" w:rsidRDefault="00053EF1">
            <w:pPr>
              <w:pStyle w:val="Tabele"/>
              <w:rPr>
                <w:rFonts w:cs="Calibri"/>
                <w:color w:val="000000"/>
                <w:szCs w:val="16"/>
              </w:rPr>
            </w:pPr>
            <w:r w:rsidRPr="00825908">
              <w:rPr>
                <w:rFonts w:cs="Calibri"/>
                <w:color w:val="000000"/>
                <w:szCs w:val="16"/>
              </w:rPr>
              <w:t>1. Przemysły energetyczne</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ECF023" w14:textId="77777777" w:rsidR="00053EF1" w:rsidRDefault="00053EF1">
            <w:pPr>
              <w:pStyle w:val="Tabele"/>
              <w:jc w:val="right"/>
              <w:rPr>
                <w:rFonts w:cs="Calibri"/>
                <w:color w:val="000000"/>
                <w:szCs w:val="16"/>
              </w:rPr>
            </w:pPr>
            <w:r>
              <w:rPr>
                <w:rFonts w:cs="Calibri"/>
                <w:color w:val="000000"/>
                <w:szCs w:val="16"/>
              </w:rPr>
              <w:t>-0,1%</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EC544E1" w14:textId="77777777" w:rsidR="00053EF1" w:rsidRDefault="00053EF1">
            <w:pPr>
              <w:pStyle w:val="Tabele"/>
              <w:jc w:val="right"/>
              <w:rPr>
                <w:rFonts w:cs="Calibri"/>
                <w:color w:val="000000"/>
                <w:szCs w:val="16"/>
              </w:rPr>
            </w:pPr>
            <w:r>
              <w:rPr>
                <w:rFonts w:cs="Calibri"/>
                <w:color w:val="000000"/>
                <w:szCs w:val="16"/>
              </w:rPr>
              <w:t>-0,4%</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0F06798" w14:textId="77777777" w:rsidR="00053EF1" w:rsidRDefault="00053EF1">
            <w:pPr>
              <w:pStyle w:val="Tabele"/>
              <w:jc w:val="right"/>
              <w:rPr>
                <w:rFonts w:cs="Calibri"/>
                <w:color w:val="000000"/>
                <w:szCs w:val="16"/>
              </w:rPr>
            </w:pPr>
            <w:r>
              <w:rPr>
                <w:rFonts w:cs="Calibri"/>
                <w:color w:val="000000"/>
                <w:szCs w:val="16"/>
              </w:rPr>
              <w:t>-7,3%</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C315BA" w14:textId="77777777" w:rsidR="00053EF1" w:rsidRDefault="00053EF1">
            <w:pPr>
              <w:pStyle w:val="Tabele"/>
              <w:jc w:val="right"/>
              <w:rPr>
                <w:rFonts w:cs="Calibri"/>
                <w:color w:val="000000"/>
                <w:szCs w:val="16"/>
              </w:rPr>
            </w:pPr>
            <w:r>
              <w:rPr>
                <w:rFonts w:cs="Calibri"/>
                <w:color w:val="000000"/>
                <w:szCs w:val="16"/>
              </w:rPr>
              <w:t>-18,3%</w:t>
            </w:r>
          </w:p>
        </w:tc>
      </w:tr>
      <w:tr w:rsidR="00053EF1" w:rsidRPr="004669DE" w14:paraId="14C63EBB" w14:textId="77777777" w:rsidTr="00053EF1">
        <w:trPr>
          <w:trHeight w:val="227"/>
        </w:trPr>
        <w:tc>
          <w:tcPr>
            <w:tcW w:w="2303" w:type="dxa"/>
            <w:tcBorders>
              <w:right w:val="single" w:sz="4" w:space="0" w:color="AEAAAA" w:themeColor="background2" w:themeShade="BF"/>
            </w:tcBorders>
          </w:tcPr>
          <w:p w14:paraId="02D7B68C" w14:textId="77777777" w:rsidR="00053EF1" w:rsidRPr="004669DE" w:rsidRDefault="00053EF1">
            <w:pPr>
              <w:pStyle w:val="Tabele"/>
              <w:rPr>
                <w:bCs/>
              </w:rPr>
            </w:pPr>
            <w:r>
              <w:rPr>
                <w:rFonts w:cs="Calibri"/>
                <w:color w:val="000000"/>
                <w:szCs w:val="16"/>
              </w:rPr>
              <w:t xml:space="preserve">2. Przemysł wytwórczy i budownictwo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82D9D3" w14:textId="77777777" w:rsidR="00053EF1" w:rsidRPr="006813B9" w:rsidRDefault="00053EF1">
            <w:pPr>
              <w:pStyle w:val="Tabele"/>
              <w:jc w:val="right"/>
              <w:rPr>
                <w:highlight w:val="yellow"/>
              </w:rPr>
            </w:pPr>
            <w:r>
              <w:rPr>
                <w:rFonts w:cs="Calibri"/>
                <w:color w:val="000000"/>
                <w:szCs w:val="16"/>
              </w:rPr>
              <w:t>2,9%</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EEB39A3" w14:textId="77777777" w:rsidR="00053EF1" w:rsidRPr="006813B9" w:rsidRDefault="00053EF1">
            <w:pPr>
              <w:pStyle w:val="Tabele"/>
              <w:jc w:val="right"/>
              <w:rPr>
                <w:highlight w:val="yellow"/>
              </w:rPr>
            </w:pPr>
            <w:r>
              <w:rPr>
                <w:rFonts w:cs="Calibri"/>
                <w:color w:val="000000"/>
                <w:szCs w:val="16"/>
              </w:rPr>
              <w:t>-4,0%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10F05B8" w14:textId="77777777" w:rsidR="00053EF1" w:rsidRPr="006813B9" w:rsidRDefault="00053EF1">
            <w:pPr>
              <w:pStyle w:val="Tabele"/>
              <w:jc w:val="right"/>
              <w:rPr>
                <w:highlight w:val="yellow"/>
              </w:rPr>
            </w:pPr>
            <w:r>
              <w:rPr>
                <w:rFonts w:cs="Calibri"/>
                <w:color w:val="000000"/>
                <w:szCs w:val="16"/>
              </w:rPr>
              <w:t>-2,0%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5B4614" w14:textId="77777777" w:rsidR="00053EF1" w:rsidRPr="006813B9" w:rsidRDefault="00053EF1">
            <w:pPr>
              <w:pStyle w:val="Tabele"/>
              <w:jc w:val="right"/>
              <w:rPr>
                <w:highlight w:val="yellow"/>
              </w:rPr>
            </w:pPr>
            <w:r>
              <w:rPr>
                <w:rFonts w:cs="Calibri"/>
                <w:color w:val="000000"/>
                <w:szCs w:val="16"/>
              </w:rPr>
              <w:t>-0,2%</w:t>
            </w:r>
          </w:p>
        </w:tc>
      </w:tr>
      <w:tr w:rsidR="00053EF1" w:rsidRPr="004669DE" w14:paraId="00558A4B" w14:textId="77777777" w:rsidTr="00053EF1">
        <w:trPr>
          <w:trHeight w:val="227"/>
        </w:trPr>
        <w:tc>
          <w:tcPr>
            <w:tcW w:w="2303" w:type="dxa"/>
            <w:tcBorders>
              <w:right w:val="single" w:sz="4" w:space="0" w:color="AEAAAA" w:themeColor="background2" w:themeShade="BF"/>
            </w:tcBorders>
          </w:tcPr>
          <w:p w14:paraId="14615866" w14:textId="77777777" w:rsidR="00053EF1" w:rsidRPr="004669DE" w:rsidRDefault="00053EF1">
            <w:pPr>
              <w:pStyle w:val="Tabele"/>
              <w:rPr>
                <w:bCs/>
              </w:rPr>
            </w:pPr>
            <w:r>
              <w:rPr>
                <w:rFonts w:cs="Calibri"/>
                <w:color w:val="000000"/>
                <w:szCs w:val="16"/>
              </w:rPr>
              <w:t xml:space="preserve">3. Transport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588FEAE" w14:textId="77777777" w:rsidR="00053EF1" w:rsidRPr="006813B9" w:rsidRDefault="00053EF1">
            <w:pPr>
              <w:pStyle w:val="Tabele"/>
              <w:jc w:val="right"/>
              <w:rPr>
                <w:highlight w:val="yellow"/>
              </w:rPr>
            </w:pPr>
            <w:r>
              <w:rPr>
                <w:rFonts w:cs="Calibri"/>
                <w:color w:val="000000"/>
                <w:szCs w:val="16"/>
              </w:rPr>
              <w:t>6,8%</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39F558E" w14:textId="77777777" w:rsidR="00053EF1" w:rsidRPr="006813B9" w:rsidRDefault="00053EF1">
            <w:pPr>
              <w:pStyle w:val="Tabele"/>
              <w:jc w:val="right"/>
              <w:rPr>
                <w:highlight w:val="yellow"/>
              </w:rPr>
            </w:pPr>
            <w:r>
              <w:rPr>
                <w:rFonts w:cs="Calibri"/>
                <w:color w:val="000000"/>
                <w:szCs w:val="16"/>
              </w:rPr>
              <w:t>5,9%</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A1FFE1" w14:textId="77777777" w:rsidR="00053EF1" w:rsidRPr="006813B9" w:rsidRDefault="00053EF1">
            <w:pPr>
              <w:pStyle w:val="Tabele"/>
              <w:jc w:val="right"/>
              <w:rPr>
                <w:highlight w:val="yellow"/>
              </w:rPr>
            </w:pPr>
            <w:r>
              <w:rPr>
                <w:rFonts w:cs="Calibri"/>
                <w:color w:val="000000"/>
                <w:szCs w:val="16"/>
              </w:rPr>
              <w:t>4,8%</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BE225AC" w14:textId="77777777" w:rsidR="00053EF1" w:rsidRPr="006813B9" w:rsidRDefault="00053EF1">
            <w:pPr>
              <w:pStyle w:val="Tabele"/>
              <w:jc w:val="right"/>
              <w:rPr>
                <w:highlight w:val="yellow"/>
              </w:rPr>
            </w:pPr>
            <w:r>
              <w:rPr>
                <w:rFonts w:cs="Calibri"/>
                <w:color w:val="000000"/>
                <w:szCs w:val="16"/>
              </w:rPr>
              <w:t>5,2%</w:t>
            </w:r>
          </w:p>
        </w:tc>
      </w:tr>
      <w:tr w:rsidR="00053EF1" w:rsidRPr="004669DE" w14:paraId="7A486F25" w14:textId="77777777" w:rsidTr="00053EF1">
        <w:trPr>
          <w:trHeight w:val="227"/>
        </w:trPr>
        <w:tc>
          <w:tcPr>
            <w:tcW w:w="2303" w:type="dxa"/>
            <w:tcBorders>
              <w:right w:val="single" w:sz="4" w:space="0" w:color="AEAAAA" w:themeColor="background2" w:themeShade="BF"/>
            </w:tcBorders>
          </w:tcPr>
          <w:p w14:paraId="6CA71CD6" w14:textId="77777777" w:rsidR="00053EF1" w:rsidRPr="004669DE" w:rsidRDefault="00053EF1">
            <w:pPr>
              <w:pStyle w:val="Tabele"/>
              <w:rPr>
                <w:bCs/>
              </w:rPr>
            </w:pPr>
            <w:r>
              <w:rPr>
                <w:rFonts w:cs="Calibri"/>
                <w:color w:val="000000"/>
                <w:szCs w:val="16"/>
              </w:rPr>
              <w:t xml:space="preserve">4. Inne sektory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20A236B" w14:textId="77777777" w:rsidR="00053EF1" w:rsidRPr="006813B9" w:rsidRDefault="00053EF1">
            <w:pPr>
              <w:pStyle w:val="Tabele"/>
              <w:jc w:val="right"/>
              <w:rPr>
                <w:highlight w:val="yellow"/>
              </w:rPr>
            </w:pPr>
            <w:r>
              <w:rPr>
                <w:rFonts w:cs="Calibri"/>
                <w:color w:val="000000"/>
                <w:szCs w:val="16"/>
              </w:rPr>
              <w:t>-4,9%</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FDBAD4" w14:textId="77777777" w:rsidR="00053EF1" w:rsidRPr="006813B9" w:rsidRDefault="00053EF1">
            <w:pPr>
              <w:pStyle w:val="Tabele"/>
              <w:jc w:val="right"/>
              <w:rPr>
                <w:highlight w:val="yellow"/>
              </w:rPr>
            </w:pPr>
            <w:r>
              <w:rPr>
                <w:rFonts w:cs="Calibri"/>
                <w:color w:val="000000"/>
                <w:szCs w:val="16"/>
              </w:rPr>
              <w:t>-3,7%</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F533A0" w14:textId="77777777" w:rsidR="00053EF1" w:rsidRPr="006813B9" w:rsidRDefault="00053EF1">
            <w:pPr>
              <w:pStyle w:val="Tabele"/>
              <w:jc w:val="right"/>
              <w:rPr>
                <w:highlight w:val="yellow"/>
              </w:rPr>
            </w:pPr>
            <w:r>
              <w:rPr>
                <w:rFonts w:cs="Calibri"/>
                <w:color w:val="000000"/>
                <w:szCs w:val="16"/>
              </w:rPr>
              <w:t>-7,7%</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ACA6E72" w14:textId="77777777" w:rsidR="00053EF1" w:rsidRPr="006813B9" w:rsidRDefault="00053EF1">
            <w:pPr>
              <w:pStyle w:val="Tabele"/>
              <w:jc w:val="right"/>
              <w:rPr>
                <w:highlight w:val="yellow"/>
              </w:rPr>
            </w:pPr>
            <w:r>
              <w:rPr>
                <w:rFonts w:cs="Calibri"/>
                <w:color w:val="000000"/>
                <w:szCs w:val="16"/>
              </w:rPr>
              <w:t>-10,9%</w:t>
            </w:r>
          </w:p>
        </w:tc>
      </w:tr>
      <w:tr w:rsidR="00053EF1" w:rsidRPr="004669DE" w14:paraId="5FC802FA" w14:textId="77777777" w:rsidTr="00053EF1">
        <w:trPr>
          <w:trHeight w:val="227"/>
        </w:trPr>
        <w:tc>
          <w:tcPr>
            <w:tcW w:w="2303" w:type="dxa"/>
            <w:tcBorders>
              <w:right w:val="single" w:sz="4" w:space="0" w:color="AEAAAA" w:themeColor="background2" w:themeShade="BF"/>
            </w:tcBorders>
          </w:tcPr>
          <w:p w14:paraId="47DCC64B" w14:textId="77777777" w:rsidR="00053EF1" w:rsidRPr="004669DE" w:rsidRDefault="00053EF1">
            <w:pPr>
              <w:pStyle w:val="Tabele"/>
              <w:rPr>
                <w:bCs/>
              </w:rPr>
            </w:pPr>
            <w:r>
              <w:rPr>
                <w:rFonts w:cs="Calibri"/>
                <w:color w:val="000000"/>
                <w:szCs w:val="16"/>
              </w:rPr>
              <w:t xml:space="preserve">B. Emisja lotna z paliw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BAFFBCA" w14:textId="77777777" w:rsidR="00053EF1" w:rsidRPr="006813B9" w:rsidRDefault="00053EF1">
            <w:pPr>
              <w:pStyle w:val="Tabele"/>
              <w:jc w:val="right"/>
              <w:rPr>
                <w:highlight w:val="yellow"/>
              </w:rPr>
            </w:pPr>
            <w:r>
              <w:rPr>
                <w:rFonts w:cs="Calibri"/>
                <w:color w:val="000000"/>
                <w:szCs w:val="16"/>
              </w:rPr>
              <w:t>-4,5%</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95B7EB4" w14:textId="77777777" w:rsidR="00053EF1" w:rsidRPr="006813B9" w:rsidRDefault="00053EF1">
            <w:pPr>
              <w:pStyle w:val="Tabele"/>
              <w:jc w:val="right"/>
              <w:rPr>
                <w:highlight w:val="yellow"/>
              </w:rPr>
            </w:pPr>
            <w:r>
              <w:rPr>
                <w:rFonts w:cs="Calibri"/>
                <w:color w:val="000000"/>
                <w:szCs w:val="16"/>
              </w:rPr>
              <w:t>-5,0%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6187EDB" w14:textId="77777777" w:rsidR="00053EF1" w:rsidRPr="006813B9" w:rsidRDefault="00053EF1">
            <w:pPr>
              <w:pStyle w:val="Tabele"/>
              <w:jc w:val="right"/>
              <w:rPr>
                <w:highlight w:val="yellow"/>
              </w:rPr>
            </w:pPr>
            <w:r>
              <w:rPr>
                <w:rFonts w:cs="Calibri"/>
                <w:color w:val="000000"/>
                <w:szCs w:val="16"/>
              </w:rPr>
              <w:t>-4,6%</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C76BA0" w14:textId="77777777" w:rsidR="00053EF1" w:rsidRPr="006813B9" w:rsidRDefault="00053EF1">
            <w:pPr>
              <w:pStyle w:val="Tabele"/>
              <w:jc w:val="right"/>
              <w:rPr>
                <w:highlight w:val="yellow"/>
              </w:rPr>
            </w:pPr>
            <w:r>
              <w:rPr>
                <w:rFonts w:cs="Calibri"/>
                <w:color w:val="000000"/>
                <w:szCs w:val="16"/>
              </w:rPr>
              <w:t>-5,6%</w:t>
            </w:r>
          </w:p>
        </w:tc>
      </w:tr>
      <w:tr w:rsidR="00053EF1" w:rsidRPr="004669DE" w14:paraId="74E9B3A9" w14:textId="77777777" w:rsidTr="00053EF1">
        <w:trPr>
          <w:trHeight w:val="227"/>
        </w:trPr>
        <w:tc>
          <w:tcPr>
            <w:tcW w:w="2303" w:type="dxa"/>
            <w:tcBorders>
              <w:right w:val="single" w:sz="4" w:space="0" w:color="AEAAAA" w:themeColor="background2" w:themeShade="BF"/>
            </w:tcBorders>
          </w:tcPr>
          <w:p w14:paraId="17272590" w14:textId="77777777" w:rsidR="00053EF1" w:rsidRPr="004669DE" w:rsidRDefault="00053EF1">
            <w:pPr>
              <w:pStyle w:val="Tabele"/>
              <w:rPr>
                <w:bCs/>
              </w:rPr>
            </w:pPr>
            <w:r>
              <w:rPr>
                <w:rFonts w:cs="Calibri"/>
                <w:color w:val="000000"/>
                <w:szCs w:val="16"/>
              </w:rPr>
              <w:t xml:space="preserve">1. Paliwa stałe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D8B8A3" w14:textId="77777777" w:rsidR="00053EF1" w:rsidRPr="006813B9" w:rsidRDefault="00053EF1">
            <w:pPr>
              <w:pStyle w:val="Tabele"/>
              <w:jc w:val="right"/>
              <w:rPr>
                <w:highlight w:val="yellow"/>
              </w:rPr>
            </w:pPr>
            <w:r>
              <w:rPr>
                <w:rFonts w:cs="Calibri"/>
                <w:color w:val="000000"/>
                <w:szCs w:val="16"/>
              </w:rPr>
              <w:t>-4,5%</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302F50" w14:textId="77777777" w:rsidR="00053EF1" w:rsidRPr="006813B9" w:rsidRDefault="00053EF1">
            <w:pPr>
              <w:pStyle w:val="Tabele"/>
              <w:jc w:val="right"/>
              <w:rPr>
                <w:highlight w:val="yellow"/>
              </w:rPr>
            </w:pPr>
            <w:r>
              <w:rPr>
                <w:rFonts w:cs="Calibri"/>
                <w:color w:val="000000"/>
                <w:szCs w:val="16"/>
              </w:rPr>
              <w:t>-5,0%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F93F1B2" w14:textId="77777777" w:rsidR="00053EF1" w:rsidRPr="006813B9" w:rsidRDefault="00053EF1">
            <w:pPr>
              <w:pStyle w:val="Tabele"/>
              <w:jc w:val="right"/>
              <w:rPr>
                <w:highlight w:val="yellow"/>
              </w:rPr>
            </w:pPr>
            <w:r>
              <w:rPr>
                <w:rFonts w:cs="Calibri"/>
                <w:color w:val="000000"/>
                <w:szCs w:val="16"/>
              </w:rPr>
              <w:t>-4,6%</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9AC0725" w14:textId="77777777" w:rsidR="00053EF1" w:rsidRPr="006813B9" w:rsidRDefault="00053EF1">
            <w:pPr>
              <w:pStyle w:val="Tabele"/>
              <w:jc w:val="right"/>
              <w:rPr>
                <w:highlight w:val="yellow"/>
              </w:rPr>
            </w:pPr>
            <w:r>
              <w:rPr>
                <w:rFonts w:cs="Calibri"/>
                <w:color w:val="000000"/>
                <w:szCs w:val="16"/>
              </w:rPr>
              <w:t>-5,6%</w:t>
            </w:r>
          </w:p>
        </w:tc>
      </w:tr>
      <w:tr w:rsidR="00053EF1" w:rsidRPr="004669DE" w14:paraId="4DE83C00" w14:textId="77777777" w:rsidTr="00053EF1">
        <w:trPr>
          <w:trHeight w:val="227"/>
        </w:trPr>
        <w:tc>
          <w:tcPr>
            <w:tcW w:w="2303" w:type="dxa"/>
            <w:tcBorders>
              <w:right w:val="single" w:sz="4" w:space="0" w:color="AEAAAA" w:themeColor="background2" w:themeShade="BF"/>
            </w:tcBorders>
          </w:tcPr>
          <w:p w14:paraId="449E5234" w14:textId="77777777" w:rsidR="00053EF1" w:rsidRPr="004669DE" w:rsidRDefault="00053EF1">
            <w:pPr>
              <w:pStyle w:val="Tabele"/>
              <w:rPr>
                <w:bCs/>
              </w:rPr>
            </w:pPr>
            <w:r>
              <w:rPr>
                <w:rFonts w:cs="Calibri"/>
                <w:b/>
                <w:bCs/>
                <w:color w:val="000000"/>
                <w:szCs w:val="16"/>
              </w:rPr>
              <w:t xml:space="preserve">2. Procesy przemysłowe i użytkowanie produktów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C47FD1" w14:textId="77777777" w:rsidR="00053EF1" w:rsidRPr="006813B9" w:rsidRDefault="00053EF1">
            <w:pPr>
              <w:pStyle w:val="Tabele"/>
              <w:jc w:val="right"/>
              <w:rPr>
                <w:highlight w:val="yellow"/>
              </w:rPr>
            </w:pPr>
            <w:r>
              <w:rPr>
                <w:rFonts w:cs="Calibri"/>
                <w:b/>
                <w:bCs/>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568301E" w14:textId="77777777" w:rsidR="00053EF1" w:rsidRPr="006813B9" w:rsidRDefault="00053EF1">
            <w:pPr>
              <w:pStyle w:val="Tabele"/>
              <w:jc w:val="right"/>
              <w:rPr>
                <w:highlight w:val="yellow"/>
              </w:rPr>
            </w:pPr>
            <w:r>
              <w:rPr>
                <w:rFonts w:cs="Calibri"/>
                <w:b/>
                <w:bCs/>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0ADBC5" w14:textId="77777777" w:rsidR="00053EF1" w:rsidRPr="006813B9" w:rsidRDefault="00053EF1">
            <w:pPr>
              <w:pStyle w:val="Tabele"/>
              <w:jc w:val="right"/>
              <w:rPr>
                <w:highlight w:val="yellow"/>
              </w:rPr>
            </w:pPr>
            <w:r>
              <w:rPr>
                <w:rFonts w:cs="Calibri"/>
                <w:b/>
                <w:bCs/>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9DEB8E" w14:textId="77777777" w:rsidR="00053EF1" w:rsidRPr="006813B9" w:rsidRDefault="00053EF1">
            <w:pPr>
              <w:pStyle w:val="Tabele"/>
              <w:jc w:val="right"/>
              <w:rPr>
                <w:highlight w:val="yellow"/>
              </w:rPr>
            </w:pPr>
            <w:r>
              <w:rPr>
                <w:rFonts w:cs="Calibri"/>
                <w:b/>
                <w:bCs/>
                <w:color w:val="000000"/>
                <w:szCs w:val="16"/>
              </w:rPr>
              <w:t>0,0%</w:t>
            </w:r>
          </w:p>
        </w:tc>
      </w:tr>
      <w:tr w:rsidR="00053EF1" w:rsidRPr="004669DE" w14:paraId="272F2454" w14:textId="77777777" w:rsidTr="00053EF1">
        <w:trPr>
          <w:trHeight w:val="227"/>
        </w:trPr>
        <w:tc>
          <w:tcPr>
            <w:tcW w:w="2303" w:type="dxa"/>
            <w:tcBorders>
              <w:right w:val="single" w:sz="4" w:space="0" w:color="AEAAAA" w:themeColor="background2" w:themeShade="BF"/>
            </w:tcBorders>
          </w:tcPr>
          <w:p w14:paraId="6152B174" w14:textId="77777777" w:rsidR="00053EF1" w:rsidRPr="00F43A85" w:rsidRDefault="00053EF1">
            <w:pPr>
              <w:pStyle w:val="Tabele"/>
              <w:rPr>
                <w:b/>
                <w:bCs/>
              </w:rPr>
            </w:pPr>
            <w:r>
              <w:rPr>
                <w:rFonts w:cs="Calibri"/>
                <w:color w:val="000000"/>
                <w:szCs w:val="16"/>
              </w:rPr>
              <w:t xml:space="preserve">B. Przemysł chemiczny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6E86BB" w14:textId="77777777" w:rsidR="00053EF1" w:rsidRPr="006813B9" w:rsidRDefault="00053EF1">
            <w:pPr>
              <w:pStyle w:val="Tabele"/>
              <w:jc w:val="right"/>
              <w:rPr>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339ABB" w14:textId="77777777" w:rsidR="00053EF1" w:rsidRPr="006813B9" w:rsidRDefault="00053EF1">
            <w:pPr>
              <w:pStyle w:val="Tabele"/>
              <w:jc w:val="right"/>
              <w:rPr>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1C4003B" w14:textId="77777777" w:rsidR="00053EF1" w:rsidRPr="006813B9" w:rsidRDefault="00053EF1">
            <w:pPr>
              <w:pStyle w:val="Tabele"/>
              <w:jc w:val="right"/>
              <w:rPr>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7499A7F" w14:textId="77777777" w:rsidR="00053EF1" w:rsidRPr="006813B9" w:rsidRDefault="00053EF1">
            <w:pPr>
              <w:pStyle w:val="Tabele"/>
              <w:jc w:val="right"/>
              <w:rPr>
                <w:highlight w:val="yellow"/>
              </w:rPr>
            </w:pPr>
            <w:r>
              <w:rPr>
                <w:rFonts w:cs="Calibri"/>
                <w:color w:val="000000"/>
                <w:szCs w:val="16"/>
              </w:rPr>
              <w:t>0,0%</w:t>
            </w:r>
          </w:p>
        </w:tc>
      </w:tr>
      <w:tr w:rsidR="00053EF1" w:rsidRPr="004669DE" w14:paraId="69CA73C2" w14:textId="77777777" w:rsidTr="00053EF1">
        <w:trPr>
          <w:trHeight w:val="227"/>
        </w:trPr>
        <w:tc>
          <w:tcPr>
            <w:tcW w:w="2303" w:type="dxa"/>
            <w:tcBorders>
              <w:right w:val="single" w:sz="4" w:space="0" w:color="AEAAAA" w:themeColor="background2" w:themeShade="BF"/>
            </w:tcBorders>
          </w:tcPr>
          <w:p w14:paraId="569172AC" w14:textId="77777777" w:rsidR="00053EF1" w:rsidRPr="004669DE" w:rsidRDefault="00053EF1">
            <w:pPr>
              <w:pStyle w:val="Tabele"/>
              <w:rPr>
                <w:bCs/>
              </w:rPr>
            </w:pPr>
            <w:r>
              <w:rPr>
                <w:rFonts w:cs="Calibri"/>
                <w:color w:val="000000"/>
                <w:szCs w:val="16"/>
              </w:rPr>
              <w:t>D. Stosowanie rozpuszczalników i innych produktów</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E90741" w14:textId="77777777" w:rsidR="00053EF1" w:rsidRPr="006813B9" w:rsidRDefault="00053EF1">
            <w:pPr>
              <w:pStyle w:val="Tabele"/>
              <w:jc w:val="right"/>
              <w:rPr>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C80921" w14:textId="77777777" w:rsidR="00053EF1" w:rsidRPr="006813B9" w:rsidRDefault="00053EF1">
            <w:pPr>
              <w:pStyle w:val="Tabele"/>
              <w:jc w:val="right"/>
              <w:rPr>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712F987" w14:textId="77777777" w:rsidR="00053EF1" w:rsidRPr="006813B9" w:rsidRDefault="00053EF1">
            <w:pPr>
              <w:pStyle w:val="Tabele"/>
              <w:jc w:val="right"/>
              <w:rPr>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DFB6EE8" w14:textId="77777777" w:rsidR="00053EF1" w:rsidRPr="006813B9" w:rsidRDefault="00053EF1">
            <w:pPr>
              <w:pStyle w:val="Tabele"/>
              <w:jc w:val="right"/>
              <w:rPr>
                <w:highlight w:val="yellow"/>
              </w:rPr>
            </w:pPr>
            <w:r>
              <w:rPr>
                <w:rFonts w:cs="Calibri"/>
                <w:color w:val="000000"/>
                <w:szCs w:val="16"/>
              </w:rPr>
              <w:t>0,0%</w:t>
            </w:r>
          </w:p>
        </w:tc>
      </w:tr>
      <w:tr w:rsidR="00053EF1" w:rsidRPr="004669DE" w14:paraId="31010FA4" w14:textId="77777777" w:rsidTr="00053EF1">
        <w:trPr>
          <w:trHeight w:val="227"/>
        </w:trPr>
        <w:tc>
          <w:tcPr>
            <w:tcW w:w="2303" w:type="dxa"/>
            <w:tcBorders>
              <w:right w:val="single" w:sz="4" w:space="0" w:color="AEAAAA" w:themeColor="background2" w:themeShade="BF"/>
            </w:tcBorders>
          </w:tcPr>
          <w:p w14:paraId="16C7C527" w14:textId="77777777" w:rsidR="00053EF1" w:rsidRPr="004669DE" w:rsidRDefault="00053EF1">
            <w:pPr>
              <w:pStyle w:val="Tabele"/>
              <w:rPr>
                <w:bCs/>
              </w:rPr>
            </w:pPr>
            <w:r>
              <w:rPr>
                <w:rFonts w:cs="Calibri"/>
                <w:color w:val="000000"/>
                <w:szCs w:val="16"/>
              </w:rPr>
              <w:t>G. – L. Inne</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E31D52" w14:textId="77777777" w:rsidR="00053EF1" w:rsidRPr="006813B9" w:rsidRDefault="00053EF1">
            <w:pPr>
              <w:pStyle w:val="Tabele"/>
              <w:jc w:val="right"/>
              <w:rPr>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BE89674" w14:textId="77777777" w:rsidR="00053EF1" w:rsidRPr="006813B9" w:rsidRDefault="00053EF1">
            <w:pPr>
              <w:pStyle w:val="Tabele"/>
              <w:jc w:val="right"/>
              <w:rPr>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4E09470" w14:textId="77777777" w:rsidR="00053EF1" w:rsidRPr="006813B9" w:rsidRDefault="00053EF1">
            <w:pPr>
              <w:pStyle w:val="Tabele"/>
              <w:jc w:val="right"/>
              <w:rPr>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6AB84A5" w14:textId="77777777" w:rsidR="00053EF1" w:rsidRPr="006813B9" w:rsidRDefault="00053EF1">
            <w:pPr>
              <w:pStyle w:val="Tabele"/>
              <w:jc w:val="right"/>
              <w:rPr>
                <w:highlight w:val="yellow"/>
              </w:rPr>
            </w:pPr>
            <w:r>
              <w:rPr>
                <w:rFonts w:cs="Calibri"/>
                <w:color w:val="000000"/>
                <w:szCs w:val="16"/>
              </w:rPr>
              <w:t>0,0%</w:t>
            </w:r>
          </w:p>
        </w:tc>
      </w:tr>
      <w:tr w:rsidR="00053EF1" w:rsidRPr="004669DE" w14:paraId="6773C469" w14:textId="77777777" w:rsidTr="00053EF1">
        <w:trPr>
          <w:trHeight w:val="227"/>
        </w:trPr>
        <w:tc>
          <w:tcPr>
            <w:tcW w:w="2303" w:type="dxa"/>
            <w:tcBorders>
              <w:right w:val="single" w:sz="4" w:space="0" w:color="AEAAAA" w:themeColor="background2" w:themeShade="BF"/>
            </w:tcBorders>
          </w:tcPr>
          <w:p w14:paraId="10C1D674" w14:textId="77777777" w:rsidR="00053EF1" w:rsidRPr="00EB3B96" w:rsidRDefault="00053EF1">
            <w:pPr>
              <w:pStyle w:val="Tabele"/>
              <w:rPr>
                <w:b/>
              </w:rPr>
            </w:pPr>
            <w:r>
              <w:rPr>
                <w:rFonts w:cs="Calibri"/>
                <w:b/>
                <w:bCs/>
                <w:color w:val="000000"/>
                <w:szCs w:val="16"/>
              </w:rPr>
              <w:t xml:space="preserve">3. Rolnictwo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4CEBBD" w14:textId="77777777" w:rsidR="00053EF1" w:rsidRPr="006813B9" w:rsidRDefault="00053EF1">
            <w:pPr>
              <w:pStyle w:val="Tabele"/>
              <w:jc w:val="right"/>
              <w:rPr>
                <w:highlight w:val="yellow"/>
              </w:rPr>
            </w:pPr>
            <w:r>
              <w:rPr>
                <w:rFonts w:cs="Calibri"/>
                <w:b/>
                <w:bCs/>
                <w:color w:val="000000"/>
                <w:szCs w:val="16"/>
              </w:rPr>
              <w:t>-0,7%</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CFCBC6D" w14:textId="77777777" w:rsidR="00053EF1" w:rsidRPr="006813B9" w:rsidRDefault="00053EF1">
            <w:pPr>
              <w:pStyle w:val="Tabele"/>
              <w:jc w:val="right"/>
              <w:rPr>
                <w:highlight w:val="yellow"/>
              </w:rPr>
            </w:pPr>
            <w:r>
              <w:rPr>
                <w:rFonts w:cs="Calibri"/>
                <w:b/>
                <w:bCs/>
                <w:color w:val="000000"/>
                <w:szCs w:val="16"/>
              </w:rPr>
              <w:t>-4,2%</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6D58AB8" w14:textId="77777777" w:rsidR="00053EF1" w:rsidRPr="006813B9" w:rsidRDefault="00053EF1">
            <w:pPr>
              <w:pStyle w:val="Tabele"/>
              <w:jc w:val="right"/>
              <w:rPr>
                <w:highlight w:val="yellow"/>
              </w:rPr>
            </w:pPr>
            <w:r>
              <w:rPr>
                <w:rFonts w:cs="Calibri"/>
                <w:b/>
                <w:bCs/>
                <w:color w:val="000000"/>
                <w:szCs w:val="16"/>
              </w:rPr>
              <w:t>-5,4%</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937AEFB" w14:textId="77777777" w:rsidR="00053EF1" w:rsidRPr="006813B9" w:rsidRDefault="00053EF1">
            <w:pPr>
              <w:pStyle w:val="Tabele"/>
              <w:jc w:val="right"/>
              <w:rPr>
                <w:highlight w:val="yellow"/>
              </w:rPr>
            </w:pPr>
            <w:r>
              <w:rPr>
                <w:rFonts w:cs="Calibri"/>
                <w:b/>
                <w:bCs/>
                <w:color w:val="000000"/>
                <w:szCs w:val="16"/>
              </w:rPr>
              <w:t>-6,4%</w:t>
            </w:r>
          </w:p>
        </w:tc>
      </w:tr>
      <w:tr w:rsidR="00053EF1" w:rsidRPr="004669DE" w14:paraId="63E42762" w14:textId="77777777" w:rsidTr="00053EF1">
        <w:trPr>
          <w:trHeight w:val="227"/>
        </w:trPr>
        <w:tc>
          <w:tcPr>
            <w:tcW w:w="2303" w:type="dxa"/>
            <w:tcBorders>
              <w:right w:val="single" w:sz="4" w:space="0" w:color="AEAAAA" w:themeColor="background2" w:themeShade="BF"/>
            </w:tcBorders>
          </w:tcPr>
          <w:p w14:paraId="5F42CC9B" w14:textId="77777777" w:rsidR="00053EF1" w:rsidRPr="00F43A85" w:rsidRDefault="00053EF1">
            <w:pPr>
              <w:pStyle w:val="Tabele"/>
              <w:rPr>
                <w:b/>
                <w:bCs/>
              </w:rPr>
            </w:pPr>
            <w:r>
              <w:rPr>
                <w:rFonts w:cs="Calibri"/>
                <w:color w:val="000000"/>
                <w:szCs w:val="16"/>
              </w:rPr>
              <w:t xml:space="preserve">B. Nawozy naturalne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0B035B2" w14:textId="77777777" w:rsidR="00053EF1" w:rsidRPr="006813B9" w:rsidRDefault="00053EF1">
            <w:pPr>
              <w:pStyle w:val="Tabele"/>
              <w:jc w:val="right"/>
              <w:rPr>
                <w:highlight w:val="yellow"/>
              </w:rPr>
            </w:pPr>
            <w:r>
              <w:rPr>
                <w:rFonts w:cs="Calibri"/>
                <w:color w:val="000000"/>
                <w:szCs w:val="16"/>
              </w:rPr>
              <w:t>-0,2%</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308A9E9" w14:textId="77777777" w:rsidR="00053EF1" w:rsidRPr="006813B9" w:rsidRDefault="00053EF1">
            <w:pPr>
              <w:pStyle w:val="Tabele"/>
              <w:jc w:val="right"/>
              <w:rPr>
                <w:highlight w:val="yellow"/>
              </w:rPr>
            </w:pPr>
            <w:r>
              <w:rPr>
                <w:rFonts w:cs="Calibri"/>
                <w:color w:val="000000"/>
                <w:szCs w:val="16"/>
              </w:rPr>
              <w:t>-2,9%</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6B049F" w14:textId="77777777" w:rsidR="00053EF1" w:rsidRPr="006813B9" w:rsidRDefault="00053EF1">
            <w:pPr>
              <w:pStyle w:val="Tabele"/>
              <w:jc w:val="right"/>
              <w:rPr>
                <w:highlight w:val="yellow"/>
              </w:rPr>
            </w:pPr>
            <w:r>
              <w:rPr>
                <w:rFonts w:cs="Calibri"/>
                <w:color w:val="000000"/>
                <w:szCs w:val="16"/>
              </w:rPr>
              <w:t>-3,8%</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A9D0B5A" w14:textId="77777777" w:rsidR="00053EF1" w:rsidRPr="006813B9" w:rsidRDefault="00053EF1">
            <w:pPr>
              <w:pStyle w:val="Tabele"/>
              <w:jc w:val="right"/>
              <w:rPr>
                <w:highlight w:val="yellow"/>
              </w:rPr>
            </w:pPr>
            <w:r>
              <w:rPr>
                <w:rFonts w:cs="Calibri"/>
                <w:color w:val="000000"/>
                <w:szCs w:val="16"/>
              </w:rPr>
              <w:t>-4,2%</w:t>
            </w:r>
          </w:p>
        </w:tc>
      </w:tr>
      <w:tr w:rsidR="00053EF1" w:rsidRPr="004669DE" w14:paraId="5B9BE561" w14:textId="77777777" w:rsidTr="00053EF1">
        <w:trPr>
          <w:trHeight w:val="227"/>
        </w:trPr>
        <w:tc>
          <w:tcPr>
            <w:tcW w:w="2303" w:type="dxa"/>
            <w:tcBorders>
              <w:right w:val="single" w:sz="4" w:space="0" w:color="AEAAAA" w:themeColor="background2" w:themeShade="BF"/>
            </w:tcBorders>
          </w:tcPr>
          <w:p w14:paraId="42C7D6D5" w14:textId="77777777" w:rsidR="00053EF1" w:rsidRPr="004669DE" w:rsidRDefault="00053EF1">
            <w:pPr>
              <w:pStyle w:val="Tabele"/>
              <w:rPr>
                <w:bCs/>
              </w:rPr>
            </w:pPr>
            <w:r>
              <w:rPr>
                <w:rFonts w:cs="Calibri"/>
                <w:color w:val="000000"/>
                <w:szCs w:val="16"/>
              </w:rPr>
              <w:t xml:space="preserve">D. Gleby rolne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789895E" w14:textId="77777777" w:rsidR="00053EF1" w:rsidRPr="006813B9" w:rsidRDefault="00053EF1">
            <w:pPr>
              <w:pStyle w:val="Tabele"/>
              <w:jc w:val="right"/>
              <w:rPr>
                <w:highlight w:val="yellow"/>
              </w:rPr>
            </w:pPr>
            <w:r>
              <w:rPr>
                <w:rFonts w:cs="Calibri"/>
                <w:color w:val="000000"/>
                <w:szCs w:val="16"/>
              </w:rPr>
              <w:t>-1,2%</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2678269" w14:textId="77777777" w:rsidR="00053EF1" w:rsidRPr="006813B9" w:rsidRDefault="00053EF1">
            <w:pPr>
              <w:pStyle w:val="Tabele"/>
              <w:jc w:val="right"/>
              <w:rPr>
                <w:highlight w:val="yellow"/>
              </w:rPr>
            </w:pPr>
            <w:r>
              <w:rPr>
                <w:rFonts w:cs="Calibri"/>
                <w:color w:val="000000"/>
                <w:szCs w:val="16"/>
              </w:rPr>
              <w:t>-5,6%</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02D6E1" w14:textId="77777777" w:rsidR="00053EF1" w:rsidRPr="006813B9" w:rsidRDefault="00053EF1">
            <w:pPr>
              <w:pStyle w:val="Tabele"/>
              <w:jc w:val="right"/>
              <w:rPr>
                <w:highlight w:val="yellow"/>
              </w:rPr>
            </w:pPr>
            <w:r>
              <w:rPr>
                <w:rFonts w:cs="Calibri"/>
                <w:color w:val="000000"/>
                <w:szCs w:val="16"/>
              </w:rPr>
              <w:t>-6,9%</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FA3C52" w14:textId="77777777" w:rsidR="00053EF1" w:rsidRPr="006813B9" w:rsidRDefault="00053EF1">
            <w:pPr>
              <w:pStyle w:val="Tabele"/>
              <w:jc w:val="right"/>
              <w:rPr>
                <w:highlight w:val="yellow"/>
              </w:rPr>
            </w:pPr>
            <w:r>
              <w:rPr>
                <w:rFonts w:cs="Calibri"/>
                <w:color w:val="000000"/>
                <w:szCs w:val="16"/>
              </w:rPr>
              <w:t>-8,7%</w:t>
            </w:r>
          </w:p>
        </w:tc>
      </w:tr>
      <w:tr w:rsidR="00053EF1" w:rsidRPr="004669DE" w14:paraId="79664404" w14:textId="77777777" w:rsidTr="00053EF1">
        <w:trPr>
          <w:trHeight w:val="227"/>
        </w:trPr>
        <w:tc>
          <w:tcPr>
            <w:tcW w:w="2303" w:type="dxa"/>
            <w:tcBorders>
              <w:right w:val="single" w:sz="4" w:space="0" w:color="AEAAAA" w:themeColor="background2" w:themeShade="BF"/>
            </w:tcBorders>
          </w:tcPr>
          <w:p w14:paraId="06BB9CC6" w14:textId="77777777" w:rsidR="00053EF1" w:rsidRPr="00F43A85" w:rsidRDefault="00053EF1">
            <w:pPr>
              <w:pStyle w:val="Tabele"/>
              <w:rPr>
                <w:b/>
                <w:bCs/>
              </w:rPr>
            </w:pPr>
            <w:r>
              <w:rPr>
                <w:rFonts w:cs="Calibri"/>
                <w:color w:val="000000"/>
                <w:szCs w:val="16"/>
              </w:rPr>
              <w:t xml:space="preserve">F. Spalanie resztek roślinnych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67A05EF" w14:textId="77777777" w:rsidR="00053EF1" w:rsidRPr="006813B9" w:rsidRDefault="00053EF1">
            <w:pPr>
              <w:pStyle w:val="Tabele"/>
              <w:jc w:val="right"/>
              <w:rPr>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2428FE4" w14:textId="77777777" w:rsidR="00053EF1" w:rsidRPr="006813B9" w:rsidRDefault="00053EF1">
            <w:pPr>
              <w:pStyle w:val="Tabele"/>
              <w:jc w:val="right"/>
              <w:rPr>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E971782" w14:textId="77777777" w:rsidR="00053EF1" w:rsidRPr="006813B9" w:rsidRDefault="00053EF1">
            <w:pPr>
              <w:pStyle w:val="Tabele"/>
              <w:jc w:val="right"/>
              <w:rPr>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6DD5D5" w14:textId="77777777" w:rsidR="00053EF1" w:rsidRPr="006813B9" w:rsidRDefault="00053EF1">
            <w:pPr>
              <w:pStyle w:val="Tabele"/>
              <w:jc w:val="right"/>
              <w:rPr>
                <w:highlight w:val="yellow"/>
              </w:rPr>
            </w:pPr>
            <w:r>
              <w:rPr>
                <w:rFonts w:cs="Calibri"/>
                <w:color w:val="000000"/>
                <w:szCs w:val="16"/>
              </w:rPr>
              <w:t>0,0%</w:t>
            </w:r>
          </w:p>
        </w:tc>
      </w:tr>
      <w:tr w:rsidR="00053EF1" w:rsidRPr="004669DE" w14:paraId="4F34A866" w14:textId="77777777" w:rsidTr="00053EF1">
        <w:trPr>
          <w:trHeight w:val="227"/>
        </w:trPr>
        <w:tc>
          <w:tcPr>
            <w:tcW w:w="2303" w:type="dxa"/>
            <w:tcBorders>
              <w:right w:val="single" w:sz="4" w:space="0" w:color="AEAAAA" w:themeColor="background2" w:themeShade="BF"/>
            </w:tcBorders>
          </w:tcPr>
          <w:p w14:paraId="634C35C0" w14:textId="77777777" w:rsidR="00053EF1" w:rsidRPr="00EB3B96" w:rsidRDefault="00053EF1">
            <w:pPr>
              <w:pStyle w:val="Tabele"/>
              <w:rPr>
                <w:bCs/>
              </w:rPr>
            </w:pPr>
            <w:r>
              <w:rPr>
                <w:rFonts w:cs="Calibri"/>
                <w:b/>
                <w:bCs/>
                <w:color w:val="000000"/>
                <w:szCs w:val="16"/>
              </w:rPr>
              <w:t xml:space="preserve">5. Odpady </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DB700F4" w14:textId="77777777" w:rsidR="00053EF1" w:rsidRPr="006813B9" w:rsidRDefault="00053EF1">
            <w:pPr>
              <w:pStyle w:val="Tabele"/>
              <w:jc w:val="right"/>
              <w:rPr>
                <w:highlight w:val="yellow"/>
              </w:rPr>
            </w:pPr>
            <w:r>
              <w:rPr>
                <w:rFonts w:cs="Calibri"/>
                <w:b/>
                <w:bCs/>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0AC9AA8" w14:textId="77777777" w:rsidR="00053EF1" w:rsidRPr="006813B9" w:rsidRDefault="00053EF1">
            <w:pPr>
              <w:pStyle w:val="Tabele"/>
              <w:jc w:val="right"/>
              <w:rPr>
                <w:highlight w:val="yellow"/>
              </w:rPr>
            </w:pPr>
            <w:r>
              <w:rPr>
                <w:rFonts w:cs="Calibri"/>
                <w:b/>
                <w:bCs/>
                <w:color w:val="000000"/>
                <w:szCs w:val="16"/>
              </w:rPr>
              <w:t>-0,1%</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B60F5A" w14:textId="77777777" w:rsidR="00053EF1" w:rsidRPr="006813B9" w:rsidRDefault="00053EF1">
            <w:pPr>
              <w:pStyle w:val="Tabele"/>
              <w:jc w:val="right"/>
              <w:rPr>
                <w:highlight w:val="yellow"/>
              </w:rPr>
            </w:pPr>
            <w:r>
              <w:rPr>
                <w:rFonts w:cs="Calibri"/>
                <w:b/>
                <w:bCs/>
                <w:color w:val="000000"/>
                <w:szCs w:val="16"/>
              </w:rPr>
              <w:t>-0,1%</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77ADF5" w14:textId="77777777" w:rsidR="00053EF1" w:rsidRPr="006813B9" w:rsidRDefault="00053EF1">
            <w:pPr>
              <w:pStyle w:val="Tabele"/>
              <w:jc w:val="right"/>
              <w:rPr>
                <w:highlight w:val="yellow"/>
              </w:rPr>
            </w:pPr>
            <w:r>
              <w:rPr>
                <w:rFonts w:cs="Calibri"/>
                <w:b/>
                <w:bCs/>
                <w:color w:val="000000"/>
                <w:szCs w:val="16"/>
              </w:rPr>
              <w:t>-0,1%</w:t>
            </w:r>
          </w:p>
        </w:tc>
      </w:tr>
      <w:tr w:rsidR="00053EF1" w:rsidRPr="004669DE" w14:paraId="79AB5C0C" w14:textId="77777777" w:rsidTr="00053EF1">
        <w:trPr>
          <w:trHeight w:val="227"/>
        </w:trPr>
        <w:tc>
          <w:tcPr>
            <w:tcW w:w="2303" w:type="dxa"/>
            <w:tcBorders>
              <w:right w:val="single" w:sz="4" w:space="0" w:color="AEAAAA" w:themeColor="background2" w:themeShade="BF"/>
            </w:tcBorders>
          </w:tcPr>
          <w:p w14:paraId="322D328A" w14:textId="77777777" w:rsidR="00053EF1" w:rsidRPr="00EB3B96" w:rsidRDefault="00053EF1">
            <w:pPr>
              <w:pStyle w:val="Tabele"/>
              <w:rPr>
                <w:bCs/>
              </w:rPr>
            </w:pPr>
            <w:r>
              <w:rPr>
                <w:rFonts w:cs="Calibri"/>
                <w:color w:val="000000"/>
                <w:szCs w:val="16"/>
              </w:rPr>
              <w:t>B. Kompostowanie</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AF897AD" w14:textId="77777777" w:rsidR="00053EF1" w:rsidRPr="006813B9" w:rsidRDefault="00053EF1">
            <w:pPr>
              <w:pStyle w:val="Tabele"/>
              <w:jc w:val="right"/>
              <w:rPr>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DDF7C85" w14:textId="77777777" w:rsidR="00053EF1" w:rsidRPr="006813B9" w:rsidRDefault="00053EF1">
            <w:pPr>
              <w:pStyle w:val="Tabele"/>
              <w:jc w:val="right"/>
              <w:rPr>
                <w:highlight w:val="yellow"/>
              </w:rPr>
            </w:pPr>
            <w:r>
              <w:rPr>
                <w:rFonts w:cs="Calibri"/>
                <w:color w:val="000000"/>
                <w:szCs w:val="16"/>
              </w:rPr>
              <w:t>-0,1%</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B8EEC2" w14:textId="77777777" w:rsidR="00053EF1" w:rsidRPr="006813B9" w:rsidRDefault="00053EF1">
            <w:pPr>
              <w:pStyle w:val="Tabele"/>
              <w:jc w:val="right"/>
              <w:rPr>
                <w:highlight w:val="yellow"/>
              </w:rPr>
            </w:pPr>
            <w:r>
              <w:rPr>
                <w:rFonts w:cs="Calibri"/>
                <w:color w:val="000000"/>
                <w:szCs w:val="16"/>
              </w:rPr>
              <w:t>-0,1%</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EAC4672" w14:textId="77777777" w:rsidR="00053EF1" w:rsidRPr="006813B9" w:rsidRDefault="00053EF1">
            <w:pPr>
              <w:pStyle w:val="Tabele"/>
              <w:jc w:val="right"/>
              <w:rPr>
                <w:highlight w:val="yellow"/>
              </w:rPr>
            </w:pPr>
            <w:r>
              <w:rPr>
                <w:rFonts w:cs="Calibri"/>
                <w:color w:val="000000"/>
                <w:szCs w:val="16"/>
              </w:rPr>
              <w:t>-0,1%</w:t>
            </w:r>
          </w:p>
        </w:tc>
      </w:tr>
      <w:tr w:rsidR="00053EF1" w:rsidRPr="00860E1E" w14:paraId="3DEDC544" w14:textId="77777777" w:rsidTr="00053EF1">
        <w:trPr>
          <w:trHeight w:val="227"/>
        </w:trPr>
        <w:tc>
          <w:tcPr>
            <w:tcW w:w="2303" w:type="dxa"/>
            <w:tcBorders>
              <w:right w:val="single" w:sz="4" w:space="0" w:color="AEAAAA" w:themeColor="background2" w:themeShade="BF"/>
            </w:tcBorders>
          </w:tcPr>
          <w:p w14:paraId="3DF73112" w14:textId="77777777" w:rsidR="00053EF1" w:rsidRPr="00860E1E" w:rsidRDefault="00053EF1">
            <w:pPr>
              <w:pStyle w:val="Tabele"/>
              <w:rPr>
                <w:b/>
                <w:bCs/>
              </w:rPr>
            </w:pPr>
            <w:r>
              <w:rPr>
                <w:rFonts w:cs="Calibri"/>
                <w:color w:val="000000"/>
                <w:szCs w:val="16"/>
              </w:rPr>
              <w:t>D. Gospodarka ściekami</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F224AFE" w14:textId="77777777" w:rsidR="00053EF1" w:rsidRPr="006813B9" w:rsidRDefault="00053EF1">
            <w:pPr>
              <w:pStyle w:val="Tabele"/>
              <w:jc w:val="right"/>
              <w:rPr>
                <w:b/>
                <w:bCs/>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A3C8BD" w14:textId="77777777" w:rsidR="00053EF1" w:rsidRPr="006813B9" w:rsidRDefault="00053EF1">
            <w:pPr>
              <w:pStyle w:val="Tabele"/>
              <w:jc w:val="right"/>
              <w:rPr>
                <w:b/>
                <w:bCs/>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58EC07" w14:textId="77777777" w:rsidR="00053EF1" w:rsidRPr="006813B9" w:rsidRDefault="00053EF1">
            <w:pPr>
              <w:pStyle w:val="Tabele"/>
              <w:jc w:val="right"/>
              <w:rPr>
                <w:b/>
                <w:bCs/>
                <w:highlight w:val="yellow"/>
              </w:rPr>
            </w:pPr>
            <w:r>
              <w:rPr>
                <w:rFonts w:cs="Calibri"/>
                <w:color w:val="000000"/>
                <w:szCs w:val="16"/>
              </w:rPr>
              <w:t>0,0%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5639BA3" w14:textId="77777777" w:rsidR="00053EF1" w:rsidRPr="006813B9" w:rsidRDefault="00053EF1">
            <w:pPr>
              <w:pStyle w:val="Tabele"/>
              <w:jc w:val="right"/>
              <w:rPr>
                <w:b/>
                <w:bCs/>
                <w:highlight w:val="yellow"/>
              </w:rPr>
            </w:pPr>
            <w:r>
              <w:rPr>
                <w:rFonts w:cs="Calibri"/>
                <w:color w:val="000000"/>
                <w:szCs w:val="16"/>
              </w:rPr>
              <w:t>0,0%</w:t>
            </w:r>
          </w:p>
        </w:tc>
      </w:tr>
      <w:tr w:rsidR="00053EF1" w:rsidRPr="00860E1E" w14:paraId="648B8935" w14:textId="77777777" w:rsidTr="00053EF1">
        <w:trPr>
          <w:trHeight w:val="227"/>
        </w:trPr>
        <w:tc>
          <w:tcPr>
            <w:tcW w:w="2303" w:type="dxa"/>
            <w:tcBorders>
              <w:right w:val="single" w:sz="4" w:space="0" w:color="AEAAAA" w:themeColor="background2" w:themeShade="BF"/>
            </w:tcBorders>
          </w:tcPr>
          <w:p w14:paraId="65B5977E" w14:textId="77777777" w:rsidR="00053EF1" w:rsidRDefault="00053EF1">
            <w:pPr>
              <w:pStyle w:val="Tabele"/>
              <w:rPr>
                <w:rFonts w:cs="Calibri"/>
                <w:color w:val="000000"/>
                <w:szCs w:val="16"/>
              </w:rPr>
            </w:pPr>
            <w:r>
              <w:rPr>
                <w:rFonts w:cs="Calibri"/>
                <w:b/>
                <w:bCs/>
                <w:color w:val="000000"/>
                <w:szCs w:val="16"/>
              </w:rPr>
              <w:t>OGÓŁEM</w:t>
            </w:r>
          </w:p>
        </w:tc>
        <w:tc>
          <w:tcPr>
            <w:tcW w:w="1667"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281BC28" w14:textId="77777777" w:rsidR="00053EF1" w:rsidRPr="006813B9" w:rsidRDefault="00053EF1">
            <w:pPr>
              <w:pStyle w:val="Tabele"/>
              <w:jc w:val="right"/>
              <w:rPr>
                <w:b/>
                <w:bCs/>
                <w:highlight w:val="yellow"/>
              </w:rPr>
            </w:pPr>
            <w:r>
              <w:rPr>
                <w:rFonts w:cs="Calibri"/>
                <w:b/>
                <w:bCs/>
                <w:color w:val="000000"/>
                <w:szCs w:val="16"/>
              </w:rPr>
              <w:t>-0,6%</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1BF5EA" w14:textId="77777777" w:rsidR="00053EF1" w:rsidRPr="006813B9" w:rsidRDefault="00053EF1">
            <w:pPr>
              <w:pStyle w:val="Tabele"/>
              <w:jc w:val="right"/>
              <w:rPr>
                <w:b/>
                <w:bCs/>
                <w:highlight w:val="yellow"/>
              </w:rPr>
            </w:pPr>
            <w:r>
              <w:rPr>
                <w:rFonts w:cs="Calibri"/>
                <w:b/>
                <w:bCs/>
                <w:color w:val="000000"/>
                <w:szCs w:val="16"/>
              </w:rPr>
              <w:t>-4,0%</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9B5F25E" w14:textId="77777777" w:rsidR="00053EF1" w:rsidRPr="006813B9" w:rsidRDefault="00053EF1">
            <w:pPr>
              <w:pStyle w:val="Tabele"/>
              <w:jc w:val="right"/>
              <w:rPr>
                <w:b/>
                <w:bCs/>
                <w:highlight w:val="yellow"/>
              </w:rPr>
            </w:pPr>
            <w:r>
              <w:rPr>
                <w:rFonts w:cs="Calibri"/>
                <w:b/>
                <w:bCs/>
                <w:color w:val="000000"/>
                <w:szCs w:val="16"/>
              </w:rPr>
              <w:t>-5,1%</w:t>
            </w:r>
          </w:p>
        </w:tc>
        <w:tc>
          <w:tcPr>
            <w:tcW w:w="1668"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41FE142" w14:textId="77777777" w:rsidR="00053EF1" w:rsidRPr="006813B9" w:rsidRDefault="00053EF1">
            <w:pPr>
              <w:pStyle w:val="Tabele"/>
              <w:jc w:val="right"/>
              <w:rPr>
                <w:b/>
                <w:bCs/>
                <w:highlight w:val="yellow"/>
              </w:rPr>
            </w:pPr>
            <w:r>
              <w:rPr>
                <w:rFonts w:cs="Calibri"/>
                <w:b/>
                <w:bCs/>
                <w:color w:val="000000"/>
                <w:szCs w:val="16"/>
              </w:rPr>
              <w:t>-6,1%</w:t>
            </w:r>
          </w:p>
        </w:tc>
      </w:tr>
    </w:tbl>
    <w:p w14:paraId="66E0727A" w14:textId="77777777" w:rsidR="005C4144" w:rsidRPr="00BB1158" w:rsidRDefault="005C4144" w:rsidP="00AF3C12">
      <w:pPr>
        <w:pStyle w:val="Legenda"/>
        <w:keepNext/>
      </w:pPr>
      <w:r w:rsidRPr="00BB1158">
        <w:t>Źródło: Opracowanie własne KOBIZE, IOŚ-PIB</w:t>
      </w:r>
    </w:p>
    <w:p w14:paraId="6C29DA43" w14:textId="759F99C3" w:rsidR="001C7D86" w:rsidRPr="00DD43D2" w:rsidRDefault="001C7D86" w:rsidP="001C7D86">
      <w:bookmarkStart w:id="165" w:name="_Ref161305997"/>
      <w:bookmarkStart w:id="166" w:name="_Ref169814502"/>
      <w:bookmarkStart w:id="167" w:name="_Toc167442099"/>
      <w:bookmarkStart w:id="168" w:name="_Toc171587180"/>
      <w:bookmarkStart w:id="169" w:name="_Toc174710964"/>
      <w:r w:rsidRPr="00147A2A">
        <w:t xml:space="preserve">W sektorze rolnictwa główna różnica </w:t>
      </w:r>
      <w:r w:rsidR="002821EE">
        <w:t>w emisji amoniaku</w:t>
      </w:r>
      <w:r w:rsidR="0091532C">
        <w:t>,</w:t>
      </w:r>
      <w:r w:rsidR="002821EE">
        <w:t xml:space="preserve"> </w:t>
      </w:r>
      <w:r>
        <w:t>po</w:t>
      </w:r>
      <w:r w:rsidRPr="00147A2A">
        <w:t>między scenariuszami WEM i WAM</w:t>
      </w:r>
      <w:r w:rsidR="0091532C">
        <w:t>,</w:t>
      </w:r>
      <w:r w:rsidRPr="00147A2A">
        <w:t xml:space="preserve"> związana jest </w:t>
      </w:r>
      <w:r w:rsidR="0091532C">
        <w:t xml:space="preserve">z </w:t>
      </w:r>
      <w:r>
        <w:t xml:space="preserve">wielkością prognozowanej produkcji zwierzęcej i roślinnej oraz zużycia nawozów mineralnych. Dodatkowo </w:t>
      </w:r>
      <w:r w:rsidRPr="00DD43D2">
        <w:t xml:space="preserve">uwzględniono </w:t>
      </w:r>
      <w:r>
        <w:t>także</w:t>
      </w:r>
      <w:r w:rsidRPr="00DD43D2">
        <w:t xml:space="preserve"> działanie wpływające na zmniejszenie emisji </w:t>
      </w:r>
      <w:r w:rsidR="007734E0">
        <w:t>amoniaku</w:t>
      </w:r>
      <w:r w:rsidR="007734E0" w:rsidRPr="00DD43D2">
        <w:t xml:space="preserve"> </w:t>
      </w:r>
      <w:r w:rsidRPr="00DD43D2">
        <w:t>w sektorze rolnictwa, określone w dyrektywie NEC (zał. III cz.2), a propagowane do wdrażania wśród rolników w </w:t>
      </w:r>
      <w:r w:rsidRPr="00DD43D2">
        <w:rPr>
          <w:i/>
        </w:rPr>
        <w:t>Kodeksie doradczym dobrej praktyki rolniczej dotyczącym ograniczania emisji amoniaku</w:t>
      </w:r>
      <w:r w:rsidRPr="00DD43D2">
        <w:t xml:space="preserve"> (ITP 2019), obejmujące aplikację 10% gnojowicy od 2030 r. innymi metodami niż rozbryzgowo.</w:t>
      </w:r>
    </w:p>
    <w:p w14:paraId="62FFFC48" w14:textId="1CB57168" w:rsidR="00514942" w:rsidRDefault="001C7D86" w:rsidP="001C7D86">
      <w:r>
        <w:t>Natomiast wzrost emisji amoniaku w sektorze 1A3. Transport w pierwszych latach prognozy wynika z</w:t>
      </w:r>
      <w:r w:rsidR="006E236D">
        <w:t> </w:t>
      </w:r>
      <w:r>
        <w:t>większego zużycia paliw w scenariuszu WAM względem scenariusza WEM.</w:t>
      </w:r>
    </w:p>
    <w:p w14:paraId="200ACD74" w14:textId="7E69AFAF" w:rsidR="005C4144" w:rsidRDefault="005C4144" w:rsidP="005C4144">
      <w:pPr>
        <w:pStyle w:val="Legenda"/>
        <w:keepNext/>
      </w:pPr>
      <w:bookmarkStart w:id="170" w:name="_Ref195774567"/>
      <w:bookmarkStart w:id="171" w:name="_Ref195870599"/>
      <w:bookmarkStart w:id="172" w:name="_Toc202966966"/>
      <w:r>
        <w:t xml:space="preserve">Tabela </w:t>
      </w:r>
      <w:bookmarkEnd w:id="170"/>
      <w:r w:rsidR="006C7D6C">
        <w:fldChar w:fldCharType="begin"/>
      </w:r>
      <w:r w:rsidR="006C7D6C">
        <w:instrText xml:space="preserve"> STYLEREF 1 \s </w:instrText>
      </w:r>
      <w:r w:rsidR="006C7D6C">
        <w:fldChar w:fldCharType="separate"/>
      </w:r>
      <w:r w:rsidR="00F27D6F">
        <w:rPr>
          <w:noProof/>
        </w:rPr>
        <w:t>1</w:t>
      </w:r>
      <w:r w:rsidR="006C7D6C">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21</w:t>
      </w:r>
      <w:r w:rsidR="00653D9A">
        <w:rPr>
          <w:noProof/>
        </w:rPr>
        <w:fldChar w:fldCharType="end"/>
      </w:r>
      <w:bookmarkEnd w:id="165"/>
      <w:bookmarkEnd w:id="166"/>
      <w:bookmarkEnd w:id="171"/>
      <w:r>
        <w:t>.</w:t>
      </w:r>
      <w:r w:rsidRPr="002628CE">
        <w:t xml:space="preserve"> </w:t>
      </w:r>
      <w:r>
        <w:t xml:space="preserve">Prognozy zmiany </w:t>
      </w:r>
      <w:r w:rsidRPr="00524DBC">
        <w:t xml:space="preserve">emisji </w:t>
      </w:r>
      <w:r>
        <w:t>PM2,5</w:t>
      </w:r>
      <w:r w:rsidRPr="00524DBC">
        <w:t>, według sektorów (kategorii NFR)</w:t>
      </w:r>
      <w:r>
        <w:t>, scenariusz WAM vs. WEM</w:t>
      </w:r>
      <w:bookmarkEnd w:id="167"/>
      <w:bookmarkEnd w:id="168"/>
      <w:bookmarkEnd w:id="169"/>
      <w:bookmarkEnd w:id="172"/>
    </w:p>
    <w:tbl>
      <w:tblPr>
        <w:tblStyle w:val="KPEiK"/>
        <w:tblW w:w="4994" w:type="pct"/>
        <w:tblLook w:val="04A0" w:firstRow="1" w:lastRow="0" w:firstColumn="1" w:lastColumn="0" w:noHBand="0" w:noVBand="1"/>
      </w:tblPr>
      <w:tblGrid>
        <w:gridCol w:w="2322"/>
        <w:gridCol w:w="1680"/>
        <w:gridCol w:w="1682"/>
        <w:gridCol w:w="1682"/>
        <w:gridCol w:w="1685"/>
      </w:tblGrid>
      <w:tr w:rsidR="00C81133" w:rsidRPr="00DE4FED" w14:paraId="15EEFC81" w14:textId="77777777" w:rsidTr="00CD46EF">
        <w:trPr>
          <w:cnfStyle w:val="100000000000" w:firstRow="1" w:lastRow="0" w:firstColumn="0" w:lastColumn="0" w:oddVBand="0" w:evenVBand="0" w:oddHBand="0" w:evenHBand="0" w:firstRowFirstColumn="0" w:firstRowLastColumn="0" w:lastRowFirstColumn="0" w:lastRowLastColumn="0"/>
          <w:trHeight w:val="231"/>
          <w:tblHeader/>
        </w:trPr>
        <w:tc>
          <w:tcPr>
            <w:tcW w:w="2323" w:type="dxa"/>
            <w:vMerge w:val="restart"/>
          </w:tcPr>
          <w:p w14:paraId="3E27E14A" w14:textId="77777777" w:rsidR="00C81133" w:rsidRDefault="00C81133">
            <w:pPr>
              <w:pStyle w:val="Tabele"/>
              <w:jc w:val="center"/>
              <w:rPr>
                <w:b w:val="0"/>
              </w:rPr>
            </w:pPr>
            <w:r w:rsidRPr="00DE4FED">
              <w:t>Sektor</w:t>
            </w:r>
          </w:p>
          <w:p w14:paraId="1AFAAABA" w14:textId="77777777" w:rsidR="00C81133" w:rsidRPr="00DE4FED" w:rsidRDefault="00C81133">
            <w:pPr>
              <w:pStyle w:val="Tabele"/>
              <w:jc w:val="center"/>
            </w:pPr>
            <w:r>
              <w:t>(kategoria NFR)</w:t>
            </w:r>
          </w:p>
        </w:tc>
        <w:tc>
          <w:tcPr>
            <w:tcW w:w="6729" w:type="dxa"/>
            <w:gridSpan w:val="4"/>
          </w:tcPr>
          <w:p w14:paraId="0A2B069B" w14:textId="436FBB45" w:rsidR="00C81133" w:rsidRPr="00DE4FED" w:rsidRDefault="00C81133">
            <w:pPr>
              <w:pStyle w:val="Tabele"/>
              <w:jc w:val="center"/>
              <w:rPr>
                <w:b w:val="0"/>
              </w:rPr>
            </w:pPr>
            <w:r w:rsidRPr="005708BF">
              <w:t>Zmiana emisji pyłu PM2,5 WAM vs. WEM [%]</w:t>
            </w:r>
          </w:p>
        </w:tc>
      </w:tr>
      <w:tr w:rsidR="00C81133" w:rsidRPr="00DE4FED" w14:paraId="252D3E79" w14:textId="77777777" w:rsidTr="00CD46EF">
        <w:trPr>
          <w:cnfStyle w:val="100000000000" w:firstRow="1" w:lastRow="0" w:firstColumn="0" w:lastColumn="0" w:oddVBand="0" w:evenVBand="0" w:oddHBand="0" w:evenHBand="0" w:firstRowFirstColumn="0" w:firstRowLastColumn="0" w:lastRowFirstColumn="0" w:lastRowLastColumn="0"/>
          <w:trHeight w:val="231"/>
          <w:tblHeader/>
        </w:trPr>
        <w:tc>
          <w:tcPr>
            <w:tcW w:w="2323" w:type="dxa"/>
            <w:vMerge/>
          </w:tcPr>
          <w:p w14:paraId="0C59A01B" w14:textId="77777777" w:rsidR="00C81133" w:rsidRPr="00DE4FED" w:rsidRDefault="00C81133">
            <w:pPr>
              <w:pStyle w:val="Tabele"/>
              <w:jc w:val="center"/>
            </w:pPr>
          </w:p>
        </w:tc>
        <w:tc>
          <w:tcPr>
            <w:tcW w:w="1680" w:type="dxa"/>
            <w:tcBorders>
              <w:bottom w:val="single" w:sz="4" w:space="0" w:color="AEAAAA" w:themeColor="background2" w:themeShade="BF"/>
            </w:tcBorders>
          </w:tcPr>
          <w:p w14:paraId="655FEAF9" w14:textId="77777777" w:rsidR="00C81133" w:rsidRPr="00DE4FED" w:rsidRDefault="00C81133">
            <w:pPr>
              <w:pStyle w:val="Tabele"/>
              <w:jc w:val="center"/>
            </w:pPr>
            <w:r w:rsidRPr="00DE4FED">
              <w:t>2025</w:t>
            </w:r>
          </w:p>
        </w:tc>
        <w:tc>
          <w:tcPr>
            <w:tcW w:w="1682" w:type="dxa"/>
            <w:tcBorders>
              <w:bottom w:val="single" w:sz="4" w:space="0" w:color="AEAAAA" w:themeColor="background2" w:themeShade="BF"/>
            </w:tcBorders>
          </w:tcPr>
          <w:p w14:paraId="2BC63105" w14:textId="77777777" w:rsidR="00C81133" w:rsidRPr="00DE4FED" w:rsidRDefault="00C81133">
            <w:pPr>
              <w:pStyle w:val="Tabele"/>
              <w:jc w:val="center"/>
            </w:pPr>
            <w:r w:rsidRPr="00DE4FED">
              <w:t>2030</w:t>
            </w:r>
          </w:p>
        </w:tc>
        <w:tc>
          <w:tcPr>
            <w:tcW w:w="1682" w:type="dxa"/>
            <w:tcBorders>
              <w:bottom w:val="single" w:sz="4" w:space="0" w:color="AEAAAA" w:themeColor="background2" w:themeShade="BF"/>
            </w:tcBorders>
          </w:tcPr>
          <w:p w14:paraId="6D534922" w14:textId="77777777" w:rsidR="00C81133" w:rsidRPr="00DE4FED" w:rsidRDefault="00C81133">
            <w:pPr>
              <w:pStyle w:val="Tabele"/>
              <w:jc w:val="center"/>
            </w:pPr>
            <w:r w:rsidRPr="00DE4FED">
              <w:t>2035</w:t>
            </w:r>
          </w:p>
        </w:tc>
        <w:tc>
          <w:tcPr>
            <w:tcW w:w="1683" w:type="dxa"/>
            <w:tcBorders>
              <w:bottom w:val="single" w:sz="4" w:space="0" w:color="AEAAAA" w:themeColor="background2" w:themeShade="BF"/>
            </w:tcBorders>
          </w:tcPr>
          <w:p w14:paraId="2F297FA9" w14:textId="77777777" w:rsidR="00C81133" w:rsidRPr="00DE4FED" w:rsidRDefault="00C81133">
            <w:pPr>
              <w:pStyle w:val="Tabele"/>
              <w:jc w:val="center"/>
            </w:pPr>
            <w:r w:rsidRPr="00DE4FED">
              <w:t>2040</w:t>
            </w:r>
          </w:p>
        </w:tc>
      </w:tr>
      <w:tr w:rsidR="00C81133" w:rsidRPr="004669DE" w14:paraId="30BDC549" w14:textId="77777777" w:rsidTr="00CD46EF">
        <w:trPr>
          <w:trHeight w:val="231"/>
        </w:trPr>
        <w:tc>
          <w:tcPr>
            <w:tcW w:w="2323" w:type="dxa"/>
            <w:tcBorders>
              <w:right w:val="single" w:sz="4" w:space="0" w:color="AEAAAA" w:themeColor="background2" w:themeShade="BF"/>
            </w:tcBorders>
          </w:tcPr>
          <w:p w14:paraId="53C26566" w14:textId="77777777" w:rsidR="00C81133" w:rsidRPr="00F43A85" w:rsidRDefault="00C81133">
            <w:pPr>
              <w:pStyle w:val="Tabele"/>
              <w:rPr>
                <w:b/>
                <w:bCs/>
              </w:rPr>
            </w:pPr>
            <w:r>
              <w:rPr>
                <w:rFonts w:cs="Calibri"/>
                <w:b/>
                <w:bCs/>
                <w:color w:val="000000"/>
                <w:szCs w:val="16"/>
              </w:rPr>
              <w:t xml:space="preserve">1. Energia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3B8D1CB" w14:textId="77777777" w:rsidR="00C81133" w:rsidRPr="006813B9" w:rsidRDefault="00C81133">
            <w:pPr>
              <w:pStyle w:val="Tabele"/>
              <w:jc w:val="right"/>
              <w:rPr>
                <w:highlight w:val="yellow"/>
              </w:rPr>
            </w:pPr>
            <w:r>
              <w:rPr>
                <w:rFonts w:cs="Calibri"/>
                <w:b/>
                <w:bCs/>
                <w:color w:val="000000"/>
                <w:szCs w:val="16"/>
              </w:rPr>
              <w:t>1,1%</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4554D7C" w14:textId="77777777" w:rsidR="00C81133" w:rsidRPr="006813B9" w:rsidRDefault="00C81133">
            <w:pPr>
              <w:pStyle w:val="Tabele"/>
              <w:jc w:val="right"/>
              <w:rPr>
                <w:highlight w:val="yellow"/>
              </w:rPr>
            </w:pPr>
            <w:r>
              <w:rPr>
                <w:rFonts w:cs="Calibri"/>
                <w:b/>
                <w:bCs/>
                <w:color w:val="000000"/>
                <w:szCs w:val="16"/>
              </w:rPr>
              <w:t>-0,1%</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78A67BD" w14:textId="77777777" w:rsidR="00C81133" w:rsidRPr="006813B9" w:rsidRDefault="00C81133">
            <w:pPr>
              <w:pStyle w:val="Tabele"/>
              <w:jc w:val="right"/>
              <w:rPr>
                <w:highlight w:val="yellow"/>
              </w:rPr>
            </w:pPr>
            <w:r>
              <w:rPr>
                <w:rFonts w:cs="Calibri"/>
                <w:b/>
                <w:bCs/>
                <w:color w:val="000000"/>
                <w:szCs w:val="16"/>
              </w:rPr>
              <w:t>-17,0%</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BA8165" w14:textId="77777777" w:rsidR="00C81133" w:rsidRPr="006813B9" w:rsidRDefault="00C81133">
            <w:pPr>
              <w:pStyle w:val="Tabele"/>
              <w:jc w:val="right"/>
              <w:rPr>
                <w:highlight w:val="yellow"/>
              </w:rPr>
            </w:pPr>
            <w:r>
              <w:rPr>
                <w:rFonts w:cs="Calibri"/>
                <w:b/>
                <w:bCs/>
                <w:color w:val="000000"/>
                <w:szCs w:val="16"/>
              </w:rPr>
              <w:t>-21,1%</w:t>
            </w:r>
          </w:p>
        </w:tc>
      </w:tr>
      <w:tr w:rsidR="00C81133" w:rsidRPr="004669DE" w14:paraId="339650ED" w14:textId="77777777" w:rsidTr="00CD46EF">
        <w:trPr>
          <w:trHeight w:val="231"/>
        </w:trPr>
        <w:tc>
          <w:tcPr>
            <w:tcW w:w="2323" w:type="dxa"/>
            <w:tcBorders>
              <w:right w:val="single" w:sz="4" w:space="0" w:color="AEAAAA" w:themeColor="background2" w:themeShade="BF"/>
            </w:tcBorders>
          </w:tcPr>
          <w:p w14:paraId="7B465057" w14:textId="77777777" w:rsidR="00C81133" w:rsidRPr="004669DE" w:rsidRDefault="00C81133">
            <w:pPr>
              <w:pStyle w:val="Tabele"/>
              <w:rPr>
                <w:b/>
                <w:bCs/>
              </w:rPr>
            </w:pPr>
            <w:r>
              <w:rPr>
                <w:rFonts w:cs="Calibri"/>
                <w:color w:val="000000"/>
                <w:szCs w:val="16"/>
              </w:rPr>
              <w:t xml:space="preserve">A. Spalanie paliw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3851D1B" w14:textId="77777777" w:rsidR="00C81133" w:rsidRPr="006813B9" w:rsidRDefault="00C81133">
            <w:pPr>
              <w:pStyle w:val="Tabele"/>
              <w:jc w:val="right"/>
              <w:rPr>
                <w:highlight w:val="yellow"/>
              </w:rPr>
            </w:pPr>
            <w:r>
              <w:rPr>
                <w:rFonts w:cs="Calibri"/>
                <w:color w:val="000000"/>
                <w:szCs w:val="16"/>
              </w:rPr>
              <w:t>1,1%</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4BA6642" w14:textId="77777777" w:rsidR="00C81133" w:rsidRPr="006813B9" w:rsidRDefault="00C81133">
            <w:pPr>
              <w:pStyle w:val="Tabele"/>
              <w:jc w:val="right"/>
              <w:rPr>
                <w:highlight w:val="yellow"/>
              </w:rPr>
            </w:pPr>
            <w:r>
              <w:rPr>
                <w:rFonts w:cs="Calibri"/>
                <w:color w:val="000000"/>
                <w:szCs w:val="16"/>
              </w:rPr>
              <w:t>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DF1B675" w14:textId="77777777" w:rsidR="00C81133" w:rsidRPr="006813B9" w:rsidRDefault="00C81133">
            <w:pPr>
              <w:pStyle w:val="Tabele"/>
              <w:jc w:val="right"/>
              <w:rPr>
                <w:highlight w:val="yellow"/>
              </w:rPr>
            </w:pPr>
            <w:r>
              <w:rPr>
                <w:rFonts w:cs="Calibri"/>
                <w:color w:val="000000"/>
                <w:szCs w:val="16"/>
              </w:rPr>
              <w:t>-17,2%</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CF1A774" w14:textId="77777777" w:rsidR="00C81133" w:rsidRPr="006813B9" w:rsidRDefault="00C81133">
            <w:pPr>
              <w:pStyle w:val="Tabele"/>
              <w:jc w:val="right"/>
              <w:rPr>
                <w:highlight w:val="yellow"/>
              </w:rPr>
            </w:pPr>
            <w:r>
              <w:rPr>
                <w:rFonts w:cs="Calibri"/>
                <w:color w:val="000000"/>
                <w:szCs w:val="16"/>
              </w:rPr>
              <w:t>-21,5%</w:t>
            </w:r>
          </w:p>
        </w:tc>
      </w:tr>
      <w:tr w:rsidR="00C81133" w:rsidRPr="004669DE" w14:paraId="572E808F" w14:textId="77777777" w:rsidTr="00CD46EF">
        <w:trPr>
          <w:trHeight w:val="231"/>
        </w:trPr>
        <w:tc>
          <w:tcPr>
            <w:tcW w:w="2323" w:type="dxa"/>
            <w:tcBorders>
              <w:right w:val="single" w:sz="4" w:space="0" w:color="AEAAAA" w:themeColor="background2" w:themeShade="BF"/>
            </w:tcBorders>
          </w:tcPr>
          <w:p w14:paraId="28AB5F41" w14:textId="77777777" w:rsidR="00C81133" w:rsidRPr="004669DE" w:rsidRDefault="00C81133">
            <w:pPr>
              <w:pStyle w:val="Tabele"/>
              <w:rPr>
                <w:bCs/>
              </w:rPr>
            </w:pPr>
            <w:r>
              <w:rPr>
                <w:rFonts w:cs="Calibri"/>
                <w:color w:val="000000"/>
                <w:szCs w:val="16"/>
              </w:rPr>
              <w:t xml:space="preserve">1. Przemysły energetyczne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7206B5" w14:textId="77777777" w:rsidR="00C81133" w:rsidRPr="006813B9" w:rsidRDefault="00C81133">
            <w:pPr>
              <w:pStyle w:val="Tabele"/>
              <w:jc w:val="right"/>
              <w:rPr>
                <w:highlight w:val="yellow"/>
              </w:rPr>
            </w:pPr>
            <w:r>
              <w:rPr>
                <w:rFonts w:cs="Calibri"/>
                <w:color w:val="000000"/>
                <w:szCs w:val="16"/>
              </w:rPr>
              <w:t>-13,1%</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7837E4" w14:textId="77777777" w:rsidR="00C81133" w:rsidRPr="006813B9" w:rsidRDefault="00C81133">
            <w:pPr>
              <w:pStyle w:val="Tabele"/>
              <w:jc w:val="right"/>
              <w:rPr>
                <w:highlight w:val="yellow"/>
              </w:rPr>
            </w:pPr>
            <w:r>
              <w:rPr>
                <w:rFonts w:cs="Calibri"/>
                <w:color w:val="000000"/>
                <w:szCs w:val="16"/>
              </w:rPr>
              <w:t>-30,0%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04F7CE" w14:textId="77777777" w:rsidR="00C81133" w:rsidRPr="006813B9" w:rsidRDefault="00C81133">
            <w:pPr>
              <w:pStyle w:val="Tabele"/>
              <w:jc w:val="right"/>
              <w:rPr>
                <w:highlight w:val="yellow"/>
              </w:rPr>
            </w:pPr>
            <w:r>
              <w:rPr>
                <w:rFonts w:cs="Calibri"/>
                <w:color w:val="000000"/>
                <w:szCs w:val="16"/>
              </w:rPr>
              <w:t>-46,9%</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AA34260" w14:textId="77777777" w:rsidR="00C81133" w:rsidRPr="006813B9" w:rsidRDefault="00C81133">
            <w:pPr>
              <w:pStyle w:val="Tabele"/>
              <w:jc w:val="right"/>
              <w:rPr>
                <w:highlight w:val="yellow"/>
              </w:rPr>
            </w:pPr>
            <w:r>
              <w:rPr>
                <w:rFonts w:cs="Calibri"/>
                <w:color w:val="000000"/>
                <w:szCs w:val="16"/>
              </w:rPr>
              <w:t>-55,5%</w:t>
            </w:r>
          </w:p>
        </w:tc>
      </w:tr>
      <w:tr w:rsidR="00C81133" w:rsidRPr="004669DE" w14:paraId="3E400F98" w14:textId="77777777" w:rsidTr="00CD46EF">
        <w:trPr>
          <w:trHeight w:val="231"/>
        </w:trPr>
        <w:tc>
          <w:tcPr>
            <w:tcW w:w="2323" w:type="dxa"/>
            <w:tcBorders>
              <w:right w:val="single" w:sz="4" w:space="0" w:color="AEAAAA" w:themeColor="background2" w:themeShade="BF"/>
            </w:tcBorders>
          </w:tcPr>
          <w:p w14:paraId="2E06C923" w14:textId="77777777" w:rsidR="00C81133" w:rsidRPr="004669DE" w:rsidRDefault="00C81133">
            <w:pPr>
              <w:pStyle w:val="Tabele"/>
              <w:rPr>
                <w:bCs/>
              </w:rPr>
            </w:pPr>
            <w:r>
              <w:rPr>
                <w:rFonts w:cs="Calibri"/>
                <w:color w:val="000000"/>
                <w:szCs w:val="16"/>
              </w:rPr>
              <w:t xml:space="preserve">2. Przemysł wytwórczy i budownictwo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5F1FBA" w14:textId="77777777" w:rsidR="00C81133" w:rsidRPr="006813B9" w:rsidRDefault="00C81133">
            <w:pPr>
              <w:pStyle w:val="Tabele"/>
              <w:jc w:val="right"/>
              <w:rPr>
                <w:highlight w:val="yellow"/>
              </w:rPr>
            </w:pPr>
            <w:r>
              <w:rPr>
                <w:rFonts w:cs="Calibri"/>
                <w:color w:val="000000"/>
                <w:szCs w:val="16"/>
              </w:rPr>
              <w:t>-14,0%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D50FE82" w14:textId="77777777" w:rsidR="00C81133" w:rsidRPr="006813B9" w:rsidRDefault="00C81133">
            <w:pPr>
              <w:pStyle w:val="Tabele"/>
              <w:jc w:val="right"/>
              <w:rPr>
                <w:highlight w:val="yellow"/>
              </w:rPr>
            </w:pPr>
            <w:r>
              <w:rPr>
                <w:rFonts w:cs="Calibri"/>
                <w:color w:val="000000"/>
                <w:szCs w:val="16"/>
              </w:rPr>
              <w:t>-30,3%</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7409631" w14:textId="77777777" w:rsidR="00C81133" w:rsidRPr="006813B9" w:rsidRDefault="00C81133">
            <w:pPr>
              <w:pStyle w:val="Tabele"/>
              <w:jc w:val="right"/>
              <w:rPr>
                <w:highlight w:val="yellow"/>
              </w:rPr>
            </w:pPr>
            <w:r>
              <w:rPr>
                <w:rFonts w:cs="Calibri"/>
                <w:color w:val="000000"/>
                <w:szCs w:val="16"/>
              </w:rPr>
              <w:t>-31,4%</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3CED541" w14:textId="77777777" w:rsidR="00C81133" w:rsidRPr="006813B9" w:rsidRDefault="00C81133">
            <w:pPr>
              <w:pStyle w:val="Tabele"/>
              <w:jc w:val="right"/>
              <w:rPr>
                <w:highlight w:val="yellow"/>
              </w:rPr>
            </w:pPr>
            <w:r>
              <w:rPr>
                <w:rFonts w:cs="Calibri"/>
                <w:color w:val="000000"/>
                <w:szCs w:val="16"/>
              </w:rPr>
              <w:t>-30,3%</w:t>
            </w:r>
          </w:p>
        </w:tc>
      </w:tr>
      <w:tr w:rsidR="00C81133" w:rsidRPr="004669DE" w14:paraId="0184B7BB" w14:textId="77777777" w:rsidTr="00CD46EF">
        <w:trPr>
          <w:trHeight w:val="231"/>
        </w:trPr>
        <w:tc>
          <w:tcPr>
            <w:tcW w:w="2323" w:type="dxa"/>
            <w:tcBorders>
              <w:right w:val="single" w:sz="4" w:space="0" w:color="AEAAAA" w:themeColor="background2" w:themeShade="BF"/>
            </w:tcBorders>
          </w:tcPr>
          <w:p w14:paraId="3AA302D3" w14:textId="77777777" w:rsidR="00C81133" w:rsidRPr="004669DE" w:rsidRDefault="00C81133">
            <w:pPr>
              <w:pStyle w:val="Tabele"/>
              <w:rPr>
                <w:bCs/>
              </w:rPr>
            </w:pPr>
            <w:r>
              <w:rPr>
                <w:rFonts w:cs="Calibri"/>
                <w:color w:val="000000"/>
                <w:szCs w:val="16"/>
              </w:rPr>
              <w:t xml:space="preserve">3. Transport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AB032DE" w14:textId="77777777" w:rsidR="00C81133" w:rsidRPr="006813B9" w:rsidRDefault="00C81133">
            <w:pPr>
              <w:pStyle w:val="Tabele"/>
              <w:jc w:val="right"/>
              <w:rPr>
                <w:highlight w:val="yellow"/>
              </w:rPr>
            </w:pPr>
            <w:r>
              <w:rPr>
                <w:rFonts w:cs="Calibri"/>
                <w:color w:val="000000"/>
                <w:szCs w:val="16"/>
              </w:rPr>
              <w:t>2,8%</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49C3CCC" w14:textId="77777777" w:rsidR="00C81133" w:rsidRPr="006813B9" w:rsidRDefault="00C81133">
            <w:pPr>
              <w:pStyle w:val="Tabele"/>
              <w:jc w:val="right"/>
              <w:rPr>
                <w:highlight w:val="yellow"/>
              </w:rPr>
            </w:pPr>
            <w:r>
              <w:rPr>
                <w:rFonts w:cs="Calibri"/>
                <w:color w:val="000000"/>
                <w:szCs w:val="16"/>
              </w:rPr>
              <w:t>0,4%</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8D54942" w14:textId="77777777" w:rsidR="00C81133" w:rsidRPr="006813B9" w:rsidRDefault="00C81133">
            <w:pPr>
              <w:pStyle w:val="Tabele"/>
              <w:jc w:val="right"/>
              <w:rPr>
                <w:highlight w:val="yellow"/>
              </w:rPr>
            </w:pPr>
            <w:r>
              <w:rPr>
                <w:rFonts w:cs="Calibri"/>
                <w:color w:val="000000"/>
                <w:szCs w:val="16"/>
              </w:rPr>
              <w:t>-2,6%</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68393A" w14:textId="77777777" w:rsidR="00C81133" w:rsidRPr="006813B9" w:rsidRDefault="00C81133">
            <w:pPr>
              <w:pStyle w:val="Tabele"/>
              <w:jc w:val="right"/>
              <w:rPr>
                <w:highlight w:val="yellow"/>
              </w:rPr>
            </w:pPr>
            <w:r>
              <w:rPr>
                <w:rFonts w:cs="Calibri"/>
                <w:color w:val="000000"/>
                <w:szCs w:val="16"/>
              </w:rPr>
              <w:t>-9,1%</w:t>
            </w:r>
          </w:p>
        </w:tc>
      </w:tr>
      <w:tr w:rsidR="00C81133" w:rsidRPr="004669DE" w14:paraId="75FC42A1" w14:textId="77777777" w:rsidTr="00CD46EF">
        <w:trPr>
          <w:trHeight w:val="231"/>
        </w:trPr>
        <w:tc>
          <w:tcPr>
            <w:tcW w:w="2323" w:type="dxa"/>
            <w:tcBorders>
              <w:right w:val="single" w:sz="4" w:space="0" w:color="AEAAAA" w:themeColor="background2" w:themeShade="BF"/>
            </w:tcBorders>
          </w:tcPr>
          <w:p w14:paraId="5B894318" w14:textId="77777777" w:rsidR="00C81133" w:rsidRPr="004669DE" w:rsidRDefault="00C81133">
            <w:pPr>
              <w:pStyle w:val="Tabele"/>
              <w:rPr>
                <w:bCs/>
              </w:rPr>
            </w:pPr>
            <w:r>
              <w:rPr>
                <w:rFonts w:cs="Calibri"/>
                <w:color w:val="000000"/>
                <w:szCs w:val="16"/>
              </w:rPr>
              <w:t xml:space="preserve">4. Inne sektory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BDFD878" w14:textId="77777777" w:rsidR="00C81133" w:rsidRPr="006813B9" w:rsidRDefault="00C81133">
            <w:pPr>
              <w:pStyle w:val="Tabele"/>
              <w:jc w:val="right"/>
              <w:rPr>
                <w:highlight w:val="yellow"/>
              </w:rPr>
            </w:pPr>
            <w:r>
              <w:rPr>
                <w:rFonts w:cs="Calibri"/>
                <w:color w:val="000000"/>
                <w:szCs w:val="16"/>
              </w:rPr>
              <w:t>2,0%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80565A" w14:textId="77777777" w:rsidR="00C81133" w:rsidRPr="006813B9" w:rsidRDefault="00C81133">
            <w:pPr>
              <w:pStyle w:val="Tabele"/>
              <w:jc w:val="right"/>
              <w:rPr>
                <w:highlight w:val="yellow"/>
              </w:rPr>
            </w:pPr>
            <w:r>
              <w:rPr>
                <w:rFonts w:cs="Calibri"/>
                <w:color w:val="000000"/>
                <w:szCs w:val="16"/>
              </w:rPr>
              <w:t>3,2%</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77D7D9A" w14:textId="77777777" w:rsidR="00C81133" w:rsidRPr="006813B9" w:rsidRDefault="00C81133">
            <w:pPr>
              <w:pStyle w:val="Tabele"/>
              <w:jc w:val="right"/>
              <w:rPr>
                <w:highlight w:val="yellow"/>
              </w:rPr>
            </w:pPr>
            <w:r>
              <w:rPr>
                <w:rFonts w:cs="Calibri"/>
                <w:color w:val="000000"/>
                <w:szCs w:val="16"/>
              </w:rPr>
              <w:t>-16,3%</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488504" w14:textId="77777777" w:rsidR="00C81133" w:rsidRPr="006813B9" w:rsidRDefault="00C81133">
            <w:pPr>
              <w:pStyle w:val="Tabele"/>
              <w:jc w:val="right"/>
              <w:rPr>
                <w:highlight w:val="yellow"/>
              </w:rPr>
            </w:pPr>
            <w:r>
              <w:rPr>
                <w:rFonts w:cs="Calibri"/>
                <w:color w:val="000000"/>
                <w:szCs w:val="16"/>
              </w:rPr>
              <w:t>-22,8%</w:t>
            </w:r>
          </w:p>
        </w:tc>
      </w:tr>
      <w:tr w:rsidR="00C81133" w:rsidRPr="004669DE" w14:paraId="56B8F628" w14:textId="77777777" w:rsidTr="00CD46EF">
        <w:trPr>
          <w:trHeight w:val="231"/>
        </w:trPr>
        <w:tc>
          <w:tcPr>
            <w:tcW w:w="2323" w:type="dxa"/>
            <w:tcBorders>
              <w:right w:val="single" w:sz="4" w:space="0" w:color="AEAAAA" w:themeColor="background2" w:themeShade="BF"/>
            </w:tcBorders>
          </w:tcPr>
          <w:p w14:paraId="69951A77" w14:textId="77777777" w:rsidR="00C81133" w:rsidRPr="004669DE" w:rsidRDefault="00C81133">
            <w:pPr>
              <w:pStyle w:val="Tabele"/>
              <w:rPr>
                <w:bCs/>
              </w:rPr>
            </w:pPr>
            <w:r>
              <w:rPr>
                <w:rFonts w:cs="Calibri"/>
                <w:color w:val="000000"/>
                <w:szCs w:val="16"/>
              </w:rPr>
              <w:t xml:space="preserve">B. Emisja lotna z paliw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252A5D" w14:textId="77777777" w:rsidR="00C81133" w:rsidRPr="006813B9" w:rsidRDefault="00C81133">
            <w:pPr>
              <w:pStyle w:val="Tabele"/>
              <w:jc w:val="right"/>
              <w:rPr>
                <w:highlight w:val="yellow"/>
              </w:rPr>
            </w:pPr>
            <w:r>
              <w:rPr>
                <w:rFonts w:cs="Calibri"/>
                <w:color w:val="000000"/>
                <w:szCs w:val="16"/>
              </w:rPr>
              <w:t>-0,9%</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4D6F12C" w14:textId="77777777" w:rsidR="00C81133" w:rsidRPr="006813B9" w:rsidRDefault="00C81133">
            <w:pPr>
              <w:pStyle w:val="Tabele"/>
              <w:jc w:val="right"/>
              <w:rPr>
                <w:highlight w:val="yellow"/>
              </w:rPr>
            </w:pPr>
            <w:r>
              <w:rPr>
                <w:rFonts w:cs="Calibri"/>
                <w:color w:val="000000"/>
                <w:szCs w:val="16"/>
              </w:rPr>
              <w:t>-9,2%</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EF1873" w14:textId="77777777" w:rsidR="00C81133" w:rsidRPr="006813B9" w:rsidRDefault="00C81133">
            <w:pPr>
              <w:pStyle w:val="Tabele"/>
              <w:jc w:val="right"/>
              <w:rPr>
                <w:highlight w:val="yellow"/>
              </w:rPr>
            </w:pPr>
            <w:r>
              <w:rPr>
                <w:rFonts w:cs="Calibri"/>
                <w:color w:val="000000"/>
                <w:szCs w:val="16"/>
              </w:rPr>
              <w:t>-12,9%</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389CA19" w14:textId="77777777" w:rsidR="00C81133" w:rsidRPr="006813B9" w:rsidRDefault="00C81133">
            <w:pPr>
              <w:pStyle w:val="Tabele"/>
              <w:jc w:val="right"/>
              <w:rPr>
                <w:highlight w:val="yellow"/>
              </w:rPr>
            </w:pPr>
            <w:r>
              <w:rPr>
                <w:rFonts w:cs="Calibri"/>
                <w:color w:val="000000"/>
                <w:szCs w:val="16"/>
              </w:rPr>
              <w:t>-12,5%</w:t>
            </w:r>
          </w:p>
        </w:tc>
      </w:tr>
      <w:tr w:rsidR="00C81133" w:rsidRPr="004669DE" w14:paraId="68CB39CB" w14:textId="77777777" w:rsidTr="00CD46EF">
        <w:trPr>
          <w:trHeight w:val="231"/>
        </w:trPr>
        <w:tc>
          <w:tcPr>
            <w:tcW w:w="2323" w:type="dxa"/>
            <w:tcBorders>
              <w:right w:val="single" w:sz="4" w:space="0" w:color="AEAAAA" w:themeColor="background2" w:themeShade="BF"/>
            </w:tcBorders>
          </w:tcPr>
          <w:p w14:paraId="10C8345A" w14:textId="77777777" w:rsidR="00C81133" w:rsidRPr="004669DE" w:rsidRDefault="00C81133">
            <w:pPr>
              <w:pStyle w:val="Tabele"/>
              <w:rPr>
                <w:bCs/>
              </w:rPr>
            </w:pPr>
            <w:r>
              <w:rPr>
                <w:rFonts w:cs="Calibri"/>
                <w:color w:val="000000"/>
                <w:szCs w:val="16"/>
              </w:rPr>
              <w:t xml:space="preserve">1. Paliwa stałe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8D0FAC" w14:textId="77777777" w:rsidR="00C81133" w:rsidRPr="006813B9" w:rsidRDefault="00C81133">
            <w:pPr>
              <w:pStyle w:val="Tabele"/>
              <w:jc w:val="right"/>
              <w:rPr>
                <w:highlight w:val="yellow"/>
              </w:rPr>
            </w:pPr>
            <w:r>
              <w:rPr>
                <w:rFonts w:cs="Calibri"/>
                <w:color w:val="000000"/>
                <w:szCs w:val="16"/>
              </w:rPr>
              <w:t>-0,8%</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D9F356B" w14:textId="77777777" w:rsidR="00C81133" w:rsidRPr="006813B9" w:rsidRDefault="00C81133">
            <w:pPr>
              <w:pStyle w:val="Tabele"/>
              <w:jc w:val="right"/>
              <w:rPr>
                <w:highlight w:val="yellow"/>
              </w:rPr>
            </w:pPr>
            <w:r>
              <w:rPr>
                <w:rFonts w:cs="Calibri"/>
                <w:color w:val="000000"/>
                <w:szCs w:val="16"/>
              </w:rPr>
              <w:t>-9,5%</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FD10E21" w14:textId="77777777" w:rsidR="00C81133" w:rsidRPr="006813B9" w:rsidRDefault="00C81133">
            <w:pPr>
              <w:pStyle w:val="Tabele"/>
              <w:jc w:val="right"/>
              <w:rPr>
                <w:highlight w:val="yellow"/>
              </w:rPr>
            </w:pPr>
            <w:r>
              <w:rPr>
                <w:rFonts w:cs="Calibri"/>
                <w:color w:val="000000"/>
                <w:szCs w:val="16"/>
              </w:rPr>
              <w:t>-13,4%</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217F40A" w14:textId="77777777" w:rsidR="00C81133" w:rsidRPr="006813B9" w:rsidRDefault="00C81133">
            <w:pPr>
              <w:pStyle w:val="Tabele"/>
              <w:jc w:val="right"/>
              <w:rPr>
                <w:highlight w:val="yellow"/>
              </w:rPr>
            </w:pPr>
            <w:r>
              <w:rPr>
                <w:rFonts w:cs="Calibri"/>
                <w:color w:val="000000"/>
                <w:szCs w:val="16"/>
              </w:rPr>
              <w:t>-13,0%</w:t>
            </w:r>
          </w:p>
        </w:tc>
      </w:tr>
      <w:tr w:rsidR="00C81133" w:rsidRPr="004669DE" w14:paraId="285BE281" w14:textId="77777777" w:rsidTr="00CD46EF">
        <w:trPr>
          <w:trHeight w:val="231"/>
        </w:trPr>
        <w:tc>
          <w:tcPr>
            <w:tcW w:w="2323" w:type="dxa"/>
            <w:tcBorders>
              <w:right w:val="single" w:sz="4" w:space="0" w:color="AEAAAA" w:themeColor="background2" w:themeShade="BF"/>
            </w:tcBorders>
          </w:tcPr>
          <w:p w14:paraId="577507EC" w14:textId="77777777" w:rsidR="00C81133" w:rsidRPr="004669DE" w:rsidRDefault="00C81133">
            <w:pPr>
              <w:pStyle w:val="Tabele"/>
              <w:rPr>
                <w:bCs/>
              </w:rPr>
            </w:pPr>
            <w:r>
              <w:rPr>
                <w:rFonts w:cs="Calibri"/>
                <w:color w:val="000000"/>
                <w:szCs w:val="16"/>
              </w:rPr>
              <w:t xml:space="preserve">2. Ropa naftowa i gaz ziemny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BDC725" w14:textId="77777777" w:rsidR="00C81133" w:rsidRPr="006813B9" w:rsidRDefault="00C81133">
            <w:pPr>
              <w:pStyle w:val="Tabele"/>
              <w:jc w:val="right"/>
              <w:rPr>
                <w:highlight w:val="yellow"/>
              </w:rPr>
            </w:pPr>
            <w:r>
              <w:rPr>
                <w:rFonts w:cs="Calibri"/>
                <w:color w:val="000000"/>
                <w:szCs w:val="16"/>
              </w:rPr>
              <w:t>-1,5%</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8DAB2F" w14:textId="77777777" w:rsidR="00C81133" w:rsidRPr="006813B9" w:rsidRDefault="00C81133">
            <w:pPr>
              <w:pStyle w:val="Tabele"/>
              <w:jc w:val="right"/>
              <w:rPr>
                <w:highlight w:val="yellow"/>
              </w:rPr>
            </w:pPr>
            <w:r>
              <w:rPr>
                <w:rFonts w:cs="Calibri"/>
                <w:color w:val="000000"/>
                <w:szCs w:val="16"/>
              </w:rPr>
              <w:t>-1,0%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BED149F" w14:textId="77777777" w:rsidR="00C81133" w:rsidRPr="006813B9" w:rsidRDefault="00C81133">
            <w:pPr>
              <w:pStyle w:val="Tabele"/>
              <w:jc w:val="right"/>
              <w:rPr>
                <w:highlight w:val="yellow"/>
              </w:rPr>
            </w:pPr>
            <w:r>
              <w:rPr>
                <w:rFonts w:cs="Calibri"/>
                <w:color w:val="000000"/>
                <w:szCs w:val="16"/>
              </w:rPr>
              <w:t>-1,3%</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13CFCFD" w14:textId="77777777" w:rsidR="00C81133" w:rsidRPr="006813B9" w:rsidRDefault="00C81133">
            <w:pPr>
              <w:pStyle w:val="Tabele"/>
              <w:jc w:val="right"/>
              <w:rPr>
                <w:highlight w:val="yellow"/>
              </w:rPr>
            </w:pPr>
            <w:r>
              <w:rPr>
                <w:rFonts w:cs="Calibri"/>
                <w:color w:val="000000"/>
                <w:szCs w:val="16"/>
              </w:rPr>
              <w:t>-2,8%</w:t>
            </w:r>
          </w:p>
        </w:tc>
      </w:tr>
      <w:tr w:rsidR="00C81133" w:rsidRPr="004669DE" w14:paraId="591DBAC8" w14:textId="77777777" w:rsidTr="00CD46EF">
        <w:trPr>
          <w:trHeight w:val="231"/>
        </w:trPr>
        <w:tc>
          <w:tcPr>
            <w:tcW w:w="2323" w:type="dxa"/>
            <w:tcBorders>
              <w:right w:val="single" w:sz="4" w:space="0" w:color="AEAAAA" w:themeColor="background2" w:themeShade="BF"/>
            </w:tcBorders>
          </w:tcPr>
          <w:p w14:paraId="680D4361" w14:textId="77777777" w:rsidR="00C81133" w:rsidRPr="00F43A85" w:rsidRDefault="00C81133">
            <w:pPr>
              <w:pStyle w:val="Tabele"/>
              <w:rPr>
                <w:b/>
                <w:bCs/>
              </w:rPr>
            </w:pPr>
            <w:r>
              <w:rPr>
                <w:rFonts w:cs="Calibri"/>
                <w:b/>
                <w:bCs/>
                <w:color w:val="000000"/>
                <w:szCs w:val="16"/>
              </w:rPr>
              <w:t xml:space="preserve">2. Procesy przemysłowe i użytkowanie produktów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FDEDC3E" w14:textId="77777777" w:rsidR="00C81133" w:rsidRPr="006813B9" w:rsidRDefault="00C81133">
            <w:pPr>
              <w:pStyle w:val="Tabele"/>
              <w:jc w:val="right"/>
              <w:rPr>
                <w:highlight w:val="yellow"/>
              </w:rPr>
            </w:pPr>
            <w:r>
              <w:rPr>
                <w:rFonts w:cs="Calibri"/>
                <w:b/>
                <w:bCs/>
                <w:color w:val="000000"/>
                <w:szCs w:val="16"/>
              </w:rPr>
              <w:t>-1,9%</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3B427F8" w14:textId="77777777" w:rsidR="00C81133" w:rsidRPr="006813B9" w:rsidRDefault="00C81133">
            <w:pPr>
              <w:pStyle w:val="Tabele"/>
              <w:jc w:val="right"/>
              <w:rPr>
                <w:highlight w:val="yellow"/>
              </w:rPr>
            </w:pPr>
            <w:r>
              <w:rPr>
                <w:rFonts w:cs="Calibri"/>
                <w:b/>
                <w:bCs/>
                <w:color w:val="000000"/>
                <w:szCs w:val="16"/>
              </w:rPr>
              <w:t>-2,7%</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6E08B8" w14:textId="77777777" w:rsidR="00C81133" w:rsidRPr="006813B9" w:rsidRDefault="00C81133">
            <w:pPr>
              <w:pStyle w:val="Tabele"/>
              <w:jc w:val="right"/>
              <w:rPr>
                <w:highlight w:val="yellow"/>
              </w:rPr>
            </w:pPr>
            <w:r>
              <w:rPr>
                <w:rFonts w:cs="Calibri"/>
                <w:b/>
                <w:bCs/>
                <w:color w:val="000000"/>
                <w:szCs w:val="16"/>
              </w:rPr>
              <w:t>-2,3%</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515A73" w14:textId="77777777" w:rsidR="00C81133" w:rsidRPr="006813B9" w:rsidRDefault="00C81133">
            <w:pPr>
              <w:pStyle w:val="Tabele"/>
              <w:jc w:val="right"/>
              <w:rPr>
                <w:highlight w:val="yellow"/>
              </w:rPr>
            </w:pPr>
            <w:r>
              <w:rPr>
                <w:rFonts w:cs="Calibri"/>
                <w:b/>
                <w:bCs/>
                <w:color w:val="000000"/>
                <w:szCs w:val="16"/>
              </w:rPr>
              <w:t>-3,3%</w:t>
            </w:r>
          </w:p>
        </w:tc>
      </w:tr>
      <w:tr w:rsidR="00C81133" w:rsidRPr="004669DE" w14:paraId="53469EAB" w14:textId="77777777" w:rsidTr="00CD46EF">
        <w:trPr>
          <w:trHeight w:val="231"/>
        </w:trPr>
        <w:tc>
          <w:tcPr>
            <w:tcW w:w="2323" w:type="dxa"/>
            <w:tcBorders>
              <w:right w:val="single" w:sz="4" w:space="0" w:color="AEAAAA" w:themeColor="background2" w:themeShade="BF"/>
            </w:tcBorders>
          </w:tcPr>
          <w:p w14:paraId="649361B9" w14:textId="77777777" w:rsidR="00C81133" w:rsidRPr="004669DE" w:rsidRDefault="00C81133">
            <w:pPr>
              <w:pStyle w:val="Tabele"/>
              <w:rPr>
                <w:bCs/>
              </w:rPr>
            </w:pPr>
            <w:r>
              <w:rPr>
                <w:rFonts w:cs="Calibri"/>
                <w:color w:val="000000"/>
                <w:szCs w:val="16"/>
              </w:rPr>
              <w:t xml:space="preserve">A. Produkty mineralne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18D299" w14:textId="77777777" w:rsidR="00C81133" w:rsidRPr="006813B9" w:rsidRDefault="00C81133">
            <w:pPr>
              <w:pStyle w:val="Tabele"/>
              <w:jc w:val="right"/>
              <w:rPr>
                <w:highlight w:val="yellow"/>
              </w:rPr>
            </w:pPr>
            <w:r>
              <w:rPr>
                <w:rFonts w:cs="Calibri"/>
                <w:color w:val="000000"/>
                <w:szCs w:val="16"/>
              </w:rPr>
              <w:t>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53E9A3" w14:textId="77777777" w:rsidR="00C81133" w:rsidRPr="006813B9" w:rsidRDefault="00C81133">
            <w:pPr>
              <w:pStyle w:val="Tabele"/>
              <w:jc w:val="right"/>
              <w:rPr>
                <w:highlight w:val="yellow"/>
              </w:rPr>
            </w:pPr>
            <w:r>
              <w:rPr>
                <w:rFonts w:cs="Calibri"/>
                <w:color w:val="000000"/>
                <w:szCs w:val="16"/>
              </w:rPr>
              <w:t>-0,7%</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236D294" w14:textId="77777777" w:rsidR="00C81133" w:rsidRPr="006813B9" w:rsidRDefault="00C81133">
            <w:pPr>
              <w:pStyle w:val="Tabele"/>
              <w:jc w:val="right"/>
              <w:rPr>
                <w:highlight w:val="yellow"/>
              </w:rPr>
            </w:pPr>
            <w:r>
              <w:rPr>
                <w:rFonts w:cs="Calibri"/>
                <w:color w:val="000000"/>
                <w:szCs w:val="16"/>
              </w:rPr>
              <w:t>-1,2%</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C3952BA" w14:textId="77777777" w:rsidR="00C81133" w:rsidRPr="006813B9" w:rsidRDefault="00C81133">
            <w:pPr>
              <w:pStyle w:val="Tabele"/>
              <w:jc w:val="right"/>
              <w:rPr>
                <w:highlight w:val="yellow"/>
              </w:rPr>
            </w:pPr>
            <w:r>
              <w:rPr>
                <w:rFonts w:cs="Calibri"/>
                <w:color w:val="000000"/>
                <w:szCs w:val="16"/>
              </w:rPr>
              <w:t>-1,8%</w:t>
            </w:r>
          </w:p>
        </w:tc>
      </w:tr>
      <w:tr w:rsidR="00C81133" w:rsidRPr="004669DE" w14:paraId="2079F384" w14:textId="77777777" w:rsidTr="00CD46EF">
        <w:trPr>
          <w:trHeight w:val="231"/>
        </w:trPr>
        <w:tc>
          <w:tcPr>
            <w:tcW w:w="2323" w:type="dxa"/>
            <w:tcBorders>
              <w:right w:val="single" w:sz="4" w:space="0" w:color="AEAAAA" w:themeColor="background2" w:themeShade="BF"/>
            </w:tcBorders>
          </w:tcPr>
          <w:p w14:paraId="5741E9C6" w14:textId="77777777" w:rsidR="00C81133" w:rsidRPr="004669DE" w:rsidRDefault="00C81133">
            <w:pPr>
              <w:pStyle w:val="Tabele"/>
              <w:rPr>
                <w:bCs/>
              </w:rPr>
            </w:pPr>
            <w:r>
              <w:rPr>
                <w:rFonts w:cs="Calibri"/>
                <w:color w:val="000000"/>
                <w:szCs w:val="16"/>
              </w:rPr>
              <w:t xml:space="preserve">B. Przemysł chemiczny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6B2411A" w14:textId="77777777" w:rsidR="00C81133" w:rsidRPr="006813B9" w:rsidRDefault="00C81133">
            <w:pPr>
              <w:pStyle w:val="Tabele"/>
              <w:jc w:val="right"/>
              <w:rPr>
                <w:highlight w:val="yellow"/>
              </w:rPr>
            </w:pPr>
            <w:r>
              <w:rPr>
                <w:rFonts w:cs="Calibri"/>
                <w:color w:val="000000"/>
                <w:szCs w:val="16"/>
              </w:rPr>
              <w:t>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F7832B3" w14:textId="77777777" w:rsidR="00C81133" w:rsidRPr="006813B9" w:rsidRDefault="00C81133">
            <w:pPr>
              <w:pStyle w:val="Tabele"/>
              <w:jc w:val="right"/>
              <w:rPr>
                <w:highlight w:val="yellow"/>
              </w:rPr>
            </w:pPr>
            <w:r>
              <w:rPr>
                <w:rFonts w:cs="Calibri"/>
                <w:color w:val="000000"/>
                <w:szCs w:val="16"/>
              </w:rPr>
              <w:t>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13DD5F7" w14:textId="77777777" w:rsidR="00C81133" w:rsidRPr="006813B9" w:rsidRDefault="00C81133">
            <w:pPr>
              <w:pStyle w:val="Tabele"/>
              <w:jc w:val="right"/>
              <w:rPr>
                <w:highlight w:val="yellow"/>
              </w:rPr>
            </w:pPr>
            <w:r>
              <w:rPr>
                <w:rFonts w:cs="Calibri"/>
                <w:color w:val="000000"/>
                <w:szCs w:val="16"/>
              </w:rPr>
              <w:t>0,0%</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C4655DF" w14:textId="77777777" w:rsidR="00C81133" w:rsidRPr="006813B9" w:rsidRDefault="00C81133">
            <w:pPr>
              <w:pStyle w:val="Tabele"/>
              <w:jc w:val="right"/>
              <w:rPr>
                <w:highlight w:val="yellow"/>
              </w:rPr>
            </w:pPr>
            <w:r>
              <w:rPr>
                <w:rFonts w:cs="Calibri"/>
                <w:color w:val="000000"/>
                <w:szCs w:val="16"/>
              </w:rPr>
              <w:t>0,0%</w:t>
            </w:r>
          </w:p>
        </w:tc>
      </w:tr>
      <w:tr w:rsidR="00C81133" w:rsidRPr="004669DE" w14:paraId="507E414D" w14:textId="77777777" w:rsidTr="00CD46EF">
        <w:trPr>
          <w:trHeight w:val="231"/>
        </w:trPr>
        <w:tc>
          <w:tcPr>
            <w:tcW w:w="2323" w:type="dxa"/>
            <w:tcBorders>
              <w:right w:val="single" w:sz="4" w:space="0" w:color="AEAAAA" w:themeColor="background2" w:themeShade="BF"/>
            </w:tcBorders>
          </w:tcPr>
          <w:p w14:paraId="017FC5A8" w14:textId="77777777" w:rsidR="00C81133" w:rsidRPr="00EB3B96" w:rsidRDefault="00C81133">
            <w:pPr>
              <w:pStyle w:val="Tabele"/>
              <w:rPr>
                <w:b/>
              </w:rPr>
            </w:pPr>
            <w:r>
              <w:rPr>
                <w:rFonts w:cs="Calibri"/>
                <w:color w:val="000000"/>
                <w:szCs w:val="16"/>
              </w:rPr>
              <w:t xml:space="preserve">C. Produkcja metali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DCE6213" w14:textId="77777777" w:rsidR="00C81133" w:rsidRPr="006813B9" w:rsidRDefault="00C81133">
            <w:pPr>
              <w:pStyle w:val="Tabele"/>
              <w:jc w:val="right"/>
              <w:rPr>
                <w:highlight w:val="yellow"/>
              </w:rPr>
            </w:pPr>
            <w:r>
              <w:rPr>
                <w:rFonts w:cs="Calibri"/>
                <w:color w:val="000000"/>
                <w:szCs w:val="16"/>
              </w:rPr>
              <w:t>-1,1%</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195348B" w14:textId="77777777" w:rsidR="00C81133" w:rsidRPr="006813B9" w:rsidRDefault="00C81133">
            <w:pPr>
              <w:pStyle w:val="Tabele"/>
              <w:jc w:val="right"/>
              <w:rPr>
                <w:highlight w:val="yellow"/>
              </w:rPr>
            </w:pPr>
            <w:r>
              <w:rPr>
                <w:rFonts w:cs="Calibri"/>
                <w:color w:val="000000"/>
                <w:szCs w:val="16"/>
              </w:rPr>
              <w:t>-5,2%</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0D7BF9" w14:textId="77777777" w:rsidR="00C81133" w:rsidRPr="006813B9" w:rsidRDefault="00C81133">
            <w:pPr>
              <w:pStyle w:val="Tabele"/>
              <w:jc w:val="right"/>
              <w:rPr>
                <w:highlight w:val="yellow"/>
              </w:rPr>
            </w:pPr>
            <w:r>
              <w:rPr>
                <w:rFonts w:cs="Calibri"/>
                <w:color w:val="000000"/>
                <w:szCs w:val="16"/>
              </w:rPr>
              <w:t>-5,3%</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459B585" w14:textId="77777777" w:rsidR="00C81133" w:rsidRPr="006813B9" w:rsidRDefault="00C81133">
            <w:pPr>
              <w:pStyle w:val="Tabele"/>
              <w:jc w:val="right"/>
              <w:rPr>
                <w:highlight w:val="yellow"/>
              </w:rPr>
            </w:pPr>
            <w:r>
              <w:rPr>
                <w:rFonts w:cs="Calibri"/>
                <w:color w:val="000000"/>
                <w:szCs w:val="16"/>
              </w:rPr>
              <w:t>-11,0%</w:t>
            </w:r>
          </w:p>
        </w:tc>
      </w:tr>
      <w:tr w:rsidR="00C81133" w:rsidRPr="004669DE" w14:paraId="10976E13" w14:textId="77777777" w:rsidTr="00CD46EF">
        <w:trPr>
          <w:trHeight w:val="231"/>
        </w:trPr>
        <w:tc>
          <w:tcPr>
            <w:tcW w:w="2323" w:type="dxa"/>
            <w:tcBorders>
              <w:right w:val="single" w:sz="4" w:space="0" w:color="AEAAAA" w:themeColor="background2" w:themeShade="BF"/>
            </w:tcBorders>
          </w:tcPr>
          <w:p w14:paraId="169C02FD" w14:textId="77777777" w:rsidR="00C81133" w:rsidRPr="00F43A85" w:rsidRDefault="00C81133">
            <w:pPr>
              <w:pStyle w:val="Tabele"/>
              <w:rPr>
                <w:b/>
                <w:bCs/>
              </w:rPr>
            </w:pPr>
            <w:r>
              <w:rPr>
                <w:rFonts w:cs="Calibri"/>
                <w:color w:val="000000"/>
                <w:szCs w:val="16"/>
              </w:rPr>
              <w:t>D. Stosowanie rozpuszczalników i innych produktów</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A2B597B" w14:textId="77777777" w:rsidR="00C81133" w:rsidRPr="006813B9" w:rsidRDefault="00C81133">
            <w:pPr>
              <w:pStyle w:val="Tabele"/>
              <w:jc w:val="right"/>
              <w:rPr>
                <w:highlight w:val="yellow"/>
              </w:rPr>
            </w:pPr>
            <w:r>
              <w:rPr>
                <w:rFonts w:cs="Calibri"/>
                <w:color w:val="000000"/>
                <w:szCs w:val="16"/>
              </w:rPr>
              <w:t>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C14BF03" w14:textId="77777777" w:rsidR="00C81133" w:rsidRPr="006813B9" w:rsidRDefault="00C81133">
            <w:pPr>
              <w:pStyle w:val="Tabele"/>
              <w:jc w:val="right"/>
              <w:rPr>
                <w:highlight w:val="yellow"/>
              </w:rPr>
            </w:pPr>
            <w:r>
              <w:rPr>
                <w:rFonts w:cs="Calibri"/>
                <w:color w:val="000000"/>
                <w:szCs w:val="16"/>
              </w:rPr>
              <w:t>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2F0D5B1" w14:textId="77777777" w:rsidR="00C81133" w:rsidRPr="006813B9" w:rsidRDefault="00C81133">
            <w:pPr>
              <w:pStyle w:val="Tabele"/>
              <w:jc w:val="right"/>
              <w:rPr>
                <w:highlight w:val="yellow"/>
              </w:rPr>
            </w:pPr>
            <w:r>
              <w:rPr>
                <w:rFonts w:cs="Calibri"/>
                <w:color w:val="000000"/>
                <w:szCs w:val="16"/>
              </w:rPr>
              <w:t>0,0%</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C42CE08" w14:textId="77777777" w:rsidR="00C81133" w:rsidRPr="006813B9" w:rsidRDefault="00C81133">
            <w:pPr>
              <w:pStyle w:val="Tabele"/>
              <w:jc w:val="right"/>
              <w:rPr>
                <w:highlight w:val="yellow"/>
              </w:rPr>
            </w:pPr>
            <w:r>
              <w:rPr>
                <w:rFonts w:cs="Calibri"/>
                <w:color w:val="000000"/>
                <w:szCs w:val="16"/>
              </w:rPr>
              <w:t>0,0%</w:t>
            </w:r>
          </w:p>
        </w:tc>
      </w:tr>
      <w:tr w:rsidR="00C81133" w:rsidRPr="004669DE" w14:paraId="0C7D2549" w14:textId="77777777" w:rsidTr="00CD46EF">
        <w:trPr>
          <w:trHeight w:val="231"/>
        </w:trPr>
        <w:tc>
          <w:tcPr>
            <w:tcW w:w="2323" w:type="dxa"/>
            <w:tcBorders>
              <w:right w:val="single" w:sz="4" w:space="0" w:color="AEAAAA" w:themeColor="background2" w:themeShade="BF"/>
            </w:tcBorders>
          </w:tcPr>
          <w:p w14:paraId="1C667CC3" w14:textId="77777777" w:rsidR="00C81133" w:rsidRPr="004669DE" w:rsidRDefault="00C81133">
            <w:pPr>
              <w:pStyle w:val="Tabele"/>
              <w:rPr>
                <w:bCs/>
              </w:rPr>
            </w:pPr>
            <w:r>
              <w:rPr>
                <w:rFonts w:cs="Calibri"/>
                <w:color w:val="000000"/>
                <w:szCs w:val="16"/>
              </w:rPr>
              <w:t>G. – L. Inne</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CCFE9D" w14:textId="77777777" w:rsidR="00C81133" w:rsidRPr="006813B9" w:rsidRDefault="00C81133">
            <w:pPr>
              <w:pStyle w:val="Tabele"/>
              <w:jc w:val="right"/>
              <w:rPr>
                <w:highlight w:val="yellow"/>
              </w:rPr>
            </w:pPr>
            <w:r>
              <w:rPr>
                <w:rFonts w:cs="Calibri"/>
                <w:color w:val="000000"/>
                <w:szCs w:val="16"/>
              </w:rPr>
              <w:t>-9,0%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D50823C" w14:textId="77777777" w:rsidR="00C81133" w:rsidRPr="006813B9" w:rsidRDefault="00C81133">
            <w:pPr>
              <w:pStyle w:val="Tabele"/>
              <w:jc w:val="right"/>
              <w:rPr>
                <w:highlight w:val="yellow"/>
              </w:rPr>
            </w:pPr>
            <w:r>
              <w:rPr>
                <w:rFonts w:cs="Calibri"/>
                <w:color w:val="000000"/>
                <w:szCs w:val="16"/>
              </w:rPr>
              <w:t>-10,0%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4A1104B" w14:textId="77777777" w:rsidR="00C81133" w:rsidRPr="006813B9" w:rsidRDefault="00C81133">
            <w:pPr>
              <w:pStyle w:val="Tabele"/>
              <w:jc w:val="right"/>
              <w:rPr>
                <w:highlight w:val="yellow"/>
              </w:rPr>
            </w:pPr>
            <w:r>
              <w:rPr>
                <w:rFonts w:cs="Calibri"/>
                <w:color w:val="000000"/>
                <w:szCs w:val="16"/>
              </w:rPr>
              <w:t>-7,7%</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FAAE37" w14:textId="77777777" w:rsidR="00C81133" w:rsidRPr="006813B9" w:rsidRDefault="00C81133">
            <w:pPr>
              <w:pStyle w:val="Tabele"/>
              <w:jc w:val="right"/>
              <w:rPr>
                <w:highlight w:val="yellow"/>
              </w:rPr>
            </w:pPr>
            <w:r>
              <w:rPr>
                <w:rFonts w:cs="Calibri"/>
                <w:color w:val="000000"/>
                <w:szCs w:val="16"/>
              </w:rPr>
              <w:t>-8,8%</w:t>
            </w:r>
          </w:p>
        </w:tc>
      </w:tr>
      <w:tr w:rsidR="00C81133" w:rsidRPr="004669DE" w14:paraId="531C431A" w14:textId="77777777" w:rsidTr="00CD46EF">
        <w:trPr>
          <w:trHeight w:val="231"/>
        </w:trPr>
        <w:tc>
          <w:tcPr>
            <w:tcW w:w="2323" w:type="dxa"/>
            <w:tcBorders>
              <w:right w:val="single" w:sz="4" w:space="0" w:color="AEAAAA" w:themeColor="background2" w:themeShade="BF"/>
            </w:tcBorders>
          </w:tcPr>
          <w:p w14:paraId="380C0855" w14:textId="77777777" w:rsidR="00C81133" w:rsidRPr="00F43A85" w:rsidRDefault="00C81133">
            <w:pPr>
              <w:pStyle w:val="Tabele"/>
              <w:rPr>
                <w:b/>
                <w:bCs/>
              </w:rPr>
            </w:pPr>
            <w:r>
              <w:rPr>
                <w:rFonts w:cs="Calibri"/>
                <w:b/>
                <w:bCs/>
                <w:color w:val="000000"/>
                <w:szCs w:val="16"/>
              </w:rPr>
              <w:t xml:space="preserve">3. Rolnictwo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0A8822A" w14:textId="77777777" w:rsidR="00C81133" w:rsidRPr="006813B9" w:rsidRDefault="00C81133">
            <w:pPr>
              <w:pStyle w:val="Tabele"/>
              <w:jc w:val="right"/>
              <w:rPr>
                <w:highlight w:val="yellow"/>
              </w:rPr>
            </w:pPr>
            <w:r>
              <w:rPr>
                <w:rFonts w:cs="Calibri"/>
                <w:b/>
                <w:bCs/>
                <w:color w:val="000000"/>
                <w:szCs w:val="16"/>
              </w:rPr>
              <w:t>-0,4%</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B966492" w14:textId="77777777" w:rsidR="00C81133" w:rsidRPr="006813B9" w:rsidRDefault="00C81133">
            <w:pPr>
              <w:pStyle w:val="Tabele"/>
              <w:jc w:val="right"/>
              <w:rPr>
                <w:highlight w:val="yellow"/>
              </w:rPr>
            </w:pPr>
            <w:r>
              <w:rPr>
                <w:rFonts w:cs="Calibri"/>
                <w:b/>
                <w:bCs/>
                <w:color w:val="000000"/>
                <w:szCs w:val="16"/>
              </w:rPr>
              <w:t>-0,8%</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9CEA4F" w14:textId="77777777" w:rsidR="00C81133" w:rsidRPr="006813B9" w:rsidRDefault="00C81133">
            <w:pPr>
              <w:pStyle w:val="Tabele"/>
              <w:jc w:val="right"/>
              <w:rPr>
                <w:highlight w:val="yellow"/>
              </w:rPr>
            </w:pPr>
            <w:r>
              <w:rPr>
                <w:rFonts w:cs="Calibri"/>
                <w:b/>
                <w:bCs/>
                <w:color w:val="000000"/>
                <w:szCs w:val="16"/>
              </w:rPr>
              <w:t>-2,6%</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D5DE85" w14:textId="77777777" w:rsidR="00C81133" w:rsidRPr="006813B9" w:rsidRDefault="00C81133">
            <w:pPr>
              <w:pStyle w:val="Tabele"/>
              <w:jc w:val="right"/>
              <w:rPr>
                <w:highlight w:val="yellow"/>
              </w:rPr>
            </w:pPr>
            <w:r>
              <w:rPr>
                <w:rFonts w:cs="Calibri"/>
                <w:b/>
                <w:bCs/>
                <w:color w:val="000000"/>
                <w:szCs w:val="16"/>
              </w:rPr>
              <w:t>-3,5%</w:t>
            </w:r>
          </w:p>
        </w:tc>
      </w:tr>
      <w:tr w:rsidR="00C81133" w:rsidRPr="004669DE" w14:paraId="5F426973" w14:textId="77777777" w:rsidTr="00CD46EF">
        <w:trPr>
          <w:trHeight w:val="231"/>
        </w:trPr>
        <w:tc>
          <w:tcPr>
            <w:tcW w:w="2323" w:type="dxa"/>
            <w:tcBorders>
              <w:right w:val="single" w:sz="4" w:space="0" w:color="AEAAAA" w:themeColor="background2" w:themeShade="BF"/>
            </w:tcBorders>
          </w:tcPr>
          <w:p w14:paraId="7E470D5D" w14:textId="77777777" w:rsidR="00C81133" w:rsidRPr="00EB3B96" w:rsidRDefault="00C81133">
            <w:pPr>
              <w:pStyle w:val="Tabele"/>
              <w:rPr>
                <w:bCs/>
              </w:rPr>
            </w:pPr>
            <w:r>
              <w:rPr>
                <w:rFonts w:cs="Calibri"/>
                <w:color w:val="000000"/>
                <w:szCs w:val="16"/>
              </w:rPr>
              <w:t xml:space="preserve">B. Nawozy naturalne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D8AF96" w14:textId="77777777" w:rsidR="00C81133" w:rsidRPr="006813B9" w:rsidRDefault="00C81133">
            <w:pPr>
              <w:pStyle w:val="Tabele"/>
              <w:jc w:val="right"/>
              <w:rPr>
                <w:highlight w:val="yellow"/>
              </w:rPr>
            </w:pPr>
            <w:r>
              <w:rPr>
                <w:rFonts w:cs="Calibri"/>
                <w:color w:val="000000"/>
                <w:szCs w:val="16"/>
              </w:rPr>
              <w:t>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1D4B847" w14:textId="77777777" w:rsidR="00C81133" w:rsidRPr="006813B9" w:rsidRDefault="00C81133">
            <w:pPr>
              <w:pStyle w:val="Tabele"/>
              <w:jc w:val="right"/>
              <w:rPr>
                <w:highlight w:val="yellow"/>
              </w:rPr>
            </w:pPr>
            <w:r>
              <w:rPr>
                <w:rFonts w:cs="Calibri"/>
                <w:color w:val="000000"/>
                <w:szCs w:val="16"/>
              </w:rPr>
              <w:t>-0,4%</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AE4AC5" w14:textId="77777777" w:rsidR="00C81133" w:rsidRPr="006813B9" w:rsidRDefault="00C81133">
            <w:pPr>
              <w:pStyle w:val="Tabele"/>
              <w:jc w:val="right"/>
              <w:rPr>
                <w:highlight w:val="yellow"/>
              </w:rPr>
            </w:pPr>
            <w:r>
              <w:rPr>
                <w:rFonts w:cs="Calibri"/>
                <w:color w:val="000000"/>
                <w:szCs w:val="16"/>
              </w:rPr>
              <w:t>-2,8%</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1772C46" w14:textId="77777777" w:rsidR="00C81133" w:rsidRPr="006813B9" w:rsidRDefault="00C81133">
            <w:pPr>
              <w:pStyle w:val="Tabele"/>
              <w:jc w:val="right"/>
              <w:rPr>
                <w:highlight w:val="yellow"/>
              </w:rPr>
            </w:pPr>
            <w:r>
              <w:rPr>
                <w:rFonts w:cs="Calibri"/>
                <w:color w:val="000000"/>
                <w:szCs w:val="16"/>
              </w:rPr>
              <w:t>-3,7%</w:t>
            </w:r>
          </w:p>
        </w:tc>
      </w:tr>
      <w:tr w:rsidR="00C81133" w:rsidRPr="004669DE" w14:paraId="70520C51" w14:textId="77777777" w:rsidTr="00CD46EF">
        <w:trPr>
          <w:trHeight w:val="231"/>
        </w:trPr>
        <w:tc>
          <w:tcPr>
            <w:tcW w:w="2323" w:type="dxa"/>
            <w:tcBorders>
              <w:right w:val="single" w:sz="4" w:space="0" w:color="AEAAAA" w:themeColor="background2" w:themeShade="BF"/>
            </w:tcBorders>
          </w:tcPr>
          <w:p w14:paraId="11D44E8D" w14:textId="77777777" w:rsidR="00C81133" w:rsidRPr="00EB3B96" w:rsidRDefault="00C81133">
            <w:pPr>
              <w:pStyle w:val="Tabele"/>
              <w:rPr>
                <w:bCs/>
              </w:rPr>
            </w:pPr>
            <w:r>
              <w:rPr>
                <w:rFonts w:cs="Calibri"/>
                <w:color w:val="000000"/>
                <w:szCs w:val="16"/>
              </w:rPr>
              <w:t xml:space="preserve">D. Gleby rolne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8D62EAC" w14:textId="77777777" w:rsidR="00C81133" w:rsidRPr="006813B9" w:rsidRDefault="00C81133">
            <w:pPr>
              <w:pStyle w:val="Tabele"/>
              <w:jc w:val="right"/>
              <w:rPr>
                <w:highlight w:val="yellow"/>
              </w:rPr>
            </w:pPr>
            <w:r>
              <w:rPr>
                <w:rFonts w:cs="Calibri"/>
                <w:color w:val="000000"/>
                <w:szCs w:val="16"/>
              </w:rPr>
              <w:t>-0,9%</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BC93FD8" w14:textId="77777777" w:rsidR="00C81133" w:rsidRPr="006813B9" w:rsidRDefault="00C81133">
            <w:pPr>
              <w:pStyle w:val="Tabele"/>
              <w:jc w:val="right"/>
              <w:rPr>
                <w:highlight w:val="yellow"/>
              </w:rPr>
            </w:pPr>
            <w:r>
              <w:rPr>
                <w:rFonts w:cs="Calibri"/>
                <w:color w:val="000000"/>
                <w:szCs w:val="16"/>
              </w:rPr>
              <w:t>-1,6%</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A326A0" w14:textId="77777777" w:rsidR="00C81133" w:rsidRPr="006813B9" w:rsidRDefault="00C81133">
            <w:pPr>
              <w:pStyle w:val="Tabele"/>
              <w:jc w:val="right"/>
              <w:rPr>
                <w:highlight w:val="yellow"/>
              </w:rPr>
            </w:pPr>
            <w:r>
              <w:rPr>
                <w:rFonts w:cs="Calibri"/>
                <w:color w:val="000000"/>
                <w:szCs w:val="16"/>
              </w:rPr>
              <w:t>-2,4%</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80D83FE" w14:textId="77777777" w:rsidR="00C81133" w:rsidRPr="006813B9" w:rsidRDefault="00C81133">
            <w:pPr>
              <w:pStyle w:val="Tabele"/>
              <w:jc w:val="right"/>
              <w:rPr>
                <w:highlight w:val="yellow"/>
              </w:rPr>
            </w:pPr>
            <w:r>
              <w:rPr>
                <w:rFonts w:cs="Calibri"/>
                <w:color w:val="000000"/>
                <w:szCs w:val="16"/>
              </w:rPr>
              <w:t>-3,3%</w:t>
            </w:r>
          </w:p>
        </w:tc>
      </w:tr>
      <w:tr w:rsidR="00C81133" w:rsidRPr="00860E1E" w14:paraId="1AF8D24D" w14:textId="77777777" w:rsidTr="00CD46EF">
        <w:trPr>
          <w:trHeight w:val="231"/>
        </w:trPr>
        <w:tc>
          <w:tcPr>
            <w:tcW w:w="2323" w:type="dxa"/>
            <w:tcBorders>
              <w:right w:val="single" w:sz="4" w:space="0" w:color="AEAAAA" w:themeColor="background2" w:themeShade="BF"/>
            </w:tcBorders>
          </w:tcPr>
          <w:p w14:paraId="16AF66C1" w14:textId="77777777" w:rsidR="00C81133" w:rsidRPr="00860E1E" w:rsidRDefault="00C81133">
            <w:pPr>
              <w:pStyle w:val="Tabele"/>
              <w:rPr>
                <w:b/>
                <w:bCs/>
              </w:rPr>
            </w:pPr>
            <w:r>
              <w:rPr>
                <w:rFonts w:cs="Calibri"/>
                <w:color w:val="000000"/>
                <w:szCs w:val="16"/>
              </w:rPr>
              <w:t xml:space="preserve">F. Spalanie resztek roślinnych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205C02B" w14:textId="77777777" w:rsidR="00C81133" w:rsidRPr="006813B9" w:rsidRDefault="00C81133">
            <w:pPr>
              <w:pStyle w:val="Tabele"/>
              <w:jc w:val="right"/>
              <w:rPr>
                <w:b/>
                <w:bCs/>
                <w:highlight w:val="yellow"/>
              </w:rPr>
            </w:pPr>
            <w:r>
              <w:rPr>
                <w:rFonts w:cs="Calibri"/>
                <w:color w:val="000000"/>
                <w:szCs w:val="16"/>
              </w:rPr>
              <w:t>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1AA2B75" w14:textId="77777777" w:rsidR="00C81133" w:rsidRPr="006813B9" w:rsidRDefault="00C81133">
            <w:pPr>
              <w:pStyle w:val="Tabele"/>
              <w:jc w:val="right"/>
              <w:rPr>
                <w:b/>
                <w:bCs/>
                <w:highlight w:val="yellow"/>
              </w:rPr>
            </w:pPr>
            <w:r>
              <w:rPr>
                <w:rFonts w:cs="Calibri"/>
                <w:color w:val="000000"/>
                <w:szCs w:val="16"/>
              </w:rPr>
              <w:t>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851E851" w14:textId="77777777" w:rsidR="00C81133" w:rsidRPr="006813B9" w:rsidRDefault="00C81133">
            <w:pPr>
              <w:pStyle w:val="Tabele"/>
              <w:jc w:val="right"/>
              <w:rPr>
                <w:b/>
                <w:bCs/>
                <w:highlight w:val="yellow"/>
              </w:rPr>
            </w:pPr>
            <w:r>
              <w:rPr>
                <w:rFonts w:cs="Calibri"/>
                <w:color w:val="000000"/>
                <w:szCs w:val="16"/>
              </w:rPr>
              <w:t>0,0%</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94A49D7" w14:textId="77777777" w:rsidR="00C81133" w:rsidRPr="006813B9" w:rsidRDefault="00C81133">
            <w:pPr>
              <w:pStyle w:val="Tabele"/>
              <w:jc w:val="right"/>
              <w:rPr>
                <w:b/>
                <w:bCs/>
                <w:highlight w:val="yellow"/>
              </w:rPr>
            </w:pPr>
            <w:r>
              <w:rPr>
                <w:rFonts w:cs="Calibri"/>
                <w:color w:val="000000"/>
                <w:szCs w:val="16"/>
              </w:rPr>
              <w:t>0,0%</w:t>
            </w:r>
          </w:p>
        </w:tc>
      </w:tr>
      <w:tr w:rsidR="00C81133" w:rsidRPr="00860E1E" w14:paraId="1BE6B8EE" w14:textId="77777777" w:rsidTr="00CD46EF">
        <w:trPr>
          <w:trHeight w:val="231"/>
        </w:trPr>
        <w:tc>
          <w:tcPr>
            <w:tcW w:w="2323" w:type="dxa"/>
            <w:tcBorders>
              <w:right w:val="single" w:sz="4" w:space="0" w:color="AEAAAA" w:themeColor="background2" w:themeShade="BF"/>
            </w:tcBorders>
          </w:tcPr>
          <w:p w14:paraId="56A89FB9" w14:textId="77777777" w:rsidR="00C81133" w:rsidRDefault="00C81133">
            <w:pPr>
              <w:pStyle w:val="Tabele"/>
              <w:rPr>
                <w:rFonts w:cs="Calibri"/>
                <w:color w:val="000000"/>
                <w:szCs w:val="16"/>
              </w:rPr>
            </w:pPr>
            <w:r>
              <w:rPr>
                <w:rFonts w:cs="Calibri"/>
                <w:b/>
                <w:bCs/>
                <w:color w:val="000000"/>
                <w:szCs w:val="16"/>
              </w:rPr>
              <w:t xml:space="preserve">5. Odpady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046E8D" w14:textId="77777777" w:rsidR="00C81133" w:rsidRPr="006813B9" w:rsidRDefault="00C81133">
            <w:pPr>
              <w:pStyle w:val="Tabele"/>
              <w:jc w:val="right"/>
              <w:rPr>
                <w:b/>
                <w:bCs/>
                <w:highlight w:val="yellow"/>
              </w:rPr>
            </w:pPr>
            <w:r>
              <w:rPr>
                <w:rFonts w:cs="Calibri"/>
                <w:b/>
                <w:bCs/>
                <w:color w:val="000000"/>
                <w:szCs w:val="16"/>
              </w:rPr>
              <w:t>-0,5%</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B11D1BE" w14:textId="77777777" w:rsidR="00C81133" w:rsidRPr="006813B9" w:rsidRDefault="00C81133">
            <w:pPr>
              <w:pStyle w:val="Tabele"/>
              <w:jc w:val="right"/>
              <w:rPr>
                <w:b/>
                <w:bCs/>
                <w:highlight w:val="yellow"/>
              </w:rPr>
            </w:pPr>
            <w:r>
              <w:rPr>
                <w:rFonts w:cs="Calibri"/>
                <w:b/>
                <w:bCs/>
                <w:color w:val="000000"/>
                <w:szCs w:val="16"/>
              </w:rPr>
              <w:t>-2,2%</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A83A8A" w14:textId="77777777" w:rsidR="00C81133" w:rsidRPr="006813B9" w:rsidRDefault="00C81133">
            <w:pPr>
              <w:pStyle w:val="Tabele"/>
              <w:jc w:val="right"/>
              <w:rPr>
                <w:b/>
                <w:bCs/>
                <w:highlight w:val="yellow"/>
              </w:rPr>
            </w:pPr>
            <w:r>
              <w:rPr>
                <w:rFonts w:cs="Calibri"/>
                <w:b/>
                <w:bCs/>
                <w:color w:val="000000"/>
                <w:szCs w:val="16"/>
              </w:rPr>
              <w:t>-2,9%</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DABC25" w14:textId="77777777" w:rsidR="00C81133" w:rsidRPr="006813B9" w:rsidRDefault="00C81133">
            <w:pPr>
              <w:pStyle w:val="Tabele"/>
              <w:jc w:val="right"/>
              <w:rPr>
                <w:b/>
                <w:bCs/>
                <w:highlight w:val="yellow"/>
              </w:rPr>
            </w:pPr>
            <w:r>
              <w:rPr>
                <w:rFonts w:cs="Calibri"/>
                <w:b/>
                <w:bCs/>
                <w:color w:val="000000"/>
                <w:szCs w:val="16"/>
              </w:rPr>
              <w:t>-4,3%</w:t>
            </w:r>
          </w:p>
        </w:tc>
      </w:tr>
      <w:tr w:rsidR="00C81133" w:rsidRPr="00860E1E" w14:paraId="71C218BE" w14:textId="77777777" w:rsidTr="00CD46EF">
        <w:trPr>
          <w:trHeight w:val="231"/>
        </w:trPr>
        <w:tc>
          <w:tcPr>
            <w:tcW w:w="2323" w:type="dxa"/>
            <w:tcBorders>
              <w:right w:val="single" w:sz="4" w:space="0" w:color="AEAAAA" w:themeColor="background2" w:themeShade="BF"/>
            </w:tcBorders>
          </w:tcPr>
          <w:p w14:paraId="7D514A8A" w14:textId="77777777" w:rsidR="00C81133" w:rsidRDefault="00C81133">
            <w:pPr>
              <w:pStyle w:val="Tabele"/>
              <w:rPr>
                <w:rFonts w:cs="Calibri"/>
                <w:color w:val="000000"/>
                <w:szCs w:val="16"/>
              </w:rPr>
            </w:pPr>
            <w:r>
              <w:rPr>
                <w:rFonts w:cs="Calibri"/>
                <w:color w:val="000000"/>
                <w:szCs w:val="16"/>
              </w:rPr>
              <w:t xml:space="preserve">A. Składowanie odpadów stałych </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2A5864C" w14:textId="77777777" w:rsidR="00C81133" w:rsidRPr="006813B9" w:rsidRDefault="00C81133">
            <w:pPr>
              <w:pStyle w:val="Tabele"/>
              <w:jc w:val="right"/>
              <w:rPr>
                <w:b/>
                <w:bCs/>
                <w:highlight w:val="yellow"/>
              </w:rPr>
            </w:pPr>
            <w:r>
              <w:rPr>
                <w:rFonts w:cs="Calibri"/>
                <w:color w:val="000000"/>
                <w:szCs w:val="16"/>
              </w:rPr>
              <w:t>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31DD652" w14:textId="77777777" w:rsidR="00C81133" w:rsidRPr="006813B9" w:rsidRDefault="00C81133">
            <w:pPr>
              <w:pStyle w:val="Tabele"/>
              <w:jc w:val="right"/>
              <w:rPr>
                <w:b/>
                <w:bCs/>
                <w:highlight w:val="yellow"/>
              </w:rPr>
            </w:pPr>
            <w:r>
              <w:rPr>
                <w:rFonts w:cs="Calibri"/>
                <w:color w:val="000000"/>
                <w:szCs w:val="16"/>
              </w:rPr>
              <w:t>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AB3D0EA" w14:textId="77777777" w:rsidR="00C81133" w:rsidRPr="006813B9" w:rsidRDefault="00C81133">
            <w:pPr>
              <w:pStyle w:val="Tabele"/>
              <w:jc w:val="right"/>
              <w:rPr>
                <w:b/>
                <w:bCs/>
                <w:highlight w:val="yellow"/>
              </w:rPr>
            </w:pPr>
            <w:r>
              <w:rPr>
                <w:rFonts w:cs="Calibri"/>
                <w:color w:val="000000"/>
                <w:szCs w:val="16"/>
              </w:rPr>
              <w:t>0,0%</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F62AC00" w14:textId="77777777" w:rsidR="00C81133" w:rsidRPr="006813B9" w:rsidRDefault="00C81133">
            <w:pPr>
              <w:pStyle w:val="Tabele"/>
              <w:jc w:val="right"/>
              <w:rPr>
                <w:b/>
                <w:bCs/>
                <w:highlight w:val="yellow"/>
              </w:rPr>
            </w:pPr>
            <w:r>
              <w:rPr>
                <w:rFonts w:cs="Calibri"/>
                <w:color w:val="000000"/>
                <w:szCs w:val="16"/>
              </w:rPr>
              <w:t>0,0%</w:t>
            </w:r>
          </w:p>
        </w:tc>
      </w:tr>
      <w:tr w:rsidR="00C81133" w:rsidRPr="00860E1E" w14:paraId="734D2920" w14:textId="77777777" w:rsidTr="00CD46EF">
        <w:trPr>
          <w:trHeight w:val="231"/>
        </w:trPr>
        <w:tc>
          <w:tcPr>
            <w:tcW w:w="2323" w:type="dxa"/>
            <w:tcBorders>
              <w:right w:val="single" w:sz="4" w:space="0" w:color="AEAAAA" w:themeColor="background2" w:themeShade="BF"/>
            </w:tcBorders>
          </w:tcPr>
          <w:p w14:paraId="3E3C1B1F" w14:textId="77777777" w:rsidR="00C81133" w:rsidRDefault="00C81133">
            <w:pPr>
              <w:pStyle w:val="Tabele"/>
              <w:rPr>
                <w:rFonts w:cs="Calibri"/>
                <w:color w:val="000000"/>
                <w:szCs w:val="16"/>
              </w:rPr>
            </w:pPr>
            <w:r>
              <w:rPr>
                <w:rFonts w:cs="Calibri"/>
                <w:color w:val="000000"/>
                <w:szCs w:val="16"/>
              </w:rPr>
              <w:t>C. Spopielanie i otwarte spalanie odpadów</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2E955E5" w14:textId="77777777" w:rsidR="00C81133" w:rsidRPr="006813B9" w:rsidRDefault="00C81133">
            <w:pPr>
              <w:pStyle w:val="Tabele"/>
              <w:jc w:val="right"/>
              <w:rPr>
                <w:b/>
                <w:bCs/>
                <w:highlight w:val="yellow"/>
              </w:rPr>
            </w:pPr>
            <w:r>
              <w:rPr>
                <w:rFonts w:cs="Calibri"/>
                <w:color w:val="000000"/>
                <w:szCs w:val="16"/>
              </w:rPr>
              <w:t>-1,5%</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C90FFAA" w14:textId="77777777" w:rsidR="00C81133" w:rsidRPr="006813B9" w:rsidRDefault="00C81133">
            <w:pPr>
              <w:pStyle w:val="Tabele"/>
              <w:jc w:val="right"/>
              <w:rPr>
                <w:b/>
                <w:bCs/>
                <w:highlight w:val="yellow"/>
              </w:rPr>
            </w:pPr>
            <w:r>
              <w:rPr>
                <w:rFonts w:cs="Calibri"/>
                <w:color w:val="000000"/>
                <w:szCs w:val="16"/>
              </w:rPr>
              <w:t>-6,3%</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1AD15EC" w14:textId="77777777" w:rsidR="00C81133" w:rsidRPr="006813B9" w:rsidRDefault="00C81133">
            <w:pPr>
              <w:pStyle w:val="Tabele"/>
              <w:jc w:val="right"/>
              <w:rPr>
                <w:b/>
                <w:bCs/>
                <w:highlight w:val="yellow"/>
              </w:rPr>
            </w:pPr>
            <w:r>
              <w:rPr>
                <w:rFonts w:cs="Calibri"/>
                <w:color w:val="000000"/>
                <w:szCs w:val="16"/>
              </w:rPr>
              <w:t>-8,2%</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82EA745" w14:textId="77777777" w:rsidR="00C81133" w:rsidRPr="006813B9" w:rsidRDefault="00C81133">
            <w:pPr>
              <w:pStyle w:val="Tabele"/>
              <w:jc w:val="right"/>
              <w:rPr>
                <w:b/>
                <w:bCs/>
                <w:highlight w:val="yellow"/>
              </w:rPr>
            </w:pPr>
            <w:r>
              <w:rPr>
                <w:rFonts w:cs="Calibri"/>
                <w:color w:val="000000"/>
                <w:szCs w:val="16"/>
              </w:rPr>
              <w:t>-12,0%</w:t>
            </w:r>
          </w:p>
        </w:tc>
      </w:tr>
      <w:tr w:rsidR="00C81133" w:rsidRPr="00860E1E" w14:paraId="786D0B4F" w14:textId="77777777" w:rsidTr="00CD46EF">
        <w:trPr>
          <w:trHeight w:val="231"/>
        </w:trPr>
        <w:tc>
          <w:tcPr>
            <w:tcW w:w="2323" w:type="dxa"/>
            <w:tcBorders>
              <w:right w:val="single" w:sz="4" w:space="0" w:color="AEAAAA" w:themeColor="background2" w:themeShade="BF"/>
            </w:tcBorders>
          </w:tcPr>
          <w:p w14:paraId="722F92C7" w14:textId="77777777" w:rsidR="00C81133" w:rsidRDefault="00C81133">
            <w:pPr>
              <w:pStyle w:val="Tabele"/>
              <w:rPr>
                <w:rFonts w:cs="Calibri"/>
                <w:color w:val="000000"/>
                <w:szCs w:val="16"/>
              </w:rPr>
            </w:pPr>
            <w:r>
              <w:rPr>
                <w:rFonts w:cs="Calibri"/>
                <w:color w:val="000000"/>
                <w:szCs w:val="16"/>
              </w:rPr>
              <w:t>E. Inne</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1EDAB3" w14:textId="77777777" w:rsidR="00C81133" w:rsidRPr="006813B9" w:rsidRDefault="00C81133">
            <w:pPr>
              <w:pStyle w:val="Tabele"/>
              <w:jc w:val="right"/>
              <w:rPr>
                <w:b/>
                <w:bCs/>
                <w:highlight w:val="yellow"/>
              </w:rPr>
            </w:pPr>
            <w:r>
              <w:rPr>
                <w:rFonts w:cs="Calibri"/>
                <w:color w:val="000000"/>
                <w:szCs w:val="16"/>
              </w:rPr>
              <w:t>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8B8C8FE" w14:textId="77777777" w:rsidR="00C81133" w:rsidRPr="006813B9" w:rsidRDefault="00C81133">
            <w:pPr>
              <w:pStyle w:val="Tabele"/>
              <w:jc w:val="right"/>
              <w:rPr>
                <w:b/>
                <w:bCs/>
                <w:highlight w:val="yellow"/>
              </w:rPr>
            </w:pPr>
            <w:r>
              <w:rPr>
                <w:rFonts w:cs="Calibri"/>
                <w:color w:val="000000"/>
                <w:szCs w:val="16"/>
              </w:rPr>
              <w:t>0,0%</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4036216" w14:textId="77777777" w:rsidR="00C81133" w:rsidRPr="006813B9" w:rsidRDefault="00C81133">
            <w:pPr>
              <w:pStyle w:val="Tabele"/>
              <w:jc w:val="right"/>
              <w:rPr>
                <w:b/>
                <w:bCs/>
                <w:highlight w:val="yellow"/>
              </w:rPr>
            </w:pPr>
            <w:r>
              <w:rPr>
                <w:rFonts w:cs="Calibri"/>
                <w:color w:val="000000"/>
                <w:szCs w:val="16"/>
              </w:rPr>
              <w:t>0,0%</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0D6A71C" w14:textId="77777777" w:rsidR="00C81133" w:rsidRPr="006813B9" w:rsidRDefault="00C81133">
            <w:pPr>
              <w:pStyle w:val="Tabele"/>
              <w:jc w:val="right"/>
              <w:rPr>
                <w:b/>
                <w:bCs/>
                <w:highlight w:val="yellow"/>
              </w:rPr>
            </w:pPr>
            <w:r>
              <w:rPr>
                <w:rFonts w:cs="Calibri"/>
                <w:color w:val="000000"/>
                <w:szCs w:val="16"/>
              </w:rPr>
              <w:t>0,0%</w:t>
            </w:r>
          </w:p>
        </w:tc>
      </w:tr>
      <w:tr w:rsidR="00C81133" w:rsidRPr="00860E1E" w14:paraId="363BE105" w14:textId="77777777" w:rsidTr="00CD46EF">
        <w:trPr>
          <w:trHeight w:val="231"/>
        </w:trPr>
        <w:tc>
          <w:tcPr>
            <w:tcW w:w="2323" w:type="dxa"/>
            <w:tcBorders>
              <w:right w:val="single" w:sz="4" w:space="0" w:color="AEAAAA" w:themeColor="background2" w:themeShade="BF"/>
            </w:tcBorders>
          </w:tcPr>
          <w:p w14:paraId="0A57CB0A" w14:textId="77777777" w:rsidR="00C81133" w:rsidRDefault="00C81133">
            <w:pPr>
              <w:pStyle w:val="Tabele"/>
              <w:rPr>
                <w:rFonts w:cs="Calibri"/>
                <w:color w:val="000000"/>
                <w:szCs w:val="16"/>
              </w:rPr>
            </w:pPr>
            <w:r>
              <w:rPr>
                <w:rFonts w:cs="Calibri"/>
                <w:b/>
                <w:bCs/>
                <w:color w:val="000000"/>
                <w:szCs w:val="16"/>
              </w:rPr>
              <w:t>OGÓŁEM</w:t>
            </w:r>
          </w:p>
        </w:tc>
        <w:tc>
          <w:tcPr>
            <w:tcW w:w="16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15037D" w14:textId="77777777" w:rsidR="00C81133" w:rsidRPr="006813B9" w:rsidRDefault="00C81133">
            <w:pPr>
              <w:pStyle w:val="Tabele"/>
              <w:jc w:val="right"/>
              <w:rPr>
                <w:b/>
                <w:bCs/>
                <w:highlight w:val="yellow"/>
              </w:rPr>
            </w:pPr>
            <w:r>
              <w:rPr>
                <w:rFonts w:cs="Calibri"/>
                <w:b/>
                <w:bCs/>
                <w:color w:val="000000"/>
                <w:szCs w:val="16"/>
              </w:rPr>
              <w:t>0,9%</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233CFD6" w14:textId="77777777" w:rsidR="00C81133" w:rsidRPr="006813B9" w:rsidRDefault="00C81133">
            <w:pPr>
              <w:pStyle w:val="Tabele"/>
              <w:jc w:val="right"/>
              <w:rPr>
                <w:b/>
                <w:bCs/>
                <w:highlight w:val="yellow"/>
              </w:rPr>
            </w:pPr>
            <w:r>
              <w:rPr>
                <w:rFonts w:cs="Calibri"/>
                <w:b/>
                <w:bCs/>
                <w:color w:val="000000"/>
                <w:szCs w:val="16"/>
              </w:rPr>
              <w:t>-0,5%</w:t>
            </w:r>
          </w:p>
        </w:tc>
        <w:tc>
          <w:tcPr>
            <w:tcW w:w="168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8B9477E" w14:textId="77777777" w:rsidR="00C81133" w:rsidRPr="006813B9" w:rsidRDefault="00C81133">
            <w:pPr>
              <w:pStyle w:val="Tabele"/>
              <w:jc w:val="right"/>
              <w:rPr>
                <w:b/>
                <w:bCs/>
                <w:highlight w:val="yellow"/>
              </w:rPr>
            </w:pPr>
            <w:r>
              <w:rPr>
                <w:rFonts w:cs="Calibri"/>
                <w:b/>
                <w:bCs/>
                <w:color w:val="000000"/>
                <w:szCs w:val="16"/>
              </w:rPr>
              <w:t>-11,0%</w:t>
            </w:r>
          </w:p>
        </w:tc>
        <w:tc>
          <w:tcPr>
            <w:tcW w:w="1683"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6F88544" w14:textId="77777777" w:rsidR="00C81133" w:rsidRPr="006813B9" w:rsidRDefault="00C81133">
            <w:pPr>
              <w:pStyle w:val="Tabele"/>
              <w:jc w:val="right"/>
              <w:rPr>
                <w:b/>
                <w:bCs/>
                <w:highlight w:val="yellow"/>
              </w:rPr>
            </w:pPr>
            <w:r>
              <w:rPr>
                <w:rFonts w:cs="Calibri"/>
                <w:b/>
                <w:bCs/>
                <w:color w:val="000000"/>
                <w:szCs w:val="16"/>
              </w:rPr>
              <w:t>-13,1%</w:t>
            </w:r>
          </w:p>
        </w:tc>
      </w:tr>
    </w:tbl>
    <w:p w14:paraId="3E957019" w14:textId="77777777" w:rsidR="005C4144" w:rsidRPr="00BB1158" w:rsidRDefault="005C4144" w:rsidP="000C7086">
      <w:pPr>
        <w:pStyle w:val="Legenda"/>
        <w:keepNext/>
      </w:pPr>
      <w:r w:rsidRPr="00BB1158">
        <w:t>Źródło: Opracowanie własne KOBIZE, IOŚ-PIB</w:t>
      </w:r>
    </w:p>
    <w:p w14:paraId="66F583C2" w14:textId="7D2B77C9" w:rsidR="00D26169" w:rsidRDefault="00D26169" w:rsidP="00D26169">
      <w:bookmarkStart w:id="173" w:name="_Toc171587313"/>
      <w:bookmarkStart w:id="174" w:name="_Toc174710887"/>
      <w:r>
        <w:t>Głównym źródłem emisji PM2,5 jest kategoria 1.A.4 Inne sektory (tj. małe źródła emisji takie jak gospodarstwa domowe). Udział tej kategorii w emisji krajowej wynosił w 202</w:t>
      </w:r>
      <w:r w:rsidR="00BE2ED8">
        <w:t>0 r.</w:t>
      </w:r>
      <w:r>
        <w:t xml:space="preserve"> 86%. W latach 2025 i 2030 scenariusz WAM zakłada nieco większą emisję pyłu niż WEM. Jest to spowodowane wyższymi wskaźnikami emisji w scenariuszu WAM dla kategorii małych źródeł spalania paliw.</w:t>
      </w:r>
    </w:p>
    <w:p w14:paraId="5832CD01" w14:textId="2E18E584" w:rsidR="00D26169" w:rsidRPr="00493F5B" w:rsidRDefault="00D26169" w:rsidP="00D26169">
      <w:r>
        <w:t>W pozostałych latach emisja w scenariuszu WAM jest niższa niż w WEM, co wynika gównie ze zmniejszenia zużycia paliw kopalnych (węgiel kamienny i gaz ziemny) w małych źródłach spalania paliw (1.A.4).</w:t>
      </w:r>
      <w:r w:rsidR="00DF5751">
        <w:t xml:space="preserve"> </w:t>
      </w:r>
      <w:r>
        <w:t>Nieznacznie większa emisja PM2,5 w sektorze 1A3 Transport w pierwszych latach prognozy wynika głównie z większego zużycia paliw w scenariuszu WAM względem scenariusza WEM.</w:t>
      </w:r>
    </w:p>
    <w:p w14:paraId="1644DFC5" w14:textId="54F0CD24" w:rsidR="005C4144" w:rsidRPr="00DC1A13" w:rsidRDefault="005C4144" w:rsidP="00837A76">
      <w:pPr>
        <w:pStyle w:val="Nagwek2"/>
      </w:pPr>
      <w:bookmarkStart w:id="175" w:name="_Toc202966880"/>
      <w:r>
        <w:t>Energia ze źródeł odnawialnych</w:t>
      </w:r>
      <w:bookmarkEnd w:id="173"/>
      <w:bookmarkEnd w:id="174"/>
      <w:bookmarkEnd w:id="175"/>
    </w:p>
    <w:p w14:paraId="6B4940D6" w14:textId="757A0CD8" w:rsidR="00DD7550" w:rsidRDefault="00E36EB5" w:rsidP="00DD7550">
      <w:pPr>
        <w:rPr>
          <w:noProof/>
          <w:lang w:eastAsia="pl-PL"/>
        </w:rPr>
      </w:pPr>
      <w:r>
        <w:rPr>
          <w:noProof/>
          <w:lang w:eastAsia="pl-PL"/>
        </w:rPr>
        <w:t xml:space="preserve">W 2022 r. udział energii odnawialnej w finalnym zużyciu energii brutto osiągnął poziom 16,81% i był wyższy o 4,98 p.p. w porównaniu z rokiem 2015. Największy wzrost wystąpił na przełomie lat 2017-2018 i wyniósł 3,89 p.p. </w:t>
      </w:r>
      <w:r w:rsidR="005C4144">
        <w:rPr>
          <w:noProof/>
          <w:lang w:eastAsia="pl-PL"/>
        </w:rPr>
        <w:t>(</w:t>
      </w:r>
      <w:r w:rsidR="005C4144">
        <w:fldChar w:fldCharType="begin"/>
      </w:r>
      <w:r w:rsidR="005C4144">
        <w:rPr>
          <w:noProof/>
          <w:lang w:eastAsia="pl-PL"/>
        </w:rPr>
        <w:instrText xml:space="preserve"> REF _Ref167823187 \h </w:instrText>
      </w:r>
      <w:r w:rsidR="005C4144">
        <w:fldChar w:fldCharType="separate"/>
      </w:r>
      <w:r w:rsidR="00F27D6F">
        <w:t xml:space="preserve">Rysunek </w:t>
      </w:r>
      <w:r w:rsidR="00F27D6F">
        <w:rPr>
          <w:noProof/>
        </w:rPr>
        <w:t>1</w:t>
      </w:r>
      <w:r w:rsidR="00F27D6F">
        <w:t>.</w:t>
      </w:r>
      <w:r w:rsidR="00F27D6F">
        <w:rPr>
          <w:noProof/>
        </w:rPr>
        <w:t>3</w:t>
      </w:r>
      <w:r w:rsidR="005C4144">
        <w:fldChar w:fldCharType="end"/>
      </w:r>
      <w:r w:rsidR="005C4144">
        <w:t xml:space="preserve">). </w:t>
      </w:r>
      <w:r w:rsidR="00DD7550">
        <w:rPr>
          <w:noProof/>
          <w:lang w:eastAsia="pl-PL"/>
        </w:rPr>
        <w:t xml:space="preserve">Całkowity wolumen energii pochodzącej z odnawialnych źródeł energii w 2022 r. wyniósł 878 051,8 GWh. Główną składową tego wolumenu była energia wykorzystywana w sektorze ciepłownictwa i chłodnictwa - stanowiła ponad </w:t>
      </w:r>
      <w:r w:rsidR="00FE738B">
        <w:rPr>
          <w:noProof/>
          <w:lang w:eastAsia="pl-PL"/>
        </w:rPr>
        <w:t>46</w:t>
      </w:r>
      <w:r w:rsidR="00DD7550">
        <w:rPr>
          <w:noProof/>
          <w:lang w:eastAsia="pl-PL"/>
        </w:rPr>
        <w:t>% sumy (</w:t>
      </w:r>
      <w:r w:rsidR="00DD7550">
        <w:rPr>
          <w:noProof/>
          <w:lang w:eastAsia="pl-PL"/>
        </w:rPr>
        <w:fldChar w:fldCharType="begin"/>
      </w:r>
      <w:r w:rsidR="00DD7550">
        <w:rPr>
          <w:noProof/>
          <w:lang w:eastAsia="pl-PL"/>
        </w:rPr>
        <w:instrText xml:space="preserve"> REF _Ref167823229 \h </w:instrText>
      </w:r>
      <w:r w:rsidR="00DD7550">
        <w:rPr>
          <w:noProof/>
          <w:lang w:eastAsia="pl-PL"/>
        </w:rPr>
      </w:r>
      <w:r w:rsidR="00DD7550">
        <w:rPr>
          <w:noProof/>
          <w:lang w:eastAsia="pl-PL"/>
        </w:rPr>
        <w:fldChar w:fldCharType="separate"/>
      </w:r>
      <w:r w:rsidR="00F27D6F">
        <w:t xml:space="preserve">Rysunek </w:t>
      </w:r>
      <w:r w:rsidR="00F27D6F">
        <w:rPr>
          <w:noProof/>
        </w:rPr>
        <w:t>1</w:t>
      </w:r>
      <w:r w:rsidR="00F27D6F">
        <w:t>.</w:t>
      </w:r>
      <w:r w:rsidR="00F27D6F">
        <w:rPr>
          <w:noProof/>
        </w:rPr>
        <w:t>4</w:t>
      </w:r>
      <w:r w:rsidR="00DD7550">
        <w:rPr>
          <w:noProof/>
          <w:lang w:eastAsia="pl-PL"/>
        </w:rPr>
        <w:fldChar w:fldCharType="end"/>
      </w:r>
      <w:r w:rsidR="00DD7550">
        <w:rPr>
          <w:noProof/>
          <w:lang w:eastAsia="pl-PL"/>
        </w:rPr>
        <w:t>). W 2020 r. udział OZE wyniósł 16,11%.</w:t>
      </w:r>
    </w:p>
    <w:p w14:paraId="74493B63" w14:textId="054189F6" w:rsidR="005C4144" w:rsidRDefault="005C4144" w:rsidP="00DD7550">
      <w:r>
        <w:rPr>
          <w:noProof/>
          <w:lang w:eastAsia="pl-PL"/>
        </w:rPr>
        <w:drawing>
          <wp:inline distT="0" distB="0" distL="0" distR="0" wp14:anchorId="0250498D" wp14:editId="5A28A83E">
            <wp:extent cx="5629275" cy="2931885"/>
            <wp:effectExtent l="0" t="0" r="0" b="1905"/>
            <wp:docPr id="1764529330" name="Wykres 1">
              <a:extLst xmlns:a="http://schemas.openxmlformats.org/drawingml/2006/main">
                <a:ext uri="{FF2B5EF4-FFF2-40B4-BE49-F238E27FC236}">
                  <a16:creationId xmlns:a16="http://schemas.microsoft.com/office/drawing/2014/main" id="{18CFDEC1-0024-44DB-9196-1780D9C641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87849AA" w14:textId="2A59F51C" w:rsidR="005C4144" w:rsidRDefault="005C4144" w:rsidP="005C4144">
      <w:pPr>
        <w:pStyle w:val="Legenda"/>
      </w:pPr>
      <w:bookmarkStart w:id="176" w:name="OLE_LINK1"/>
      <w:bookmarkStart w:id="177" w:name="rys48"/>
      <w:bookmarkStart w:id="178" w:name="_Ref167823187"/>
      <w:bookmarkStart w:id="179" w:name="_Toc171587260"/>
      <w:bookmarkStart w:id="180" w:name="_Toc174711027"/>
      <w:bookmarkStart w:id="181" w:name="_Toc202967033"/>
      <w:bookmarkEnd w:id="176"/>
      <w:bookmarkEnd w:id="177"/>
      <w:r>
        <w:t xml:space="preserve">Rysunek </w:t>
      </w:r>
      <w:r>
        <w:rPr>
          <w:noProof/>
        </w:rPr>
        <w:fldChar w:fldCharType="begin"/>
      </w:r>
      <w:r>
        <w:rPr>
          <w:noProof/>
        </w:rPr>
        <w:instrText xml:space="preserve"> STYLEREF 1 \s </w:instrText>
      </w:r>
      <w:r>
        <w:rPr>
          <w:noProof/>
        </w:rPr>
        <w:fldChar w:fldCharType="separate"/>
      </w:r>
      <w:r w:rsidR="00F27D6F">
        <w:rPr>
          <w:noProof/>
        </w:rPr>
        <w:t>1</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3</w:t>
      </w:r>
      <w:r>
        <w:rPr>
          <w:noProof/>
        </w:rPr>
        <w:fldChar w:fldCharType="end"/>
      </w:r>
      <w:bookmarkEnd w:id="178"/>
      <w:bookmarkEnd w:id="179"/>
      <w:bookmarkEnd w:id="180"/>
      <w:r>
        <w:t xml:space="preserve">. </w:t>
      </w:r>
      <w:r w:rsidRPr="009F7309">
        <w:t>Udział OZE</w:t>
      </w:r>
      <w:r>
        <w:t xml:space="preserve"> w </w:t>
      </w:r>
      <w:r w:rsidRPr="009F7309">
        <w:t>ujęciu krajowym</w:t>
      </w:r>
      <w:bookmarkEnd w:id="181"/>
    </w:p>
    <w:p w14:paraId="79AECC9B" w14:textId="77777777" w:rsidR="005C4144" w:rsidRPr="00401BED" w:rsidRDefault="005C4144" w:rsidP="005C4144">
      <w:pPr>
        <w:pStyle w:val="ardo"/>
        <w:rPr>
          <w:iCs/>
        </w:rPr>
      </w:pPr>
      <w:bookmarkStart w:id="182" w:name="_Toc156995127"/>
      <w:r w:rsidRPr="00401BED">
        <w:t>Źródło: Eurostat Shares</w:t>
      </w:r>
    </w:p>
    <w:bookmarkEnd w:id="182"/>
    <w:p w14:paraId="41EC4BF2" w14:textId="2AB15F98" w:rsidR="005C4144" w:rsidRDefault="005C4144" w:rsidP="005C4144">
      <w:pPr>
        <w:keepNext/>
        <w:tabs>
          <w:tab w:val="left" w:pos="930"/>
        </w:tabs>
        <w:spacing w:after="0" w:line="240" w:lineRule="auto"/>
      </w:pPr>
      <w:r>
        <w:rPr>
          <w:noProof/>
          <w:lang w:eastAsia="pl-PL"/>
        </w:rPr>
        <w:drawing>
          <wp:inline distT="0" distB="0" distL="0" distR="0" wp14:anchorId="086DCA00" wp14:editId="64CB2F48">
            <wp:extent cx="5724525" cy="2902857"/>
            <wp:effectExtent l="0" t="0" r="0" b="0"/>
            <wp:docPr id="1960562236" name="Wykres 1">
              <a:extLst xmlns:a="http://schemas.openxmlformats.org/drawingml/2006/main">
                <a:ext uri="{FF2B5EF4-FFF2-40B4-BE49-F238E27FC236}">
                  <a16:creationId xmlns:a16="http://schemas.microsoft.com/office/drawing/2014/main" id="{09817CCC-8992-452E-B2D6-92386093DB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2A63A6" w14:textId="106D3EC2" w:rsidR="005C4144" w:rsidRDefault="005C4144" w:rsidP="005C4144">
      <w:pPr>
        <w:pStyle w:val="Legenda"/>
      </w:pPr>
      <w:bookmarkStart w:id="183" w:name="rys49"/>
      <w:bookmarkStart w:id="184" w:name="_Ref167823229"/>
      <w:bookmarkStart w:id="185" w:name="_Toc171587261"/>
      <w:bookmarkStart w:id="186" w:name="_Toc174711028"/>
      <w:bookmarkStart w:id="187" w:name="_Toc202967034"/>
      <w:bookmarkEnd w:id="183"/>
      <w:r>
        <w:t xml:space="preserve">Rysunek </w:t>
      </w:r>
      <w:r>
        <w:rPr>
          <w:noProof/>
        </w:rPr>
        <w:fldChar w:fldCharType="begin"/>
      </w:r>
      <w:r>
        <w:rPr>
          <w:noProof/>
        </w:rPr>
        <w:instrText xml:space="preserve"> STYLEREF 1 \s </w:instrText>
      </w:r>
      <w:r>
        <w:rPr>
          <w:noProof/>
        </w:rPr>
        <w:fldChar w:fldCharType="separate"/>
      </w:r>
      <w:r w:rsidR="00F27D6F">
        <w:rPr>
          <w:noProof/>
        </w:rPr>
        <w:t>1</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4</w:t>
      </w:r>
      <w:r>
        <w:rPr>
          <w:noProof/>
        </w:rPr>
        <w:fldChar w:fldCharType="end"/>
      </w:r>
      <w:bookmarkEnd w:id="184"/>
      <w:r>
        <w:t xml:space="preserve">. </w:t>
      </w:r>
      <w:r w:rsidRPr="005A1474">
        <w:t>Porównanie udziałów OZE</w:t>
      </w:r>
      <w:r>
        <w:t xml:space="preserve"> w </w:t>
      </w:r>
      <w:r w:rsidRPr="005A1474">
        <w:t>poszczególnych sektorach gospodarki</w:t>
      </w:r>
      <w:bookmarkEnd w:id="185"/>
      <w:bookmarkEnd w:id="186"/>
      <w:bookmarkEnd w:id="187"/>
    </w:p>
    <w:p w14:paraId="723D9DE2" w14:textId="77777777" w:rsidR="005C4144" w:rsidRPr="00401BED" w:rsidRDefault="005C4144" w:rsidP="005C4144">
      <w:pPr>
        <w:pStyle w:val="ardo"/>
        <w:rPr>
          <w:iCs/>
        </w:rPr>
      </w:pPr>
      <w:bookmarkStart w:id="188" w:name="_Toc156995128"/>
      <w:r w:rsidRPr="00401BED">
        <w:t>Źródło: Eurostat Shares</w:t>
      </w:r>
    </w:p>
    <w:bookmarkEnd w:id="188"/>
    <w:p w14:paraId="0A3DFAE8" w14:textId="77777777" w:rsidR="005D727B" w:rsidRDefault="005D727B" w:rsidP="005D727B">
      <w:r>
        <w:t xml:space="preserve">Udział OZE w elektroenergetyce w 2022 r. wyniósł 21,01% i był wyższy o 7,87 p.p. względem 2015 r. Największy wzrost wartości obserwuje się na przestrzeni lat 2018-2022. W latach 2015-2018 nie odnotowano znaczących zmian w udziale odnawialnych źródeł energii w elektroenergetyce. </w:t>
      </w:r>
    </w:p>
    <w:p w14:paraId="06CF4471" w14:textId="77777777" w:rsidR="005D727B" w:rsidRDefault="005D727B" w:rsidP="005D727B">
      <w:r>
        <w:t xml:space="preserve">W sektorze elektroenergetyki największy udział produkcji z odnawialnych źródeł energii na przestrzeni lat 2015–2022 miał podsektor energetyki wiatrowej. W 2022 r. ilość wyprodukowanej energii w tym podsektorze wyniosła 18 934,5 GWh (co odpowiadało ponad 50% ogólnej produkcji energii elektrycznej przez źródła odnawialne). Od początku 2015 r. obserwuje się systematyczny wzrost produkcji energii elektrycznej z instalacji fotowoltaicznych (wzrost o ponad 14 500% porównując produkcję w 2022 r. z produkcją w 2015 r.). Tak gwałtowny przyrost produkcji spowodowany jest głównie rozwojem prosumenckich instalacji fotowoltaicznych, co wynika z wprowadzenia w Polsce systemów wsparcia dla tego typu inwestycji (np. Program Mój Prąd) oraz rosnących cen energii elektrycznej. </w:t>
      </w:r>
    </w:p>
    <w:p w14:paraId="58815254" w14:textId="77777777" w:rsidR="005D727B" w:rsidRDefault="005D727B" w:rsidP="005D727B">
      <w:r>
        <w:t xml:space="preserve">Udział odnawialnych źródeł energii w transporcie w 2022 r. wyniósł 5,53% - zwiększył się o 0,71 p.p. względem 2015 r. Na przestrzeni rozważanego okresu nie obserwowano znaczących zmian tej wartości. Największą część energii odnawialnej w transporcie stanowiły biopaliwa (12 669,2 GWh w 2022 r.). Obserwuje się wzrost udziału zielonej energii elektrycznej w napędzie pojazdów drogowych oraz kolejowych (zwiększa się liczba samochodów elektrycznych, hybrydowych, elektryfikowane są sieci kolejowe). </w:t>
      </w:r>
    </w:p>
    <w:p w14:paraId="5D9625BA" w14:textId="04A3C8FC" w:rsidR="005903C6" w:rsidRDefault="005D727B" w:rsidP="005C4144">
      <w:r>
        <w:t xml:space="preserve">W sektorze ciepłownictwa i chłodnictwa udział energii odnawialnej w 2022 r. wyniósł 22,71% był o 7,92 p.p. wyższy niż w 2015 r. Na przestrzeni rozważanego okresu największy procentowy wzrost udziału odnawialnych źródeł energii w ciepłownictwie i chłodnictwie przypadł na lata 2017–2018 (wzrost o 6,69 p.p.). Obserwuje się zwiększenie produkcji energii przez pompy ciepła. W ostatnich latach dominujące znaczenie mają powietrzne pompy ciepła, co jest spowodowane niższymi kosztami w zakupie i instalacji tego typu jednostek względem gruntowych pomp ciepła. </w:t>
      </w:r>
    </w:p>
    <w:p w14:paraId="16AD302A" w14:textId="77777777" w:rsidR="0015597F" w:rsidRDefault="0015597F" w:rsidP="005C4144"/>
    <w:p w14:paraId="0F594582" w14:textId="4B1FDFBB" w:rsidR="005C4144" w:rsidRDefault="00585708" w:rsidP="005704C5">
      <w:pPr>
        <w:pStyle w:val="Nagwek3"/>
        <w:spacing w:before="360"/>
      </w:pPr>
      <w:bookmarkStart w:id="189" w:name="_Toc197666266"/>
      <w:bookmarkStart w:id="190" w:name="_Toc197959489"/>
      <w:bookmarkStart w:id="191" w:name="_Toc197959571"/>
      <w:bookmarkStart w:id="192" w:name="_Toc158271700"/>
      <w:bookmarkStart w:id="193" w:name="_Toc171587314"/>
      <w:bookmarkStart w:id="194" w:name="_Toc174710888"/>
      <w:bookmarkStart w:id="195" w:name="_Toc202966881"/>
      <w:bookmarkEnd w:id="189"/>
      <w:bookmarkEnd w:id="190"/>
      <w:bookmarkEnd w:id="191"/>
      <w:r>
        <w:t>Wykorzystanie</w:t>
      </w:r>
      <w:r w:rsidR="005C4144">
        <w:t xml:space="preserve"> OZE</w:t>
      </w:r>
      <w:bookmarkEnd w:id="192"/>
      <w:bookmarkEnd w:id="193"/>
      <w:bookmarkEnd w:id="194"/>
      <w:r w:rsidR="006E7CFC">
        <w:t xml:space="preserve"> </w:t>
      </w:r>
      <w:r w:rsidR="008A5288">
        <w:t>ogółem</w:t>
      </w:r>
      <w:r w:rsidR="0011452C">
        <w:t>, w elektroenergetyce, ciepłownictwie</w:t>
      </w:r>
      <w:r w:rsidR="008A5288">
        <w:t xml:space="preserve"> i </w:t>
      </w:r>
      <w:r w:rsidR="0011452C">
        <w:t>chłodnictwie oraz w</w:t>
      </w:r>
      <w:r w:rsidR="001734F0">
        <w:t> </w:t>
      </w:r>
      <w:r w:rsidR="0011452C">
        <w:t>transporcie</w:t>
      </w:r>
      <w:bookmarkEnd w:id="195"/>
    </w:p>
    <w:p w14:paraId="6ED73E94" w14:textId="23D4A6E2" w:rsidR="00EE48DE" w:rsidRDefault="00EE48DE" w:rsidP="00EE48DE">
      <w:pPr>
        <w:spacing w:after="120"/>
      </w:pPr>
      <w:r w:rsidRPr="002F1B41">
        <w:t>Zaprezentowane</w:t>
      </w:r>
      <w:r>
        <w:t xml:space="preserve"> w </w:t>
      </w:r>
      <w:r w:rsidRPr="002F1B41">
        <w:t>niniejszym podrozdziale trajektorie krajowego</w:t>
      </w:r>
      <w:r>
        <w:t xml:space="preserve"> i </w:t>
      </w:r>
      <w:r w:rsidRPr="002F1B41">
        <w:t>sektorowego udziału OZE zakładają kontynuację obecnych trendów</w:t>
      </w:r>
      <w:r>
        <w:t xml:space="preserve"> w </w:t>
      </w:r>
      <w:r w:rsidRPr="002F1B41">
        <w:t>zakresie rozwoju technologii OZE (w tym kosztowych),</w:t>
      </w:r>
      <w:r>
        <w:t xml:space="preserve"> a </w:t>
      </w:r>
      <w:r w:rsidRPr="002F1B41">
        <w:t>także obowiązujące na etapie przygotowania prognozy mechanizmy wsparcia. Takimi mechanizmami są systemy: świadectw pochodzenia (system stopniowo wygaszany) oraz aukcyjny (dla wszystkich technologii OZE wymienionych</w:t>
      </w:r>
      <w:r>
        <w:t xml:space="preserve"> w </w:t>
      </w:r>
      <w:r w:rsidRPr="002F1B41">
        <w:t>ustawie</w:t>
      </w:r>
      <w:r w:rsidRPr="00F85B97">
        <w:rPr>
          <w:vertAlign w:val="superscript"/>
        </w:rPr>
        <w:footnoteReference w:id="5"/>
      </w:r>
      <w:r>
        <w:t>, a </w:t>
      </w:r>
      <w:r w:rsidRPr="00D11EEB">
        <w:t>także morskich farm wiatrowych</w:t>
      </w:r>
      <w:r>
        <w:t>)</w:t>
      </w:r>
      <w:r w:rsidRPr="00D11EEB">
        <w:t>.</w:t>
      </w:r>
      <w:r>
        <w:t xml:space="preserve"> W </w:t>
      </w:r>
      <w:r w:rsidRPr="00D11EEB">
        <w:t>systemie aukcyjnym założono maksymalny 15-letni okres subsydiowania dla technologii, natomiast dla morskich elektrowni wiatrowych okres ten wynosi 25 lat. Założono również, że</w:t>
      </w:r>
      <w:r>
        <w:t xml:space="preserve"> w </w:t>
      </w:r>
      <w:r w:rsidRPr="00D11EEB">
        <w:t>ogłaszanych</w:t>
      </w:r>
      <w:r>
        <w:t xml:space="preserve"> w </w:t>
      </w:r>
      <w:r w:rsidRPr="00D11EEB">
        <w:t>przyszłości aukcjach preferowane</w:t>
      </w:r>
      <w:r>
        <w:t xml:space="preserve"> będą rozwiązania mające </w:t>
      </w:r>
      <w:r w:rsidR="00811C84">
        <w:t xml:space="preserve">na celu </w:t>
      </w:r>
      <w:r>
        <w:t>ogranicz</w:t>
      </w:r>
      <w:r w:rsidR="00811C84">
        <w:t>enie</w:t>
      </w:r>
      <w:r>
        <w:t xml:space="preserve"> cen</w:t>
      </w:r>
      <w:r w:rsidRPr="00D11EEB">
        <w:t xml:space="preserve"> energii, co jest istotne</w:t>
      </w:r>
      <w:r>
        <w:t xml:space="preserve"> z </w:t>
      </w:r>
      <w:r w:rsidRPr="00D11EEB">
        <w:t>punktu widzenia konkurencyjności gospodarki</w:t>
      </w:r>
      <w:r>
        <w:t xml:space="preserve"> i </w:t>
      </w:r>
      <w:r w:rsidRPr="00D11EEB">
        <w:t>dalszego wzrostu PKB</w:t>
      </w:r>
      <w:r>
        <w:t xml:space="preserve"> (tzn. preferowane będą technologie o najniższych jednostkowych kosztach wytwarzania, z uwzględnieniem kosztów systemowych</w:t>
      </w:r>
      <w:r w:rsidR="00811C84">
        <w:t xml:space="preserve">) </w:t>
      </w:r>
      <w:r w:rsidR="00264929">
        <w:t xml:space="preserve">przy jednoczesnym </w:t>
      </w:r>
      <w:r w:rsidR="00156479">
        <w:t>zapewni</w:t>
      </w:r>
      <w:r w:rsidR="00A032B3">
        <w:t>eniu</w:t>
      </w:r>
      <w:r w:rsidR="00156479">
        <w:t xml:space="preserve"> </w:t>
      </w:r>
      <w:r w:rsidR="00A91E60">
        <w:t>możliwie najwyższ</w:t>
      </w:r>
      <w:r w:rsidR="00A032B3">
        <w:t>ego</w:t>
      </w:r>
      <w:r w:rsidR="00A91E60">
        <w:t xml:space="preserve"> </w:t>
      </w:r>
      <w:r w:rsidR="000236D0">
        <w:t>współczynnik</w:t>
      </w:r>
      <w:r w:rsidR="00A032B3">
        <w:t>a</w:t>
      </w:r>
      <w:r w:rsidR="000236D0">
        <w:t xml:space="preserve"> </w:t>
      </w:r>
      <w:r w:rsidR="00EA71A5">
        <w:t>wykorzystania mocy zainstalowanej</w:t>
      </w:r>
      <w:r w:rsidR="00BC5E37">
        <w:t xml:space="preserve"> (</w:t>
      </w:r>
      <w:r w:rsidR="00BC5E37" w:rsidRPr="348E6815">
        <w:t>hybrydowe instalacje OZE</w:t>
      </w:r>
      <w:r w:rsidR="00BC5E37">
        <w:t xml:space="preserve"> oraz</w:t>
      </w:r>
      <w:r w:rsidR="00BC5E37" w:rsidRPr="348E6815">
        <w:t xml:space="preserve"> instalacje OZE połączone z magazynami</w:t>
      </w:r>
      <w:r w:rsidR="00BC5E37">
        <w:t>)</w:t>
      </w:r>
      <w:r w:rsidRPr="00D11EEB">
        <w:t>.</w:t>
      </w:r>
      <w:r>
        <w:t xml:space="preserve"> W </w:t>
      </w:r>
      <w:r w:rsidRPr="00D11EEB">
        <w:t xml:space="preserve">zakresie rozwoju energetyki prosumenckiej założono kontynuację systemów wsparcia takich jak: Mój </w:t>
      </w:r>
      <w:r>
        <w:t>Prąd</w:t>
      </w:r>
      <w:r w:rsidRPr="00D11EEB">
        <w:t xml:space="preserve">, Czyste </w:t>
      </w:r>
      <w:r>
        <w:t>Powietrze</w:t>
      </w:r>
      <w:r w:rsidRPr="00D11EEB">
        <w:t xml:space="preserve">, </w:t>
      </w:r>
      <w:r w:rsidR="001D0A99">
        <w:t>Program Termo</w:t>
      </w:r>
      <w:r w:rsidR="005B3826">
        <w:t xml:space="preserve"> czy</w:t>
      </w:r>
      <w:r w:rsidRPr="00D11EEB">
        <w:t xml:space="preserve"> ulga termomodernizacyjna. </w:t>
      </w:r>
      <w:r>
        <w:t>Dodatkowym</w:t>
      </w:r>
      <w:r w:rsidR="004B1104">
        <w:t>i</w:t>
      </w:r>
      <w:r>
        <w:t xml:space="preserve"> instrumentami w zakresie rozwoju OZE w</w:t>
      </w:r>
      <w:r w:rsidR="00402A35">
        <w:t> </w:t>
      </w:r>
      <w:r>
        <w:t>energetyce, które zostały przyjęt</w:t>
      </w:r>
      <w:r w:rsidR="004B1104">
        <w:t>e</w:t>
      </w:r>
      <w:r>
        <w:t xml:space="preserve"> w scenariuszu WAM, były: 1. liberalizacja tzw. ustawy odległościowej, </w:t>
      </w:r>
      <w:r w:rsidRPr="00BF0441">
        <w:t>określa</w:t>
      </w:r>
      <w:r>
        <w:t>jącej</w:t>
      </w:r>
      <w:r w:rsidRPr="00BF0441">
        <w:t xml:space="preserve"> minimalną odległość budynku mieszkalnego od turbiny wiatrowej</w:t>
      </w:r>
      <w:r>
        <w:t xml:space="preserve">. Wspomniana liberalizacja ma się przyczynić do odblokowania dodatkowego potencjału elektrowni wiatrowych na lądzie, 2. uproszczenie przepisów dotyczących wydawania pozwoleń oraz cyfryzacja tego procesu, zmiana kryteriów w przypadku aukcji z uwzględnieniem indeksacji cen, publikowanie jasnych harmonogramów aukcji oraz 10-letnich planów rozwoju energetyki wiatrowej i perspektyw na 2040 </w:t>
      </w:r>
      <w:r w:rsidR="00402A35">
        <w:t xml:space="preserve">r. </w:t>
      </w:r>
      <w:r>
        <w:t>zwiększenie niezbędnych inwestycji w porty, drogi i sieci elektroenergetyczne oraz odblokowanie inwestycji w europejskim łańcuchu dostaw dla energii wiatrowej</w:t>
      </w:r>
      <w:r w:rsidR="003E505D">
        <w:rPr>
          <w:rStyle w:val="Odwoanieprzypisudolnego"/>
        </w:rPr>
        <w:footnoteReference w:id="6"/>
      </w:r>
      <w:r>
        <w:t>.</w:t>
      </w:r>
    </w:p>
    <w:p w14:paraId="2FD3CA1C" w14:textId="77777777" w:rsidR="00EE48DE" w:rsidRDefault="00EE48DE" w:rsidP="00EE48DE">
      <w:pPr>
        <w:spacing w:after="120"/>
      </w:pPr>
      <w:r w:rsidRPr="00F85B97">
        <w:t>Obliczenia oparto na danych prezentowanych</w:t>
      </w:r>
      <w:r>
        <w:t xml:space="preserve"> w </w:t>
      </w:r>
      <w:r w:rsidRPr="00F85B97">
        <w:t>formularzach Eurostat SHARES</w:t>
      </w:r>
      <w:r>
        <w:rPr>
          <w:rStyle w:val="Odwoanieprzypisudolnego"/>
        </w:rPr>
        <w:footnoteReference w:id="7"/>
      </w:r>
      <w:r w:rsidRPr="00F85B97">
        <w:t>, wykorzystywanych do raportowania przez państwa członkowskie poziomu wykonania celów</w:t>
      </w:r>
      <w:r>
        <w:t xml:space="preserve"> w </w:t>
      </w:r>
      <w:r w:rsidRPr="00F85B97">
        <w:t>zakresie udziału OZE</w:t>
      </w:r>
      <w:r>
        <w:t xml:space="preserve">. </w:t>
      </w:r>
      <w:r w:rsidRPr="00F85B97">
        <w:t>J</w:t>
      </w:r>
      <w:r>
        <w:t>ako rok bazowy przyjęto rok 2020</w:t>
      </w:r>
      <w:r w:rsidRPr="00F85B97">
        <w:t>.</w:t>
      </w:r>
      <w:r>
        <w:t xml:space="preserve"> W </w:t>
      </w:r>
      <w:r w:rsidRPr="00F85B97">
        <w:t>sektorze transportu udział OZE obliczono zgodnie</w:t>
      </w:r>
      <w:r>
        <w:t xml:space="preserve"> z </w:t>
      </w:r>
      <w:r w:rsidRPr="00F85B97">
        <w:t>rekomendacja</w:t>
      </w:r>
      <w:r>
        <w:t>mi zawartymi w dyrektywie REDIII</w:t>
      </w:r>
      <w:r>
        <w:rPr>
          <w:rStyle w:val="Odwoanieprzypisudolnego"/>
        </w:rPr>
        <w:footnoteReference w:id="8"/>
      </w:r>
      <w:r>
        <w:t xml:space="preserve">. </w:t>
      </w:r>
    </w:p>
    <w:p w14:paraId="6AFD72CE" w14:textId="55BCD902" w:rsidR="00EE48DE" w:rsidRPr="00F85B97" w:rsidRDefault="00EE48DE" w:rsidP="00EE48DE">
      <w:r w:rsidRPr="00F85B97">
        <w:t>Do celów pracy określono przewidywane krajowe zapotrzebowanie na energię finalną brutto oraz produkcję</w:t>
      </w:r>
      <w:r>
        <w:t xml:space="preserve"> z </w:t>
      </w:r>
      <w:r w:rsidRPr="00F85B97">
        <w:t>poszczególnych jednostek wytwórczych zaliczanych do OZE. Szczegółowy opis projekcji wzrostu zapotrzebowania na energię wykorzystanej do obliczeń zawarto</w:t>
      </w:r>
      <w:r>
        <w:t xml:space="preserve"> w </w:t>
      </w:r>
      <w:r w:rsidR="00EE22F7">
        <w:t>Załączniku 3 do aKPEiK</w:t>
      </w:r>
      <w:r w:rsidRPr="00F85B97">
        <w:t>.</w:t>
      </w:r>
      <w:r>
        <w:t xml:space="preserve"> W </w:t>
      </w:r>
      <w:r w:rsidRPr="00F85B97">
        <w:t>przypadku elektrowni wodnych oraz wiatrowy</w:t>
      </w:r>
      <w:r>
        <w:t xml:space="preserve">ch, </w:t>
      </w:r>
      <w:r w:rsidRPr="00F85B97">
        <w:t>wartości dotyczące produkcji są wielkościami znormalizowanymi zgodnie</w:t>
      </w:r>
      <w:r>
        <w:t xml:space="preserve"> z </w:t>
      </w:r>
      <w:r w:rsidRPr="00F85B97">
        <w:t>metodyką rekomendowaną przez Eurostat.</w:t>
      </w:r>
      <w:r>
        <w:t xml:space="preserve"> W </w:t>
      </w:r>
      <w:r w:rsidRPr="00F85B97">
        <w:t>przypadku elektrowni wodnych normalizacja polega na korekcji poziomu produkcji</w:t>
      </w:r>
      <w:r>
        <w:t xml:space="preserve"> w </w:t>
      </w:r>
      <w:r w:rsidRPr="00F85B97">
        <w:t>oparciu</w:t>
      </w:r>
      <w:r>
        <w:t xml:space="preserve"> o </w:t>
      </w:r>
      <w:r w:rsidRPr="00F85B97">
        <w:t>uśredniony na przestrzeni ostatnich 15 lat wskaźnik wykorzystania mocy zainstalowanej.</w:t>
      </w:r>
      <w:r>
        <w:t xml:space="preserve"> W </w:t>
      </w:r>
      <w:r w:rsidRPr="00F85B97">
        <w:t xml:space="preserve">odniesieniu do elektrowni wiatrowych zastosowano analogiczną metodę, </w:t>
      </w:r>
      <w:r>
        <w:t>ale z </w:t>
      </w:r>
      <w:r w:rsidRPr="00F85B97">
        <w:t>wykorzystaniem średniej</w:t>
      </w:r>
      <w:r>
        <w:t xml:space="preserve"> z </w:t>
      </w:r>
      <w:r w:rsidRPr="00F85B97">
        <w:t xml:space="preserve">okresu 5 lat. </w:t>
      </w:r>
    </w:p>
    <w:p w14:paraId="182A327D" w14:textId="4AB13758" w:rsidR="00055695" w:rsidRPr="00F85B97" w:rsidRDefault="005C4144" w:rsidP="005704C5">
      <w:r w:rsidRPr="00F85B97">
        <w:t xml:space="preserve">W tabelach </w:t>
      </w:r>
      <w:r>
        <w:t>(</w:t>
      </w:r>
      <w:r w:rsidR="003E0357">
        <w:fldChar w:fldCharType="begin"/>
      </w:r>
      <w:r w:rsidR="003E0357">
        <w:instrText xml:space="preserve"> REF _Ref195870887 \h </w:instrText>
      </w:r>
      <w:r w:rsidR="005704C5">
        <w:instrText xml:space="preserve"> \* MERGEFORMAT </w:instrText>
      </w:r>
      <w:r w:rsidR="003E0357">
        <w:fldChar w:fldCharType="separate"/>
      </w:r>
      <w:r w:rsidR="00F27D6F">
        <w:t xml:space="preserve">Tabela </w:t>
      </w:r>
      <w:r w:rsidR="00F27D6F">
        <w:rPr>
          <w:noProof/>
        </w:rPr>
        <w:t>1</w:t>
      </w:r>
      <w:r w:rsidR="00F27D6F">
        <w:t>.</w:t>
      </w:r>
      <w:r w:rsidR="00F27D6F">
        <w:rPr>
          <w:noProof/>
        </w:rPr>
        <w:t>23</w:t>
      </w:r>
      <w:r w:rsidR="003E0357">
        <w:fldChar w:fldCharType="end"/>
      </w:r>
      <w:r w:rsidR="009E7871">
        <w:t>;</w:t>
      </w:r>
      <w:r>
        <w:t xml:space="preserve"> </w:t>
      </w:r>
      <w:r w:rsidR="00AB67C1">
        <w:fldChar w:fldCharType="begin"/>
      </w:r>
      <w:r w:rsidR="00AB67C1">
        <w:instrText xml:space="preserve"> REF _Ref195870862 \h </w:instrText>
      </w:r>
      <w:r w:rsidR="005704C5">
        <w:instrText xml:space="preserve"> \* MERGEFORMAT </w:instrText>
      </w:r>
      <w:r w:rsidR="00AB67C1">
        <w:fldChar w:fldCharType="separate"/>
      </w:r>
      <w:r w:rsidR="00F27D6F">
        <w:t xml:space="preserve">Tabela </w:t>
      </w:r>
      <w:r w:rsidR="00F27D6F">
        <w:rPr>
          <w:noProof/>
        </w:rPr>
        <w:t>1</w:t>
      </w:r>
      <w:r w:rsidR="00F27D6F">
        <w:t>.</w:t>
      </w:r>
      <w:r w:rsidR="00F27D6F">
        <w:rPr>
          <w:noProof/>
        </w:rPr>
        <w:t>24</w:t>
      </w:r>
      <w:r w:rsidR="00AB67C1">
        <w:fldChar w:fldCharType="end"/>
      </w:r>
      <w:r w:rsidR="00AB67C1">
        <w:t>;</w:t>
      </w:r>
      <w:r>
        <w:t xml:space="preserve"> </w:t>
      </w:r>
      <w:r w:rsidR="00E7203A">
        <w:fldChar w:fldCharType="begin"/>
      </w:r>
      <w:r w:rsidR="00E7203A">
        <w:instrText xml:space="preserve"> REF _Ref195870836 \h </w:instrText>
      </w:r>
      <w:r w:rsidR="005704C5">
        <w:instrText xml:space="preserve"> \* MERGEFORMAT </w:instrText>
      </w:r>
      <w:r w:rsidR="00E7203A">
        <w:fldChar w:fldCharType="separate"/>
      </w:r>
      <w:r w:rsidR="00F27D6F">
        <w:t xml:space="preserve">Tabela </w:t>
      </w:r>
      <w:r w:rsidR="00F27D6F">
        <w:rPr>
          <w:noProof/>
        </w:rPr>
        <w:t>1</w:t>
      </w:r>
      <w:r w:rsidR="00F27D6F">
        <w:t>.</w:t>
      </w:r>
      <w:r w:rsidR="00F27D6F">
        <w:rPr>
          <w:noProof/>
        </w:rPr>
        <w:t>25</w:t>
      </w:r>
      <w:r w:rsidR="00E7203A">
        <w:fldChar w:fldCharType="end"/>
      </w:r>
      <w:r>
        <w:t xml:space="preserve">) </w:t>
      </w:r>
      <w:r w:rsidR="00055695" w:rsidRPr="00F85B97">
        <w:t>zaprezentowano krajowe</w:t>
      </w:r>
      <w:r w:rsidR="00055695">
        <w:t xml:space="preserve"> i </w:t>
      </w:r>
      <w:r w:rsidR="00055695" w:rsidRPr="00F85B97">
        <w:t>sektorowe prognozy udziału OZE, wynikające</w:t>
      </w:r>
      <w:r w:rsidR="00055695">
        <w:t xml:space="preserve"> z </w:t>
      </w:r>
      <w:r w:rsidR="00055695" w:rsidRPr="00F85B97">
        <w:t>opisanych powyżej założeń</w:t>
      </w:r>
      <w:r w:rsidR="00055695">
        <w:t>.</w:t>
      </w:r>
      <w:r w:rsidR="00055695" w:rsidRPr="00F85B97">
        <w:t xml:space="preserve"> </w:t>
      </w:r>
    </w:p>
    <w:p w14:paraId="15A0B204" w14:textId="05390AF5" w:rsidR="00055695" w:rsidRDefault="00055695" w:rsidP="00055695">
      <w:r w:rsidRPr="00F85B97">
        <w:t>Optymalizacja kosztowa,</w:t>
      </w:r>
      <w:r>
        <w:t xml:space="preserve"> a </w:t>
      </w:r>
      <w:r w:rsidRPr="00F85B97">
        <w:t xml:space="preserve">także analiza możliwości rozwojowych, wskazuje na możliwy do osiągnięcia </w:t>
      </w:r>
      <w:r w:rsidRPr="00BB3283">
        <w:rPr>
          <w:b/>
        </w:rPr>
        <w:t>poziom udziału OZE</w:t>
      </w:r>
      <w:r>
        <w:rPr>
          <w:b/>
        </w:rPr>
        <w:t xml:space="preserve"> w </w:t>
      </w:r>
      <w:r w:rsidRPr="00BB3283">
        <w:rPr>
          <w:b/>
        </w:rPr>
        <w:t>finalnym zużyciu energii finalnej brutto</w:t>
      </w:r>
      <w:r>
        <w:rPr>
          <w:b/>
        </w:rPr>
        <w:t xml:space="preserve"> w </w:t>
      </w:r>
      <w:r w:rsidRPr="00BB3283">
        <w:rPr>
          <w:b/>
        </w:rPr>
        <w:t>2030</w:t>
      </w:r>
      <w:r>
        <w:rPr>
          <w:b/>
        </w:rPr>
        <w:t> r. do 32</w:t>
      </w:r>
      <w:r w:rsidRPr="00BB3283">
        <w:rPr>
          <w:b/>
        </w:rPr>
        <w:t>%,</w:t>
      </w:r>
      <w:r>
        <w:rPr>
          <w:b/>
        </w:rPr>
        <w:t xml:space="preserve"> </w:t>
      </w:r>
      <w:r w:rsidR="00DE44E6">
        <w:rPr>
          <w:b/>
        </w:rPr>
        <w:t xml:space="preserve">zaś </w:t>
      </w:r>
      <w:r>
        <w:rPr>
          <w:b/>
        </w:rPr>
        <w:t>w </w:t>
      </w:r>
      <w:r w:rsidRPr="00BB3283">
        <w:rPr>
          <w:b/>
        </w:rPr>
        <w:t>2040</w:t>
      </w:r>
      <w:r>
        <w:rPr>
          <w:b/>
        </w:rPr>
        <w:t xml:space="preserve"> r. do </w:t>
      </w:r>
      <w:r w:rsidR="00683AF9">
        <w:rPr>
          <w:b/>
        </w:rPr>
        <w:t xml:space="preserve">blisko </w:t>
      </w:r>
      <w:r>
        <w:rPr>
          <w:b/>
        </w:rPr>
        <w:t>62%</w:t>
      </w:r>
      <w:r w:rsidR="00551CD4">
        <w:rPr>
          <w:b/>
        </w:rPr>
        <w:t xml:space="preserve">. </w:t>
      </w:r>
      <w:r>
        <w:t>Udział OZE wzrasta dynamicznie we wszystkich sektorach - elektroenergetycznym, ciepłowniczym i transportowym</w:t>
      </w:r>
      <w:r w:rsidRPr="00F85B97">
        <w:t xml:space="preserve">. </w:t>
      </w:r>
    </w:p>
    <w:p w14:paraId="0EA58661" w14:textId="6AAC12D3" w:rsidR="005C4144" w:rsidRDefault="00EB7C7A" w:rsidP="00055695">
      <w:r>
        <w:rPr>
          <w:noProof/>
          <w:lang w:eastAsia="pl-PL"/>
        </w:rPr>
        <w:drawing>
          <wp:anchor distT="0" distB="0" distL="114300" distR="114300" simplePos="0" relativeHeight="251658252" behindDoc="0" locked="0" layoutInCell="1" allowOverlap="1" wp14:anchorId="3396F6F1" wp14:editId="13AA74E5">
            <wp:simplePos x="0" y="0"/>
            <wp:positionH relativeFrom="margin">
              <wp:align>left</wp:align>
            </wp:positionH>
            <wp:positionV relativeFrom="paragraph">
              <wp:posOffset>269240</wp:posOffset>
            </wp:positionV>
            <wp:extent cx="6000750" cy="3180080"/>
            <wp:effectExtent l="0" t="0" r="0" b="1270"/>
            <wp:wrapTight wrapText="bothSides">
              <wp:wrapPolygon edited="0">
                <wp:start x="0" y="0"/>
                <wp:lineTo x="0" y="21479"/>
                <wp:lineTo x="21531" y="21479"/>
                <wp:lineTo x="21531" y="0"/>
                <wp:lineTo x="0" y="0"/>
              </wp:wrapPolygon>
            </wp:wrapTight>
            <wp:docPr id="1165541681" name="Wykres 1">
              <a:extLst xmlns:a="http://schemas.openxmlformats.org/drawingml/2006/main">
                <a:ext uri="{FF2B5EF4-FFF2-40B4-BE49-F238E27FC236}">
                  <a16:creationId xmlns:a16="http://schemas.microsoft.com/office/drawing/2014/main" id="{C286D2E5-109D-486F-8824-835FAFAB6D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F20FF8A" w14:textId="266681F6" w:rsidR="005C4144" w:rsidRPr="00B0477A" w:rsidRDefault="005C4144" w:rsidP="005C4144">
      <w:pPr>
        <w:pStyle w:val="Legenda"/>
      </w:pPr>
      <w:bookmarkStart w:id="196" w:name="_Toc171587262"/>
      <w:bookmarkStart w:id="197" w:name="_Toc174711029"/>
      <w:bookmarkStart w:id="198" w:name="_Toc202967035"/>
      <w:r w:rsidRPr="00B0477A">
        <w:t xml:space="preserve">Rysunek </w:t>
      </w:r>
      <w:r>
        <w:rPr>
          <w:noProof/>
        </w:rPr>
        <w:fldChar w:fldCharType="begin"/>
      </w:r>
      <w:r>
        <w:rPr>
          <w:noProof/>
        </w:rPr>
        <w:instrText xml:space="preserve"> STYLEREF 1 \s </w:instrText>
      </w:r>
      <w:r>
        <w:rPr>
          <w:noProof/>
        </w:rPr>
        <w:fldChar w:fldCharType="separate"/>
      </w:r>
      <w:r w:rsidR="00F27D6F">
        <w:rPr>
          <w:noProof/>
        </w:rPr>
        <w:t>1</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5</w:t>
      </w:r>
      <w:r>
        <w:rPr>
          <w:noProof/>
        </w:rPr>
        <w:fldChar w:fldCharType="end"/>
      </w:r>
      <w:r w:rsidRPr="00B0477A">
        <w:t>. Udział OZE</w:t>
      </w:r>
      <w:r>
        <w:t xml:space="preserve"> w </w:t>
      </w:r>
      <w:r w:rsidR="00335A9D">
        <w:t xml:space="preserve">zużyciu </w:t>
      </w:r>
      <w:r w:rsidR="00C20C56">
        <w:t xml:space="preserve">końcowym </w:t>
      </w:r>
      <w:r w:rsidR="00335A9D">
        <w:t>energii</w:t>
      </w:r>
      <w:r w:rsidRPr="00B0477A">
        <w:t xml:space="preserve"> brutto oraz</w:t>
      </w:r>
      <w:r>
        <w:t xml:space="preserve"> w </w:t>
      </w:r>
      <w:r w:rsidRPr="00B0477A">
        <w:t>poszczególnych sektorach gospodarki</w:t>
      </w:r>
      <w:bookmarkEnd w:id="196"/>
      <w:bookmarkEnd w:id="197"/>
      <w:bookmarkEnd w:id="198"/>
    </w:p>
    <w:p w14:paraId="5F00CA56" w14:textId="77777777" w:rsidR="00D47FB6" w:rsidRDefault="00D47FB6" w:rsidP="005C4144">
      <w:pPr>
        <w:rPr>
          <w:b/>
        </w:rPr>
      </w:pPr>
    </w:p>
    <w:p w14:paraId="2FF85C33" w14:textId="1D109533" w:rsidR="005C4144" w:rsidRDefault="000159E5" w:rsidP="005C4144">
      <w:r w:rsidRPr="000C325C">
        <w:rPr>
          <w:b/>
        </w:rPr>
        <w:t>W sektorze elektroenergetycznym, w okresie 2020-2030, udział OZE rośnie z poziomu 16,2% do 52% w 2030 r.</w:t>
      </w:r>
      <w:r w:rsidRPr="00D46516">
        <w:t xml:space="preserve"> Głównym motorem tego wzrostu są technologie wiatrowe i słoneczne </w:t>
      </w:r>
      <w:r w:rsidR="00781F2B">
        <w:t>(</w:t>
      </w:r>
      <w:r w:rsidR="002E4DAC">
        <w:fldChar w:fldCharType="begin"/>
      </w:r>
      <w:r w:rsidR="002E4DAC">
        <w:instrText xml:space="preserve"> REF _Ref195870887 \h </w:instrText>
      </w:r>
      <w:r w:rsidR="002E4DAC">
        <w:fldChar w:fldCharType="separate"/>
      </w:r>
      <w:r w:rsidR="00F27D6F">
        <w:t xml:space="preserve">Tabela </w:t>
      </w:r>
      <w:r w:rsidR="00F27D6F">
        <w:rPr>
          <w:noProof/>
        </w:rPr>
        <w:t>1</w:t>
      </w:r>
      <w:r w:rsidR="00F27D6F">
        <w:t>.</w:t>
      </w:r>
      <w:r w:rsidR="00F27D6F">
        <w:rPr>
          <w:noProof/>
        </w:rPr>
        <w:t>23</w:t>
      </w:r>
      <w:r w:rsidR="002E4DAC">
        <w:fldChar w:fldCharType="end"/>
      </w:r>
      <w:r w:rsidR="00781F2B">
        <w:t xml:space="preserve">, </w:t>
      </w:r>
      <w:r w:rsidR="00781F2B">
        <w:fldChar w:fldCharType="begin"/>
      </w:r>
      <w:r w:rsidR="00781F2B">
        <w:instrText xml:space="preserve"> REF _Ref160179768 \h </w:instrText>
      </w:r>
      <w:r w:rsidR="00781F2B">
        <w:fldChar w:fldCharType="separate"/>
      </w:r>
      <w:r w:rsidR="00F27D6F">
        <w:t xml:space="preserve">Rysunek </w:t>
      </w:r>
      <w:r w:rsidR="00F27D6F">
        <w:rPr>
          <w:noProof/>
        </w:rPr>
        <w:t>1</w:t>
      </w:r>
      <w:r w:rsidR="00F27D6F">
        <w:t>.</w:t>
      </w:r>
      <w:r w:rsidR="00F27D6F">
        <w:rPr>
          <w:noProof/>
        </w:rPr>
        <w:t>6</w:t>
      </w:r>
      <w:r w:rsidR="00781F2B">
        <w:fldChar w:fldCharType="end"/>
      </w:r>
      <w:r w:rsidR="00781F2B" w:rsidRPr="00B66B76">
        <w:t>).</w:t>
      </w:r>
      <w:r w:rsidR="00781F2B">
        <w:t xml:space="preserve"> </w:t>
      </w:r>
    </w:p>
    <w:p w14:paraId="65F5EF29" w14:textId="16EFA5F0" w:rsidR="005C4144" w:rsidRDefault="00A34AB7" w:rsidP="005C4144">
      <w:pPr>
        <w:keepNext/>
      </w:pPr>
      <w:r w:rsidRPr="00A34AB7">
        <w:rPr>
          <w:noProof/>
        </w:rPr>
        <w:t xml:space="preserve"> </w:t>
      </w:r>
      <w:r w:rsidR="00B5033E">
        <w:rPr>
          <w:noProof/>
          <w:lang w:eastAsia="pl-PL"/>
        </w:rPr>
        <w:drawing>
          <wp:inline distT="0" distB="0" distL="0" distR="0" wp14:anchorId="02BDB151" wp14:editId="30382CA1">
            <wp:extent cx="6346190" cy="3277590"/>
            <wp:effectExtent l="0" t="0" r="0" b="0"/>
            <wp:docPr id="1372769913" name="Wykres 1">
              <a:extLst xmlns:a="http://schemas.openxmlformats.org/drawingml/2006/main">
                <a:ext uri="{FF2B5EF4-FFF2-40B4-BE49-F238E27FC236}">
                  <a16:creationId xmlns:a16="http://schemas.microsoft.com/office/drawing/2014/main" id="{00000000-0008-0000-1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6E4E18C" w14:textId="54D17C74" w:rsidR="005C4144" w:rsidRDefault="005C4144" w:rsidP="005C4144">
      <w:pPr>
        <w:pStyle w:val="Legenda"/>
      </w:pPr>
      <w:bookmarkStart w:id="199" w:name="_Ref158371493"/>
      <w:bookmarkStart w:id="200" w:name="_Ref160179768"/>
      <w:bookmarkStart w:id="201" w:name="_Toc171587263"/>
      <w:bookmarkStart w:id="202" w:name="_Toc174711030"/>
      <w:bookmarkStart w:id="203" w:name="_Toc202967036"/>
      <w:r>
        <w:t xml:space="preserve">Rysunek </w:t>
      </w:r>
      <w:r>
        <w:rPr>
          <w:noProof/>
        </w:rPr>
        <w:fldChar w:fldCharType="begin"/>
      </w:r>
      <w:r>
        <w:rPr>
          <w:noProof/>
        </w:rPr>
        <w:instrText xml:space="preserve"> STYLEREF 1 \s </w:instrText>
      </w:r>
      <w:r>
        <w:rPr>
          <w:noProof/>
        </w:rPr>
        <w:fldChar w:fldCharType="separate"/>
      </w:r>
      <w:r w:rsidR="00F27D6F">
        <w:rPr>
          <w:noProof/>
        </w:rPr>
        <w:t>1</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6</w:t>
      </w:r>
      <w:r>
        <w:rPr>
          <w:noProof/>
        </w:rPr>
        <w:fldChar w:fldCharType="end"/>
      </w:r>
      <w:bookmarkEnd w:id="199"/>
      <w:bookmarkEnd w:id="200"/>
      <w:r>
        <w:t xml:space="preserve">. </w:t>
      </w:r>
      <w:r w:rsidRPr="007E54E6">
        <w:t>Produkcja energii elektrycznej</w:t>
      </w:r>
      <w:r>
        <w:t xml:space="preserve"> z </w:t>
      </w:r>
      <w:r w:rsidRPr="007E54E6">
        <w:t>OZE</w:t>
      </w:r>
      <w:r>
        <w:t xml:space="preserve"> w </w:t>
      </w:r>
      <w:r w:rsidRPr="007E54E6">
        <w:t>podziale na technologie - sektor elektroenergetyczny [ktoe]</w:t>
      </w:r>
      <w:bookmarkEnd w:id="201"/>
      <w:bookmarkEnd w:id="202"/>
      <w:bookmarkEnd w:id="203"/>
    </w:p>
    <w:p w14:paraId="35AD6FAF" w14:textId="77777777" w:rsidR="005C4144" w:rsidRDefault="005C4144" w:rsidP="005C4144">
      <w:pPr>
        <w:pStyle w:val="adnotacje"/>
      </w:pPr>
      <w:r>
        <w:t>* wartości znormalizowane</w:t>
      </w:r>
    </w:p>
    <w:p w14:paraId="298448BF" w14:textId="77777777" w:rsidR="00B61C83" w:rsidRDefault="00B61C83" w:rsidP="005C4144">
      <w:pPr>
        <w:pStyle w:val="adnotacje"/>
      </w:pPr>
    </w:p>
    <w:p w14:paraId="11114397" w14:textId="2CD9C0F5" w:rsidR="00463848" w:rsidRDefault="00720621" w:rsidP="000779C8">
      <w:r w:rsidRPr="00F85B97">
        <w:t>W sektorze ciepłownictwa</w:t>
      </w:r>
      <w:r>
        <w:t xml:space="preserve"> i </w:t>
      </w:r>
      <w:r w:rsidRPr="00F85B97">
        <w:t>chłodnictwa</w:t>
      </w:r>
      <w:r w:rsidR="001E16EE">
        <w:t xml:space="preserve"> (</w:t>
      </w:r>
      <w:r w:rsidR="003A3CBB">
        <w:t xml:space="preserve">obejmującego ciepło/chłód </w:t>
      </w:r>
      <w:r w:rsidR="001B4425">
        <w:t>systemowe</w:t>
      </w:r>
      <w:r w:rsidR="00D63FB3">
        <w:t xml:space="preserve"> oraz indywidualneg</w:t>
      </w:r>
      <w:r w:rsidR="003A3CBB">
        <w:t>)</w:t>
      </w:r>
      <w:r w:rsidRPr="00F85B97">
        <w:t xml:space="preserve">, gdzie występuje stosunkowo duży potencjał, </w:t>
      </w:r>
      <w:r>
        <w:t>udział OZE rośnie z </w:t>
      </w:r>
      <w:r w:rsidRPr="00E6338E">
        <w:rPr>
          <w:b/>
        </w:rPr>
        <w:t>22,1</w:t>
      </w:r>
      <w:r>
        <w:rPr>
          <w:b/>
        </w:rPr>
        <w:t>% w 2020 r. do niecałych 37</w:t>
      </w:r>
      <w:r w:rsidRPr="00E6338E">
        <w:rPr>
          <w:b/>
        </w:rPr>
        <w:t>%</w:t>
      </w:r>
      <w:r>
        <w:rPr>
          <w:b/>
        </w:rPr>
        <w:t xml:space="preserve"> w </w:t>
      </w:r>
      <w:r w:rsidRPr="00E6338E">
        <w:rPr>
          <w:b/>
        </w:rPr>
        <w:t>2030</w:t>
      </w:r>
      <w:r>
        <w:rPr>
          <w:b/>
        </w:rPr>
        <w:t> r.</w:t>
      </w:r>
      <w:r>
        <w:t xml:space="preserve"> </w:t>
      </w:r>
      <w:r w:rsidR="005C4144">
        <w:t>(</w:t>
      </w:r>
      <w:r w:rsidR="005A3626">
        <w:fldChar w:fldCharType="begin"/>
      </w:r>
      <w:r w:rsidR="005A3626">
        <w:instrText xml:space="preserve"> REF _Ref195870887 \h </w:instrText>
      </w:r>
      <w:r w:rsidR="005A3626">
        <w:fldChar w:fldCharType="separate"/>
      </w:r>
      <w:r w:rsidR="00F27D6F">
        <w:t xml:space="preserve">Tabela </w:t>
      </w:r>
      <w:r w:rsidR="00F27D6F">
        <w:rPr>
          <w:noProof/>
        </w:rPr>
        <w:t>1</w:t>
      </w:r>
      <w:r w:rsidR="00F27D6F">
        <w:t>.</w:t>
      </w:r>
      <w:r w:rsidR="00F27D6F">
        <w:rPr>
          <w:noProof/>
        </w:rPr>
        <w:t>23</w:t>
      </w:r>
      <w:r w:rsidR="005A3626">
        <w:fldChar w:fldCharType="end"/>
      </w:r>
      <w:r w:rsidR="005C4144">
        <w:t xml:space="preserve">, </w:t>
      </w:r>
      <w:r w:rsidR="005C4144">
        <w:fldChar w:fldCharType="begin"/>
      </w:r>
      <w:r w:rsidR="005C4144">
        <w:instrText xml:space="preserve"> REF _Ref158371521 \h </w:instrText>
      </w:r>
      <w:r w:rsidR="005C4144">
        <w:fldChar w:fldCharType="separate"/>
      </w:r>
      <w:r w:rsidR="00F27D6F">
        <w:t xml:space="preserve">Rysunek </w:t>
      </w:r>
      <w:r w:rsidR="00F27D6F">
        <w:rPr>
          <w:noProof/>
        </w:rPr>
        <w:t>1</w:t>
      </w:r>
      <w:r w:rsidR="00F27D6F">
        <w:t>.</w:t>
      </w:r>
      <w:r w:rsidR="00F27D6F">
        <w:rPr>
          <w:noProof/>
        </w:rPr>
        <w:t>7</w:t>
      </w:r>
      <w:r w:rsidR="005C4144">
        <w:fldChar w:fldCharType="end"/>
      </w:r>
      <w:r w:rsidR="008C5C0D">
        <w:t>)</w:t>
      </w:r>
      <w:r w:rsidR="000779C8" w:rsidRPr="000779C8">
        <w:t xml:space="preserve"> </w:t>
      </w:r>
      <w:r w:rsidR="000779C8">
        <w:t xml:space="preserve">ale osiągnięcie wskazanych w analizie wartości będzie wymagało skierowania znacznie większego niż do tej pory strumienia środków na </w:t>
      </w:r>
      <w:r w:rsidR="000779C8" w:rsidRPr="00946DB3">
        <w:t>transformację. Ciepłownictwo systemowe jest</w:t>
      </w:r>
      <w:r w:rsidR="00500FBE" w:rsidRPr="00946DB3">
        <w:t xml:space="preserve"> sektorem</w:t>
      </w:r>
      <w:r w:rsidR="000779C8" w:rsidRPr="00946DB3">
        <w:t xml:space="preserve"> o podstawowym znaczeniu dla społeczeństwa w polskich warunkach klimatycznych (zaspokaja ok. 1/4 zapotrzebowania na ciepło w Polsce).</w:t>
      </w:r>
      <w:r w:rsidR="00885E8F" w:rsidRPr="00946DB3">
        <w:t xml:space="preserve"> </w:t>
      </w:r>
      <w:r w:rsidR="00AB192D" w:rsidRPr="00946DB3">
        <w:t>J</w:t>
      </w:r>
      <w:r w:rsidR="00E62874" w:rsidRPr="00946DB3">
        <w:t xml:space="preserve">ego </w:t>
      </w:r>
      <w:r w:rsidR="00885E8F" w:rsidRPr="00946DB3">
        <w:t xml:space="preserve">transformacja </w:t>
      </w:r>
      <w:r w:rsidR="00490E36" w:rsidRPr="00946DB3">
        <w:t xml:space="preserve">w kierunku rozwiązań nisko- i bezemisyjnych </w:t>
      </w:r>
      <w:r w:rsidR="007602A0" w:rsidRPr="00946DB3">
        <w:t>jest w związku z tym</w:t>
      </w:r>
      <w:r w:rsidR="00080451" w:rsidRPr="00946DB3">
        <w:t>,</w:t>
      </w:r>
      <w:r w:rsidR="00490E36" w:rsidRPr="00946DB3">
        <w:t xml:space="preserve"> jednym </w:t>
      </w:r>
      <w:r w:rsidR="00873D4C" w:rsidRPr="00946DB3">
        <w:t xml:space="preserve">z kluczowych </w:t>
      </w:r>
      <w:r w:rsidR="00BA7464" w:rsidRPr="00946DB3">
        <w:t>elementów procesu dekarbonizacji</w:t>
      </w:r>
      <w:r w:rsidR="00287DBF" w:rsidRPr="00946DB3">
        <w:t>. Szczególne znaczenie mają tu</w:t>
      </w:r>
      <w:r w:rsidR="00251611" w:rsidRPr="00946DB3">
        <w:t xml:space="preserve"> elektryfikacja systemów ciepłowniczych</w:t>
      </w:r>
      <w:r w:rsidR="00656835" w:rsidRPr="00946DB3">
        <w:t xml:space="preserve"> (m.in. poprzez wykorzystanie pomp ciepła)</w:t>
      </w:r>
      <w:r w:rsidR="00D26074" w:rsidRPr="00946DB3">
        <w:t xml:space="preserve"> </w:t>
      </w:r>
      <w:r w:rsidR="009A2B60">
        <w:t xml:space="preserve">i </w:t>
      </w:r>
      <w:r w:rsidR="00D26074" w:rsidRPr="00946DB3">
        <w:t xml:space="preserve">rozwój niskotemperaturowych </w:t>
      </w:r>
      <w:r w:rsidR="009D781A" w:rsidRPr="00946DB3">
        <w:t>sieci ciepłowniczych</w:t>
      </w:r>
      <w:r w:rsidR="009A2B60">
        <w:t xml:space="preserve">. </w:t>
      </w:r>
      <w:r w:rsidR="00977EAD">
        <w:t>Ważną rolę</w:t>
      </w:r>
      <w:r w:rsidR="00BA2E0E">
        <w:t xml:space="preserve"> </w:t>
      </w:r>
      <w:r w:rsidR="004309B9">
        <w:t>odegrają również</w:t>
      </w:r>
      <w:r w:rsidR="0029200A" w:rsidRPr="00946DB3">
        <w:t xml:space="preserve"> magazyn</w:t>
      </w:r>
      <w:r w:rsidR="004309B9">
        <w:t>y</w:t>
      </w:r>
      <w:r w:rsidR="0029200A" w:rsidRPr="00946DB3">
        <w:t xml:space="preserve"> ciepła</w:t>
      </w:r>
      <w:r w:rsidR="007A2D3D">
        <w:t xml:space="preserve">, których </w:t>
      </w:r>
      <w:r w:rsidR="00817654">
        <w:t>rosnąca pojemność</w:t>
      </w:r>
      <w:r w:rsidR="00F162B7">
        <w:t xml:space="preserve"> </w:t>
      </w:r>
      <w:r w:rsidR="005B4708">
        <w:t xml:space="preserve">przedstawiona </w:t>
      </w:r>
      <w:r w:rsidR="00C51F0E">
        <w:t>została</w:t>
      </w:r>
      <w:r w:rsidR="005B4708">
        <w:t xml:space="preserve"> w tabeli poniżej (</w:t>
      </w:r>
      <w:r w:rsidR="00A23262">
        <w:fldChar w:fldCharType="begin"/>
      </w:r>
      <w:r w:rsidR="00A23262">
        <w:instrText xml:space="preserve"> REF _Ref198300203 \h </w:instrText>
      </w:r>
      <w:r w:rsidR="00A23262">
        <w:fldChar w:fldCharType="separate"/>
      </w:r>
      <w:r w:rsidR="00F27D6F">
        <w:t xml:space="preserve">Tabela </w:t>
      </w:r>
      <w:r w:rsidR="00F27D6F">
        <w:rPr>
          <w:noProof/>
        </w:rPr>
        <w:t>1</w:t>
      </w:r>
      <w:r w:rsidR="00F27D6F">
        <w:t>.</w:t>
      </w:r>
      <w:r w:rsidR="00F27D6F">
        <w:rPr>
          <w:noProof/>
        </w:rPr>
        <w:t>22</w:t>
      </w:r>
      <w:r w:rsidR="00A23262">
        <w:fldChar w:fldCharType="end"/>
      </w:r>
      <w:r w:rsidR="005B4708">
        <w:t>)</w:t>
      </w:r>
      <w:r w:rsidR="0029200A" w:rsidRPr="00946DB3">
        <w:t>.</w:t>
      </w:r>
      <w:r w:rsidR="00AA23D2" w:rsidRPr="00946DB3">
        <w:t xml:space="preserve"> </w:t>
      </w:r>
      <w:r w:rsidR="00D5502A">
        <w:t>Wdrażanie powyższych rozwiązań</w:t>
      </w:r>
      <w:r w:rsidR="00AA23D2" w:rsidRPr="00946DB3">
        <w:t xml:space="preserve"> </w:t>
      </w:r>
      <w:r w:rsidR="00AC2C68" w:rsidRPr="00946DB3">
        <w:t xml:space="preserve">będzie </w:t>
      </w:r>
      <w:r w:rsidR="00AA23D2" w:rsidRPr="00946DB3">
        <w:t>sprzyja</w:t>
      </w:r>
      <w:r w:rsidR="00AC2C68" w:rsidRPr="00946DB3">
        <w:t>ło</w:t>
      </w:r>
      <w:r w:rsidR="00751301" w:rsidRPr="00946DB3">
        <w:t xml:space="preserve"> </w:t>
      </w:r>
      <w:r w:rsidR="00C82EBB" w:rsidRPr="00946DB3">
        <w:t>lepszej integracji sektorów</w:t>
      </w:r>
      <w:r w:rsidR="00D70204" w:rsidRPr="00946DB3">
        <w:t xml:space="preserve"> energii elektrycznej i ciepła (tzw. sector coupling)</w:t>
      </w:r>
      <w:r w:rsidR="005679A8" w:rsidRPr="00946DB3">
        <w:t xml:space="preserve">, </w:t>
      </w:r>
      <w:r w:rsidR="001A59A6" w:rsidRPr="00946DB3">
        <w:t>wspierając</w:t>
      </w:r>
      <w:r w:rsidR="005679A8" w:rsidRPr="00946DB3">
        <w:t xml:space="preserve"> </w:t>
      </w:r>
      <w:r w:rsidR="0086568D" w:rsidRPr="00946DB3">
        <w:t xml:space="preserve">bilansowanie systemu i efektywne wykorzystanie </w:t>
      </w:r>
      <w:r w:rsidR="004A10EF" w:rsidRPr="00946DB3">
        <w:t>OZE</w:t>
      </w:r>
      <w:r w:rsidR="00071C36" w:rsidRPr="00946DB3">
        <w:t>. Mimo wyzwań inwestycyjnych</w:t>
      </w:r>
      <w:r w:rsidR="00AB2055" w:rsidRPr="00946DB3">
        <w:t>, modernizacja ciepłownictwa</w:t>
      </w:r>
      <w:r w:rsidR="00372A13" w:rsidRPr="00946DB3">
        <w:t xml:space="preserve"> może stać się szansą na zwiększenie jego </w:t>
      </w:r>
      <w:r w:rsidR="0059149A" w:rsidRPr="00946DB3">
        <w:t>elastyczności i konkurencyjności w dłuższej perspektywie</w:t>
      </w:r>
      <w:r w:rsidR="00220B88" w:rsidRPr="00946DB3">
        <w:t>.</w:t>
      </w:r>
      <w:r w:rsidR="00352E18" w:rsidRPr="00946DB3">
        <w:t xml:space="preserve"> </w:t>
      </w:r>
    </w:p>
    <w:p w14:paraId="5FB85698" w14:textId="655FA5EE" w:rsidR="009B1646" w:rsidRDefault="009B1646" w:rsidP="009B1646">
      <w:pPr>
        <w:pStyle w:val="Legenda"/>
        <w:keepNext/>
      </w:pPr>
      <w:bookmarkStart w:id="204" w:name="_Ref198300203"/>
      <w:bookmarkStart w:id="205" w:name="_Toc202966967"/>
      <w:r>
        <w:t xml:space="preserve">Tabela </w:t>
      </w:r>
      <w:r>
        <w:rPr>
          <w:noProof/>
        </w:rPr>
        <w:fldChar w:fldCharType="begin"/>
      </w:r>
      <w:r>
        <w:rPr>
          <w:noProof/>
        </w:rPr>
        <w:instrText xml:space="preserve"> STYLEREF 1 \s </w:instrText>
      </w:r>
      <w:r>
        <w:rPr>
          <w:noProof/>
        </w:rPr>
        <w:fldChar w:fldCharType="separate"/>
      </w:r>
      <w:r w:rsidR="00F27D6F">
        <w:rPr>
          <w:noProof/>
        </w:rPr>
        <w:t>1</w:t>
      </w:r>
      <w:r>
        <w:rPr>
          <w:noProof/>
        </w:rPr>
        <w:fldChar w:fldCharType="end"/>
      </w:r>
      <w:r>
        <w:t>.</w:t>
      </w:r>
      <w:r>
        <w:rPr>
          <w:noProof/>
        </w:rPr>
        <w:fldChar w:fldCharType="begin"/>
      </w:r>
      <w:r>
        <w:rPr>
          <w:noProof/>
        </w:rPr>
        <w:instrText xml:space="preserve"> SEQ Tabela \* ARABIC \s 1 </w:instrText>
      </w:r>
      <w:r>
        <w:rPr>
          <w:noProof/>
        </w:rPr>
        <w:fldChar w:fldCharType="separate"/>
      </w:r>
      <w:r w:rsidR="00F27D6F">
        <w:rPr>
          <w:noProof/>
        </w:rPr>
        <w:t>22</w:t>
      </w:r>
      <w:r>
        <w:rPr>
          <w:noProof/>
        </w:rPr>
        <w:fldChar w:fldCharType="end"/>
      </w:r>
      <w:bookmarkEnd w:id="204"/>
      <w:r>
        <w:t>.</w:t>
      </w:r>
      <w:r w:rsidRPr="002628CE">
        <w:t xml:space="preserve"> </w:t>
      </w:r>
      <w:r w:rsidR="004071C4">
        <w:t>P</w:t>
      </w:r>
      <w:r w:rsidR="000D4A1F">
        <w:t xml:space="preserve">ojemność </w:t>
      </w:r>
      <w:r w:rsidR="00094A7B">
        <w:t xml:space="preserve">magazynów ciepła w Polsce w </w:t>
      </w:r>
      <w:r w:rsidR="00990103">
        <w:t>ciepłownictwie systemowym</w:t>
      </w:r>
      <w:r w:rsidR="00094A7B">
        <w:t xml:space="preserve"> w latach </w:t>
      </w:r>
      <w:r w:rsidR="004071C4">
        <w:t>2020-</w:t>
      </w:r>
      <w:r w:rsidR="00A76A55">
        <w:t>2040</w:t>
      </w:r>
      <w:bookmarkEnd w:id="205"/>
    </w:p>
    <w:tbl>
      <w:tblPr>
        <w:tblStyle w:val="KPEiK"/>
        <w:tblW w:w="5000" w:type="pct"/>
        <w:tblLook w:val="04A0" w:firstRow="1" w:lastRow="0" w:firstColumn="1" w:lastColumn="0" w:noHBand="0" w:noVBand="1"/>
      </w:tblPr>
      <w:tblGrid>
        <w:gridCol w:w="2646"/>
        <w:gridCol w:w="1254"/>
        <w:gridCol w:w="1262"/>
        <w:gridCol w:w="1250"/>
        <w:gridCol w:w="1256"/>
        <w:gridCol w:w="1394"/>
      </w:tblGrid>
      <w:tr w:rsidR="00C94456" w:rsidRPr="00DE4FED" w14:paraId="75DAC59F" w14:textId="77777777" w:rsidTr="00C94456">
        <w:trPr>
          <w:cnfStyle w:val="100000000000" w:firstRow="1" w:lastRow="0" w:firstColumn="0" w:lastColumn="0" w:oddVBand="0" w:evenVBand="0" w:oddHBand="0" w:evenHBand="0" w:firstRowFirstColumn="0" w:firstRowLastColumn="0" w:lastRowFirstColumn="0" w:lastRowLastColumn="0"/>
          <w:trHeight w:val="227"/>
          <w:tblHeader/>
        </w:trPr>
        <w:tc>
          <w:tcPr>
            <w:tcW w:w="2646" w:type="dxa"/>
          </w:tcPr>
          <w:p w14:paraId="64E3D5A4" w14:textId="77777777" w:rsidR="00C94456" w:rsidRPr="002468B5" w:rsidRDefault="00C94456">
            <w:pPr>
              <w:pStyle w:val="Tabele"/>
              <w:jc w:val="center"/>
            </w:pPr>
          </w:p>
        </w:tc>
        <w:tc>
          <w:tcPr>
            <w:tcW w:w="1254" w:type="dxa"/>
          </w:tcPr>
          <w:p w14:paraId="4CC01605" w14:textId="0A3C2B89" w:rsidR="00C94456" w:rsidRPr="002468B5" w:rsidRDefault="00C94456">
            <w:pPr>
              <w:pStyle w:val="Tabele"/>
              <w:jc w:val="center"/>
            </w:pPr>
            <w:r w:rsidRPr="002468B5">
              <w:t>2020</w:t>
            </w:r>
          </w:p>
        </w:tc>
        <w:tc>
          <w:tcPr>
            <w:tcW w:w="1262" w:type="dxa"/>
            <w:tcBorders>
              <w:bottom w:val="single" w:sz="4" w:space="0" w:color="AEAAAA" w:themeColor="background2" w:themeShade="BF"/>
            </w:tcBorders>
          </w:tcPr>
          <w:p w14:paraId="1387E1D4" w14:textId="77777777" w:rsidR="00C94456" w:rsidRPr="002468B5" w:rsidRDefault="00C94456">
            <w:pPr>
              <w:pStyle w:val="Tabele"/>
              <w:jc w:val="center"/>
            </w:pPr>
            <w:r w:rsidRPr="002468B5">
              <w:t>2025</w:t>
            </w:r>
          </w:p>
        </w:tc>
        <w:tc>
          <w:tcPr>
            <w:tcW w:w="1250" w:type="dxa"/>
            <w:tcBorders>
              <w:bottom w:val="single" w:sz="4" w:space="0" w:color="AEAAAA" w:themeColor="background2" w:themeShade="BF"/>
            </w:tcBorders>
          </w:tcPr>
          <w:p w14:paraId="5EEF2F0C" w14:textId="77777777" w:rsidR="00C94456" w:rsidRPr="002468B5" w:rsidRDefault="00C94456">
            <w:pPr>
              <w:pStyle w:val="Tabele"/>
              <w:jc w:val="center"/>
            </w:pPr>
            <w:r w:rsidRPr="002468B5">
              <w:t>2030</w:t>
            </w:r>
          </w:p>
        </w:tc>
        <w:tc>
          <w:tcPr>
            <w:tcW w:w="1256" w:type="dxa"/>
            <w:tcBorders>
              <w:bottom w:val="single" w:sz="4" w:space="0" w:color="AEAAAA" w:themeColor="background2" w:themeShade="BF"/>
            </w:tcBorders>
          </w:tcPr>
          <w:p w14:paraId="18ECBF92" w14:textId="77777777" w:rsidR="00C94456" w:rsidRPr="002468B5" w:rsidRDefault="00C94456">
            <w:pPr>
              <w:pStyle w:val="Tabele"/>
              <w:jc w:val="center"/>
            </w:pPr>
            <w:r w:rsidRPr="002468B5">
              <w:t>2035</w:t>
            </w:r>
          </w:p>
        </w:tc>
        <w:tc>
          <w:tcPr>
            <w:tcW w:w="1394" w:type="dxa"/>
            <w:tcBorders>
              <w:bottom w:val="single" w:sz="4" w:space="0" w:color="AEAAAA" w:themeColor="background2" w:themeShade="BF"/>
            </w:tcBorders>
          </w:tcPr>
          <w:p w14:paraId="4D7E0035" w14:textId="77777777" w:rsidR="00C94456" w:rsidRPr="002468B5" w:rsidRDefault="00C94456">
            <w:pPr>
              <w:pStyle w:val="Tabele"/>
              <w:jc w:val="center"/>
            </w:pPr>
            <w:r w:rsidRPr="002468B5">
              <w:t>2040</w:t>
            </w:r>
          </w:p>
        </w:tc>
      </w:tr>
      <w:tr w:rsidR="00C94456" w:rsidRPr="004669DE" w14:paraId="046269B0" w14:textId="77777777" w:rsidTr="00C94456">
        <w:trPr>
          <w:trHeight w:val="227"/>
        </w:trPr>
        <w:tc>
          <w:tcPr>
            <w:tcW w:w="2646" w:type="dxa"/>
            <w:tcBorders>
              <w:right w:val="single" w:sz="4" w:space="0" w:color="AEAAAA" w:themeColor="background2" w:themeShade="BF"/>
            </w:tcBorders>
          </w:tcPr>
          <w:p w14:paraId="64DC52D4" w14:textId="2F993942" w:rsidR="00C94456" w:rsidRPr="002468B5" w:rsidRDefault="00C94456">
            <w:pPr>
              <w:pStyle w:val="Tabele"/>
              <w:rPr>
                <w:b/>
                <w:bCs/>
              </w:rPr>
            </w:pPr>
            <w:r w:rsidRPr="002468B5">
              <w:rPr>
                <w:rFonts w:cs="Calibri"/>
                <w:b/>
                <w:bCs/>
                <w:color w:val="000000"/>
                <w:szCs w:val="16"/>
              </w:rPr>
              <w:t>Pojemność magazynów ciepła</w:t>
            </w:r>
            <w:r w:rsidR="002A532C">
              <w:rPr>
                <w:rFonts w:cs="Calibri"/>
                <w:b/>
                <w:bCs/>
                <w:color w:val="000000"/>
                <w:szCs w:val="16"/>
              </w:rPr>
              <w:t xml:space="preserve"> </w:t>
            </w:r>
            <w:r w:rsidRPr="002468B5">
              <w:rPr>
                <w:rFonts w:cs="Calibri"/>
                <w:b/>
                <w:bCs/>
                <w:color w:val="000000"/>
                <w:szCs w:val="16"/>
              </w:rPr>
              <w:t>(GWh)</w:t>
            </w:r>
          </w:p>
        </w:tc>
        <w:tc>
          <w:tcPr>
            <w:tcW w:w="1254" w:type="dxa"/>
            <w:tcBorders>
              <w:right w:val="single" w:sz="4" w:space="0" w:color="AEAAAA" w:themeColor="background2" w:themeShade="BF"/>
            </w:tcBorders>
          </w:tcPr>
          <w:p w14:paraId="7E9B0C88" w14:textId="696A13C5" w:rsidR="00C94456" w:rsidRPr="002468B5" w:rsidRDefault="00AC045F">
            <w:pPr>
              <w:pStyle w:val="Tabele"/>
              <w:jc w:val="right"/>
              <w:rPr>
                <w:rFonts w:cs="Calibri"/>
                <w:b/>
                <w:bCs/>
                <w:color w:val="000000"/>
                <w:szCs w:val="16"/>
              </w:rPr>
            </w:pPr>
            <w:r w:rsidRPr="002468B5">
              <w:rPr>
                <w:rFonts w:cs="Calibri"/>
                <w:b/>
                <w:bCs/>
                <w:color w:val="000000"/>
                <w:szCs w:val="16"/>
              </w:rPr>
              <w:t>6</w:t>
            </w:r>
          </w:p>
        </w:tc>
        <w:tc>
          <w:tcPr>
            <w:tcW w:w="126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36288C5" w14:textId="1787D251" w:rsidR="00C94456" w:rsidRPr="0073021B" w:rsidRDefault="00AC045F">
            <w:pPr>
              <w:pStyle w:val="Tabele"/>
              <w:jc w:val="right"/>
              <w:rPr>
                <w:color w:val="000000" w:themeColor="text1"/>
              </w:rPr>
            </w:pPr>
            <w:r w:rsidRPr="0073021B">
              <w:rPr>
                <w:color w:val="000000" w:themeColor="text1"/>
              </w:rPr>
              <w:t>16</w:t>
            </w:r>
          </w:p>
        </w:tc>
        <w:tc>
          <w:tcPr>
            <w:tcW w:w="125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25F424" w14:textId="209B3DA2" w:rsidR="00C94456" w:rsidRPr="0073021B" w:rsidRDefault="00AC045F">
            <w:pPr>
              <w:pStyle w:val="Tabele"/>
              <w:jc w:val="right"/>
              <w:rPr>
                <w:color w:val="000000" w:themeColor="text1"/>
              </w:rPr>
            </w:pPr>
            <w:r w:rsidRPr="0073021B">
              <w:rPr>
                <w:color w:val="000000" w:themeColor="text1"/>
              </w:rPr>
              <w:t>104</w:t>
            </w:r>
          </w:p>
        </w:tc>
        <w:tc>
          <w:tcPr>
            <w:tcW w:w="125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913C540" w14:textId="76DC39FA" w:rsidR="00C94456" w:rsidRPr="0073021B" w:rsidRDefault="002468B5">
            <w:pPr>
              <w:pStyle w:val="Tabele"/>
              <w:jc w:val="right"/>
              <w:rPr>
                <w:color w:val="000000" w:themeColor="text1"/>
              </w:rPr>
            </w:pPr>
            <w:r w:rsidRPr="0073021B">
              <w:rPr>
                <w:color w:val="000000" w:themeColor="text1"/>
              </w:rPr>
              <w:t>339</w:t>
            </w:r>
          </w:p>
        </w:tc>
        <w:tc>
          <w:tcPr>
            <w:tcW w:w="139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682D642" w14:textId="31D41E22" w:rsidR="00C94456" w:rsidRPr="0073021B" w:rsidRDefault="002468B5">
            <w:pPr>
              <w:pStyle w:val="Tabele"/>
              <w:jc w:val="right"/>
              <w:rPr>
                <w:color w:val="000000" w:themeColor="text1"/>
              </w:rPr>
            </w:pPr>
            <w:r w:rsidRPr="0073021B">
              <w:rPr>
                <w:color w:val="000000" w:themeColor="text1"/>
              </w:rPr>
              <w:t>593</w:t>
            </w:r>
          </w:p>
        </w:tc>
      </w:tr>
    </w:tbl>
    <w:p w14:paraId="6C363E7B" w14:textId="77777777" w:rsidR="009B1646" w:rsidRDefault="009B1646" w:rsidP="000779C8"/>
    <w:p w14:paraId="48F6CBFD" w14:textId="77777777" w:rsidR="00253FDA" w:rsidRDefault="000779C8" w:rsidP="000779C8">
      <w:r w:rsidRPr="00946DB3">
        <w:t>Zgodnie</w:t>
      </w:r>
      <w:r>
        <w:t xml:space="preserve"> z zaprezentowana ścieżką, udział OZE rośnie </w:t>
      </w:r>
      <w:r w:rsidR="00710D70">
        <w:t xml:space="preserve">w ciepłownictwie </w:t>
      </w:r>
      <w:r>
        <w:t>w tempie uwzględniającym wymaganie wynikające z zapisów Dyrektywy REDIII tzn. minimum 0,8 pkt. proc. w latach 2021-2025 i 1,1, pkt. proc. w latach 2026-2030.</w:t>
      </w:r>
    </w:p>
    <w:p w14:paraId="425A4F0E" w14:textId="1BD9D45B" w:rsidR="005C4144" w:rsidRDefault="00204B90" w:rsidP="000779C8">
      <w:r>
        <w:rPr>
          <w:noProof/>
          <w:lang w:eastAsia="pl-PL"/>
        </w:rPr>
        <w:drawing>
          <wp:inline distT="0" distB="0" distL="0" distR="0" wp14:anchorId="6EA1A748" wp14:editId="7614F952">
            <wp:extent cx="5760720" cy="3761740"/>
            <wp:effectExtent l="0" t="0" r="0" b="0"/>
            <wp:docPr id="1580316488" name="Wykres 1">
              <a:extLst xmlns:a="http://schemas.openxmlformats.org/drawingml/2006/main">
                <a:ext uri="{FF2B5EF4-FFF2-40B4-BE49-F238E27FC236}">
                  <a16:creationId xmlns:a16="http://schemas.microsoft.com/office/drawing/2014/main" id="{00000000-0008-0000-1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D97B00B" w14:textId="16B8858D" w:rsidR="005C4144" w:rsidRDefault="005C4144" w:rsidP="005C4144">
      <w:pPr>
        <w:pStyle w:val="Legenda"/>
      </w:pPr>
      <w:bookmarkStart w:id="206" w:name="_Ref158371521"/>
      <w:bookmarkStart w:id="207" w:name="_Toc171587264"/>
      <w:bookmarkStart w:id="208" w:name="_Toc174711031"/>
      <w:bookmarkStart w:id="209" w:name="_Toc202967037"/>
      <w:r>
        <w:t xml:space="preserve">Rysunek </w:t>
      </w:r>
      <w:r>
        <w:rPr>
          <w:noProof/>
        </w:rPr>
        <w:fldChar w:fldCharType="begin"/>
      </w:r>
      <w:r>
        <w:rPr>
          <w:noProof/>
        </w:rPr>
        <w:instrText xml:space="preserve"> STYLEREF 1 \s </w:instrText>
      </w:r>
      <w:r>
        <w:rPr>
          <w:noProof/>
        </w:rPr>
        <w:fldChar w:fldCharType="separate"/>
      </w:r>
      <w:r w:rsidR="00F27D6F">
        <w:rPr>
          <w:noProof/>
        </w:rPr>
        <w:t>1</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7</w:t>
      </w:r>
      <w:r>
        <w:rPr>
          <w:noProof/>
        </w:rPr>
        <w:fldChar w:fldCharType="end"/>
      </w:r>
      <w:bookmarkEnd w:id="206"/>
      <w:r>
        <w:t xml:space="preserve">. </w:t>
      </w:r>
      <w:r w:rsidRPr="003A6811">
        <w:t>Zużycie energii końcowej brutto</w:t>
      </w:r>
      <w:r>
        <w:t xml:space="preserve"> z </w:t>
      </w:r>
      <w:r w:rsidRPr="003A6811">
        <w:t>OZE</w:t>
      </w:r>
      <w:r>
        <w:t xml:space="preserve"> w </w:t>
      </w:r>
      <w:r w:rsidRPr="003A6811">
        <w:t>podziale na technologie - ciepłownictwo</w:t>
      </w:r>
      <w:r>
        <w:t xml:space="preserve"> i </w:t>
      </w:r>
      <w:r w:rsidRPr="003A6811">
        <w:t>chłodnictwo [ktoe]</w:t>
      </w:r>
      <w:bookmarkEnd w:id="207"/>
      <w:bookmarkEnd w:id="208"/>
      <w:bookmarkEnd w:id="209"/>
    </w:p>
    <w:p w14:paraId="2808E3B2" w14:textId="79BC03F8" w:rsidR="00954874" w:rsidRPr="00970CA9" w:rsidRDefault="00440DCB" w:rsidP="00954874">
      <w:r>
        <w:t xml:space="preserve">Sektor transportu jest tym obszarem, w którym zwiększanie udziału OZE w ogólnym zużyciu energii będzie dużym wyzwaniem. </w:t>
      </w:r>
      <w:r w:rsidR="00B12DF1">
        <w:t>M</w:t>
      </w:r>
      <w:r>
        <w:t xml:space="preserve">ożliwości </w:t>
      </w:r>
      <w:r w:rsidR="00B977CE">
        <w:t xml:space="preserve">zwiększania </w:t>
      </w:r>
      <w:r w:rsidR="00B3135C">
        <w:t>udziału</w:t>
      </w:r>
      <w:r w:rsidR="00B977CE">
        <w:t xml:space="preserve"> </w:t>
      </w:r>
      <w:r>
        <w:t>biopaliw i biokomponentów są ograniczone względami technicznymi</w:t>
      </w:r>
      <w:r w:rsidR="00207598">
        <w:t xml:space="preserve">, a </w:t>
      </w:r>
      <w:r w:rsidR="00505018">
        <w:t xml:space="preserve">ponadto </w:t>
      </w:r>
      <w:r w:rsidR="00B3135C">
        <w:t xml:space="preserve">zużycie </w:t>
      </w:r>
      <w:r w:rsidR="00207598">
        <w:t xml:space="preserve">biokomponentów I generacji (biodiesel i bioetanol z roślin spożywczych i paszowych) jest </w:t>
      </w:r>
      <w:r w:rsidR="0091198C">
        <w:t>limitowane</w:t>
      </w:r>
      <w:r w:rsidR="00B77FDD">
        <w:t xml:space="preserve"> </w:t>
      </w:r>
      <w:r w:rsidR="001D2C3C">
        <w:t>zgodnie z RED II</w:t>
      </w:r>
      <w:r w:rsidR="00B3135C">
        <w:t xml:space="preserve"> (6,1% </w:t>
      </w:r>
      <w:r w:rsidR="0091198C" w:rsidRPr="0091198C">
        <w:t>dla biokomponentów I generacji na poziomie w ogólnej ilości paliw ciekłych i biopaliw ciekłych</w:t>
      </w:r>
      <w:r w:rsidR="0091198C">
        <w:t>)</w:t>
      </w:r>
      <w:r>
        <w:t xml:space="preserve">. Największe nadzieje pokłada się w elektryfikacji transportu drogowego. </w:t>
      </w:r>
      <w:r w:rsidR="006357C3">
        <w:t xml:space="preserve">Krajowy </w:t>
      </w:r>
      <w:r w:rsidR="00273096">
        <w:t>park</w:t>
      </w:r>
      <w:r w:rsidRPr="005F419B">
        <w:t xml:space="preserve"> pojazdów elektrycznych oraz infrastruktur</w:t>
      </w:r>
      <w:r w:rsidR="00273096">
        <w:t>a</w:t>
      </w:r>
      <w:r w:rsidRPr="005F419B">
        <w:t xml:space="preserve"> towarzysząc</w:t>
      </w:r>
      <w:r w:rsidR="00273096">
        <w:t>a</w:t>
      </w:r>
      <w:r w:rsidRPr="005F419B">
        <w:t xml:space="preserve"> </w:t>
      </w:r>
      <w:r w:rsidR="00601B28" w:rsidRPr="005F419B">
        <w:t>znajduj</w:t>
      </w:r>
      <w:r w:rsidR="00273096">
        <w:t>ą</w:t>
      </w:r>
      <w:r w:rsidR="00601B28" w:rsidRPr="005F419B">
        <w:t xml:space="preserve"> się</w:t>
      </w:r>
      <w:r w:rsidR="0043516D" w:rsidRPr="005F419B">
        <w:t xml:space="preserve"> </w:t>
      </w:r>
      <w:r w:rsidR="00B50459" w:rsidRPr="005F419B">
        <w:t>nadal na wczesnym etapie rozwoju</w:t>
      </w:r>
      <w:r w:rsidRPr="005F419B">
        <w:t>.</w:t>
      </w:r>
      <w:r>
        <w:t xml:space="preserve"> </w:t>
      </w:r>
      <w:r w:rsidR="00A80546">
        <w:t xml:space="preserve">W 2024 było zarejestrowanych w Polsce </w:t>
      </w:r>
      <w:r w:rsidR="00306BC4">
        <w:t>80,</w:t>
      </w:r>
      <w:r w:rsidR="00E95FA2">
        <w:t>1</w:t>
      </w:r>
      <w:r w:rsidR="00306BC4">
        <w:t xml:space="preserve"> tys. samochodów elektrycznych (BEV)</w:t>
      </w:r>
      <w:r w:rsidR="00FC52B0">
        <w:t xml:space="preserve">, podczas gdy liczba punktów ładowania to </w:t>
      </w:r>
      <w:r w:rsidR="00A76DEF">
        <w:t>8,</w:t>
      </w:r>
      <w:r w:rsidR="00045608">
        <w:t>7</w:t>
      </w:r>
      <w:r w:rsidR="00FC52B0">
        <w:t xml:space="preserve"> tys.</w:t>
      </w:r>
      <w:r w:rsidR="00306BC4">
        <w:t xml:space="preserve"> </w:t>
      </w:r>
      <w:r w:rsidR="00FC52B0">
        <w:t xml:space="preserve">Koszt zakupu samochodu elektrycznego </w:t>
      </w:r>
      <w:r w:rsidR="00941188">
        <w:t xml:space="preserve">stanowił średnio 140% względem samochodu spalinowego </w:t>
      </w:r>
      <w:r w:rsidR="00FC52B0">
        <w:t>w 2024 r.</w:t>
      </w:r>
      <w:r w:rsidR="00941188">
        <w:t xml:space="preserve"> </w:t>
      </w:r>
      <w:r w:rsidR="00E12332">
        <w:t>E</w:t>
      </w:r>
      <w:r w:rsidR="00E907AB">
        <w:t>ksperci wskazują</w:t>
      </w:r>
      <w:r w:rsidR="00E62F7D">
        <w:t xml:space="preserve"> jednak</w:t>
      </w:r>
      <w:r w:rsidR="00E907AB">
        <w:t xml:space="preserve">, że </w:t>
      </w:r>
      <w:r w:rsidR="00F611A3">
        <w:t>w najbliżs</w:t>
      </w:r>
      <w:r w:rsidR="00851E5D">
        <w:t xml:space="preserve">zych latach </w:t>
      </w:r>
      <w:r w:rsidR="00E907AB">
        <w:t xml:space="preserve">koszty zakupu pojazdów elektrycznych </w:t>
      </w:r>
      <w:r w:rsidR="00851E5D">
        <w:t>i</w:t>
      </w:r>
      <w:r w:rsidR="00E907AB">
        <w:t xml:space="preserve"> spalinowych</w:t>
      </w:r>
      <w:r w:rsidR="00851E5D">
        <w:t xml:space="preserve"> będą wyrównywały się w coraz większym zakresie, podobnie jak całkowite koszty </w:t>
      </w:r>
      <w:r w:rsidR="00861B31">
        <w:t>posiadania</w:t>
      </w:r>
      <w:r w:rsidR="00851E5D">
        <w:t xml:space="preserve"> pojazdów</w:t>
      </w:r>
      <w:r w:rsidR="002D6D05">
        <w:t xml:space="preserve"> (zakup </w:t>
      </w:r>
      <w:r w:rsidR="002B66D7">
        <w:t>oraz eksploatacja)</w:t>
      </w:r>
      <w:r w:rsidR="005F112B">
        <w:rPr>
          <w:rStyle w:val="Odwoanieprzypisudolnego"/>
        </w:rPr>
        <w:footnoteReference w:id="9"/>
      </w:r>
      <w:r w:rsidR="00E907AB">
        <w:t xml:space="preserve">. </w:t>
      </w:r>
      <w:r>
        <w:t>Realizacja przedstawionego w analizie planu, wymagać będzie wdrożenia dodatkowych polityk i </w:t>
      </w:r>
      <w:r w:rsidR="00C82ECC">
        <w:t>działań</w:t>
      </w:r>
      <w:r>
        <w:t xml:space="preserve">. </w:t>
      </w:r>
      <w:r w:rsidR="00F17748">
        <w:t>B</w:t>
      </w:r>
      <w:r>
        <w:t xml:space="preserve">ędą </w:t>
      </w:r>
      <w:r w:rsidR="00F17748">
        <w:t xml:space="preserve">to </w:t>
      </w:r>
      <w:r>
        <w:t>przede wszystkim: wspieranie rozwoju elektromobilności</w:t>
      </w:r>
      <w:r w:rsidR="00F17748">
        <w:t>,</w:t>
      </w:r>
      <w:r>
        <w:t xml:space="preserve"> m.in. poprzez dopłaty do zakupu pojazdów elektrycznych</w:t>
      </w:r>
      <w:r w:rsidR="0020692D">
        <w:t xml:space="preserve"> oraz</w:t>
      </w:r>
      <w:r>
        <w:t xml:space="preserve"> rozbudow</w:t>
      </w:r>
      <w:r w:rsidR="0020692D">
        <w:t>ę</w:t>
      </w:r>
      <w:r>
        <w:t xml:space="preserve"> infrastruktury ładowania, rozw</w:t>
      </w:r>
      <w:r w:rsidR="0020692D">
        <w:t>ój</w:t>
      </w:r>
      <w:r>
        <w:t xml:space="preserve"> rynku bio</w:t>
      </w:r>
      <w:r w:rsidR="005C4D31">
        <w:t xml:space="preserve">komponentów </w:t>
      </w:r>
      <w:r>
        <w:t>II i III generacji</w:t>
      </w:r>
      <w:r w:rsidR="00C451EC">
        <w:t>, w tym</w:t>
      </w:r>
      <w:r>
        <w:t xml:space="preserve"> bioLNG/bioCNG</w:t>
      </w:r>
      <w:r w:rsidR="00EA12BC">
        <w:t>,</w:t>
      </w:r>
      <w:r w:rsidR="005D0E00">
        <w:t xml:space="preserve"> a także </w:t>
      </w:r>
      <w:r>
        <w:t>paliw węglowych z recyclingu</w:t>
      </w:r>
      <w:r w:rsidR="00E372C9">
        <w:t xml:space="preserve">. </w:t>
      </w:r>
      <w:r w:rsidR="00EA12BC">
        <w:t>R</w:t>
      </w:r>
      <w:r w:rsidR="00F013C8" w:rsidRPr="00D71E14">
        <w:t>ozw</w:t>
      </w:r>
      <w:r w:rsidR="00710F05">
        <w:t>ój</w:t>
      </w:r>
      <w:r w:rsidR="00F013C8" w:rsidRPr="00D71E14">
        <w:t xml:space="preserve"> produkcji biopaliw II generacji</w:t>
      </w:r>
      <w:r w:rsidR="00710F05">
        <w:t xml:space="preserve"> wymaga</w:t>
      </w:r>
      <w:r w:rsidR="00F013C8" w:rsidRPr="00D71E14">
        <w:t xml:space="preserve"> </w:t>
      </w:r>
      <w:r w:rsidR="00402BD7" w:rsidRPr="00D71E14">
        <w:t>głębok</w:t>
      </w:r>
      <w:r w:rsidR="00402BD7">
        <w:t>iej</w:t>
      </w:r>
      <w:r w:rsidR="00F013C8" w:rsidRPr="00D71E14">
        <w:t xml:space="preserve"> </w:t>
      </w:r>
      <w:r w:rsidR="00402BD7" w:rsidRPr="00D71E14">
        <w:t>zmian</w:t>
      </w:r>
      <w:r w:rsidR="00402BD7">
        <w:t>y</w:t>
      </w:r>
      <w:r w:rsidR="00F013C8" w:rsidRPr="00D71E14">
        <w:t xml:space="preserve"> gospodarki odpadowej.</w:t>
      </w:r>
      <w:r w:rsidR="00F013C8">
        <w:t xml:space="preserve"> </w:t>
      </w:r>
      <w:r w:rsidR="005B4DD8">
        <w:t xml:space="preserve">Przykładowo, </w:t>
      </w:r>
      <w:r w:rsidR="004E01BD">
        <w:t xml:space="preserve">chodzi o </w:t>
      </w:r>
      <w:r w:rsidR="005B4DD8">
        <w:t>l</w:t>
      </w:r>
      <w:r w:rsidR="00F013C8" w:rsidRPr="00550594">
        <w:t xml:space="preserve">epszy odzysk </w:t>
      </w:r>
      <w:r w:rsidR="00F013C8">
        <w:t>tłuszczów</w:t>
      </w:r>
      <w:r w:rsidR="00160E49">
        <w:t xml:space="preserve"> i </w:t>
      </w:r>
      <w:r w:rsidR="003167E9">
        <w:t>innych bioodpadów</w:t>
      </w:r>
      <w:r w:rsidR="00690615">
        <w:t>.</w:t>
      </w:r>
      <w:r w:rsidR="00F013C8" w:rsidRPr="00550594">
        <w:t xml:space="preserve"> </w:t>
      </w:r>
      <w:r w:rsidR="00F013C8">
        <w:t>W tym celu niezbędne</w:t>
      </w:r>
      <w:r w:rsidR="00F013C8" w:rsidRPr="00550594">
        <w:t xml:space="preserve"> </w:t>
      </w:r>
      <w:r w:rsidR="00F013C8">
        <w:t>są zmiany organizacyjne oraz regulacyjne. Przedstawione na rysunku</w:t>
      </w:r>
      <w:r w:rsidR="005C4144">
        <w:t xml:space="preserve"> (</w:t>
      </w:r>
      <w:r w:rsidR="005C4144">
        <w:fldChar w:fldCharType="begin"/>
      </w:r>
      <w:r w:rsidR="005C4144">
        <w:instrText xml:space="preserve"> REF _Ref160179981 \h </w:instrText>
      </w:r>
      <w:r w:rsidR="005C4144">
        <w:fldChar w:fldCharType="separate"/>
      </w:r>
      <w:r w:rsidR="00F27D6F">
        <w:t xml:space="preserve">Rysunek </w:t>
      </w:r>
      <w:r w:rsidR="00F27D6F">
        <w:rPr>
          <w:noProof/>
        </w:rPr>
        <w:t>1</w:t>
      </w:r>
      <w:r w:rsidR="00F27D6F">
        <w:t>.</w:t>
      </w:r>
      <w:r w:rsidR="00F27D6F">
        <w:rPr>
          <w:noProof/>
        </w:rPr>
        <w:t>9</w:t>
      </w:r>
      <w:r w:rsidR="005C4144">
        <w:fldChar w:fldCharType="end"/>
      </w:r>
      <w:r w:rsidR="005C4144">
        <w:t xml:space="preserve">) </w:t>
      </w:r>
      <w:r w:rsidR="00954874">
        <w:t>wartości dotyczące roli biometanu w</w:t>
      </w:r>
      <w:r w:rsidR="00C7033C">
        <w:t> </w:t>
      </w:r>
      <w:r w:rsidR="00954874">
        <w:t xml:space="preserve">wypełnieniu celu OZE w transporcie wymagają dodatkowego komentarza. </w:t>
      </w:r>
      <w:r w:rsidR="00B93EF1">
        <w:t>Z</w:t>
      </w:r>
      <w:r w:rsidR="00954874">
        <w:t>ałożono, że spółki paliwowe, na których ciąży obowiązek wypełnienia NCW (Narodowy Cel Wskaźnikowy) mogą go realizować także poprzez rozliczenie biometanu wtłaczanego do sieci gazowniczych</w:t>
      </w:r>
      <w:r w:rsidR="0088525D">
        <w:t xml:space="preserve"> a następnie wykorzystanego jako źródło wodoru w procesach </w:t>
      </w:r>
      <w:r w:rsidR="0088525D" w:rsidRPr="00456C94">
        <w:t xml:space="preserve">współuwodornienia </w:t>
      </w:r>
      <w:r w:rsidR="0088525D">
        <w:t>paliw rafineryjnych</w:t>
      </w:r>
      <w:r w:rsidR="00954874">
        <w:t>. Jedynym biometan</w:t>
      </w:r>
      <w:r w:rsidR="007206E7">
        <w:t>em</w:t>
      </w:r>
      <w:r w:rsidR="00954874">
        <w:t xml:space="preserve"> zużywany</w:t>
      </w:r>
      <w:r w:rsidR="007206E7">
        <w:t>m</w:t>
      </w:r>
      <w:r w:rsidR="00954874">
        <w:t xml:space="preserve"> </w:t>
      </w:r>
      <w:r w:rsidR="00954874" w:rsidRPr="00970CA9">
        <w:t xml:space="preserve">bezpośrednio </w:t>
      </w:r>
      <w:r w:rsidR="00894C1F" w:rsidRPr="00970CA9">
        <w:t>jest</w:t>
      </w:r>
      <w:r w:rsidR="003510EC" w:rsidRPr="00970CA9">
        <w:t xml:space="preserve"> </w:t>
      </w:r>
      <w:r w:rsidR="00954874" w:rsidRPr="00970CA9">
        <w:t>bioLNG i bioCNG (185 ktoe w 2030 r.</w:t>
      </w:r>
      <w:r w:rsidR="00DE44E6" w:rsidRPr="00970CA9">
        <w:t xml:space="preserve"> i </w:t>
      </w:r>
      <w:r w:rsidR="00954874" w:rsidRPr="00970CA9">
        <w:t>214 ktoe w 2040 r.</w:t>
      </w:r>
      <w:r w:rsidR="00DE44E6" w:rsidRPr="00970CA9">
        <w:t>)</w:t>
      </w:r>
      <w:r w:rsidR="009328A9" w:rsidRPr="00970CA9">
        <w:t xml:space="preserve">. </w:t>
      </w:r>
      <w:r w:rsidR="00B33E19" w:rsidRPr="00970CA9">
        <w:t>Planowany udział paliw w realizacji celu OZE w transporcie znajduje się w tabeli (</w:t>
      </w:r>
      <w:r w:rsidR="00FC61C5">
        <w:fldChar w:fldCharType="begin"/>
      </w:r>
      <w:r w:rsidR="00FC61C5">
        <w:instrText xml:space="preserve"> REF _Ref200725445 \h </w:instrText>
      </w:r>
      <w:r w:rsidR="00FC61C5">
        <w:fldChar w:fldCharType="separate"/>
      </w:r>
      <w:r w:rsidR="00F27D6F">
        <w:t xml:space="preserve">Tabela </w:t>
      </w:r>
      <w:r w:rsidR="00F27D6F">
        <w:rPr>
          <w:noProof/>
        </w:rPr>
        <w:t>1</w:t>
      </w:r>
      <w:r w:rsidR="00F27D6F">
        <w:t>.</w:t>
      </w:r>
      <w:r w:rsidR="00F27D6F">
        <w:rPr>
          <w:noProof/>
        </w:rPr>
        <w:t>26</w:t>
      </w:r>
      <w:r w:rsidR="00FC61C5">
        <w:fldChar w:fldCharType="end"/>
      </w:r>
      <w:r w:rsidR="00B33E19" w:rsidRPr="00970CA9">
        <w:t>) – wartości uwzględniają mnożniki (multiplikatory) zgodnie z RED II dla każdego paliw.</w:t>
      </w:r>
    </w:p>
    <w:p w14:paraId="7813FDCD" w14:textId="3CF13336" w:rsidR="00954874" w:rsidRDefault="00954874" w:rsidP="00954874">
      <w:r w:rsidRPr="00970CA9">
        <w:t>Kluczowym elementem warunkującym osiągnięcie planowanego</w:t>
      </w:r>
      <w:r>
        <w:t xml:space="preserve"> poziomu udziału OZE jest przede wszystkim osiągnięcie celów w zakresie rozwoju rynku pojazdów z napędem elektrycznym. Do 2030 r. założono ok. 0,7</w:t>
      </w:r>
      <w:r w:rsidRPr="00D71E14">
        <w:t xml:space="preserve"> mln samochodów osobowych elektrycznych, natomiast w</w:t>
      </w:r>
      <w:r>
        <w:t xml:space="preserve"> </w:t>
      </w:r>
      <w:r w:rsidRPr="004A7564">
        <w:t>20</w:t>
      </w:r>
      <w:r w:rsidR="00DE44E6" w:rsidRPr="004A7564">
        <w:t>4</w:t>
      </w:r>
      <w:r w:rsidRPr="004A7564">
        <w:t xml:space="preserve">0 r. – </w:t>
      </w:r>
      <w:r w:rsidR="005B64A8" w:rsidRPr="004A7564">
        <w:t>4,1</w:t>
      </w:r>
      <w:r w:rsidRPr="004A7564">
        <w:t xml:space="preserve"> mln</w:t>
      </w:r>
      <w:r>
        <w:t>. L</w:t>
      </w:r>
      <w:r w:rsidRPr="00D71E14">
        <w:t xml:space="preserve">iczba autobusów </w:t>
      </w:r>
      <w:r w:rsidR="006975C4">
        <w:t xml:space="preserve">elektrycznych </w:t>
      </w:r>
      <w:r w:rsidRPr="00D71E14">
        <w:t xml:space="preserve">komunikacji miejskiej ma wynieść ok. </w:t>
      </w:r>
      <w:r>
        <w:t>5</w:t>
      </w:r>
      <w:r w:rsidRPr="00D71E14">
        <w:t xml:space="preserve"> tys. w 2030 r. i </w:t>
      </w:r>
      <w:r w:rsidRPr="004A7564">
        <w:t xml:space="preserve">ok. </w:t>
      </w:r>
      <w:r w:rsidR="004A7564" w:rsidRPr="004A7564">
        <w:t>12</w:t>
      </w:r>
      <w:r w:rsidRPr="004A7564">
        <w:t xml:space="preserve"> tys. w 20</w:t>
      </w:r>
      <w:r w:rsidR="00DE44E6" w:rsidRPr="004A7564">
        <w:t>4</w:t>
      </w:r>
      <w:r w:rsidRPr="004A7564">
        <w:t>0</w:t>
      </w:r>
      <w:r w:rsidRPr="00D71E14">
        <w:t xml:space="preserve"> r. </w:t>
      </w:r>
      <w:r w:rsidR="00D75EFE">
        <w:t xml:space="preserve">Prognozy </w:t>
      </w:r>
      <w:r w:rsidR="003225C9">
        <w:t>wskazują</w:t>
      </w:r>
      <w:r w:rsidR="007A2B99">
        <w:t xml:space="preserve"> także </w:t>
      </w:r>
      <w:r w:rsidR="001A2F38">
        <w:t xml:space="preserve">na </w:t>
      </w:r>
      <w:r w:rsidR="009A73A9">
        <w:t>pojazdy</w:t>
      </w:r>
      <w:r w:rsidR="007A2B99">
        <w:t xml:space="preserve"> zasilane </w:t>
      </w:r>
      <w:r w:rsidR="009A73A9">
        <w:t>wodorem</w:t>
      </w:r>
      <w:r w:rsidR="00D029FE">
        <w:t xml:space="preserve">, przy czym </w:t>
      </w:r>
      <w:r w:rsidR="009A73A9">
        <w:t>w</w:t>
      </w:r>
      <w:r w:rsidR="00EF61AA">
        <w:t xml:space="preserve">yniki prognoz dla wodoru są obciążone </w:t>
      </w:r>
      <w:r w:rsidR="008A3805">
        <w:t>znaczącą</w:t>
      </w:r>
      <w:r w:rsidR="00EF61AA">
        <w:t xml:space="preserve"> niepewnością</w:t>
      </w:r>
      <w:r w:rsidR="009B372E">
        <w:t xml:space="preserve"> z uwagi </w:t>
      </w:r>
      <w:r w:rsidR="002A5482">
        <w:t xml:space="preserve">trendy na rynku </w:t>
      </w:r>
      <w:r w:rsidR="0031086C">
        <w:t>–</w:t>
      </w:r>
      <w:r w:rsidR="002A5482">
        <w:t xml:space="preserve"> </w:t>
      </w:r>
      <w:r w:rsidR="002A5482" w:rsidRPr="002A5482">
        <w:t xml:space="preserve">każdy rok pogłębia dystans </w:t>
      </w:r>
      <w:r w:rsidR="0041085B">
        <w:t>pomiędzy</w:t>
      </w:r>
      <w:r w:rsidR="002A5482" w:rsidRPr="002A5482">
        <w:t xml:space="preserve"> technologi</w:t>
      </w:r>
      <w:r w:rsidR="0041085B">
        <w:t>ami</w:t>
      </w:r>
      <w:r w:rsidR="002A5482" w:rsidRPr="002A5482">
        <w:t xml:space="preserve"> bateryjn</w:t>
      </w:r>
      <w:r w:rsidR="0041085B">
        <w:t xml:space="preserve">ymi a </w:t>
      </w:r>
      <w:r w:rsidR="002A5482" w:rsidRPr="002A5482">
        <w:t>wodorowym</w:t>
      </w:r>
      <w:r w:rsidR="0041085B">
        <w:t xml:space="preserve">i w </w:t>
      </w:r>
      <w:r w:rsidR="00F575B4">
        <w:t>transporcie</w:t>
      </w:r>
      <w:r w:rsidR="002A5482" w:rsidRPr="002A5482">
        <w:t>. Produkcja baterii i samochodów elektrycznych na świecie skaluje się w wykładniczym tempie</w:t>
      </w:r>
      <w:r w:rsidR="008415F6">
        <w:t xml:space="preserve">, co </w:t>
      </w:r>
      <w:r w:rsidR="00E452D1">
        <w:t>daje zdecydowaną przewagę w kosztach zakupu i</w:t>
      </w:r>
      <w:r w:rsidR="00C7033C">
        <w:t> </w:t>
      </w:r>
      <w:r w:rsidR="00E452D1">
        <w:t xml:space="preserve">użytkowania </w:t>
      </w:r>
      <w:r w:rsidR="00566C30">
        <w:t>autom elektrycznym</w:t>
      </w:r>
      <w:r w:rsidR="00077BAA">
        <w:t xml:space="preserve">. </w:t>
      </w:r>
      <w:r w:rsidR="002B46FB">
        <w:t xml:space="preserve">Wyzwaniem są koszty produkcji wodoru, jego dostępność oraz </w:t>
      </w:r>
      <w:r w:rsidR="002C5E51">
        <w:t>rozwój infrastruktury ładowania.</w:t>
      </w:r>
      <w:r w:rsidR="002A532C">
        <w:t xml:space="preserve"> </w:t>
      </w:r>
    </w:p>
    <w:p w14:paraId="7F59EC99" w14:textId="1C206C11" w:rsidR="00137D55" w:rsidRDefault="003E5A53" w:rsidP="00137D55">
      <w:r w:rsidRPr="001710A7">
        <w:t xml:space="preserve">Wyniki analiz w zakresie </w:t>
      </w:r>
      <w:r w:rsidRPr="001710A7">
        <w:rPr>
          <w:b/>
        </w:rPr>
        <w:t>trajektorii wzrostu udziału OZE w transporcie wskazują na jego wzrost z poziomu 6,6% w 2020 r. do 1</w:t>
      </w:r>
      <w:r w:rsidR="00180327" w:rsidRPr="001710A7">
        <w:rPr>
          <w:b/>
        </w:rPr>
        <w:t>8</w:t>
      </w:r>
      <w:r w:rsidRPr="001710A7">
        <w:rPr>
          <w:b/>
        </w:rPr>
        <w:t>,</w:t>
      </w:r>
      <w:r w:rsidR="00180327" w:rsidRPr="001710A7">
        <w:rPr>
          <w:b/>
        </w:rPr>
        <w:t>9</w:t>
      </w:r>
      <w:r w:rsidRPr="001710A7">
        <w:rPr>
          <w:b/>
        </w:rPr>
        <w:t xml:space="preserve">% w 2030 r. </w:t>
      </w:r>
      <w:r w:rsidR="005C4144" w:rsidRPr="001710A7">
        <w:t>(</w:t>
      </w:r>
      <w:r w:rsidR="00E93998" w:rsidRPr="001710A7">
        <w:fldChar w:fldCharType="begin"/>
      </w:r>
      <w:r w:rsidR="00E93998" w:rsidRPr="001710A7">
        <w:instrText xml:space="preserve"> REF _Ref195870887 \h </w:instrText>
      </w:r>
      <w:r w:rsidR="00180327" w:rsidRPr="001710A7">
        <w:instrText xml:space="preserve"> \* MERGEFORMAT </w:instrText>
      </w:r>
      <w:r w:rsidR="00E93998" w:rsidRPr="001710A7">
        <w:fldChar w:fldCharType="separate"/>
      </w:r>
      <w:r w:rsidR="00F27D6F">
        <w:t xml:space="preserve">Tabela </w:t>
      </w:r>
      <w:r w:rsidR="00F27D6F">
        <w:rPr>
          <w:noProof/>
        </w:rPr>
        <w:t>1</w:t>
      </w:r>
      <w:r w:rsidR="00F27D6F">
        <w:t>.</w:t>
      </w:r>
      <w:r w:rsidR="00F27D6F">
        <w:rPr>
          <w:noProof/>
        </w:rPr>
        <w:t>23</w:t>
      </w:r>
      <w:r w:rsidR="00E93998" w:rsidRPr="001710A7">
        <w:fldChar w:fldCharType="end"/>
      </w:r>
      <w:r w:rsidR="005C4144" w:rsidRPr="001710A7">
        <w:t>)</w:t>
      </w:r>
      <w:r w:rsidR="00302E08" w:rsidRPr="001710A7">
        <w:t xml:space="preserve">. Wartości </w:t>
      </w:r>
      <w:r w:rsidR="007110D2" w:rsidRPr="001710A7">
        <w:t xml:space="preserve">w przywołanej </w:t>
      </w:r>
      <w:r w:rsidR="00302E08" w:rsidRPr="001710A7">
        <w:t xml:space="preserve">tabeli uwzględniają </w:t>
      </w:r>
      <w:r w:rsidR="00F36726" w:rsidRPr="001710A7">
        <w:t xml:space="preserve">mnożniki </w:t>
      </w:r>
      <w:r w:rsidR="009A28B2" w:rsidRPr="001710A7">
        <w:t xml:space="preserve">(multiplikatory) </w:t>
      </w:r>
      <w:r w:rsidR="00F36726" w:rsidRPr="001710A7">
        <w:t>stosowane do rozliczenia celów OZE w transporcie</w:t>
      </w:r>
      <w:r w:rsidR="00CC31BA" w:rsidRPr="001710A7">
        <w:t xml:space="preserve"> zgodnie z RED II,</w:t>
      </w:r>
      <w:r w:rsidR="00F36726" w:rsidRPr="001710A7">
        <w:t xml:space="preserve"> tj. dla energii elektrycznej OZE zużytej w transporcie kolejowym (x1</w:t>
      </w:r>
      <w:r w:rsidR="00F36726" w:rsidRPr="00F36726">
        <w:t>,5) lub w transporcie drogowym (x4)</w:t>
      </w:r>
      <w:r w:rsidR="00B0098F">
        <w:t xml:space="preserve">, </w:t>
      </w:r>
      <w:r w:rsidR="00B0098F" w:rsidRPr="00B0098F">
        <w:t xml:space="preserve">dla biokomponentów </w:t>
      </w:r>
      <w:r w:rsidR="0026261E" w:rsidRPr="0026261E">
        <w:t xml:space="preserve">zaawansowanych i biogazu wyprodukowanych z surowców </w:t>
      </w:r>
      <w:r w:rsidR="0026261E">
        <w:t xml:space="preserve">odpadowych </w:t>
      </w:r>
      <w:r w:rsidR="00B0098F" w:rsidRPr="00B0098F">
        <w:t>(x2</w:t>
      </w:r>
      <w:r w:rsidR="00B0098F">
        <w:t>),</w:t>
      </w:r>
      <w:r w:rsidR="00A70488">
        <w:t xml:space="preserve"> itp.</w:t>
      </w:r>
      <w:r w:rsidR="00A80B5B">
        <w:t xml:space="preserve"> </w:t>
      </w:r>
      <w:r w:rsidR="00137D55">
        <w:t>W </w:t>
      </w:r>
      <w:r w:rsidR="00137D55" w:rsidRPr="00FF4BD4">
        <w:t xml:space="preserve">kolejnych podokresach prognozy </w:t>
      </w:r>
      <w:r w:rsidR="00FE6603">
        <w:t xml:space="preserve">udział OZE w transporcie </w:t>
      </w:r>
      <w:r w:rsidR="00137D55" w:rsidRPr="00FF4BD4">
        <w:t>wzrasta</w:t>
      </w:r>
      <w:r w:rsidR="002A532C">
        <w:t xml:space="preserve"> </w:t>
      </w:r>
      <w:r w:rsidR="00137D55">
        <w:t>w </w:t>
      </w:r>
      <w:r w:rsidR="00137D55" w:rsidRPr="00C625E6">
        <w:t>tempie geometrycznym</w:t>
      </w:r>
      <w:r w:rsidR="00137D55">
        <w:t xml:space="preserve"> w miarę postępu w elektryfikacji transportu, napędzanej głównie spadkiem kosztów pojazdów elektrycznych</w:t>
      </w:r>
      <w:r w:rsidR="00D2449D">
        <w:t>.</w:t>
      </w:r>
    </w:p>
    <w:p w14:paraId="6AF52E74" w14:textId="34200E49" w:rsidR="004B38D9" w:rsidRDefault="00D81275" w:rsidP="00137D55">
      <w:r>
        <w:rPr>
          <w:noProof/>
          <w:lang w:eastAsia="pl-PL"/>
        </w:rPr>
        <w:drawing>
          <wp:anchor distT="0" distB="0" distL="114300" distR="114300" simplePos="0" relativeHeight="251658243" behindDoc="0" locked="0" layoutInCell="1" allowOverlap="1" wp14:anchorId="4CD0E47B" wp14:editId="1DADC104">
            <wp:simplePos x="0" y="0"/>
            <wp:positionH relativeFrom="margin">
              <wp:align>left</wp:align>
            </wp:positionH>
            <wp:positionV relativeFrom="paragraph">
              <wp:posOffset>268605</wp:posOffset>
            </wp:positionV>
            <wp:extent cx="5658485" cy="3193415"/>
            <wp:effectExtent l="0" t="0" r="0" b="6985"/>
            <wp:wrapTight wrapText="bothSides">
              <wp:wrapPolygon edited="0">
                <wp:start x="0" y="0"/>
                <wp:lineTo x="0" y="21518"/>
                <wp:lineTo x="21525" y="21518"/>
                <wp:lineTo x="21525" y="0"/>
                <wp:lineTo x="0" y="0"/>
              </wp:wrapPolygon>
            </wp:wrapTight>
            <wp:docPr id="1237837552" name="Wykres 1">
              <a:extLst xmlns:a="http://schemas.openxmlformats.org/drawingml/2006/main">
                <a:ext uri="{FF2B5EF4-FFF2-40B4-BE49-F238E27FC236}">
                  <a16:creationId xmlns:a16="http://schemas.microsoft.com/office/drawing/2014/main" id="{D621EA66-0508-493F-B214-2E3BBEE048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0814CF8B" w14:textId="77777777" w:rsidR="0070517C" w:rsidRDefault="0070517C" w:rsidP="00137D55"/>
    <w:p w14:paraId="7C0E9F7D" w14:textId="074111AE" w:rsidR="00216165" w:rsidRDefault="00D81275" w:rsidP="00D81275">
      <w:pPr>
        <w:pStyle w:val="Legenda"/>
      </w:pPr>
      <w:bookmarkStart w:id="210" w:name="_Toc202967038"/>
      <w:r>
        <w:t xml:space="preserve">Rysunek </w:t>
      </w:r>
      <w:r>
        <w:rPr>
          <w:noProof/>
        </w:rPr>
        <w:fldChar w:fldCharType="begin"/>
      </w:r>
      <w:r>
        <w:rPr>
          <w:noProof/>
        </w:rPr>
        <w:instrText xml:space="preserve"> STYLEREF 1 \s </w:instrText>
      </w:r>
      <w:r>
        <w:rPr>
          <w:noProof/>
        </w:rPr>
        <w:fldChar w:fldCharType="separate"/>
      </w:r>
      <w:r w:rsidR="00F27D6F">
        <w:rPr>
          <w:noProof/>
        </w:rPr>
        <w:t>1</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8</w:t>
      </w:r>
      <w:r>
        <w:rPr>
          <w:noProof/>
        </w:rPr>
        <w:fldChar w:fldCharType="end"/>
      </w:r>
      <w:r>
        <w:t xml:space="preserve">. </w:t>
      </w:r>
      <w:r w:rsidR="00216165">
        <w:t>Finalne zużycie</w:t>
      </w:r>
      <w:r w:rsidR="00216165" w:rsidRPr="006718BD">
        <w:t xml:space="preserve"> paliw i nośników energii </w:t>
      </w:r>
      <w:r w:rsidR="00216165">
        <w:t>zaliczanych do celu OZE</w:t>
      </w:r>
      <w:r w:rsidR="0094742F">
        <w:t>*</w:t>
      </w:r>
      <w:r w:rsidR="00216165" w:rsidRPr="006718BD">
        <w:t xml:space="preserve"> w</w:t>
      </w:r>
      <w:r w:rsidR="00216165">
        <w:t> </w:t>
      </w:r>
      <w:r w:rsidR="00216165" w:rsidRPr="006718BD">
        <w:t>transporcie</w:t>
      </w:r>
      <w:bookmarkEnd w:id="210"/>
      <w:r w:rsidRPr="00884316">
        <w:t xml:space="preserve"> </w:t>
      </w:r>
    </w:p>
    <w:p w14:paraId="29CD04E1" w14:textId="3EA7B753" w:rsidR="0070517C" w:rsidRDefault="0094742F" w:rsidP="00D81275">
      <w:pPr>
        <w:pStyle w:val="Legenda"/>
      </w:pPr>
      <w:r>
        <w:t>*</w:t>
      </w:r>
      <w:r w:rsidR="00216165">
        <w:t xml:space="preserve">Przedstawione wartości prezentują realne zużycie energii w transporcie bez zastosowania mnożników, w tym </w:t>
      </w:r>
      <w:r w:rsidR="006F3A62">
        <w:t xml:space="preserve">zużycie biokomponentów I i II generacji oraz </w:t>
      </w:r>
      <w:r w:rsidR="00216165">
        <w:t>całkowite zużycie energii elektrycznej na cele transportowe (nie tylko z OZE).</w:t>
      </w:r>
    </w:p>
    <w:p w14:paraId="2C5B7299" w14:textId="72F12ABE" w:rsidR="001A1DD2" w:rsidRDefault="001A1DD2" w:rsidP="001A1DD2">
      <w:r>
        <w:rPr>
          <w:noProof/>
          <w:lang w:eastAsia="pl-PL"/>
        </w:rPr>
        <w:drawing>
          <wp:inline distT="0" distB="0" distL="0" distR="0" wp14:anchorId="2901B9E1" wp14:editId="2DD2849B">
            <wp:extent cx="5760720" cy="3600000"/>
            <wp:effectExtent l="0" t="0" r="0" b="635"/>
            <wp:docPr id="442173606" name="Wykres 1">
              <a:extLst xmlns:a="http://schemas.openxmlformats.org/drawingml/2006/main">
                <a:ext uri="{FF2B5EF4-FFF2-40B4-BE49-F238E27FC236}">
                  <a16:creationId xmlns:a16="http://schemas.microsoft.com/office/drawing/2014/main" id="{A59AD3C4-0232-4F6F-91E1-3DAF338FFE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29DE5EF" w14:textId="6E116D9E" w:rsidR="005C4144" w:rsidRDefault="005C4144" w:rsidP="005C4144">
      <w:pPr>
        <w:pStyle w:val="Legenda"/>
      </w:pPr>
      <w:bookmarkStart w:id="211" w:name="rys413"/>
      <w:bookmarkStart w:id="212" w:name="_Ref160179981"/>
      <w:bookmarkStart w:id="213" w:name="_Toc171587265"/>
      <w:bookmarkStart w:id="214" w:name="_Toc174711032"/>
      <w:bookmarkStart w:id="215" w:name="_Toc202967039"/>
      <w:bookmarkEnd w:id="211"/>
      <w:r>
        <w:t xml:space="preserve">Rysunek </w:t>
      </w:r>
      <w:r>
        <w:rPr>
          <w:noProof/>
        </w:rPr>
        <w:fldChar w:fldCharType="begin"/>
      </w:r>
      <w:r>
        <w:rPr>
          <w:noProof/>
        </w:rPr>
        <w:instrText xml:space="preserve"> STYLEREF 1 \s </w:instrText>
      </w:r>
      <w:r>
        <w:rPr>
          <w:noProof/>
        </w:rPr>
        <w:fldChar w:fldCharType="separate"/>
      </w:r>
      <w:r w:rsidR="00F27D6F">
        <w:rPr>
          <w:noProof/>
        </w:rPr>
        <w:t>1</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9</w:t>
      </w:r>
      <w:r>
        <w:rPr>
          <w:noProof/>
        </w:rPr>
        <w:fldChar w:fldCharType="end"/>
      </w:r>
      <w:bookmarkEnd w:id="212"/>
      <w:r>
        <w:t xml:space="preserve">. </w:t>
      </w:r>
      <w:r w:rsidRPr="00884316">
        <w:t>Zużycie energii końcowej brutto</w:t>
      </w:r>
      <w:r>
        <w:t xml:space="preserve"> z </w:t>
      </w:r>
      <w:r w:rsidRPr="00884316">
        <w:t>OZE</w:t>
      </w:r>
      <w:r>
        <w:t xml:space="preserve"> w </w:t>
      </w:r>
      <w:r w:rsidRPr="00884316">
        <w:t>podziale na technologie - sektor transportu</w:t>
      </w:r>
      <w:r w:rsidR="00022A40">
        <w:t xml:space="preserve"> z uwzględnieniem mnożników dla rozliczenia celu OZE zgodnie z RED II</w:t>
      </w:r>
      <w:r w:rsidRPr="00884316">
        <w:t xml:space="preserve"> [ktoe]</w:t>
      </w:r>
      <w:bookmarkEnd w:id="213"/>
      <w:bookmarkEnd w:id="214"/>
      <w:bookmarkEnd w:id="215"/>
    </w:p>
    <w:p w14:paraId="6024C8D4" w14:textId="77777777" w:rsidR="00E03C69" w:rsidRPr="00E03C69" w:rsidRDefault="00E03C69" w:rsidP="00E03C69"/>
    <w:p w14:paraId="69FFEE8E" w14:textId="72252944" w:rsidR="00902429" w:rsidRDefault="00DB3464" w:rsidP="00902429">
      <w:pPr>
        <w:keepNext/>
      </w:pPr>
      <w:r>
        <w:rPr>
          <w:noProof/>
          <w:lang w:eastAsia="pl-PL"/>
        </w:rPr>
        <w:drawing>
          <wp:inline distT="0" distB="0" distL="0" distR="0" wp14:anchorId="16ACF7CA" wp14:editId="0035F319">
            <wp:extent cx="5760720" cy="3265170"/>
            <wp:effectExtent l="0" t="0" r="0" b="0"/>
            <wp:docPr id="1301542185" name="Wykres 1">
              <a:extLst xmlns:a="http://schemas.openxmlformats.org/drawingml/2006/main">
                <a:ext uri="{FF2B5EF4-FFF2-40B4-BE49-F238E27FC236}">
                  <a16:creationId xmlns:a16="http://schemas.microsoft.com/office/drawing/2014/main" id="{00000000-0008-0000-18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759D8A2" w14:textId="59DB772A" w:rsidR="004178F2" w:rsidRDefault="00902429" w:rsidP="00FC61C5">
      <w:pPr>
        <w:pStyle w:val="Legenda"/>
        <w:jc w:val="left"/>
      </w:pPr>
      <w:bookmarkStart w:id="216" w:name="_Toc202967040"/>
      <w:r>
        <w:t xml:space="preserve">Rysunek </w:t>
      </w:r>
      <w:r w:rsidR="006A0B5C">
        <w:rPr>
          <w:noProof/>
        </w:rPr>
        <w:fldChar w:fldCharType="begin"/>
      </w:r>
      <w:r w:rsidR="006A0B5C">
        <w:rPr>
          <w:noProof/>
        </w:rPr>
        <w:instrText xml:space="preserve"> STYLEREF 1 \s </w:instrText>
      </w:r>
      <w:r w:rsidR="006A0B5C">
        <w:rPr>
          <w:noProof/>
        </w:rPr>
        <w:fldChar w:fldCharType="separate"/>
      </w:r>
      <w:r w:rsidR="00F27D6F">
        <w:rPr>
          <w:noProof/>
        </w:rPr>
        <w:t>1</w:t>
      </w:r>
      <w:r w:rsidR="006A0B5C">
        <w:rPr>
          <w:noProof/>
        </w:rPr>
        <w:fldChar w:fldCharType="end"/>
      </w:r>
      <w:r w:rsidR="00162E05">
        <w:t>.</w:t>
      </w:r>
      <w:r w:rsidR="006A0B5C">
        <w:rPr>
          <w:noProof/>
        </w:rPr>
        <w:fldChar w:fldCharType="begin"/>
      </w:r>
      <w:r w:rsidR="006A0B5C">
        <w:rPr>
          <w:noProof/>
        </w:rPr>
        <w:instrText xml:space="preserve"> SEQ Rysunek \* ARABIC \s 1 </w:instrText>
      </w:r>
      <w:r w:rsidR="006A0B5C">
        <w:rPr>
          <w:noProof/>
        </w:rPr>
        <w:fldChar w:fldCharType="separate"/>
      </w:r>
      <w:r w:rsidR="00F27D6F">
        <w:rPr>
          <w:noProof/>
        </w:rPr>
        <w:t>10</w:t>
      </w:r>
      <w:r w:rsidR="006A0B5C">
        <w:rPr>
          <w:noProof/>
        </w:rPr>
        <w:fldChar w:fldCharType="end"/>
      </w:r>
      <w:r w:rsidR="006D531D">
        <w:t xml:space="preserve">. </w:t>
      </w:r>
      <w:r w:rsidR="00BE3999">
        <w:t>Struktura z</w:t>
      </w:r>
      <w:r w:rsidR="00880D46">
        <w:t>użyci</w:t>
      </w:r>
      <w:r w:rsidR="00BE3999">
        <w:t>a</w:t>
      </w:r>
      <w:r w:rsidR="00880D46">
        <w:t xml:space="preserve"> </w:t>
      </w:r>
      <w:r w:rsidR="00567681">
        <w:t>paliw z OZE i energii</w:t>
      </w:r>
      <w:r w:rsidR="00AE448E">
        <w:t xml:space="preserve"> elektrycznej (nie tylko z OZE)</w:t>
      </w:r>
      <w:r w:rsidR="00880D46">
        <w:t xml:space="preserve"> </w:t>
      </w:r>
      <w:r w:rsidR="00FC61C5">
        <w:t xml:space="preserve">w </w:t>
      </w:r>
      <w:r w:rsidR="00420493">
        <w:t xml:space="preserve">transporcie </w:t>
      </w:r>
      <w:r w:rsidR="00420493" w:rsidRPr="00B90F01">
        <w:rPr>
          <w:u w:val="single"/>
        </w:rPr>
        <w:t>pasażerskim</w:t>
      </w:r>
      <w:r w:rsidR="00420493">
        <w:t xml:space="preserve"> z</w:t>
      </w:r>
      <w:r w:rsidR="00FC61C5">
        <w:t> </w:t>
      </w:r>
      <w:r w:rsidR="00420493">
        <w:t>uwzględnieniem</w:t>
      </w:r>
      <w:r w:rsidR="008F27FA">
        <w:t xml:space="preserve"> sprawności</w:t>
      </w:r>
      <w:r w:rsidR="001C5759">
        <w:t xml:space="preserve"> przetwarzania energii*</w:t>
      </w:r>
      <w:bookmarkEnd w:id="216"/>
    </w:p>
    <w:p w14:paraId="033E1C18" w14:textId="0808ED32" w:rsidR="001C5759" w:rsidRPr="001C5759" w:rsidRDefault="007C4C64" w:rsidP="004B7988">
      <w:pPr>
        <w:pStyle w:val="Legenda"/>
      </w:pPr>
      <w:r>
        <w:t xml:space="preserve">*Przedstawione wartości prezentują zużycie </w:t>
      </w:r>
      <w:r w:rsidR="00C35230">
        <w:t xml:space="preserve">energii </w:t>
      </w:r>
      <w:r>
        <w:t>w transporcie</w:t>
      </w:r>
      <w:r w:rsidR="002670BF">
        <w:t xml:space="preserve"> pasażerskim</w:t>
      </w:r>
      <w:r>
        <w:t xml:space="preserve"> bez zastosowania mnożników</w:t>
      </w:r>
      <w:r w:rsidR="009D30AE">
        <w:t xml:space="preserve"> (wykorzystywanych przy rozliczaniu celu OZE w transporcie)</w:t>
      </w:r>
      <w:r>
        <w:t>,</w:t>
      </w:r>
      <w:r w:rsidR="00915024">
        <w:t xml:space="preserve"> </w:t>
      </w:r>
      <w:r>
        <w:t>w </w:t>
      </w:r>
      <w:r w:rsidR="00915024">
        <w:t xml:space="preserve">tym </w:t>
      </w:r>
      <w:r>
        <w:t>całkowite zużycie energii elektrycznej.</w:t>
      </w:r>
      <w:r w:rsidR="004B7988">
        <w:t xml:space="preserve"> Dodatkowo zastosowano </w:t>
      </w:r>
      <w:r w:rsidR="00D71BC0">
        <w:t xml:space="preserve">przelicznik uwzględniający </w:t>
      </w:r>
      <w:r w:rsidR="001C5759" w:rsidRPr="001C5759">
        <w:t>sprawność silników</w:t>
      </w:r>
      <w:r w:rsidR="006B1F1D">
        <w:t xml:space="preserve"> elektrycznych</w:t>
      </w:r>
      <w:r w:rsidR="008D65AA">
        <w:t xml:space="preserve"> </w:t>
      </w:r>
      <w:r w:rsidR="002D0755" w:rsidRPr="001C5759">
        <w:t>względem silników spalinowych</w:t>
      </w:r>
      <w:r w:rsidR="002D0755">
        <w:t xml:space="preserve"> </w:t>
      </w:r>
      <w:r w:rsidR="008D65AA">
        <w:t xml:space="preserve">tj. </w:t>
      </w:r>
      <w:r w:rsidR="0094763F" w:rsidRPr="001C5759">
        <w:t>3:1</w:t>
      </w:r>
      <w:r w:rsidR="00993D42" w:rsidRPr="00993D42">
        <w:t xml:space="preserve"> </w:t>
      </w:r>
      <w:r w:rsidR="00993D42">
        <w:t>dla samochodów elektrycznych</w:t>
      </w:r>
      <w:r w:rsidR="00335E2D">
        <w:t>, 2:1</w:t>
      </w:r>
      <w:r w:rsidR="00F033FA">
        <w:t xml:space="preserve"> dla </w:t>
      </w:r>
      <w:r w:rsidR="00F033FA" w:rsidRPr="001C5759">
        <w:t>zelektryfikowane</w:t>
      </w:r>
      <w:r w:rsidR="00F033FA">
        <w:t>go</w:t>
      </w:r>
      <w:r w:rsidR="00F033FA" w:rsidRPr="001C5759">
        <w:t xml:space="preserve"> transport</w:t>
      </w:r>
      <w:r w:rsidR="00F033FA">
        <w:t>u</w:t>
      </w:r>
      <w:r w:rsidR="00F033FA" w:rsidRPr="001C5759">
        <w:t xml:space="preserve"> kolejowe</w:t>
      </w:r>
      <w:r w:rsidR="00F033FA">
        <w:t>g</w:t>
      </w:r>
      <w:r w:rsidR="005C6A04">
        <w:t xml:space="preserve">o; 1,5:1 dla </w:t>
      </w:r>
      <w:r w:rsidR="001C5759" w:rsidRPr="001C5759">
        <w:t>samochodów na wodór (ogniwa paliwowe).</w:t>
      </w:r>
    </w:p>
    <w:p w14:paraId="3E8AE0FC" w14:textId="77777777" w:rsidR="005C4144" w:rsidRDefault="005C4144" w:rsidP="005C4144"/>
    <w:p w14:paraId="2F436FBC" w14:textId="0B15136F" w:rsidR="00162E05" w:rsidRDefault="00D92F33" w:rsidP="00162E05">
      <w:pPr>
        <w:keepNext/>
      </w:pPr>
      <w:r>
        <w:rPr>
          <w:noProof/>
          <w:lang w:eastAsia="pl-PL"/>
        </w:rPr>
        <w:drawing>
          <wp:inline distT="0" distB="0" distL="0" distR="0" wp14:anchorId="4297336F" wp14:editId="30BBAFD1">
            <wp:extent cx="5760720" cy="3324225"/>
            <wp:effectExtent l="0" t="0" r="0" b="0"/>
            <wp:docPr id="1117191963" name="Wykres 1">
              <a:extLst xmlns:a="http://schemas.openxmlformats.org/drawingml/2006/main">
                <a:ext uri="{FF2B5EF4-FFF2-40B4-BE49-F238E27FC236}">
                  <a16:creationId xmlns:a16="http://schemas.microsoft.com/office/drawing/2014/main" id="{00000000-0008-0000-18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ADDCE99" w14:textId="35B5F612" w:rsidR="005C4144" w:rsidRDefault="00162E05" w:rsidP="00162E05">
      <w:pPr>
        <w:pStyle w:val="Legenda"/>
      </w:pPr>
      <w:bookmarkStart w:id="217" w:name="_Toc202967041"/>
      <w:r>
        <w:t xml:space="preserve">Rysunek </w:t>
      </w:r>
      <w:r w:rsidR="006A0B5C">
        <w:rPr>
          <w:noProof/>
        </w:rPr>
        <w:fldChar w:fldCharType="begin"/>
      </w:r>
      <w:r w:rsidR="006A0B5C">
        <w:rPr>
          <w:noProof/>
        </w:rPr>
        <w:instrText xml:space="preserve"> STYLEREF 1 \s </w:instrText>
      </w:r>
      <w:r w:rsidR="006A0B5C">
        <w:rPr>
          <w:noProof/>
        </w:rPr>
        <w:fldChar w:fldCharType="separate"/>
      </w:r>
      <w:r w:rsidR="00F27D6F">
        <w:rPr>
          <w:noProof/>
        </w:rPr>
        <w:t>1</w:t>
      </w:r>
      <w:r w:rsidR="006A0B5C">
        <w:rPr>
          <w:noProof/>
        </w:rPr>
        <w:fldChar w:fldCharType="end"/>
      </w:r>
      <w:r>
        <w:t>.</w:t>
      </w:r>
      <w:r w:rsidR="006A0B5C">
        <w:rPr>
          <w:noProof/>
        </w:rPr>
        <w:fldChar w:fldCharType="begin"/>
      </w:r>
      <w:r w:rsidR="006A0B5C">
        <w:rPr>
          <w:noProof/>
        </w:rPr>
        <w:instrText xml:space="preserve"> SEQ Rysunek \* ARABIC \s 1 </w:instrText>
      </w:r>
      <w:r w:rsidR="006A0B5C">
        <w:rPr>
          <w:noProof/>
        </w:rPr>
        <w:fldChar w:fldCharType="separate"/>
      </w:r>
      <w:r w:rsidR="00F27D6F">
        <w:rPr>
          <w:noProof/>
        </w:rPr>
        <w:t>11</w:t>
      </w:r>
      <w:r w:rsidR="006A0B5C">
        <w:rPr>
          <w:noProof/>
        </w:rPr>
        <w:fldChar w:fldCharType="end"/>
      </w:r>
      <w:r>
        <w:t xml:space="preserve">. Struktura zużycia paliw z OZE i energii elektrycznej (nie tylko z OZE) transporcie </w:t>
      </w:r>
      <w:r w:rsidRPr="00B90F01">
        <w:rPr>
          <w:u w:val="single"/>
        </w:rPr>
        <w:t xml:space="preserve">towarowym </w:t>
      </w:r>
      <w:r>
        <w:t>z uwzględnieniem sprawności przetwarzania energii*</w:t>
      </w:r>
      <w:bookmarkEnd w:id="217"/>
    </w:p>
    <w:p w14:paraId="23C33739" w14:textId="3FF6BF4C" w:rsidR="00E801FA" w:rsidRPr="001C5759" w:rsidRDefault="00E801FA" w:rsidP="00E801FA">
      <w:pPr>
        <w:pStyle w:val="Legenda"/>
      </w:pPr>
      <w:r>
        <w:t>*Przedstawione wartości prezentują zużycie energii w transporcie</w:t>
      </w:r>
      <w:r w:rsidR="002670BF">
        <w:t xml:space="preserve"> towarowym</w:t>
      </w:r>
      <w:r>
        <w:t xml:space="preserve"> bez zastosowania mnożników</w:t>
      </w:r>
      <w:r w:rsidR="00B90F01">
        <w:t xml:space="preserve"> (wykorzystywanych przy rozliczaniu celu OZE w transporcie)</w:t>
      </w:r>
      <w:r>
        <w:t xml:space="preserve">, w tym całkowite zużycie energii elektrycznej. Dodatkowo zastosowano przelicznik uwzględniający </w:t>
      </w:r>
      <w:r w:rsidRPr="001C5759">
        <w:t>sprawność silników</w:t>
      </w:r>
      <w:r>
        <w:t xml:space="preserve"> elektrycznych </w:t>
      </w:r>
      <w:r w:rsidRPr="001C5759">
        <w:t>względem silników spalinowych</w:t>
      </w:r>
      <w:r>
        <w:t xml:space="preserve"> tj. </w:t>
      </w:r>
      <w:r w:rsidR="002670BF">
        <w:t>2</w:t>
      </w:r>
      <w:r w:rsidRPr="001C5759">
        <w:t>:1</w:t>
      </w:r>
      <w:r w:rsidRPr="00993D42">
        <w:t xml:space="preserve"> </w:t>
      </w:r>
      <w:r>
        <w:t xml:space="preserve">dla </w:t>
      </w:r>
      <w:r w:rsidR="00A473CE">
        <w:t>pojazdów</w:t>
      </w:r>
      <w:r>
        <w:t xml:space="preserve"> elektrycznych</w:t>
      </w:r>
      <w:r w:rsidR="00AE0E0E">
        <w:t xml:space="preserve"> (drogowych i kolejowych)</w:t>
      </w:r>
      <w:r>
        <w:t xml:space="preserve">, 1:1 dla </w:t>
      </w:r>
      <w:r w:rsidRPr="001C5759">
        <w:t>samochodów na wodór (ogniwa paliwowe).</w:t>
      </w:r>
    </w:p>
    <w:p w14:paraId="70E5F13F" w14:textId="5DAB7FC0" w:rsidR="005C4144" w:rsidRPr="00DC7A87" w:rsidRDefault="005C4144" w:rsidP="005C4144">
      <w:pPr>
        <w:sectPr w:rsidR="005C4144" w:rsidRPr="00DC7A87" w:rsidSect="006B2085">
          <w:headerReference w:type="even" r:id="rId26"/>
          <w:headerReference w:type="default" r:id="rId27"/>
          <w:headerReference w:type="first" r:id="rId28"/>
          <w:footerReference w:type="first" r:id="rId29"/>
          <w:pgSz w:w="11906" w:h="16838" w:code="9"/>
          <w:pgMar w:top="1417" w:right="1417" w:bottom="1417" w:left="1417" w:header="680" w:footer="454" w:gutter="0"/>
          <w:cols w:space="708"/>
          <w:titlePg/>
          <w:docGrid w:linePitch="360"/>
        </w:sectPr>
      </w:pPr>
    </w:p>
    <w:p w14:paraId="4064E596" w14:textId="37C2B3CF" w:rsidR="005C4144" w:rsidRDefault="005C4144" w:rsidP="00896449">
      <w:pPr>
        <w:pStyle w:val="Legenda"/>
        <w:spacing w:before="0"/>
      </w:pPr>
      <w:bookmarkStart w:id="218" w:name="tab440"/>
      <w:bookmarkStart w:id="219" w:name="_Ref156550788"/>
      <w:bookmarkStart w:id="220" w:name="_Ref195870887"/>
      <w:bookmarkStart w:id="221" w:name="_Toc171587181"/>
      <w:bookmarkStart w:id="222" w:name="_Toc174710965"/>
      <w:bookmarkStart w:id="223" w:name="_Toc202966968"/>
      <w:bookmarkEnd w:id="218"/>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23</w:t>
      </w:r>
      <w:r w:rsidR="00653D9A">
        <w:rPr>
          <w:noProof/>
        </w:rPr>
        <w:fldChar w:fldCharType="end"/>
      </w:r>
      <w:bookmarkEnd w:id="219"/>
      <w:bookmarkEnd w:id="220"/>
      <w:r>
        <w:t xml:space="preserve">. </w:t>
      </w:r>
      <w:r w:rsidRPr="00A65BB6">
        <w:t>Sektorowe</w:t>
      </w:r>
      <w:r>
        <w:t xml:space="preserve"> i </w:t>
      </w:r>
      <w:r w:rsidRPr="00A65BB6">
        <w:t>całkowite zużycie energii końcowej brutto ze źródeł odnawialnych</w:t>
      </w:r>
      <w:bookmarkEnd w:id="221"/>
      <w:bookmarkEnd w:id="222"/>
      <w:bookmarkEnd w:id="223"/>
    </w:p>
    <w:tbl>
      <w:tblPr>
        <w:tblStyle w:val="KPEiK"/>
        <w:tblW w:w="5027" w:type="pct"/>
        <w:tblLayout w:type="fixed"/>
        <w:tblCellMar>
          <w:left w:w="57" w:type="dxa"/>
          <w:right w:w="57" w:type="dxa"/>
        </w:tblCellMar>
        <w:tblLook w:val="04A0" w:firstRow="1" w:lastRow="0" w:firstColumn="1" w:lastColumn="0" w:noHBand="0" w:noVBand="1"/>
      </w:tblPr>
      <w:tblGrid>
        <w:gridCol w:w="1564"/>
        <w:gridCol w:w="5705"/>
        <w:gridCol w:w="850"/>
        <w:gridCol w:w="850"/>
        <w:gridCol w:w="850"/>
        <w:gridCol w:w="850"/>
        <w:gridCol w:w="850"/>
        <w:gridCol w:w="850"/>
        <w:gridCol w:w="850"/>
        <w:gridCol w:w="851"/>
      </w:tblGrid>
      <w:tr w:rsidR="00B12D21" w:rsidRPr="00C11BAE" w14:paraId="1D630C44" w14:textId="77777777" w:rsidTr="00896449">
        <w:trPr>
          <w:cnfStyle w:val="100000000000" w:firstRow="1" w:lastRow="0" w:firstColumn="0" w:lastColumn="0" w:oddVBand="0" w:evenVBand="0" w:oddHBand="0" w:evenHBand="0" w:firstRowFirstColumn="0" w:firstRowLastColumn="0" w:lastRowFirstColumn="0" w:lastRowLastColumn="0"/>
          <w:trHeight w:val="216"/>
          <w:tblHeader/>
        </w:trPr>
        <w:tc>
          <w:tcPr>
            <w:tcW w:w="1563" w:type="dxa"/>
          </w:tcPr>
          <w:p w14:paraId="2B278D8E" w14:textId="77777777" w:rsidR="00A459B1" w:rsidRPr="00C11BAE" w:rsidRDefault="00A459B1">
            <w:pPr>
              <w:pStyle w:val="Tabele"/>
              <w:jc w:val="center"/>
              <w:rPr>
                <w:lang w:eastAsia="pl-PL"/>
              </w:rPr>
            </w:pPr>
          </w:p>
        </w:tc>
        <w:tc>
          <w:tcPr>
            <w:tcW w:w="5705" w:type="dxa"/>
          </w:tcPr>
          <w:p w14:paraId="276E5BED" w14:textId="77777777" w:rsidR="00A459B1" w:rsidRPr="00C11BAE" w:rsidRDefault="00A459B1">
            <w:pPr>
              <w:pStyle w:val="Tabele"/>
              <w:jc w:val="center"/>
              <w:rPr>
                <w:lang w:eastAsia="pl-PL"/>
              </w:rPr>
            </w:pPr>
          </w:p>
        </w:tc>
        <w:tc>
          <w:tcPr>
            <w:tcW w:w="850" w:type="dxa"/>
            <w:noWrap/>
            <w:hideMark/>
          </w:tcPr>
          <w:p w14:paraId="4FC956AF" w14:textId="77777777" w:rsidR="00A459B1" w:rsidRPr="00C11BAE" w:rsidRDefault="00A459B1">
            <w:pPr>
              <w:pStyle w:val="Tabele"/>
              <w:jc w:val="center"/>
              <w:rPr>
                <w:lang w:eastAsia="pl-PL"/>
              </w:rPr>
            </w:pPr>
            <w:r w:rsidRPr="00C11BAE">
              <w:rPr>
                <w:lang w:eastAsia="pl-PL"/>
              </w:rPr>
              <w:t>2005</w:t>
            </w:r>
          </w:p>
        </w:tc>
        <w:tc>
          <w:tcPr>
            <w:tcW w:w="850" w:type="dxa"/>
            <w:noWrap/>
            <w:hideMark/>
          </w:tcPr>
          <w:p w14:paraId="7A0F4B44" w14:textId="77777777" w:rsidR="00A459B1" w:rsidRPr="00C11BAE" w:rsidRDefault="00A459B1">
            <w:pPr>
              <w:pStyle w:val="Tabele"/>
              <w:jc w:val="center"/>
              <w:rPr>
                <w:lang w:eastAsia="pl-PL"/>
              </w:rPr>
            </w:pPr>
            <w:r w:rsidRPr="00C11BAE">
              <w:rPr>
                <w:lang w:eastAsia="pl-PL"/>
              </w:rPr>
              <w:t>2010</w:t>
            </w:r>
          </w:p>
        </w:tc>
        <w:tc>
          <w:tcPr>
            <w:tcW w:w="850" w:type="dxa"/>
            <w:noWrap/>
            <w:hideMark/>
          </w:tcPr>
          <w:p w14:paraId="37C76BC9" w14:textId="77777777" w:rsidR="00A459B1" w:rsidRPr="00C11BAE" w:rsidRDefault="00A459B1">
            <w:pPr>
              <w:pStyle w:val="Tabele"/>
              <w:jc w:val="center"/>
              <w:rPr>
                <w:lang w:eastAsia="pl-PL"/>
              </w:rPr>
            </w:pPr>
            <w:r w:rsidRPr="00C11BAE">
              <w:rPr>
                <w:lang w:eastAsia="pl-PL"/>
              </w:rPr>
              <w:t>2015</w:t>
            </w:r>
          </w:p>
        </w:tc>
        <w:tc>
          <w:tcPr>
            <w:tcW w:w="850" w:type="dxa"/>
            <w:noWrap/>
            <w:hideMark/>
          </w:tcPr>
          <w:p w14:paraId="787ED010" w14:textId="77777777" w:rsidR="00A459B1" w:rsidRPr="00C11BAE" w:rsidRDefault="00A459B1">
            <w:pPr>
              <w:pStyle w:val="Tabele"/>
              <w:jc w:val="center"/>
              <w:rPr>
                <w:lang w:eastAsia="pl-PL"/>
              </w:rPr>
            </w:pPr>
            <w:r w:rsidRPr="00C11BAE">
              <w:rPr>
                <w:lang w:eastAsia="pl-PL"/>
              </w:rPr>
              <w:t>2020</w:t>
            </w:r>
          </w:p>
        </w:tc>
        <w:tc>
          <w:tcPr>
            <w:tcW w:w="850" w:type="dxa"/>
            <w:noWrap/>
            <w:hideMark/>
          </w:tcPr>
          <w:p w14:paraId="3400F20B" w14:textId="77777777" w:rsidR="00A459B1" w:rsidRPr="00C11BAE" w:rsidRDefault="00A459B1">
            <w:pPr>
              <w:pStyle w:val="Tabele"/>
              <w:jc w:val="center"/>
              <w:rPr>
                <w:lang w:eastAsia="pl-PL"/>
              </w:rPr>
            </w:pPr>
            <w:r w:rsidRPr="00C11BAE">
              <w:rPr>
                <w:lang w:eastAsia="pl-PL"/>
              </w:rPr>
              <w:t>2025</w:t>
            </w:r>
          </w:p>
        </w:tc>
        <w:tc>
          <w:tcPr>
            <w:tcW w:w="850" w:type="dxa"/>
            <w:noWrap/>
            <w:hideMark/>
          </w:tcPr>
          <w:p w14:paraId="23527022" w14:textId="77777777" w:rsidR="00A459B1" w:rsidRPr="00C11BAE" w:rsidRDefault="00A459B1">
            <w:pPr>
              <w:pStyle w:val="Tabele"/>
              <w:jc w:val="center"/>
              <w:rPr>
                <w:lang w:eastAsia="pl-PL"/>
              </w:rPr>
            </w:pPr>
            <w:r w:rsidRPr="00C11BAE">
              <w:rPr>
                <w:lang w:eastAsia="pl-PL"/>
              </w:rPr>
              <w:t>2030</w:t>
            </w:r>
          </w:p>
        </w:tc>
        <w:tc>
          <w:tcPr>
            <w:tcW w:w="850" w:type="dxa"/>
            <w:noWrap/>
            <w:hideMark/>
          </w:tcPr>
          <w:p w14:paraId="2CA47D8D" w14:textId="77777777" w:rsidR="00A459B1" w:rsidRPr="00C11BAE" w:rsidRDefault="00A459B1">
            <w:pPr>
              <w:pStyle w:val="Tabele"/>
              <w:jc w:val="center"/>
              <w:rPr>
                <w:lang w:eastAsia="pl-PL"/>
              </w:rPr>
            </w:pPr>
            <w:r w:rsidRPr="00C11BAE">
              <w:rPr>
                <w:lang w:eastAsia="pl-PL"/>
              </w:rPr>
              <w:t>2035</w:t>
            </w:r>
          </w:p>
        </w:tc>
        <w:tc>
          <w:tcPr>
            <w:tcW w:w="851" w:type="dxa"/>
            <w:noWrap/>
            <w:hideMark/>
          </w:tcPr>
          <w:p w14:paraId="3D7162B7" w14:textId="77777777" w:rsidR="00A459B1" w:rsidRPr="00C11BAE" w:rsidRDefault="00A459B1">
            <w:pPr>
              <w:pStyle w:val="Tabele"/>
              <w:jc w:val="center"/>
              <w:rPr>
                <w:lang w:eastAsia="pl-PL"/>
              </w:rPr>
            </w:pPr>
            <w:r w:rsidRPr="00C11BAE">
              <w:rPr>
                <w:lang w:eastAsia="pl-PL"/>
              </w:rPr>
              <w:t>2040</w:t>
            </w:r>
          </w:p>
        </w:tc>
      </w:tr>
      <w:tr w:rsidR="007F0D2B" w:rsidRPr="00C068B4" w14:paraId="01B165CE" w14:textId="77777777" w:rsidTr="00896449">
        <w:trPr>
          <w:trHeight w:val="216"/>
        </w:trPr>
        <w:tc>
          <w:tcPr>
            <w:tcW w:w="1563" w:type="dxa"/>
            <w:vMerge w:val="restart"/>
          </w:tcPr>
          <w:p w14:paraId="7BDA4B1E" w14:textId="77777777" w:rsidR="00A459B1" w:rsidRPr="00A459B1" w:rsidRDefault="00A459B1">
            <w:pPr>
              <w:pStyle w:val="Tabele"/>
              <w:rPr>
                <w:b/>
                <w:bCs/>
                <w:color w:val="auto"/>
                <w:lang w:eastAsia="pl-PL"/>
              </w:rPr>
            </w:pPr>
            <w:r w:rsidRPr="00A459B1">
              <w:rPr>
                <w:b/>
                <w:bCs/>
                <w:color w:val="auto"/>
                <w:lang w:eastAsia="pl-PL"/>
              </w:rPr>
              <w:t>Zużycie energii końcowej brutto z OZE w podziale na sektory [ktoe]</w:t>
            </w:r>
          </w:p>
        </w:tc>
        <w:tc>
          <w:tcPr>
            <w:tcW w:w="5705" w:type="dxa"/>
            <w:hideMark/>
          </w:tcPr>
          <w:p w14:paraId="0080BA82" w14:textId="77777777" w:rsidR="00A459B1" w:rsidRPr="00A459B1" w:rsidRDefault="00A459B1">
            <w:pPr>
              <w:pStyle w:val="Tabele"/>
              <w:rPr>
                <w:b/>
                <w:bCs/>
                <w:color w:val="auto"/>
                <w:lang w:eastAsia="pl-PL"/>
              </w:rPr>
            </w:pPr>
            <w:r w:rsidRPr="00A459B1">
              <w:rPr>
                <w:b/>
                <w:bCs/>
                <w:color w:val="auto"/>
                <w:lang w:eastAsia="pl-PL"/>
              </w:rPr>
              <w:t>Końcowe zużycie energii brutto (denominator RES-OS)</w:t>
            </w:r>
          </w:p>
        </w:tc>
        <w:tc>
          <w:tcPr>
            <w:tcW w:w="850" w:type="dxa"/>
            <w:shd w:val="clear" w:color="auto" w:fill="C5E0B3" w:themeFill="accent6" w:themeFillTint="66"/>
            <w:noWrap/>
            <w:hideMark/>
          </w:tcPr>
          <w:p w14:paraId="657FC366" w14:textId="77777777" w:rsidR="00A459B1" w:rsidRPr="00A459B1" w:rsidRDefault="00A459B1">
            <w:pPr>
              <w:pStyle w:val="Tabele"/>
              <w:jc w:val="right"/>
              <w:rPr>
                <w:b/>
                <w:bCs/>
                <w:color w:val="auto"/>
                <w:lang w:eastAsia="pl-PL"/>
              </w:rPr>
            </w:pPr>
            <w:r w:rsidRPr="00A459B1">
              <w:rPr>
                <w:b/>
                <w:bCs/>
                <w:color w:val="auto"/>
              </w:rPr>
              <w:t>61 577</w:t>
            </w:r>
          </w:p>
        </w:tc>
        <w:tc>
          <w:tcPr>
            <w:tcW w:w="850" w:type="dxa"/>
            <w:shd w:val="clear" w:color="auto" w:fill="C5E0B3" w:themeFill="accent6" w:themeFillTint="66"/>
            <w:noWrap/>
            <w:hideMark/>
          </w:tcPr>
          <w:p w14:paraId="71780668" w14:textId="77777777" w:rsidR="00A459B1" w:rsidRPr="00A459B1" w:rsidRDefault="00A459B1">
            <w:pPr>
              <w:pStyle w:val="Tabele"/>
              <w:jc w:val="right"/>
              <w:rPr>
                <w:b/>
                <w:bCs/>
                <w:color w:val="auto"/>
                <w:lang w:eastAsia="pl-PL"/>
              </w:rPr>
            </w:pPr>
            <w:r w:rsidRPr="00A459B1">
              <w:rPr>
                <w:b/>
                <w:bCs/>
                <w:color w:val="auto"/>
              </w:rPr>
              <w:t>69 192</w:t>
            </w:r>
          </w:p>
        </w:tc>
        <w:tc>
          <w:tcPr>
            <w:tcW w:w="850" w:type="dxa"/>
            <w:shd w:val="clear" w:color="auto" w:fill="C5E0B3" w:themeFill="accent6" w:themeFillTint="66"/>
            <w:noWrap/>
            <w:hideMark/>
          </w:tcPr>
          <w:p w14:paraId="249AADBB" w14:textId="77777777" w:rsidR="00A459B1" w:rsidRPr="00A459B1" w:rsidRDefault="00A459B1">
            <w:pPr>
              <w:pStyle w:val="Tabele"/>
              <w:jc w:val="right"/>
              <w:rPr>
                <w:b/>
                <w:bCs/>
                <w:color w:val="auto"/>
                <w:lang w:eastAsia="pl-PL"/>
              </w:rPr>
            </w:pPr>
            <w:r w:rsidRPr="00A459B1">
              <w:rPr>
                <w:b/>
                <w:bCs/>
                <w:color w:val="auto"/>
              </w:rPr>
              <w:t>65 374</w:t>
            </w:r>
          </w:p>
        </w:tc>
        <w:tc>
          <w:tcPr>
            <w:tcW w:w="850" w:type="dxa"/>
            <w:shd w:val="clear" w:color="auto" w:fill="C5E0B3" w:themeFill="accent6" w:themeFillTint="66"/>
            <w:noWrap/>
            <w:hideMark/>
          </w:tcPr>
          <w:p w14:paraId="5D07B2C7" w14:textId="77777777" w:rsidR="00A459B1" w:rsidRPr="00A459B1" w:rsidRDefault="00A459B1">
            <w:pPr>
              <w:pStyle w:val="Tabele"/>
              <w:jc w:val="right"/>
              <w:rPr>
                <w:b/>
                <w:bCs/>
                <w:color w:val="auto"/>
                <w:lang w:eastAsia="pl-PL"/>
              </w:rPr>
            </w:pPr>
            <w:r w:rsidRPr="00A459B1">
              <w:rPr>
                <w:b/>
                <w:bCs/>
                <w:color w:val="auto"/>
              </w:rPr>
              <w:t>74 069</w:t>
            </w:r>
          </w:p>
        </w:tc>
        <w:tc>
          <w:tcPr>
            <w:tcW w:w="850" w:type="dxa"/>
            <w:noWrap/>
            <w:hideMark/>
          </w:tcPr>
          <w:p w14:paraId="0B625FF3" w14:textId="77777777" w:rsidR="00A459B1" w:rsidRPr="00A459B1" w:rsidRDefault="00A459B1">
            <w:pPr>
              <w:pStyle w:val="Tabele"/>
              <w:jc w:val="right"/>
              <w:rPr>
                <w:b/>
                <w:bCs/>
                <w:color w:val="auto"/>
                <w:lang w:eastAsia="pl-PL"/>
              </w:rPr>
            </w:pPr>
            <w:r w:rsidRPr="00A459B1">
              <w:rPr>
                <w:rFonts w:cs="Arial"/>
                <w:b/>
                <w:bCs/>
                <w:color w:val="auto"/>
                <w:szCs w:val="16"/>
              </w:rPr>
              <w:t>71 945</w:t>
            </w:r>
          </w:p>
        </w:tc>
        <w:tc>
          <w:tcPr>
            <w:tcW w:w="850" w:type="dxa"/>
            <w:noWrap/>
            <w:hideMark/>
          </w:tcPr>
          <w:p w14:paraId="5807B715" w14:textId="77777777" w:rsidR="00A459B1" w:rsidRPr="00A459B1" w:rsidRDefault="00A459B1">
            <w:pPr>
              <w:pStyle w:val="Tabele"/>
              <w:jc w:val="right"/>
              <w:rPr>
                <w:b/>
                <w:bCs/>
                <w:color w:val="auto"/>
                <w:lang w:eastAsia="pl-PL"/>
              </w:rPr>
            </w:pPr>
            <w:r w:rsidRPr="00A459B1">
              <w:rPr>
                <w:rFonts w:cs="Arial"/>
                <w:b/>
                <w:bCs/>
                <w:color w:val="auto"/>
                <w:szCs w:val="16"/>
              </w:rPr>
              <w:t>66 570</w:t>
            </w:r>
          </w:p>
        </w:tc>
        <w:tc>
          <w:tcPr>
            <w:tcW w:w="850" w:type="dxa"/>
            <w:noWrap/>
            <w:hideMark/>
          </w:tcPr>
          <w:p w14:paraId="3B07773F" w14:textId="77777777" w:rsidR="00A459B1" w:rsidRPr="00A459B1" w:rsidRDefault="00A459B1">
            <w:pPr>
              <w:pStyle w:val="Tabele"/>
              <w:jc w:val="right"/>
              <w:rPr>
                <w:b/>
                <w:bCs/>
                <w:color w:val="auto"/>
                <w:lang w:eastAsia="pl-PL"/>
              </w:rPr>
            </w:pPr>
            <w:r w:rsidRPr="00A459B1">
              <w:rPr>
                <w:rFonts w:cs="Arial"/>
                <w:b/>
                <w:bCs/>
                <w:color w:val="auto"/>
                <w:szCs w:val="16"/>
              </w:rPr>
              <w:t>62 220</w:t>
            </w:r>
          </w:p>
        </w:tc>
        <w:tc>
          <w:tcPr>
            <w:tcW w:w="851" w:type="dxa"/>
            <w:noWrap/>
            <w:hideMark/>
          </w:tcPr>
          <w:p w14:paraId="287684D4" w14:textId="77777777" w:rsidR="00A459B1" w:rsidRPr="00A459B1" w:rsidRDefault="00A459B1">
            <w:pPr>
              <w:pStyle w:val="Tabele"/>
              <w:jc w:val="right"/>
              <w:rPr>
                <w:b/>
                <w:bCs/>
                <w:color w:val="auto"/>
                <w:lang w:eastAsia="pl-PL"/>
              </w:rPr>
            </w:pPr>
            <w:r w:rsidRPr="00A459B1">
              <w:rPr>
                <w:rFonts w:cs="Arial"/>
                <w:b/>
                <w:bCs/>
                <w:color w:val="auto"/>
                <w:szCs w:val="16"/>
              </w:rPr>
              <w:t>59 349</w:t>
            </w:r>
          </w:p>
        </w:tc>
      </w:tr>
      <w:tr w:rsidR="007F0D2B" w:rsidRPr="00C068B4" w14:paraId="3E098ECB" w14:textId="77777777" w:rsidTr="00896449">
        <w:trPr>
          <w:trHeight w:val="216"/>
        </w:trPr>
        <w:tc>
          <w:tcPr>
            <w:tcW w:w="1563" w:type="dxa"/>
            <w:vMerge/>
          </w:tcPr>
          <w:p w14:paraId="0D9B3920" w14:textId="77777777" w:rsidR="00A459B1" w:rsidRPr="00A459B1" w:rsidRDefault="00A459B1">
            <w:pPr>
              <w:pStyle w:val="Tabele"/>
              <w:rPr>
                <w:b/>
                <w:bCs/>
                <w:color w:val="auto"/>
                <w:lang w:eastAsia="pl-PL"/>
              </w:rPr>
            </w:pPr>
          </w:p>
        </w:tc>
        <w:tc>
          <w:tcPr>
            <w:tcW w:w="5705" w:type="dxa"/>
            <w:noWrap/>
            <w:hideMark/>
          </w:tcPr>
          <w:p w14:paraId="16EB3754" w14:textId="77777777" w:rsidR="00A459B1" w:rsidRPr="00A459B1" w:rsidRDefault="00A459B1">
            <w:pPr>
              <w:pStyle w:val="Tabele"/>
              <w:rPr>
                <w:color w:val="auto"/>
                <w:lang w:eastAsia="pl-PL"/>
              </w:rPr>
            </w:pPr>
            <w:r w:rsidRPr="00A459B1">
              <w:rPr>
                <w:color w:val="auto"/>
                <w:lang w:eastAsia="pl-PL"/>
              </w:rPr>
              <w:t>Zużycie energii końcowej brutto ze źródeł odnawialnych (numerator RES-OS)</w:t>
            </w:r>
          </w:p>
        </w:tc>
        <w:tc>
          <w:tcPr>
            <w:tcW w:w="850" w:type="dxa"/>
            <w:shd w:val="clear" w:color="auto" w:fill="C5E0B3" w:themeFill="accent6" w:themeFillTint="66"/>
            <w:noWrap/>
            <w:hideMark/>
          </w:tcPr>
          <w:p w14:paraId="58B64C8F" w14:textId="77777777" w:rsidR="00A459B1" w:rsidRPr="00A459B1" w:rsidRDefault="00A459B1">
            <w:pPr>
              <w:pStyle w:val="Tabele"/>
              <w:jc w:val="right"/>
              <w:rPr>
                <w:color w:val="auto"/>
                <w:lang w:eastAsia="pl-PL"/>
              </w:rPr>
            </w:pPr>
            <w:r w:rsidRPr="00A459B1">
              <w:rPr>
                <w:color w:val="auto"/>
              </w:rPr>
              <w:t>4 229</w:t>
            </w:r>
          </w:p>
        </w:tc>
        <w:tc>
          <w:tcPr>
            <w:tcW w:w="850" w:type="dxa"/>
            <w:shd w:val="clear" w:color="auto" w:fill="C5E0B3" w:themeFill="accent6" w:themeFillTint="66"/>
            <w:noWrap/>
            <w:hideMark/>
          </w:tcPr>
          <w:p w14:paraId="64A3E8E2" w14:textId="77777777" w:rsidR="00A459B1" w:rsidRPr="00A459B1" w:rsidRDefault="00A459B1">
            <w:pPr>
              <w:pStyle w:val="Tabele"/>
              <w:jc w:val="right"/>
              <w:rPr>
                <w:color w:val="auto"/>
                <w:lang w:eastAsia="pl-PL"/>
              </w:rPr>
            </w:pPr>
            <w:r w:rsidRPr="00A459B1">
              <w:rPr>
                <w:color w:val="auto"/>
              </w:rPr>
              <w:t>6 421</w:t>
            </w:r>
          </w:p>
        </w:tc>
        <w:tc>
          <w:tcPr>
            <w:tcW w:w="850" w:type="dxa"/>
            <w:shd w:val="clear" w:color="auto" w:fill="C5E0B3" w:themeFill="accent6" w:themeFillTint="66"/>
            <w:noWrap/>
            <w:hideMark/>
          </w:tcPr>
          <w:p w14:paraId="7F2A0542" w14:textId="77777777" w:rsidR="00A459B1" w:rsidRPr="00A459B1" w:rsidRDefault="00A459B1">
            <w:pPr>
              <w:pStyle w:val="Tabele"/>
              <w:jc w:val="right"/>
              <w:rPr>
                <w:color w:val="auto"/>
                <w:lang w:eastAsia="pl-PL"/>
              </w:rPr>
            </w:pPr>
            <w:r w:rsidRPr="00A459B1">
              <w:rPr>
                <w:color w:val="auto"/>
              </w:rPr>
              <w:t>7 767</w:t>
            </w:r>
          </w:p>
        </w:tc>
        <w:tc>
          <w:tcPr>
            <w:tcW w:w="850" w:type="dxa"/>
            <w:shd w:val="clear" w:color="auto" w:fill="C5E0B3" w:themeFill="accent6" w:themeFillTint="66"/>
            <w:noWrap/>
            <w:hideMark/>
          </w:tcPr>
          <w:p w14:paraId="0A18A90B" w14:textId="77777777" w:rsidR="00A459B1" w:rsidRPr="00A459B1" w:rsidRDefault="00A459B1">
            <w:pPr>
              <w:pStyle w:val="Tabele"/>
              <w:jc w:val="right"/>
              <w:rPr>
                <w:color w:val="auto"/>
                <w:lang w:eastAsia="pl-PL"/>
              </w:rPr>
            </w:pPr>
            <w:r w:rsidRPr="00A459B1">
              <w:rPr>
                <w:color w:val="auto"/>
              </w:rPr>
              <w:t>11 926</w:t>
            </w:r>
          </w:p>
        </w:tc>
        <w:tc>
          <w:tcPr>
            <w:tcW w:w="850" w:type="dxa"/>
            <w:noWrap/>
            <w:hideMark/>
          </w:tcPr>
          <w:p w14:paraId="6F19CC68" w14:textId="77777777" w:rsidR="00A459B1" w:rsidRPr="00A459B1" w:rsidRDefault="00A459B1">
            <w:pPr>
              <w:pStyle w:val="Tabele"/>
              <w:jc w:val="right"/>
              <w:rPr>
                <w:color w:val="auto"/>
                <w:lang w:eastAsia="pl-PL"/>
              </w:rPr>
            </w:pPr>
            <w:r w:rsidRPr="00A459B1">
              <w:rPr>
                <w:rFonts w:cs="Arial"/>
                <w:color w:val="auto"/>
                <w:szCs w:val="16"/>
              </w:rPr>
              <w:t>15 532</w:t>
            </w:r>
          </w:p>
        </w:tc>
        <w:tc>
          <w:tcPr>
            <w:tcW w:w="850" w:type="dxa"/>
            <w:noWrap/>
            <w:hideMark/>
          </w:tcPr>
          <w:p w14:paraId="4BC3A193" w14:textId="77777777" w:rsidR="00A459B1" w:rsidRPr="00A459B1" w:rsidRDefault="00A459B1">
            <w:pPr>
              <w:pStyle w:val="Tabele"/>
              <w:jc w:val="right"/>
              <w:rPr>
                <w:color w:val="auto"/>
                <w:lang w:eastAsia="pl-PL"/>
              </w:rPr>
            </w:pPr>
            <w:r w:rsidRPr="00A459B1">
              <w:rPr>
                <w:rFonts w:cs="Arial"/>
                <w:color w:val="auto"/>
                <w:szCs w:val="16"/>
              </w:rPr>
              <w:t>21 366</w:t>
            </w:r>
          </w:p>
        </w:tc>
        <w:tc>
          <w:tcPr>
            <w:tcW w:w="850" w:type="dxa"/>
            <w:noWrap/>
            <w:hideMark/>
          </w:tcPr>
          <w:p w14:paraId="2B1A5E8B" w14:textId="77777777" w:rsidR="00A459B1" w:rsidRPr="00A459B1" w:rsidRDefault="00A459B1">
            <w:pPr>
              <w:pStyle w:val="Tabele"/>
              <w:jc w:val="right"/>
              <w:rPr>
                <w:color w:val="auto"/>
                <w:lang w:eastAsia="pl-PL"/>
              </w:rPr>
            </w:pPr>
            <w:r w:rsidRPr="00A459B1">
              <w:rPr>
                <w:rFonts w:cs="Arial"/>
                <w:color w:val="auto"/>
                <w:szCs w:val="16"/>
              </w:rPr>
              <w:t>28 936</w:t>
            </w:r>
          </w:p>
        </w:tc>
        <w:tc>
          <w:tcPr>
            <w:tcW w:w="851" w:type="dxa"/>
            <w:noWrap/>
            <w:hideMark/>
          </w:tcPr>
          <w:p w14:paraId="2DA9C1AE" w14:textId="77777777" w:rsidR="00A459B1" w:rsidRPr="00A459B1" w:rsidRDefault="00A459B1">
            <w:pPr>
              <w:pStyle w:val="Tabele"/>
              <w:jc w:val="right"/>
              <w:rPr>
                <w:color w:val="auto"/>
                <w:lang w:eastAsia="pl-PL"/>
              </w:rPr>
            </w:pPr>
            <w:r w:rsidRPr="00A459B1">
              <w:rPr>
                <w:rFonts w:cs="Arial"/>
                <w:color w:val="auto"/>
                <w:szCs w:val="16"/>
              </w:rPr>
              <w:t>36 639</w:t>
            </w:r>
          </w:p>
        </w:tc>
      </w:tr>
      <w:tr w:rsidR="007F0D2B" w:rsidRPr="00C068B4" w14:paraId="548609F9" w14:textId="77777777" w:rsidTr="00896449">
        <w:trPr>
          <w:trHeight w:val="216"/>
        </w:trPr>
        <w:tc>
          <w:tcPr>
            <w:tcW w:w="1563" w:type="dxa"/>
            <w:vMerge/>
          </w:tcPr>
          <w:p w14:paraId="0FB7C808" w14:textId="77777777" w:rsidR="00A459B1" w:rsidRPr="00A459B1" w:rsidRDefault="00A459B1">
            <w:pPr>
              <w:pStyle w:val="Tabele"/>
              <w:rPr>
                <w:b/>
                <w:bCs/>
                <w:color w:val="auto"/>
                <w:lang w:eastAsia="pl-PL"/>
              </w:rPr>
            </w:pPr>
          </w:p>
        </w:tc>
        <w:tc>
          <w:tcPr>
            <w:tcW w:w="5705" w:type="dxa"/>
            <w:noWrap/>
            <w:hideMark/>
          </w:tcPr>
          <w:p w14:paraId="18819CEC" w14:textId="77777777" w:rsidR="00A459B1" w:rsidRPr="00A459B1" w:rsidRDefault="00A459B1">
            <w:pPr>
              <w:pStyle w:val="Tabele"/>
              <w:rPr>
                <w:color w:val="auto"/>
                <w:lang w:eastAsia="pl-PL"/>
              </w:rPr>
            </w:pPr>
            <w:r w:rsidRPr="00A459B1">
              <w:rPr>
                <w:color w:val="auto"/>
                <w:lang w:eastAsia="pl-PL"/>
              </w:rPr>
              <w:t>Zużycie energii końcowej brutto ze źródeł odnawialnych w elektroenergetyce</w:t>
            </w:r>
          </w:p>
        </w:tc>
        <w:tc>
          <w:tcPr>
            <w:tcW w:w="850" w:type="dxa"/>
            <w:shd w:val="clear" w:color="auto" w:fill="C5E0B3" w:themeFill="accent6" w:themeFillTint="66"/>
            <w:noWrap/>
            <w:hideMark/>
          </w:tcPr>
          <w:p w14:paraId="3F6DBE2F" w14:textId="77777777" w:rsidR="00A459B1" w:rsidRPr="00A459B1" w:rsidRDefault="00A459B1">
            <w:pPr>
              <w:pStyle w:val="Tabele"/>
              <w:jc w:val="right"/>
              <w:rPr>
                <w:color w:val="auto"/>
                <w:lang w:eastAsia="pl-PL"/>
              </w:rPr>
            </w:pPr>
            <w:r w:rsidRPr="00A459B1">
              <w:rPr>
                <w:color w:val="auto"/>
              </w:rPr>
              <w:t>257</w:t>
            </w:r>
          </w:p>
        </w:tc>
        <w:tc>
          <w:tcPr>
            <w:tcW w:w="850" w:type="dxa"/>
            <w:shd w:val="clear" w:color="auto" w:fill="C5E0B3" w:themeFill="accent6" w:themeFillTint="66"/>
            <w:noWrap/>
            <w:hideMark/>
          </w:tcPr>
          <w:p w14:paraId="7025F09B" w14:textId="77777777" w:rsidR="00A459B1" w:rsidRPr="00A459B1" w:rsidRDefault="00A459B1">
            <w:pPr>
              <w:pStyle w:val="Tabele"/>
              <w:jc w:val="right"/>
              <w:rPr>
                <w:color w:val="auto"/>
                <w:lang w:eastAsia="pl-PL"/>
              </w:rPr>
            </w:pPr>
            <w:r w:rsidRPr="00A459B1">
              <w:rPr>
                <w:color w:val="auto"/>
              </w:rPr>
              <w:t>824</w:t>
            </w:r>
          </w:p>
        </w:tc>
        <w:tc>
          <w:tcPr>
            <w:tcW w:w="850" w:type="dxa"/>
            <w:shd w:val="clear" w:color="auto" w:fill="C5E0B3" w:themeFill="accent6" w:themeFillTint="66"/>
            <w:noWrap/>
            <w:hideMark/>
          </w:tcPr>
          <w:p w14:paraId="7A8C5AD9" w14:textId="77777777" w:rsidR="00A459B1" w:rsidRPr="00A459B1" w:rsidRDefault="00A459B1">
            <w:pPr>
              <w:pStyle w:val="Tabele"/>
              <w:jc w:val="right"/>
              <w:rPr>
                <w:color w:val="auto"/>
                <w:lang w:eastAsia="pl-PL"/>
              </w:rPr>
            </w:pPr>
            <w:r w:rsidRPr="00A459B1">
              <w:rPr>
                <w:color w:val="auto"/>
              </w:rPr>
              <w:t>1 818</w:t>
            </w:r>
          </w:p>
        </w:tc>
        <w:tc>
          <w:tcPr>
            <w:tcW w:w="850" w:type="dxa"/>
            <w:shd w:val="clear" w:color="auto" w:fill="C5E0B3" w:themeFill="accent6" w:themeFillTint="66"/>
            <w:noWrap/>
            <w:hideMark/>
          </w:tcPr>
          <w:p w14:paraId="75863070" w14:textId="77777777" w:rsidR="00A459B1" w:rsidRPr="00A459B1" w:rsidRDefault="00A459B1">
            <w:pPr>
              <w:pStyle w:val="Tabele"/>
              <w:jc w:val="right"/>
              <w:rPr>
                <w:color w:val="auto"/>
                <w:lang w:eastAsia="pl-PL"/>
              </w:rPr>
            </w:pPr>
            <w:r w:rsidRPr="00A459B1">
              <w:rPr>
                <w:color w:val="auto"/>
              </w:rPr>
              <w:t>2 292</w:t>
            </w:r>
          </w:p>
        </w:tc>
        <w:tc>
          <w:tcPr>
            <w:tcW w:w="850" w:type="dxa"/>
            <w:noWrap/>
            <w:hideMark/>
          </w:tcPr>
          <w:p w14:paraId="37FD3166" w14:textId="77777777" w:rsidR="00A459B1" w:rsidRPr="00A459B1" w:rsidRDefault="00A459B1">
            <w:pPr>
              <w:pStyle w:val="Tabele"/>
              <w:jc w:val="right"/>
              <w:rPr>
                <w:color w:val="auto"/>
                <w:lang w:eastAsia="pl-PL"/>
              </w:rPr>
            </w:pPr>
            <w:r w:rsidRPr="00A459B1">
              <w:rPr>
                <w:rFonts w:cs="Arial"/>
                <w:color w:val="auto"/>
                <w:szCs w:val="16"/>
              </w:rPr>
              <w:t>4 670</w:t>
            </w:r>
          </w:p>
        </w:tc>
        <w:tc>
          <w:tcPr>
            <w:tcW w:w="850" w:type="dxa"/>
            <w:noWrap/>
            <w:hideMark/>
          </w:tcPr>
          <w:p w14:paraId="075CE183" w14:textId="77777777" w:rsidR="00A459B1" w:rsidRPr="00A459B1" w:rsidRDefault="00A459B1">
            <w:pPr>
              <w:pStyle w:val="Tabele"/>
              <w:jc w:val="right"/>
              <w:rPr>
                <w:color w:val="auto"/>
                <w:lang w:eastAsia="pl-PL"/>
              </w:rPr>
            </w:pPr>
            <w:r w:rsidRPr="00A459B1">
              <w:rPr>
                <w:rFonts w:cs="Arial"/>
                <w:color w:val="auto"/>
                <w:szCs w:val="16"/>
              </w:rPr>
              <w:t>8 343</w:t>
            </w:r>
          </w:p>
        </w:tc>
        <w:tc>
          <w:tcPr>
            <w:tcW w:w="850" w:type="dxa"/>
            <w:noWrap/>
            <w:hideMark/>
          </w:tcPr>
          <w:p w14:paraId="11440EB2" w14:textId="77777777" w:rsidR="00A459B1" w:rsidRPr="00A459B1" w:rsidRDefault="00A459B1">
            <w:pPr>
              <w:pStyle w:val="Tabele"/>
              <w:jc w:val="right"/>
              <w:rPr>
                <w:color w:val="auto"/>
                <w:lang w:eastAsia="pl-PL"/>
              </w:rPr>
            </w:pPr>
            <w:r w:rsidRPr="00A459B1">
              <w:rPr>
                <w:rFonts w:cs="Arial"/>
                <w:color w:val="auto"/>
                <w:szCs w:val="16"/>
              </w:rPr>
              <w:t>13 551</w:t>
            </w:r>
          </w:p>
        </w:tc>
        <w:tc>
          <w:tcPr>
            <w:tcW w:w="851" w:type="dxa"/>
            <w:noWrap/>
            <w:hideMark/>
          </w:tcPr>
          <w:p w14:paraId="7AF48DAA" w14:textId="4126C016" w:rsidR="00A459B1" w:rsidRPr="00A459B1" w:rsidRDefault="00A459B1">
            <w:pPr>
              <w:pStyle w:val="Tabele"/>
              <w:jc w:val="right"/>
              <w:rPr>
                <w:color w:val="auto"/>
                <w:lang w:eastAsia="pl-PL"/>
              </w:rPr>
            </w:pPr>
            <w:r w:rsidRPr="00A459B1">
              <w:rPr>
                <w:rFonts w:cs="Arial"/>
                <w:color w:val="auto"/>
                <w:szCs w:val="16"/>
              </w:rPr>
              <w:t>18 469</w:t>
            </w:r>
          </w:p>
        </w:tc>
      </w:tr>
      <w:tr w:rsidR="007F0D2B" w:rsidRPr="00C068B4" w14:paraId="66DB63E8" w14:textId="77777777" w:rsidTr="00896449">
        <w:trPr>
          <w:trHeight w:val="216"/>
        </w:trPr>
        <w:tc>
          <w:tcPr>
            <w:tcW w:w="1563" w:type="dxa"/>
            <w:vMerge/>
          </w:tcPr>
          <w:p w14:paraId="3539681B" w14:textId="77777777" w:rsidR="00A459B1" w:rsidRPr="00A459B1" w:rsidRDefault="00A459B1">
            <w:pPr>
              <w:pStyle w:val="Tabele"/>
              <w:rPr>
                <w:b/>
                <w:bCs/>
                <w:color w:val="auto"/>
                <w:lang w:eastAsia="pl-PL"/>
              </w:rPr>
            </w:pPr>
          </w:p>
        </w:tc>
        <w:tc>
          <w:tcPr>
            <w:tcW w:w="5705" w:type="dxa"/>
            <w:noWrap/>
            <w:hideMark/>
          </w:tcPr>
          <w:p w14:paraId="765B94B2" w14:textId="77777777" w:rsidR="00A459B1" w:rsidRPr="00A459B1" w:rsidRDefault="00A459B1">
            <w:pPr>
              <w:pStyle w:val="Tabele"/>
              <w:rPr>
                <w:color w:val="auto"/>
                <w:lang w:eastAsia="pl-PL"/>
              </w:rPr>
            </w:pPr>
            <w:r w:rsidRPr="00A459B1">
              <w:rPr>
                <w:color w:val="auto"/>
                <w:lang w:eastAsia="pl-PL"/>
              </w:rPr>
              <w:t xml:space="preserve">Zużycie energii końcowej brutto ze źródeł odnawialnych w ciepłownictwie i chłodnictwie </w:t>
            </w:r>
          </w:p>
        </w:tc>
        <w:tc>
          <w:tcPr>
            <w:tcW w:w="850" w:type="dxa"/>
            <w:shd w:val="clear" w:color="auto" w:fill="C5E0B3" w:themeFill="accent6" w:themeFillTint="66"/>
            <w:noWrap/>
            <w:hideMark/>
          </w:tcPr>
          <w:p w14:paraId="3264560B" w14:textId="77777777" w:rsidR="00A459B1" w:rsidRPr="00A459B1" w:rsidRDefault="00A459B1">
            <w:pPr>
              <w:pStyle w:val="Tabele"/>
              <w:jc w:val="right"/>
              <w:rPr>
                <w:color w:val="auto"/>
                <w:lang w:eastAsia="pl-PL"/>
              </w:rPr>
            </w:pPr>
            <w:r w:rsidRPr="00A459B1">
              <w:rPr>
                <w:color w:val="auto"/>
              </w:rPr>
              <w:t>3 868</w:t>
            </w:r>
          </w:p>
        </w:tc>
        <w:tc>
          <w:tcPr>
            <w:tcW w:w="850" w:type="dxa"/>
            <w:shd w:val="clear" w:color="auto" w:fill="C5E0B3" w:themeFill="accent6" w:themeFillTint="66"/>
            <w:noWrap/>
            <w:hideMark/>
          </w:tcPr>
          <w:p w14:paraId="4E45B4B1" w14:textId="77777777" w:rsidR="00A459B1" w:rsidRPr="00A459B1" w:rsidRDefault="00A459B1">
            <w:pPr>
              <w:pStyle w:val="Tabele"/>
              <w:jc w:val="right"/>
              <w:rPr>
                <w:color w:val="auto"/>
                <w:lang w:eastAsia="pl-PL"/>
              </w:rPr>
            </w:pPr>
            <w:r w:rsidRPr="00A459B1">
              <w:rPr>
                <w:color w:val="auto"/>
              </w:rPr>
              <w:t>4 677</w:t>
            </w:r>
          </w:p>
        </w:tc>
        <w:tc>
          <w:tcPr>
            <w:tcW w:w="850" w:type="dxa"/>
            <w:shd w:val="clear" w:color="auto" w:fill="C5E0B3" w:themeFill="accent6" w:themeFillTint="66"/>
            <w:noWrap/>
            <w:hideMark/>
          </w:tcPr>
          <w:p w14:paraId="6331DC31" w14:textId="77777777" w:rsidR="00A459B1" w:rsidRPr="00A459B1" w:rsidRDefault="00A459B1">
            <w:pPr>
              <w:pStyle w:val="Tabele"/>
              <w:jc w:val="right"/>
              <w:rPr>
                <w:color w:val="auto"/>
                <w:lang w:eastAsia="pl-PL"/>
              </w:rPr>
            </w:pPr>
            <w:r w:rsidRPr="00A459B1">
              <w:rPr>
                <w:color w:val="auto"/>
              </w:rPr>
              <w:t>5 224</w:t>
            </w:r>
          </w:p>
        </w:tc>
        <w:tc>
          <w:tcPr>
            <w:tcW w:w="850" w:type="dxa"/>
            <w:shd w:val="clear" w:color="auto" w:fill="C5E0B3" w:themeFill="accent6" w:themeFillTint="66"/>
            <w:noWrap/>
            <w:hideMark/>
          </w:tcPr>
          <w:p w14:paraId="0AD9213D" w14:textId="77777777" w:rsidR="00A459B1" w:rsidRPr="00A459B1" w:rsidRDefault="00A459B1">
            <w:pPr>
              <w:pStyle w:val="Tabele"/>
              <w:jc w:val="right"/>
              <w:rPr>
                <w:color w:val="auto"/>
                <w:lang w:eastAsia="pl-PL"/>
              </w:rPr>
            </w:pPr>
            <w:r w:rsidRPr="00A459B1">
              <w:rPr>
                <w:color w:val="auto"/>
              </w:rPr>
              <w:t>8 507</w:t>
            </w:r>
          </w:p>
        </w:tc>
        <w:tc>
          <w:tcPr>
            <w:tcW w:w="850" w:type="dxa"/>
            <w:noWrap/>
            <w:hideMark/>
          </w:tcPr>
          <w:p w14:paraId="46DCE80B" w14:textId="77777777" w:rsidR="00A459B1" w:rsidRPr="00A459B1" w:rsidRDefault="00A459B1">
            <w:pPr>
              <w:pStyle w:val="Tabele"/>
              <w:jc w:val="right"/>
              <w:rPr>
                <w:color w:val="auto"/>
                <w:lang w:eastAsia="pl-PL"/>
              </w:rPr>
            </w:pPr>
            <w:r w:rsidRPr="00A459B1">
              <w:rPr>
                <w:rFonts w:cs="Arial"/>
                <w:color w:val="auto"/>
                <w:szCs w:val="16"/>
              </w:rPr>
              <w:t>9 040</w:t>
            </w:r>
          </w:p>
        </w:tc>
        <w:tc>
          <w:tcPr>
            <w:tcW w:w="850" w:type="dxa"/>
            <w:noWrap/>
            <w:hideMark/>
          </w:tcPr>
          <w:p w14:paraId="23BEC165" w14:textId="77777777" w:rsidR="00A459B1" w:rsidRPr="00A459B1" w:rsidRDefault="00A459B1">
            <w:pPr>
              <w:pStyle w:val="Tabele"/>
              <w:jc w:val="right"/>
              <w:rPr>
                <w:color w:val="auto"/>
                <w:lang w:eastAsia="pl-PL"/>
              </w:rPr>
            </w:pPr>
            <w:r w:rsidRPr="00A459B1">
              <w:rPr>
                <w:rFonts w:cs="Arial"/>
                <w:color w:val="auto"/>
                <w:szCs w:val="16"/>
              </w:rPr>
              <w:t>10 766</w:t>
            </w:r>
          </w:p>
        </w:tc>
        <w:tc>
          <w:tcPr>
            <w:tcW w:w="850" w:type="dxa"/>
            <w:noWrap/>
            <w:hideMark/>
          </w:tcPr>
          <w:p w14:paraId="680DF989" w14:textId="77777777" w:rsidR="00A459B1" w:rsidRPr="00A459B1" w:rsidRDefault="00A459B1">
            <w:pPr>
              <w:pStyle w:val="Tabele"/>
              <w:jc w:val="right"/>
              <w:rPr>
                <w:color w:val="auto"/>
                <w:lang w:eastAsia="pl-PL"/>
              </w:rPr>
            </w:pPr>
            <w:r w:rsidRPr="00A459B1">
              <w:rPr>
                <w:rFonts w:cs="Arial"/>
                <w:color w:val="auto"/>
                <w:szCs w:val="16"/>
              </w:rPr>
              <w:t>12 709</w:t>
            </w:r>
          </w:p>
        </w:tc>
        <w:tc>
          <w:tcPr>
            <w:tcW w:w="851" w:type="dxa"/>
            <w:noWrap/>
            <w:hideMark/>
          </w:tcPr>
          <w:p w14:paraId="7B2ADF4C" w14:textId="77777777" w:rsidR="00A459B1" w:rsidRPr="00A459B1" w:rsidRDefault="00A459B1">
            <w:pPr>
              <w:pStyle w:val="Tabele"/>
              <w:jc w:val="right"/>
              <w:rPr>
                <w:color w:val="auto"/>
                <w:lang w:eastAsia="pl-PL"/>
              </w:rPr>
            </w:pPr>
            <w:r w:rsidRPr="00A459B1">
              <w:rPr>
                <w:rFonts w:cs="Arial"/>
                <w:color w:val="auto"/>
                <w:szCs w:val="16"/>
              </w:rPr>
              <w:t>15 199</w:t>
            </w:r>
          </w:p>
        </w:tc>
      </w:tr>
      <w:tr w:rsidR="007F0D2B" w:rsidRPr="00C068B4" w14:paraId="2F44A3F0" w14:textId="77777777" w:rsidTr="00896449">
        <w:trPr>
          <w:trHeight w:val="216"/>
        </w:trPr>
        <w:tc>
          <w:tcPr>
            <w:tcW w:w="1563" w:type="dxa"/>
            <w:vMerge/>
          </w:tcPr>
          <w:p w14:paraId="0994B2A5" w14:textId="77777777" w:rsidR="00A459B1" w:rsidRPr="00A459B1" w:rsidRDefault="00A459B1">
            <w:pPr>
              <w:pStyle w:val="Tabele"/>
              <w:rPr>
                <w:b/>
                <w:bCs/>
                <w:color w:val="auto"/>
                <w:lang w:eastAsia="pl-PL"/>
              </w:rPr>
            </w:pPr>
          </w:p>
        </w:tc>
        <w:tc>
          <w:tcPr>
            <w:tcW w:w="5705" w:type="dxa"/>
            <w:noWrap/>
            <w:hideMark/>
          </w:tcPr>
          <w:p w14:paraId="289624FB" w14:textId="77777777" w:rsidR="00A459B1" w:rsidRPr="00A459B1" w:rsidRDefault="00A459B1">
            <w:pPr>
              <w:pStyle w:val="Tabele"/>
              <w:rPr>
                <w:color w:val="auto"/>
                <w:lang w:eastAsia="pl-PL"/>
              </w:rPr>
            </w:pPr>
            <w:r w:rsidRPr="00A459B1">
              <w:rPr>
                <w:color w:val="auto"/>
                <w:lang w:eastAsia="pl-PL"/>
              </w:rPr>
              <w:t xml:space="preserve">Zużycie energii końcowej brutto ze źródeł odnawialnych w transporcie </w:t>
            </w:r>
          </w:p>
        </w:tc>
        <w:tc>
          <w:tcPr>
            <w:tcW w:w="850" w:type="dxa"/>
            <w:shd w:val="clear" w:color="auto" w:fill="C5E0B3" w:themeFill="accent6" w:themeFillTint="66"/>
            <w:noWrap/>
            <w:hideMark/>
          </w:tcPr>
          <w:p w14:paraId="23157E23" w14:textId="77777777" w:rsidR="00A459B1" w:rsidRPr="00A459B1" w:rsidRDefault="00A459B1">
            <w:pPr>
              <w:pStyle w:val="Tabele"/>
              <w:jc w:val="right"/>
              <w:rPr>
                <w:color w:val="auto"/>
                <w:lang w:eastAsia="pl-PL"/>
              </w:rPr>
            </w:pPr>
            <w:r w:rsidRPr="00A459B1">
              <w:rPr>
                <w:color w:val="auto"/>
              </w:rPr>
              <w:t>178</w:t>
            </w:r>
          </w:p>
        </w:tc>
        <w:tc>
          <w:tcPr>
            <w:tcW w:w="850" w:type="dxa"/>
            <w:shd w:val="clear" w:color="auto" w:fill="C5E0B3" w:themeFill="accent6" w:themeFillTint="66"/>
            <w:noWrap/>
            <w:hideMark/>
          </w:tcPr>
          <w:p w14:paraId="0A94CD19" w14:textId="77777777" w:rsidR="00A459B1" w:rsidRPr="00A459B1" w:rsidRDefault="00A459B1">
            <w:pPr>
              <w:pStyle w:val="Tabele"/>
              <w:jc w:val="right"/>
              <w:rPr>
                <w:color w:val="auto"/>
                <w:lang w:eastAsia="pl-PL"/>
              </w:rPr>
            </w:pPr>
            <w:r w:rsidRPr="00A459B1">
              <w:rPr>
                <w:color w:val="auto"/>
              </w:rPr>
              <w:t>993</w:t>
            </w:r>
          </w:p>
        </w:tc>
        <w:tc>
          <w:tcPr>
            <w:tcW w:w="850" w:type="dxa"/>
            <w:shd w:val="clear" w:color="auto" w:fill="C5E0B3" w:themeFill="accent6" w:themeFillTint="66"/>
            <w:noWrap/>
            <w:hideMark/>
          </w:tcPr>
          <w:p w14:paraId="098CFD65" w14:textId="77777777" w:rsidR="00A459B1" w:rsidRPr="00A459B1" w:rsidRDefault="00A459B1">
            <w:pPr>
              <w:pStyle w:val="Tabele"/>
              <w:jc w:val="right"/>
              <w:rPr>
                <w:color w:val="auto"/>
                <w:lang w:eastAsia="pl-PL"/>
              </w:rPr>
            </w:pPr>
            <w:r w:rsidRPr="00A459B1">
              <w:rPr>
                <w:color w:val="auto"/>
              </w:rPr>
              <w:t>824</w:t>
            </w:r>
          </w:p>
        </w:tc>
        <w:tc>
          <w:tcPr>
            <w:tcW w:w="850" w:type="dxa"/>
            <w:shd w:val="clear" w:color="auto" w:fill="C5E0B3" w:themeFill="accent6" w:themeFillTint="66"/>
            <w:noWrap/>
            <w:hideMark/>
          </w:tcPr>
          <w:p w14:paraId="00E1BFD8" w14:textId="77777777" w:rsidR="00A459B1" w:rsidRPr="00A459B1" w:rsidRDefault="00A459B1">
            <w:pPr>
              <w:pStyle w:val="Tabele"/>
              <w:jc w:val="right"/>
              <w:rPr>
                <w:color w:val="auto"/>
                <w:lang w:eastAsia="pl-PL"/>
              </w:rPr>
            </w:pPr>
            <w:r w:rsidRPr="00A459B1">
              <w:rPr>
                <w:color w:val="auto"/>
              </w:rPr>
              <w:t>1 291</w:t>
            </w:r>
          </w:p>
        </w:tc>
        <w:tc>
          <w:tcPr>
            <w:tcW w:w="850" w:type="dxa"/>
            <w:noWrap/>
            <w:hideMark/>
          </w:tcPr>
          <w:p w14:paraId="6F898520" w14:textId="77777777" w:rsidR="00A459B1" w:rsidRPr="00A459B1" w:rsidRDefault="00A459B1">
            <w:pPr>
              <w:pStyle w:val="Tabele"/>
              <w:jc w:val="right"/>
              <w:rPr>
                <w:color w:val="auto"/>
                <w:lang w:eastAsia="pl-PL"/>
              </w:rPr>
            </w:pPr>
            <w:r w:rsidRPr="00A459B1">
              <w:rPr>
                <w:rFonts w:cs="Arial"/>
                <w:color w:val="auto"/>
                <w:szCs w:val="16"/>
              </w:rPr>
              <w:t>1 917</w:t>
            </w:r>
          </w:p>
        </w:tc>
        <w:tc>
          <w:tcPr>
            <w:tcW w:w="850" w:type="dxa"/>
            <w:noWrap/>
            <w:hideMark/>
          </w:tcPr>
          <w:p w14:paraId="09C51DA8" w14:textId="77777777" w:rsidR="00A459B1" w:rsidRPr="00A459B1" w:rsidRDefault="00A459B1">
            <w:pPr>
              <w:pStyle w:val="Tabele"/>
              <w:jc w:val="right"/>
              <w:rPr>
                <w:color w:val="auto"/>
                <w:lang w:eastAsia="pl-PL"/>
              </w:rPr>
            </w:pPr>
            <w:r w:rsidRPr="00A459B1">
              <w:rPr>
                <w:rFonts w:cs="Arial"/>
                <w:color w:val="auto"/>
                <w:szCs w:val="16"/>
              </w:rPr>
              <w:t>2 529</w:t>
            </w:r>
          </w:p>
        </w:tc>
        <w:tc>
          <w:tcPr>
            <w:tcW w:w="850" w:type="dxa"/>
            <w:noWrap/>
            <w:hideMark/>
          </w:tcPr>
          <w:p w14:paraId="6A0F6CCD" w14:textId="77777777" w:rsidR="00A459B1" w:rsidRPr="00A459B1" w:rsidRDefault="00A459B1">
            <w:pPr>
              <w:pStyle w:val="Tabele"/>
              <w:jc w:val="right"/>
              <w:rPr>
                <w:color w:val="auto"/>
                <w:lang w:eastAsia="pl-PL"/>
              </w:rPr>
            </w:pPr>
            <w:r w:rsidRPr="00A459B1">
              <w:rPr>
                <w:rFonts w:cs="Arial"/>
                <w:color w:val="auto"/>
                <w:szCs w:val="16"/>
              </w:rPr>
              <w:t>3 348</w:t>
            </w:r>
          </w:p>
        </w:tc>
        <w:tc>
          <w:tcPr>
            <w:tcW w:w="851" w:type="dxa"/>
            <w:noWrap/>
            <w:hideMark/>
          </w:tcPr>
          <w:p w14:paraId="6CCDEC35" w14:textId="77777777" w:rsidR="00A459B1" w:rsidRPr="00A459B1" w:rsidRDefault="00A459B1">
            <w:pPr>
              <w:pStyle w:val="Tabele"/>
              <w:jc w:val="right"/>
              <w:rPr>
                <w:color w:val="auto"/>
                <w:lang w:eastAsia="pl-PL"/>
              </w:rPr>
            </w:pPr>
            <w:r w:rsidRPr="00A459B1">
              <w:rPr>
                <w:rFonts w:cs="Arial"/>
                <w:color w:val="auto"/>
                <w:szCs w:val="16"/>
              </w:rPr>
              <w:t>4 211</w:t>
            </w:r>
          </w:p>
        </w:tc>
      </w:tr>
      <w:tr w:rsidR="007F0D2B" w:rsidRPr="00C068B4" w14:paraId="33719187" w14:textId="77777777" w:rsidTr="00896449">
        <w:trPr>
          <w:trHeight w:val="216"/>
        </w:trPr>
        <w:tc>
          <w:tcPr>
            <w:tcW w:w="1563" w:type="dxa"/>
            <w:vMerge w:val="restart"/>
          </w:tcPr>
          <w:p w14:paraId="77520421" w14:textId="77777777" w:rsidR="00A459B1" w:rsidRPr="00A459B1" w:rsidRDefault="00A459B1">
            <w:pPr>
              <w:pStyle w:val="Tabele"/>
              <w:rPr>
                <w:b/>
                <w:bCs/>
                <w:color w:val="auto"/>
                <w:lang w:eastAsia="pl-PL"/>
              </w:rPr>
            </w:pPr>
            <w:r w:rsidRPr="00A459B1">
              <w:rPr>
                <w:b/>
                <w:bCs/>
                <w:color w:val="auto"/>
                <w:lang w:eastAsia="pl-PL"/>
              </w:rPr>
              <w:t>Sektorowy i całkowity udział energii ze źródeł odnawialnych w zużyciu końcowym energii brutto</w:t>
            </w:r>
          </w:p>
        </w:tc>
        <w:tc>
          <w:tcPr>
            <w:tcW w:w="5705" w:type="dxa"/>
            <w:noWrap/>
          </w:tcPr>
          <w:p w14:paraId="20754CF1" w14:textId="77777777" w:rsidR="00A459B1" w:rsidRPr="00A459B1" w:rsidRDefault="00A459B1">
            <w:pPr>
              <w:pStyle w:val="Tabele"/>
              <w:rPr>
                <w:color w:val="auto"/>
                <w:lang w:eastAsia="pl-PL"/>
              </w:rPr>
            </w:pPr>
            <w:r w:rsidRPr="00A459B1">
              <w:rPr>
                <w:b/>
                <w:bCs/>
                <w:color w:val="auto"/>
                <w:szCs w:val="16"/>
              </w:rPr>
              <w:t>Udział energii ze źródeł odnawialnych w zużyciu końcowym energii brutto</w:t>
            </w:r>
          </w:p>
        </w:tc>
        <w:tc>
          <w:tcPr>
            <w:tcW w:w="850" w:type="dxa"/>
            <w:shd w:val="clear" w:color="auto" w:fill="C5E0B3" w:themeFill="accent6" w:themeFillTint="66"/>
            <w:noWrap/>
          </w:tcPr>
          <w:p w14:paraId="4F158334" w14:textId="77777777" w:rsidR="00A459B1" w:rsidRPr="00A459B1" w:rsidRDefault="00A459B1">
            <w:pPr>
              <w:pStyle w:val="Tabele"/>
              <w:jc w:val="right"/>
              <w:rPr>
                <w:b/>
                <w:bCs/>
                <w:color w:val="auto"/>
                <w:lang w:eastAsia="pl-PL"/>
              </w:rPr>
            </w:pPr>
            <w:r w:rsidRPr="00A459B1">
              <w:rPr>
                <w:b/>
                <w:bCs/>
                <w:color w:val="auto"/>
              </w:rPr>
              <w:t>6,9%</w:t>
            </w:r>
          </w:p>
        </w:tc>
        <w:tc>
          <w:tcPr>
            <w:tcW w:w="850" w:type="dxa"/>
            <w:shd w:val="clear" w:color="auto" w:fill="C5E0B3" w:themeFill="accent6" w:themeFillTint="66"/>
            <w:noWrap/>
          </w:tcPr>
          <w:p w14:paraId="075750F0" w14:textId="77777777" w:rsidR="00A459B1" w:rsidRPr="00A459B1" w:rsidRDefault="00A459B1">
            <w:pPr>
              <w:pStyle w:val="Tabele"/>
              <w:jc w:val="right"/>
              <w:rPr>
                <w:b/>
                <w:bCs/>
                <w:color w:val="auto"/>
                <w:lang w:eastAsia="pl-PL"/>
              </w:rPr>
            </w:pPr>
            <w:r w:rsidRPr="00A459B1">
              <w:rPr>
                <w:b/>
                <w:bCs/>
                <w:color w:val="auto"/>
              </w:rPr>
              <w:t>9,3%</w:t>
            </w:r>
          </w:p>
        </w:tc>
        <w:tc>
          <w:tcPr>
            <w:tcW w:w="850" w:type="dxa"/>
            <w:shd w:val="clear" w:color="auto" w:fill="C5E0B3" w:themeFill="accent6" w:themeFillTint="66"/>
            <w:noWrap/>
          </w:tcPr>
          <w:p w14:paraId="3BC8C202" w14:textId="77777777" w:rsidR="00A459B1" w:rsidRPr="00A459B1" w:rsidRDefault="00A459B1">
            <w:pPr>
              <w:pStyle w:val="Tabele"/>
              <w:jc w:val="right"/>
              <w:rPr>
                <w:b/>
                <w:bCs/>
                <w:color w:val="auto"/>
                <w:lang w:eastAsia="pl-PL"/>
              </w:rPr>
            </w:pPr>
            <w:r w:rsidRPr="00A459B1">
              <w:rPr>
                <w:b/>
                <w:bCs/>
                <w:color w:val="auto"/>
              </w:rPr>
              <w:t>11,9%</w:t>
            </w:r>
          </w:p>
        </w:tc>
        <w:tc>
          <w:tcPr>
            <w:tcW w:w="850" w:type="dxa"/>
            <w:shd w:val="clear" w:color="auto" w:fill="C5E0B3" w:themeFill="accent6" w:themeFillTint="66"/>
            <w:noWrap/>
          </w:tcPr>
          <w:p w14:paraId="1FC790C2" w14:textId="77777777" w:rsidR="00A459B1" w:rsidRPr="00A459B1" w:rsidRDefault="00A459B1">
            <w:pPr>
              <w:pStyle w:val="Tabele"/>
              <w:jc w:val="right"/>
              <w:rPr>
                <w:b/>
                <w:bCs/>
                <w:color w:val="auto"/>
                <w:lang w:eastAsia="pl-PL"/>
              </w:rPr>
            </w:pPr>
            <w:r w:rsidRPr="00A459B1">
              <w:rPr>
                <w:b/>
                <w:bCs/>
                <w:color w:val="auto"/>
              </w:rPr>
              <w:t>16,1%</w:t>
            </w:r>
          </w:p>
        </w:tc>
        <w:tc>
          <w:tcPr>
            <w:tcW w:w="850" w:type="dxa"/>
            <w:noWrap/>
          </w:tcPr>
          <w:p w14:paraId="460927A3" w14:textId="77777777" w:rsidR="00A459B1" w:rsidRPr="00A459B1" w:rsidRDefault="00A459B1">
            <w:pPr>
              <w:pStyle w:val="Tabele"/>
              <w:jc w:val="right"/>
              <w:rPr>
                <w:b/>
                <w:bCs/>
                <w:color w:val="auto"/>
                <w:lang w:eastAsia="pl-PL"/>
              </w:rPr>
            </w:pPr>
            <w:r w:rsidRPr="00A459B1">
              <w:rPr>
                <w:rFonts w:cs="Arial"/>
                <w:b/>
                <w:bCs/>
                <w:color w:val="auto"/>
                <w:szCs w:val="16"/>
              </w:rPr>
              <w:t>21,6%</w:t>
            </w:r>
          </w:p>
        </w:tc>
        <w:tc>
          <w:tcPr>
            <w:tcW w:w="850" w:type="dxa"/>
            <w:noWrap/>
          </w:tcPr>
          <w:p w14:paraId="684264CA" w14:textId="77777777" w:rsidR="00A459B1" w:rsidRPr="00A459B1" w:rsidRDefault="00A459B1">
            <w:pPr>
              <w:pStyle w:val="Tabele"/>
              <w:jc w:val="right"/>
              <w:rPr>
                <w:b/>
                <w:bCs/>
                <w:color w:val="auto"/>
                <w:lang w:eastAsia="pl-PL"/>
              </w:rPr>
            </w:pPr>
            <w:r w:rsidRPr="00A459B1">
              <w:rPr>
                <w:rFonts w:cs="Arial"/>
                <w:b/>
                <w:bCs/>
                <w:color w:val="auto"/>
                <w:szCs w:val="16"/>
              </w:rPr>
              <w:t>32,1%</w:t>
            </w:r>
          </w:p>
        </w:tc>
        <w:tc>
          <w:tcPr>
            <w:tcW w:w="850" w:type="dxa"/>
            <w:noWrap/>
          </w:tcPr>
          <w:p w14:paraId="56218BA6" w14:textId="77777777" w:rsidR="00A459B1" w:rsidRPr="00A459B1" w:rsidRDefault="00A459B1">
            <w:pPr>
              <w:pStyle w:val="Tabele"/>
              <w:jc w:val="right"/>
              <w:rPr>
                <w:b/>
                <w:bCs/>
                <w:color w:val="auto"/>
                <w:lang w:eastAsia="pl-PL"/>
              </w:rPr>
            </w:pPr>
            <w:r w:rsidRPr="00A459B1">
              <w:rPr>
                <w:rFonts w:cs="Arial"/>
                <w:b/>
                <w:bCs/>
                <w:color w:val="auto"/>
                <w:szCs w:val="16"/>
              </w:rPr>
              <w:t>46,5%</w:t>
            </w:r>
          </w:p>
        </w:tc>
        <w:tc>
          <w:tcPr>
            <w:tcW w:w="851" w:type="dxa"/>
            <w:noWrap/>
          </w:tcPr>
          <w:p w14:paraId="5FF73938" w14:textId="77777777" w:rsidR="00A459B1" w:rsidRPr="00A459B1" w:rsidRDefault="00A459B1">
            <w:pPr>
              <w:pStyle w:val="Tabele"/>
              <w:jc w:val="right"/>
              <w:rPr>
                <w:b/>
                <w:bCs/>
                <w:color w:val="auto"/>
                <w:lang w:eastAsia="pl-PL"/>
              </w:rPr>
            </w:pPr>
            <w:r w:rsidRPr="00A459B1">
              <w:rPr>
                <w:rFonts w:cs="Arial"/>
                <w:b/>
                <w:bCs/>
                <w:color w:val="auto"/>
                <w:szCs w:val="16"/>
              </w:rPr>
              <w:t>61,7%</w:t>
            </w:r>
          </w:p>
        </w:tc>
      </w:tr>
      <w:tr w:rsidR="007F0D2B" w:rsidRPr="00C068B4" w14:paraId="59076883" w14:textId="77777777" w:rsidTr="00896449">
        <w:trPr>
          <w:trHeight w:val="216"/>
        </w:trPr>
        <w:tc>
          <w:tcPr>
            <w:tcW w:w="1563" w:type="dxa"/>
            <w:vMerge/>
          </w:tcPr>
          <w:p w14:paraId="26E8B05A" w14:textId="77777777" w:rsidR="00A459B1" w:rsidRPr="00A459B1" w:rsidRDefault="00A459B1">
            <w:pPr>
              <w:pStyle w:val="Tabele"/>
              <w:rPr>
                <w:color w:val="auto"/>
                <w:lang w:eastAsia="pl-PL"/>
              </w:rPr>
            </w:pPr>
          </w:p>
        </w:tc>
        <w:tc>
          <w:tcPr>
            <w:tcW w:w="5705" w:type="dxa"/>
            <w:noWrap/>
          </w:tcPr>
          <w:p w14:paraId="47C22B09" w14:textId="77777777" w:rsidR="00A459B1" w:rsidRPr="00A459B1" w:rsidRDefault="00A459B1">
            <w:pPr>
              <w:pStyle w:val="Tabele"/>
              <w:rPr>
                <w:color w:val="auto"/>
                <w:lang w:eastAsia="pl-PL"/>
              </w:rPr>
            </w:pPr>
            <w:r w:rsidRPr="00A459B1">
              <w:rPr>
                <w:color w:val="auto"/>
                <w:szCs w:val="16"/>
              </w:rPr>
              <w:t xml:space="preserve">Udział energii z OZE w elektroenergetyce </w:t>
            </w:r>
          </w:p>
        </w:tc>
        <w:tc>
          <w:tcPr>
            <w:tcW w:w="850" w:type="dxa"/>
            <w:shd w:val="clear" w:color="auto" w:fill="C5E0B3" w:themeFill="accent6" w:themeFillTint="66"/>
            <w:noWrap/>
          </w:tcPr>
          <w:p w14:paraId="7EF9D6E7" w14:textId="77777777" w:rsidR="00A459B1" w:rsidRPr="00A459B1" w:rsidRDefault="00A459B1">
            <w:pPr>
              <w:pStyle w:val="Tabele"/>
              <w:jc w:val="right"/>
              <w:rPr>
                <w:color w:val="auto"/>
                <w:lang w:eastAsia="pl-PL"/>
              </w:rPr>
            </w:pPr>
            <w:r w:rsidRPr="00A459B1">
              <w:rPr>
                <w:color w:val="auto"/>
              </w:rPr>
              <w:t>2,5%</w:t>
            </w:r>
          </w:p>
        </w:tc>
        <w:tc>
          <w:tcPr>
            <w:tcW w:w="850" w:type="dxa"/>
            <w:shd w:val="clear" w:color="auto" w:fill="C5E0B3" w:themeFill="accent6" w:themeFillTint="66"/>
            <w:noWrap/>
          </w:tcPr>
          <w:p w14:paraId="51B64591" w14:textId="77777777" w:rsidR="00A459B1" w:rsidRPr="00A459B1" w:rsidRDefault="00A459B1">
            <w:pPr>
              <w:pStyle w:val="Tabele"/>
              <w:jc w:val="right"/>
              <w:rPr>
                <w:color w:val="auto"/>
                <w:lang w:eastAsia="pl-PL"/>
              </w:rPr>
            </w:pPr>
            <w:r w:rsidRPr="00A459B1">
              <w:rPr>
                <w:color w:val="auto"/>
              </w:rPr>
              <w:t>6,5%</w:t>
            </w:r>
          </w:p>
        </w:tc>
        <w:tc>
          <w:tcPr>
            <w:tcW w:w="850" w:type="dxa"/>
            <w:shd w:val="clear" w:color="auto" w:fill="C5E0B3" w:themeFill="accent6" w:themeFillTint="66"/>
            <w:noWrap/>
          </w:tcPr>
          <w:p w14:paraId="5897AA02" w14:textId="77777777" w:rsidR="00A459B1" w:rsidRPr="00A459B1" w:rsidRDefault="00A459B1">
            <w:pPr>
              <w:pStyle w:val="Tabele"/>
              <w:jc w:val="right"/>
              <w:rPr>
                <w:color w:val="auto"/>
                <w:lang w:eastAsia="pl-PL"/>
              </w:rPr>
            </w:pPr>
            <w:r w:rsidRPr="00A459B1">
              <w:rPr>
                <w:color w:val="auto"/>
              </w:rPr>
              <w:t>13,4%</w:t>
            </w:r>
          </w:p>
        </w:tc>
        <w:tc>
          <w:tcPr>
            <w:tcW w:w="850" w:type="dxa"/>
            <w:shd w:val="clear" w:color="auto" w:fill="C5E0B3" w:themeFill="accent6" w:themeFillTint="66"/>
            <w:noWrap/>
          </w:tcPr>
          <w:p w14:paraId="4D6202DD" w14:textId="77777777" w:rsidR="00A459B1" w:rsidRPr="00A459B1" w:rsidRDefault="00A459B1">
            <w:pPr>
              <w:pStyle w:val="Tabele"/>
              <w:jc w:val="right"/>
              <w:rPr>
                <w:color w:val="auto"/>
                <w:lang w:eastAsia="pl-PL"/>
              </w:rPr>
            </w:pPr>
            <w:r w:rsidRPr="00A459B1">
              <w:rPr>
                <w:color w:val="auto"/>
              </w:rPr>
              <w:t>16,2%</w:t>
            </w:r>
          </w:p>
        </w:tc>
        <w:tc>
          <w:tcPr>
            <w:tcW w:w="850" w:type="dxa"/>
            <w:noWrap/>
          </w:tcPr>
          <w:p w14:paraId="4414C6F4" w14:textId="77777777" w:rsidR="00A459B1" w:rsidRPr="00A459B1" w:rsidRDefault="00A459B1">
            <w:pPr>
              <w:pStyle w:val="Tabele"/>
              <w:jc w:val="right"/>
              <w:rPr>
                <w:color w:val="auto"/>
                <w:lang w:eastAsia="pl-PL"/>
              </w:rPr>
            </w:pPr>
            <w:r w:rsidRPr="00A459B1">
              <w:rPr>
                <w:rFonts w:cs="Arial"/>
                <w:color w:val="auto"/>
                <w:szCs w:val="16"/>
              </w:rPr>
              <w:t>30,8%</w:t>
            </w:r>
          </w:p>
        </w:tc>
        <w:tc>
          <w:tcPr>
            <w:tcW w:w="850" w:type="dxa"/>
            <w:noWrap/>
          </w:tcPr>
          <w:p w14:paraId="6C216358" w14:textId="77777777" w:rsidR="00A459B1" w:rsidRPr="00A459B1" w:rsidRDefault="00A459B1">
            <w:pPr>
              <w:pStyle w:val="Tabele"/>
              <w:jc w:val="right"/>
              <w:rPr>
                <w:color w:val="auto"/>
                <w:lang w:eastAsia="pl-PL"/>
              </w:rPr>
            </w:pPr>
            <w:r w:rsidRPr="00A459B1">
              <w:rPr>
                <w:rFonts w:cs="Arial"/>
                <w:color w:val="auto"/>
                <w:szCs w:val="16"/>
              </w:rPr>
              <w:t>51,8%</w:t>
            </w:r>
          </w:p>
        </w:tc>
        <w:tc>
          <w:tcPr>
            <w:tcW w:w="850" w:type="dxa"/>
            <w:noWrap/>
          </w:tcPr>
          <w:p w14:paraId="57ED059A" w14:textId="77777777" w:rsidR="00A459B1" w:rsidRPr="00A459B1" w:rsidRDefault="00A459B1">
            <w:pPr>
              <w:pStyle w:val="Tabele"/>
              <w:jc w:val="right"/>
              <w:rPr>
                <w:color w:val="auto"/>
                <w:lang w:eastAsia="pl-PL"/>
              </w:rPr>
            </w:pPr>
            <w:r w:rsidRPr="00A459B1">
              <w:rPr>
                <w:rFonts w:cs="Arial"/>
                <w:color w:val="auto"/>
                <w:szCs w:val="16"/>
              </w:rPr>
              <w:t>75,0%</w:t>
            </w:r>
          </w:p>
        </w:tc>
        <w:tc>
          <w:tcPr>
            <w:tcW w:w="851" w:type="dxa"/>
            <w:noWrap/>
          </w:tcPr>
          <w:p w14:paraId="3AFCCEAB" w14:textId="77777777" w:rsidR="00A459B1" w:rsidRPr="00A459B1" w:rsidRDefault="00A459B1">
            <w:pPr>
              <w:pStyle w:val="Tabele"/>
              <w:jc w:val="right"/>
              <w:rPr>
                <w:color w:val="auto"/>
                <w:lang w:eastAsia="pl-PL"/>
              </w:rPr>
            </w:pPr>
            <w:r w:rsidRPr="00A459B1">
              <w:rPr>
                <w:rFonts w:cs="Arial"/>
                <w:color w:val="auto"/>
                <w:szCs w:val="16"/>
              </w:rPr>
              <w:t>79,8%</w:t>
            </w:r>
          </w:p>
        </w:tc>
      </w:tr>
      <w:tr w:rsidR="007F0D2B" w:rsidRPr="00C068B4" w14:paraId="22119609" w14:textId="77777777" w:rsidTr="00896449">
        <w:trPr>
          <w:trHeight w:val="216"/>
        </w:trPr>
        <w:tc>
          <w:tcPr>
            <w:tcW w:w="1563" w:type="dxa"/>
            <w:vMerge/>
          </w:tcPr>
          <w:p w14:paraId="0C414A07" w14:textId="77777777" w:rsidR="00A459B1" w:rsidRPr="00A459B1" w:rsidRDefault="00A459B1">
            <w:pPr>
              <w:pStyle w:val="Tabele"/>
              <w:rPr>
                <w:color w:val="auto"/>
                <w:lang w:eastAsia="pl-PL"/>
              </w:rPr>
            </w:pPr>
          </w:p>
        </w:tc>
        <w:tc>
          <w:tcPr>
            <w:tcW w:w="5705" w:type="dxa"/>
            <w:noWrap/>
          </w:tcPr>
          <w:p w14:paraId="3FC19941" w14:textId="77777777" w:rsidR="00A459B1" w:rsidRPr="00A459B1" w:rsidRDefault="00A459B1">
            <w:pPr>
              <w:pStyle w:val="Tabele"/>
              <w:rPr>
                <w:color w:val="auto"/>
                <w:lang w:eastAsia="pl-PL"/>
              </w:rPr>
            </w:pPr>
            <w:r w:rsidRPr="00A459B1">
              <w:rPr>
                <w:color w:val="auto"/>
                <w:szCs w:val="16"/>
              </w:rPr>
              <w:t xml:space="preserve">Udział energii z OZE w ciepłownictwie i chłodnictwie </w:t>
            </w:r>
          </w:p>
        </w:tc>
        <w:tc>
          <w:tcPr>
            <w:tcW w:w="850" w:type="dxa"/>
            <w:shd w:val="clear" w:color="auto" w:fill="C5E0B3" w:themeFill="accent6" w:themeFillTint="66"/>
            <w:noWrap/>
          </w:tcPr>
          <w:p w14:paraId="01211AA0" w14:textId="77777777" w:rsidR="00A459B1" w:rsidRPr="00A459B1" w:rsidRDefault="00A459B1">
            <w:pPr>
              <w:pStyle w:val="Tabele"/>
              <w:jc w:val="right"/>
              <w:rPr>
                <w:color w:val="auto"/>
                <w:lang w:eastAsia="pl-PL"/>
              </w:rPr>
            </w:pPr>
            <w:r w:rsidRPr="00A459B1">
              <w:rPr>
                <w:color w:val="auto"/>
              </w:rPr>
              <w:t>10,2%</w:t>
            </w:r>
          </w:p>
        </w:tc>
        <w:tc>
          <w:tcPr>
            <w:tcW w:w="850" w:type="dxa"/>
            <w:shd w:val="clear" w:color="auto" w:fill="C5E0B3" w:themeFill="accent6" w:themeFillTint="66"/>
            <w:noWrap/>
          </w:tcPr>
          <w:p w14:paraId="6E070E97" w14:textId="77777777" w:rsidR="00A459B1" w:rsidRPr="00A459B1" w:rsidRDefault="00A459B1">
            <w:pPr>
              <w:pStyle w:val="Tabele"/>
              <w:jc w:val="right"/>
              <w:rPr>
                <w:color w:val="auto"/>
                <w:lang w:eastAsia="pl-PL"/>
              </w:rPr>
            </w:pPr>
            <w:r w:rsidRPr="00A459B1">
              <w:rPr>
                <w:color w:val="auto"/>
              </w:rPr>
              <w:t>11,8%</w:t>
            </w:r>
          </w:p>
        </w:tc>
        <w:tc>
          <w:tcPr>
            <w:tcW w:w="850" w:type="dxa"/>
            <w:shd w:val="clear" w:color="auto" w:fill="C5E0B3" w:themeFill="accent6" w:themeFillTint="66"/>
            <w:noWrap/>
          </w:tcPr>
          <w:p w14:paraId="1FC7A5FA" w14:textId="77777777" w:rsidR="00A459B1" w:rsidRPr="00A459B1" w:rsidRDefault="00A459B1">
            <w:pPr>
              <w:pStyle w:val="Tabele"/>
              <w:jc w:val="right"/>
              <w:rPr>
                <w:color w:val="auto"/>
                <w:lang w:eastAsia="pl-PL"/>
              </w:rPr>
            </w:pPr>
            <w:r w:rsidRPr="00A459B1">
              <w:rPr>
                <w:color w:val="auto"/>
              </w:rPr>
              <w:t>14,8%</w:t>
            </w:r>
          </w:p>
        </w:tc>
        <w:tc>
          <w:tcPr>
            <w:tcW w:w="850" w:type="dxa"/>
            <w:shd w:val="clear" w:color="auto" w:fill="C5E0B3" w:themeFill="accent6" w:themeFillTint="66"/>
            <w:noWrap/>
          </w:tcPr>
          <w:p w14:paraId="49373539" w14:textId="77777777" w:rsidR="00A459B1" w:rsidRPr="00A459B1" w:rsidRDefault="00A459B1">
            <w:pPr>
              <w:pStyle w:val="Tabele"/>
              <w:jc w:val="right"/>
              <w:rPr>
                <w:color w:val="auto"/>
                <w:lang w:eastAsia="pl-PL"/>
              </w:rPr>
            </w:pPr>
            <w:r w:rsidRPr="00A459B1">
              <w:rPr>
                <w:color w:val="auto"/>
              </w:rPr>
              <w:t>22,1%</w:t>
            </w:r>
          </w:p>
        </w:tc>
        <w:tc>
          <w:tcPr>
            <w:tcW w:w="850" w:type="dxa"/>
            <w:noWrap/>
          </w:tcPr>
          <w:p w14:paraId="66019788" w14:textId="77777777" w:rsidR="00A459B1" w:rsidRPr="00A459B1" w:rsidRDefault="00A459B1">
            <w:pPr>
              <w:pStyle w:val="Tabele"/>
              <w:jc w:val="right"/>
              <w:rPr>
                <w:color w:val="auto"/>
                <w:lang w:eastAsia="pl-PL"/>
              </w:rPr>
            </w:pPr>
            <w:r w:rsidRPr="00A459B1">
              <w:rPr>
                <w:rFonts w:cs="Arial"/>
                <w:color w:val="auto"/>
                <w:szCs w:val="16"/>
              </w:rPr>
              <w:t>26,8%</w:t>
            </w:r>
          </w:p>
        </w:tc>
        <w:tc>
          <w:tcPr>
            <w:tcW w:w="850" w:type="dxa"/>
            <w:noWrap/>
          </w:tcPr>
          <w:p w14:paraId="661F35B7" w14:textId="77777777" w:rsidR="00A459B1" w:rsidRPr="00A459B1" w:rsidRDefault="00A459B1">
            <w:pPr>
              <w:pStyle w:val="Tabele"/>
              <w:jc w:val="right"/>
              <w:rPr>
                <w:color w:val="auto"/>
                <w:lang w:eastAsia="pl-PL"/>
              </w:rPr>
            </w:pPr>
            <w:r w:rsidRPr="00A459B1">
              <w:rPr>
                <w:rFonts w:cs="Arial"/>
                <w:color w:val="auto"/>
                <w:szCs w:val="16"/>
              </w:rPr>
              <w:t>36,7%</w:t>
            </w:r>
          </w:p>
        </w:tc>
        <w:tc>
          <w:tcPr>
            <w:tcW w:w="850" w:type="dxa"/>
            <w:noWrap/>
          </w:tcPr>
          <w:p w14:paraId="565C8A3E" w14:textId="77777777" w:rsidR="00A459B1" w:rsidRPr="00A459B1" w:rsidRDefault="00A459B1">
            <w:pPr>
              <w:pStyle w:val="Tabele"/>
              <w:jc w:val="right"/>
              <w:rPr>
                <w:color w:val="auto"/>
                <w:lang w:eastAsia="pl-PL"/>
              </w:rPr>
            </w:pPr>
            <w:r w:rsidRPr="00A459B1">
              <w:rPr>
                <w:rFonts w:cs="Arial"/>
                <w:color w:val="auto"/>
                <w:szCs w:val="16"/>
              </w:rPr>
              <w:t>50,5%</w:t>
            </w:r>
          </w:p>
        </w:tc>
        <w:tc>
          <w:tcPr>
            <w:tcW w:w="851" w:type="dxa"/>
            <w:noWrap/>
          </w:tcPr>
          <w:p w14:paraId="3730416B" w14:textId="77777777" w:rsidR="00A459B1" w:rsidRPr="00A459B1" w:rsidRDefault="00A459B1">
            <w:pPr>
              <w:pStyle w:val="Tabele"/>
              <w:jc w:val="right"/>
              <w:rPr>
                <w:color w:val="auto"/>
                <w:lang w:eastAsia="pl-PL"/>
              </w:rPr>
            </w:pPr>
            <w:r w:rsidRPr="00A459B1">
              <w:rPr>
                <w:rFonts w:cs="Arial"/>
                <w:color w:val="auto"/>
                <w:szCs w:val="16"/>
              </w:rPr>
              <w:t>67,6%</w:t>
            </w:r>
          </w:p>
        </w:tc>
      </w:tr>
      <w:tr w:rsidR="007F0D2B" w:rsidRPr="00C068B4" w14:paraId="248F6D0E" w14:textId="77777777" w:rsidTr="00896449">
        <w:trPr>
          <w:trHeight w:val="216"/>
        </w:trPr>
        <w:tc>
          <w:tcPr>
            <w:tcW w:w="1563" w:type="dxa"/>
            <w:vMerge/>
          </w:tcPr>
          <w:p w14:paraId="17B5A546" w14:textId="77777777" w:rsidR="00A459B1" w:rsidRPr="00A459B1" w:rsidRDefault="00A459B1">
            <w:pPr>
              <w:pStyle w:val="Tabele"/>
              <w:rPr>
                <w:color w:val="auto"/>
                <w:lang w:eastAsia="pl-PL"/>
              </w:rPr>
            </w:pPr>
          </w:p>
        </w:tc>
        <w:tc>
          <w:tcPr>
            <w:tcW w:w="5705" w:type="dxa"/>
            <w:noWrap/>
          </w:tcPr>
          <w:p w14:paraId="2E922547" w14:textId="77777777" w:rsidR="00A459B1" w:rsidRPr="00A459B1" w:rsidRDefault="00A459B1">
            <w:pPr>
              <w:pStyle w:val="Tabele"/>
              <w:rPr>
                <w:color w:val="auto"/>
                <w:lang w:eastAsia="pl-PL"/>
              </w:rPr>
            </w:pPr>
            <w:r w:rsidRPr="00A459B1">
              <w:rPr>
                <w:color w:val="auto"/>
                <w:szCs w:val="16"/>
              </w:rPr>
              <w:t>Udział energii z OZE w transporcie (z multiplikatorami)</w:t>
            </w:r>
          </w:p>
        </w:tc>
        <w:tc>
          <w:tcPr>
            <w:tcW w:w="850" w:type="dxa"/>
            <w:shd w:val="clear" w:color="auto" w:fill="C5E0B3" w:themeFill="accent6" w:themeFillTint="66"/>
            <w:noWrap/>
          </w:tcPr>
          <w:p w14:paraId="37ACED22" w14:textId="77777777" w:rsidR="00A459B1" w:rsidRPr="00A459B1" w:rsidRDefault="00A459B1">
            <w:pPr>
              <w:pStyle w:val="Tabele"/>
              <w:jc w:val="right"/>
              <w:rPr>
                <w:color w:val="auto"/>
                <w:lang w:eastAsia="pl-PL"/>
              </w:rPr>
            </w:pPr>
            <w:r w:rsidRPr="00A459B1">
              <w:rPr>
                <w:color w:val="auto"/>
              </w:rPr>
              <w:t>1,7%</w:t>
            </w:r>
          </w:p>
        </w:tc>
        <w:tc>
          <w:tcPr>
            <w:tcW w:w="850" w:type="dxa"/>
            <w:shd w:val="clear" w:color="auto" w:fill="C5E0B3" w:themeFill="accent6" w:themeFillTint="66"/>
            <w:noWrap/>
          </w:tcPr>
          <w:p w14:paraId="0012111D" w14:textId="77777777" w:rsidR="00A459B1" w:rsidRPr="00A459B1" w:rsidRDefault="00A459B1">
            <w:pPr>
              <w:pStyle w:val="Tabele"/>
              <w:jc w:val="right"/>
              <w:rPr>
                <w:color w:val="auto"/>
                <w:lang w:eastAsia="pl-PL"/>
              </w:rPr>
            </w:pPr>
            <w:r w:rsidRPr="00A459B1">
              <w:rPr>
                <w:color w:val="auto"/>
              </w:rPr>
              <w:t>6,6%</w:t>
            </w:r>
          </w:p>
        </w:tc>
        <w:tc>
          <w:tcPr>
            <w:tcW w:w="850" w:type="dxa"/>
            <w:shd w:val="clear" w:color="auto" w:fill="C5E0B3" w:themeFill="accent6" w:themeFillTint="66"/>
            <w:noWrap/>
          </w:tcPr>
          <w:p w14:paraId="50273E41" w14:textId="77777777" w:rsidR="00A459B1" w:rsidRPr="00A459B1" w:rsidRDefault="00A459B1">
            <w:pPr>
              <w:pStyle w:val="Tabele"/>
              <w:jc w:val="right"/>
              <w:rPr>
                <w:color w:val="auto"/>
                <w:lang w:eastAsia="pl-PL"/>
              </w:rPr>
            </w:pPr>
            <w:r w:rsidRPr="00A459B1">
              <w:rPr>
                <w:color w:val="auto"/>
              </w:rPr>
              <w:t>5,7%</w:t>
            </w:r>
          </w:p>
        </w:tc>
        <w:tc>
          <w:tcPr>
            <w:tcW w:w="850" w:type="dxa"/>
            <w:shd w:val="clear" w:color="auto" w:fill="C5E0B3" w:themeFill="accent6" w:themeFillTint="66"/>
            <w:noWrap/>
          </w:tcPr>
          <w:p w14:paraId="0C8C30B7" w14:textId="77777777" w:rsidR="00A459B1" w:rsidRPr="00A459B1" w:rsidRDefault="00A459B1">
            <w:pPr>
              <w:pStyle w:val="Tabele"/>
              <w:jc w:val="right"/>
              <w:rPr>
                <w:color w:val="auto"/>
                <w:lang w:eastAsia="pl-PL"/>
              </w:rPr>
            </w:pPr>
            <w:r w:rsidRPr="00A459B1">
              <w:rPr>
                <w:color w:val="auto"/>
              </w:rPr>
              <w:t>6,6%</w:t>
            </w:r>
          </w:p>
        </w:tc>
        <w:tc>
          <w:tcPr>
            <w:tcW w:w="850" w:type="dxa"/>
            <w:noWrap/>
          </w:tcPr>
          <w:p w14:paraId="79358936" w14:textId="77777777" w:rsidR="00A459B1" w:rsidRPr="00A459B1" w:rsidRDefault="00A459B1">
            <w:pPr>
              <w:pStyle w:val="Tabele"/>
              <w:jc w:val="right"/>
              <w:rPr>
                <w:color w:val="auto"/>
                <w:lang w:eastAsia="pl-PL"/>
              </w:rPr>
            </w:pPr>
            <w:r w:rsidRPr="00A459B1">
              <w:rPr>
                <w:rFonts w:cs="Arial"/>
                <w:color w:val="auto"/>
                <w:szCs w:val="16"/>
              </w:rPr>
              <w:t>9,4%</w:t>
            </w:r>
          </w:p>
        </w:tc>
        <w:tc>
          <w:tcPr>
            <w:tcW w:w="850" w:type="dxa"/>
            <w:noWrap/>
          </w:tcPr>
          <w:p w14:paraId="15DDC751" w14:textId="24421EA5" w:rsidR="00A459B1" w:rsidRPr="00A459B1" w:rsidRDefault="00EA06A0">
            <w:pPr>
              <w:pStyle w:val="Tabele"/>
              <w:jc w:val="right"/>
              <w:rPr>
                <w:color w:val="auto"/>
                <w:lang w:eastAsia="pl-PL"/>
              </w:rPr>
            </w:pPr>
            <w:r>
              <w:rPr>
                <w:rFonts w:cs="Arial"/>
                <w:color w:val="auto"/>
                <w:szCs w:val="16"/>
              </w:rPr>
              <w:t>18</w:t>
            </w:r>
            <w:r w:rsidR="00A459B1" w:rsidRPr="00A459B1">
              <w:rPr>
                <w:rFonts w:cs="Arial"/>
                <w:color w:val="auto"/>
                <w:szCs w:val="16"/>
              </w:rPr>
              <w:t>,</w:t>
            </w:r>
            <w:r>
              <w:rPr>
                <w:rFonts w:cs="Arial"/>
                <w:color w:val="auto"/>
                <w:szCs w:val="16"/>
              </w:rPr>
              <w:t>9</w:t>
            </w:r>
            <w:r w:rsidR="00A459B1" w:rsidRPr="00A459B1">
              <w:rPr>
                <w:rFonts w:cs="Arial"/>
                <w:color w:val="auto"/>
                <w:szCs w:val="16"/>
              </w:rPr>
              <w:t>%</w:t>
            </w:r>
          </w:p>
        </w:tc>
        <w:tc>
          <w:tcPr>
            <w:tcW w:w="850" w:type="dxa"/>
            <w:noWrap/>
          </w:tcPr>
          <w:p w14:paraId="78343B13" w14:textId="1FF079F3" w:rsidR="00A459B1" w:rsidRPr="00A459B1" w:rsidRDefault="00FE635A">
            <w:pPr>
              <w:pStyle w:val="Tabele"/>
              <w:jc w:val="right"/>
              <w:rPr>
                <w:color w:val="auto"/>
                <w:lang w:eastAsia="pl-PL"/>
              </w:rPr>
            </w:pPr>
            <w:r>
              <w:rPr>
                <w:rFonts w:cs="Arial"/>
                <w:color w:val="auto"/>
                <w:szCs w:val="16"/>
              </w:rPr>
              <w:t>31,9</w:t>
            </w:r>
            <w:r w:rsidR="00A459B1" w:rsidRPr="00A459B1">
              <w:rPr>
                <w:rFonts w:cs="Arial"/>
                <w:color w:val="auto"/>
                <w:szCs w:val="16"/>
              </w:rPr>
              <w:t>%</w:t>
            </w:r>
          </w:p>
        </w:tc>
        <w:tc>
          <w:tcPr>
            <w:tcW w:w="851" w:type="dxa"/>
            <w:noWrap/>
          </w:tcPr>
          <w:p w14:paraId="06CB4124" w14:textId="7EF7155F" w:rsidR="00A459B1" w:rsidRPr="00A459B1" w:rsidRDefault="00A459B1">
            <w:pPr>
              <w:pStyle w:val="Tabele"/>
              <w:jc w:val="right"/>
              <w:rPr>
                <w:color w:val="auto"/>
                <w:lang w:eastAsia="pl-PL"/>
              </w:rPr>
            </w:pPr>
            <w:r w:rsidRPr="00A459B1">
              <w:rPr>
                <w:rFonts w:cs="Arial"/>
                <w:color w:val="auto"/>
                <w:szCs w:val="16"/>
              </w:rPr>
              <w:t>4</w:t>
            </w:r>
            <w:r w:rsidR="0036021C">
              <w:rPr>
                <w:rFonts w:cs="Arial"/>
                <w:color w:val="auto"/>
                <w:szCs w:val="16"/>
              </w:rPr>
              <w:t>9</w:t>
            </w:r>
            <w:r w:rsidRPr="00A459B1">
              <w:rPr>
                <w:rFonts w:cs="Arial"/>
                <w:color w:val="auto"/>
                <w:szCs w:val="16"/>
              </w:rPr>
              <w:t>,</w:t>
            </w:r>
            <w:r w:rsidR="0036021C">
              <w:rPr>
                <w:rFonts w:cs="Arial"/>
                <w:color w:val="auto"/>
                <w:szCs w:val="16"/>
              </w:rPr>
              <w:t>9</w:t>
            </w:r>
            <w:r w:rsidRPr="00A459B1">
              <w:rPr>
                <w:rFonts w:cs="Arial"/>
                <w:color w:val="auto"/>
                <w:szCs w:val="16"/>
              </w:rPr>
              <w:t>%</w:t>
            </w:r>
          </w:p>
        </w:tc>
      </w:tr>
    </w:tbl>
    <w:p w14:paraId="1B06E7D6" w14:textId="2D576CD5" w:rsidR="005C4144" w:rsidRPr="00CA23BA" w:rsidRDefault="005C4144" w:rsidP="00A32E63">
      <w:pPr>
        <w:pStyle w:val="Legenda"/>
        <w:spacing w:before="80"/>
      </w:pPr>
      <w:r w:rsidRPr="00CA23BA">
        <w:t>Źródło: Opracowanie własne ARE S</w:t>
      </w:r>
      <w:r>
        <w:t>.</w:t>
      </w:r>
      <w:r w:rsidRPr="00CA23BA">
        <w:t>A</w:t>
      </w:r>
      <w:r w:rsidR="00A459B1">
        <w:t>.</w:t>
      </w:r>
      <w:r w:rsidR="00A459B1" w:rsidRPr="00CA23BA">
        <w:t>,</w:t>
      </w:r>
      <w:r w:rsidRPr="00CA23BA">
        <w:t xml:space="preserve"> Eurostat SHARES</w:t>
      </w:r>
    </w:p>
    <w:p w14:paraId="72F8AB7F" w14:textId="505C0204" w:rsidR="005C4144" w:rsidRDefault="005C4144" w:rsidP="00896449">
      <w:pPr>
        <w:pStyle w:val="Legenda"/>
        <w:keepNext/>
        <w:spacing w:after="80"/>
      </w:pPr>
      <w:bookmarkStart w:id="224" w:name="tab441"/>
      <w:bookmarkStart w:id="225" w:name="_Ref158307043"/>
      <w:bookmarkStart w:id="226" w:name="_Ref195870862"/>
      <w:bookmarkStart w:id="227" w:name="_Toc171587182"/>
      <w:bookmarkStart w:id="228" w:name="_Toc174710966"/>
      <w:bookmarkStart w:id="229" w:name="_Toc202966969"/>
      <w:bookmarkEnd w:id="224"/>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24</w:t>
      </w:r>
      <w:r w:rsidR="00653D9A">
        <w:rPr>
          <w:noProof/>
        </w:rPr>
        <w:fldChar w:fldCharType="end"/>
      </w:r>
      <w:bookmarkEnd w:id="225"/>
      <w:bookmarkEnd w:id="226"/>
      <w:r>
        <w:t xml:space="preserve">. </w:t>
      </w:r>
      <w:r w:rsidRPr="001C2BBE">
        <w:t>Sektor elektroenergetyczny</w:t>
      </w:r>
      <w:bookmarkEnd w:id="227"/>
      <w:bookmarkEnd w:id="228"/>
      <w:bookmarkEnd w:id="229"/>
    </w:p>
    <w:tbl>
      <w:tblPr>
        <w:tblStyle w:val="KPEiK"/>
        <w:tblW w:w="5055" w:type="pct"/>
        <w:tblLayout w:type="fixed"/>
        <w:tblCellMar>
          <w:left w:w="57" w:type="dxa"/>
          <w:right w:w="57" w:type="dxa"/>
        </w:tblCellMar>
        <w:tblLook w:val="04A0" w:firstRow="1" w:lastRow="0" w:firstColumn="1" w:lastColumn="0" w:noHBand="0" w:noVBand="1"/>
      </w:tblPr>
      <w:tblGrid>
        <w:gridCol w:w="2290"/>
        <w:gridCol w:w="5018"/>
        <w:gridCol w:w="855"/>
        <w:gridCol w:w="855"/>
        <w:gridCol w:w="855"/>
        <w:gridCol w:w="855"/>
        <w:gridCol w:w="855"/>
        <w:gridCol w:w="855"/>
        <w:gridCol w:w="855"/>
        <w:gridCol w:w="855"/>
      </w:tblGrid>
      <w:tr w:rsidR="00B12D21" w:rsidRPr="00A82E2A" w14:paraId="69C73FD4" w14:textId="77777777" w:rsidTr="00913C31">
        <w:trPr>
          <w:cnfStyle w:val="100000000000" w:firstRow="1" w:lastRow="0" w:firstColumn="0" w:lastColumn="0" w:oddVBand="0" w:evenVBand="0" w:oddHBand="0" w:evenHBand="0" w:firstRowFirstColumn="0" w:firstRowLastColumn="0" w:lastRowFirstColumn="0" w:lastRowLastColumn="0"/>
          <w:trHeight w:val="216"/>
          <w:tblHeader/>
        </w:trPr>
        <w:tc>
          <w:tcPr>
            <w:tcW w:w="2289" w:type="dxa"/>
          </w:tcPr>
          <w:p w14:paraId="612D6DFE" w14:textId="77777777" w:rsidR="00681E39" w:rsidRPr="00A82E2A" w:rsidRDefault="00681E39">
            <w:pPr>
              <w:pStyle w:val="Tabele"/>
              <w:jc w:val="center"/>
              <w:rPr>
                <w:lang w:eastAsia="pl-PL"/>
              </w:rPr>
            </w:pPr>
          </w:p>
        </w:tc>
        <w:tc>
          <w:tcPr>
            <w:tcW w:w="5018" w:type="dxa"/>
          </w:tcPr>
          <w:p w14:paraId="26E18D3B" w14:textId="77777777" w:rsidR="00681E39" w:rsidRPr="00A82E2A" w:rsidRDefault="00681E39">
            <w:pPr>
              <w:pStyle w:val="Tabele"/>
              <w:jc w:val="center"/>
              <w:rPr>
                <w:lang w:eastAsia="pl-PL"/>
              </w:rPr>
            </w:pPr>
          </w:p>
        </w:tc>
        <w:tc>
          <w:tcPr>
            <w:tcW w:w="855" w:type="dxa"/>
            <w:noWrap/>
            <w:hideMark/>
          </w:tcPr>
          <w:p w14:paraId="35F3CFC0" w14:textId="77777777" w:rsidR="00681E39" w:rsidRPr="00A82E2A" w:rsidRDefault="00681E39">
            <w:pPr>
              <w:pStyle w:val="Tabele"/>
              <w:jc w:val="center"/>
              <w:rPr>
                <w:lang w:eastAsia="pl-PL"/>
              </w:rPr>
            </w:pPr>
            <w:r w:rsidRPr="00A82E2A">
              <w:rPr>
                <w:lang w:eastAsia="pl-PL"/>
              </w:rPr>
              <w:t>2005</w:t>
            </w:r>
          </w:p>
        </w:tc>
        <w:tc>
          <w:tcPr>
            <w:tcW w:w="855" w:type="dxa"/>
            <w:noWrap/>
            <w:hideMark/>
          </w:tcPr>
          <w:p w14:paraId="6575BEE2" w14:textId="77777777" w:rsidR="00681E39" w:rsidRPr="00A82E2A" w:rsidRDefault="00681E39">
            <w:pPr>
              <w:pStyle w:val="Tabele"/>
              <w:jc w:val="center"/>
              <w:rPr>
                <w:lang w:eastAsia="pl-PL"/>
              </w:rPr>
            </w:pPr>
            <w:r w:rsidRPr="00A82E2A">
              <w:rPr>
                <w:lang w:eastAsia="pl-PL"/>
              </w:rPr>
              <w:t>2010</w:t>
            </w:r>
          </w:p>
        </w:tc>
        <w:tc>
          <w:tcPr>
            <w:tcW w:w="855" w:type="dxa"/>
            <w:noWrap/>
            <w:hideMark/>
          </w:tcPr>
          <w:p w14:paraId="7128BE8A" w14:textId="77777777" w:rsidR="00681E39" w:rsidRPr="00A82E2A" w:rsidRDefault="00681E39">
            <w:pPr>
              <w:pStyle w:val="Tabele"/>
              <w:jc w:val="center"/>
              <w:rPr>
                <w:lang w:eastAsia="pl-PL"/>
              </w:rPr>
            </w:pPr>
            <w:r w:rsidRPr="00A82E2A">
              <w:rPr>
                <w:lang w:eastAsia="pl-PL"/>
              </w:rPr>
              <w:t>2015</w:t>
            </w:r>
          </w:p>
        </w:tc>
        <w:tc>
          <w:tcPr>
            <w:tcW w:w="855" w:type="dxa"/>
            <w:noWrap/>
            <w:hideMark/>
          </w:tcPr>
          <w:p w14:paraId="43229730" w14:textId="77777777" w:rsidR="00681E39" w:rsidRPr="00A82E2A" w:rsidRDefault="00681E39">
            <w:pPr>
              <w:pStyle w:val="Tabele"/>
              <w:jc w:val="center"/>
              <w:rPr>
                <w:lang w:eastAsia="pl-PL"/>
              </w:rPr>
            </w:pPr>
            <w:r w:rsidRPr="00A82E2A">
              <w:rPr>
                <w:lang w:eastAsia="pl-PL"/>
              </w:rPr>
              <w:t>2020</w:t>
            </w:r>
          </w:p>
        </w:tc>
        <w:tc>
          <w:tcPr>
            <w:tcW w:w="855" w:type="dxa"/>
            <w:noWrap/>
            <w:hideMark/>
          </w:tcPr>
          <w:p w14:paraId="210EEB60" w14:textId="77777777" w:rsidR="00681E39" w:rsidRPr="00A82E2A" w:rsidRDefault="00681E39">
            <w:pPr>
              <w:pStyle w:val="Tabele"/>
              <w:jc w:val="center"/>
              <w:rPr>
                <w:lang w:eastAsia="pl-PL"/>
              </w:rPr>
            </w:pPr>
            <w:r w:rsidRPr="00A82E2A">
              <w:rPr>
                <w:lang w:eastAsia="pl-PL"/>
              </w:rPr>
              <w:t>2025</w:t>
            </w:r>
          </w:p>
        </w:tc>
        <w:tc>
          <w:tcPr>
            <w:tcW w:w="855" w:type="dxa"/>
            <w:noWrap/>
            <w:hideMark/>
          </w:tcPr>
          <w:p w14:paraId="54687AAB" w14:textId="77777777" w:rsidR="00681E39" w:rsidRPr="00A82E2A" w:rsidRDefault="00681E39">
            <w:pPr>
              <w:pStyle w:val="Tabele"/>
              <w:jc w:val="center"/>
              <w:rPr>
                <w:lang w:eastAsia="pl-PL"/>
              </w:rPr>
            </w:pPr>
            <w:r w:rsidRPr="00A82E2A">
              <w:rPr>
                <w:lang w:eastAsia="pl-PL"/>
              </w:rPr>
              <w:t>2030</w:t>
            </w:r>
          </w:p>
        </w:tc>
        <w:tc>
          <w:tcPr>
            <w:tcW w:w="855" w:type="dxa"/>
            <w:noWrap/>
            <w:hideMark/>
          </w:tcPr>
          <w:p w14:paraId="4736E62F" w14:textId="77777777" w:rsidR="00681E39" w:rsidRPr="00A82E2A" w:rsidRDefault="00681E39">
            <w:pPr>
              <w:pStyle w:val="Tabele"/>
              <w:jc w:val="center"/>
              <w:rPr>
                <w:lang w:eastAsia="pl-PL"/>
              </w:rPr>
            </w:pPr>
            <w:r w:rsidRPr="00A82E2A">
              <w:rPr>
                <w:lang w:eastAsia="pl-PL"/>
              </w:rPr>
              <w:t>2035</w:t>
            </w:r>
          </w:p>
        </w:tc>
        <w:tc>
          <w:tcPr>
            <w:tcW w:w="855" w:type="dxa"/>
            <w:noWrap/>
            <w:hideMark/>
          </w:tcPr>
          <w:p w14:paraId="202980C7" w14:textId="77777777" w:rsidR="00681E39" w:rsidRPr="00A82E2A" w:rsidRDefault="00681E39">
            <w:pPr>
              <w:pStyle w:val="Tabele"/>
              <w:jc w:val="center"/>
              <w:rPr>
                <w:lang w:eastAsia="pl-PL"/>
              </w:rPr>
            </w:pPr>
            <w:r w:rsidRPr="00A82E2A">
              <w:rPr>
                <w:lang w:eastAsia="pl-PL"/>
              </w:rPr>
              <w:t>2040</w:t>
            </w:r>
          </w:p>
        </w:tc>
      </w:tr>
      <w:tr w:rsidR="00870665" w:rsidRPr="00A82E2A" w14:paraId="6BF2033A" w14:textId="77777777" w:rsidTr="00913C31">
        <w:trPr>
          <w:trHeight w:val="216"/>
        </w:trPr>
        <w:tc>
          <w:tcPr>
            <w:tcW w:w="2289" w:type="dxa"/>
            <w:vMerge w:val="restart"/>
            <w:hideMark/>
          </w:tcPr>
          <w:p w14:paraId="1BE8A8BF" w14:textId="77777777" w:rsidR="00681E39" w:rsidRPr="00681E39" w:rsidRDefault="00681E39">
            <w:pPr>
              <w:pStyle w:val="Tabele"/>
              <w:rPr>
                <w:b/>
                <w:bCs/>
                <w:color w:val="auto"/>
                <w:lang w:eastAsia="pl-PL"/>
              </w:rPr>
            </w:pPr>
            <w:r w:rsidRPr="00681E39">
              <w:rPr>
                <w:b/>
                <w:bCs/>
                <w:color w:val="auto"/>
                <w:lang w:eastAsia="pl-PL"/>
              </w:rPr>
              <w:t>Produkcja energii elektrycznej z OZE w podziale na technologie - sektor elektroenergetyczny [ktoe]</w:t>
            </w:r>
          </w:p>
        </w:tc>
        <w:tc>
          <w:tcPr>
            <w:tcW w:w="5018" w:type="dxa"/>
            <w:hideMark/>
          </w:tcPr>
          <w:p w14:paraId="479E5D1C" w14:textId="77777777" w:rsidR="00681E39" w:rsidRPr="00681E39" w:rsidRDefault="00681E39">
            <w:pPr>
              <w:pStyle w:val="Tabele"/>
              <w:rPr>
                <w:b/>
                <w:bCs/>
                <w:color w:val="auto"/>
                <w:lang w:eastAsia="pl-PL"/>
              </w:rPr>
            </w:pPr>
            <w:r w:rsidRPr="00681E39">
              <w:rPr>
                <w:b/>
                <w:bCs/>
                <w:color w:val="auto"/>
                <w:lang w:eastAsia="pl-PL"/>
              </w:rPr>
              <w:t>Końcowe zużycie energii elektrycznej brutto (denominator RES-E)</w:t>
            </w:r>
          </w:p>
        </w:tc>
        <w:tc>
          <w:tcPr>
            <w:tcW w:w="855" w:type="dxa"/>
            <w:shd w:val="clear" w:color="auto" w:fill="C5E0B3"/>
            <w:noWrap/>
            <w:hideMark/>
          </w:tcPr>
          <w:p w14:paraId="2166DE14" w14:textId="77777777" w:rsidR="00681E39" w:rsidRPr="00681E39" w:rsidRDefault="00681E39">
            <w:pPr>
              <w:pStyle w:val="Tabele"/>
              <w:jc w:val="right"/>
              <w:rPr>
                <w:b/>
                <w:bCs/>
                <w:color w:val="auto"/>
                <w:lang w:eastAsia="pl-PL"/>
              </w:rPr>
            </w:pPr>
            <w:r w:rsidRPr="00681E39">
              <w:rPr>
                <w:b/>
                <w:bCs/>
                <w:color w:val="auto"/>
              </w:rPr>
              <w:t>12 397</w:t>
            </w:r>
          </w:p>
        </w:tc>
        <w:tc>
          <w:tcPr>
            <w:tcW w:w="855" w:type="dxa"/>
            <w:shd w:val="clear" w:color="auto" w:fill="C5E0B3"/>
            <w:noWrap/>
            <w:hideMark/>
          </w:tcPr>
          <w:p w14:paraId="0262761E" w14:textId="77777777" w:rsidR="00681E39" w:rsidRPr="00681E39" w:rsidRDefault="00681E39">
            <w:pPr>
              <w:pStyle w:val="Tabele"/>
              <w:jc w:val="right"/>
              <w:rPr>
                <w:b/>
                <w:bCs/>
                <w:color w:val="auto"/>
                <w:lang w:eastAsia="pl-PL"/>
              </w:rPr>
            </w:pPr>
            <w:r w:rsidRPr="00681E39">
              <w:rPr>
                <w:b/>
                <w:bCs/>
                <w:color w:val="auto"/>
              </w:rPr>
              <w:t>13 391</w:t>
            </w:r>
          </w:p>
        </w:tc>
        <w:tc>
          <w:tcPr>
            <w:tcW w:w="855" w:type="dxa"/>
            <w:shd w:val="clear" w:color="auto" w:fill="C5E0B3"/>
            <w:noWrap/>
            <w:hideMark/>
          </w:tcPr>
          <w:p w14:paraId="165A1001" w14:textId="77777777" w:rsidR="00681E39" w:rsidRPr="00681E39" w:rsidRDefault="00681E39">
            <w:pPr>
              <w:pStyle w:val="Tabele"/>
              <w:jc w:val="right"/>
              <w:rPr>
                <w:b/>
                <w:bCs/>
                <w:color w:val="auto"/>
                <w:lang w:eastAsia="pl-PL"/>
              </w:rPr>
            </w:pPr>
            <w:r w:rsidRPr="00681E39">
              <w:rPr>
                <w:b/>
                <w:bCs/>
                <w:color w:val="auto"/>
              </w:rPr>
              <w:t>14 102</w:t>
            </w:r>
          </w:p>
        </w:tc>
        <w:tc>
          <w:tcPr>
            <w:tcW w:w="855" w:type="dxa"/>
            <w:shd w:val="clear" w:color="auto" w:fill="C5E0B3"/>
            <w:noWrap/>
            <w:hideMark/>
          </w:tcPr>
          <w:p w14:paraId="1824A533" w14:textId="77777777" w:rsidR="00681E39" w:rsidRPr="00681E39" w:rsidRDefault="00681E39">
            <w:pPr>
              <w:pStyle w:val="Tabele"/>
              <w:jc w:val="right"/>
              <w:rPr>
                <w:b/>
                <w:bCs/>
                <w:color w:val="auto"/>
                <w:lang w:eastAsia="pl-PL"/>
              </w:rPr>
            </w:pPr>
            <w:r w:rsidRPr="00681E39">
              <w:rPr>
                <w:b/>
                <w:bCs/>
                <w:color w:val="auto"/>
              </w:rPr>
              <w:t>14 660</w:t>
            </w:r>
          </w:p>
        </w:tc>
        <w:tc>
          <w:tcPr>
            <w:tcW w:w="855" w:type="dxa"/>
            <w:noWrap/>
            <w:hideMark/>
          </w:tcPr>
          <w:p w14:paraId="50E24DCC" w14:textId="77777777" w:rsidR="00681E39" w:rsidRPr="00681E39" w:rsidRDefault="00681E39">
            <w:pPr>
              <w:pStyle w:val="Tabele"/>
              <w:jc w:val="right"/>
              <w:rPr>
                <w:b/>
                <w:bCs/>
                <w:color w:val="auto"/>
                <w:lang w:eastAsia="pl-PL"/>
              </w:rPr>
            </w:pPr>
            <w:r w:rsidRPr="00681E39">
              <w:rPr>
                <w:rFonts w:cs="Arial"/>
                <w:b/>
                <w:bCs/>
                <w:color w:val="auto"/>
                <w:szCs w:val="16"/>
              </w:rPr>
              <w:t>15 488</w:t>
            </w:r>
          </w:p>
        </w:tc>
        <w:tc>
          <w:tcPr>
            <w:tcW w:w="855" w:type="dxa"/>
            <w:noWrap/>
            <w:hideMark/>
          </w:tcPr>
          <w:p w14:paraId="14CF74C3" w14:textId="77777777" w:rsidR="00681E39" w:rsidRPr="00681E39" w:rsidRDefault="00681E39">
            <w:pPr>
              <w:pStyle w:val="Tabele"/>
              <w:jc w:val="right"/>
              <w:rPr>
                <w:b/>
                <w:bCs/>
                <w:color w:val="auto"/>
                <w:lang w:eastAsia="pl-PL"/>
              </w:rPr>
            </w:pPr>
            <w:r w:rsidRPr="00681E39">
              <w:rPr>
                <w:rFonts w:cs="Arial"/>
                <w:b/>
                <w:bCs/>
                <w:color w:val="auto"/>
                <w:szCs w:val="16"/>
              </w:rPr>
              <w:t>16 643</w:t>
            </w:r>
          </w:p>
        </w:tc>
        <w:tc>
          <w:tcPr>
            <w:tcW w:w="855" w:type="dxa"/>
            <w:noWrap/>
            <w:hideMark/>
          </w:tcPr>
          <w:p w14:paraId="75BF14A9" w14:textId="77777777" w:rsidR="00681E39" w:rsidRPr="00681E39" w:rsidRDefault="00681E39">
            <w:pPr>
              <w:pStyle w:val="Tabele"/>
              <w:jc w:val="right"/>
              <w:rPr>
                <w:b/>
                <w:bCs/>
                <w:color w:val="auto"/>
                <w:lang w:eastAsia="pl-PL"/>
              </w:rPr>
            </w:pPr>
            <w:r w:rsidRPr="00681E39">
              <w:rPr>
                <w:rFonts w:cs="Arial"/>
                <w:b/>
                <w:bCs/>
                <w:color w:val="auto"/>
                <w:szCs w:val="16"/>
              </w:rPr>
              <w:t>18 967</w:t>
            </w:r>
          </w:p>
        </w:tc>
        <w:tc>
          <w:tcPr>
            <w:tcW w:w="855" w:type="dxa"/>
            <w:noWrap/>
            <w:hideMark/>
          </w:tcPr>
          <w:p w14:paraId="3E887D99" w14:textId="77777777" w:rsidR="00681E39" w:rsidRPr="00681E39" w:rsidRDefault="00681E39">
            <w:pPr>
              <w:pStyle w:val="Tabele"/>
              <w:jc w:val="right"/>
              <w:rPr>
                <w:b/>
                <w:bCs/>
                <w:color w:val="auto"/>
                <w:lang w:eastAsia="pl-PL"/>
              </w:rPr>
            </w:pPr>
            <w:r w:rsidRPr="00681E39">
              <w:rPr>
                <w:rFonts w:cs="Arial"/>
                <w:b/>
                <w:bCs/>
                <w:color w:val="auto"/>
                <w:szCs w:val="16"/>
              </w:rPr>
              <w:t>24 693</w:t>
            </w:r>
          </w:p>
        </w:tc>
      </w:tr>
      <w:tr w:rsidR="00870665" w:rsidRPr="00A82E2A" w14:paraId="35425AC8" w14:textId="77777777" w:rsidTr="00913C31">
        <w:trPr>
          <w:trHeight w:val="216"/>
        </w:trPr>
        <w:tc>
          <w:tcPr>
            <w:tcW w:w="2289" w:type="dxa"/>
            <w:vMerge/>
            <w:hideMark/>
          </w:tcPr>
          <w:p w14:paraId="3E72B491" w14:textId="77777777" w:rsidR="00681E39" w:rsidRPr="00681E39" w:rsidRDefault="00681E39">
            <w:pPr>
              <w:pStyle w:val="Tabele"/>
              <w:rPr>
                <w:b/>
                <w:bCs/>
                <w:color w:val="auto"/>
                <w:lang w:eastAsia="pl-PL"/>
              </w:rPr>
            </w:pPr>
          </w:p>
        </w:tc>
        <w:tc>
          <w:tcPr>
            <w:tcW w:w="5018" w:type="dxa"/>
            <w:noWrap/>
            <w:hideMark/>
          </w:tcPr>
          <w:p w14:paraId="5185F91D" w14:textId="77777777" w:rsidR="00681E39" w:rsidRPr="00681E39" w:rsidRDefault="00681E39">
            <w:pPr>
              <w:pStyle w:val="Tabele"/>
              <w:rPr>
                <w:color w:val="auto"/>
                <w:lang w:eastAsia="pl-PL"/>
              </w:rPr>
            </w:pPr>
            <w:r w:rsidRPr="00681E39">
              <w:rPr>
                <w:color w:val="auto"/>
                <w:lang w:eastAsia="pl-PL"/>
              </w:rPr>
              <w:t xml:space="preserve">Elektrownie wodne* </w:t>
            </w:r>
          </w:p>
        </w:tc>
        <w:tc>
          <w:tcPr>
            <w:tcW w:w="855" w:type="dxa"/>
            <w:shd w:val="clear" w:color="auto" w:fill="C5E0B3"/>
            <w:noWrap/>
            <w:hideMark/>
          </w:tcPr>
          <w:p w14:paraId="1BB2B098" w14:textId="77777777" w:rsidR="00681E39" w:rsidRPr="00681E39" w:rsidRDefault="00681E39">
            <w:pPr>
              <w:pStyle w:val="Tabele"/>
              <w:jc w:val="right"/>
              <w:rPr>
                <w:color w:val="auto"/>
                <w:lang w:eastAsia="pl-PL"/>
              </w:rPr>
            </w:pPr>
            <w:r w:rsidRPr="00681E39">
              <w:rPr>
                <w:color w:val="auto"/>
              </w:rPr>
              <w:t>164</w:t>
            </w:r>
          </w:p>
        </w:tc>
        <w:tc>
          <w:tcPr>
            <w:tcW w:w="855" w:type="dxa"/>
            <w:shd w:val="clear" w:color="auto" w:fill="C5E0B3"/>
            <w:noWrap/>
            <w:hideMark/>
          </w:tcPr>
          <w:p w14:paraId="312D6FA4" w14:textId="77777777" w:rsidR="00681E39" w:rsidRPr="00681E39" w:rsidRDefault="00681E39">
            <w:pPr>
              <w:pStyle w:val="Tabele"/>
              <w:jc w:val="right"/>
              <w:rPr>
                <w:color w:val="auto"/>
                <w:lang w:eastAsia="pl-PL"/>
              </w:rPr>
            </w:pPr>
            <w:r w:rsidRPr="00681E39">
              <w:rPr>
                <w:color w:val="auto"/>
              </w:rPr>
              <w:t>189</w:t>
            </w:r>
          </w:p>
        </w:tc>
        <w:tc>
          <w:tcPr>
            <w:tcW w:w="855" w:type="dxa"/>
            <w:shd w:val="clear" w:color="auto" w:fill="C5E0B3"/>
            <w:noWrap/>
            <w:hideMark/>
          </w:tcPr>
          <w:p w14:paraId="3720B7CD" w14:textId="77777777" w:rsidR="00681E39" w:rsidRPr="00681E39" w:rsidRDefault="00681E39">
            <w:pPr>
              <w:pStyle w:val="Tabele"/>
              <w:jc w:val="right"/>
              <w:rPr>
                <w:color w:val="auto"/>
                <w:lang w:eastAsia="pl-PL"/>
              </w:rPr>
            </w:pPr>
            <w:r w:rsidRPr="00681E39">
              <w:rPr>
                <w:color w:val="auto"/>
              </w:rPr>
              <w:t>198</w:t>
            </w:r>
          </w:p>
        </w:tc>
        <w:tc>
          <w:tcPr>
            <w:tcW w:w="855" w:type="dxa"/>
            <w:shd w:val="clear" w:color="auto" w:fill="C5E0B3"/>
            <w:noWrap/>
            <w:hideMark/>
          </w:tcPr>
          <w:p w14:paraId="7D380969" w14:textId="77777777" w:rsidR="00681E39" w:rsidRPr="00681E39" w:rsidRDefault="00681E39">
            <w:pPr>
              <w:pStyle w:val="Tabele"/>
              <w:jc w:val="right"/>
              <w:rPr>
                <w:color w:val="auto"/>
                <w:lang w:eastAsia="pl-PL"/>
              </w:rPr>
            </w:pPr>
            <w:r w:rsidRPr="00681E39">
              <w:rPr>
                <w:color w:val="auto"/>
              </w:rPr>
              <w:t>200</w:t>
            </w:r>
          </w:p>
        </w:tc>
        <w:tc>
          <w:tcPr>
            <w:tcW w:w="855" w:type="dxa"/>
            <w:noWrap/>
            <w:hideMark/>
          </w:tcPr>
          <w:p w14:paraId="69CE0E75" w14:textId="77777777" w:rsidR="00681E39" w:rsidRPr="00681E39" w:rsidRDefault="00681E39">
            <w:pPr>
              <w:pStyle w:val="Tabele"/>
              <w:jc w:val="right"/>
              <w:rPr>
                <w:color w:val="auto"/>
                <w:lang w:eastAsia="pl-PL"/>
              </w:rPr>
            </w:pPr>
            <w:r w:rsidRPr="00681E39">
              <w:rPr>
                <w:rFonts w:cs="Arial"/>
                <w:color w:val="auto"/>
                <w:szCs w:val="16"/>
              </w:rPr>
              <w:t>223</w:t>
            </w:r>
          </w:p>
        </w:tc>
        <w:tc>
          <w:tcPr>
            <w:tcW w:w="855" w:type="dxa"/>
            <w:noWrap/>
            <w:hideMark/>
          </w:tcPr>
          <w:p w14:paraId="210D8E86" w14:textId="77777777" w:rsidR="00681E39" w:rsidRPr="00681E39" w:rsidRDefault="00681E39">
            <w:pPr>
              <w:pStyle w:val="Tabele"/>
              <w:jc w:val="right"/>
              <w:rPr>
                <w:color w:val="auto"/>
                <w:lang w:eastAsia="pl-PL"/>
              </w:rPr>
            </w:pPr>
            <w:r w:rsidRPr="00681E39">
              <w:rPr>
                <w:rFonts w:cs="Arial"/>
                <w:color w:val="auto"/>
                <w:szCs w:val="16"/>
              </w:rPr>
              <w:t>248</w:t>
            </w:r>
          </w:p>
        </w:tc>
        <w:tc>
          <w:tcPr>
            <w:tcW w:w="855" w:type="dxa"/>
            <w:noWrap/>
            <w:hideMark/>
          </w:tcPr>
          <w:p w14:paraId="2021735D" w14:textId="77777777" w:rsidR="00681E39" w:rsidRPr="00681E39" w:rsidRDefault="00681E39">
            <w:pPr>
              <w:pStyle w:val="Tabele"/>
              <w:jc w:val="right"/>
              <w:rPr>
                <w:color w:val="auto"/>
                <w:lang w:eastAsia="pl-PL"/>
              </w:rPr>
            </w:pPr>
            <w:r w:rsidRPr="00681E39">
              <w:rPr>
                <w:rFonts w:cs="Arial"/>
                <w:color w:val="auto"/>
                <w:szCs w:val="16"/>
              </w:rPr>
              <w:t>254</w:t>
            </w:r>
          </w:p>
        </w:tc>
        <w:tc>
          <w:tcPr>
            <w:tcW w:w="855" w:type="dxa"/>
            <w:noWrap/>
            <w:hideMark/>
          </w:tcPr>
          <w:p w14:paraId="3E53719B" w14:textId="77777777" w:rsidR="00681E39" w:rsidRPr="00681E39" w:rsidRDefault="00681E39">
            <w:pPr>
              <w:pStyle w:val="Tabele"/>
              <w:jc w:val="right"/>
              <w:rPr>
                <w:color w:val="auto"/>
                <w:lang w:eastAsia="pl-PL"/>
              </w:rPr>
            </w:pPr>
            <w:r w:rsidRPr="00681E39">
              <w:rPr>
                <w:rFonts w:cs="Arial"/>
                <w:color w:val="auto"/>
                <w:szCs w:val="16"/>
              </w:rPr>
              <w:t>260</w:t>
            </w:r>
          </w:p>
        </w:tc>
      </w:tr>
      <w:tr w:rsidR="00870665" w:rsidRPr="00A82E2A" w14:paraId="32893904" w14:textId="77777777" w:rsidTr="00913C31">
        <w:trPr>
          <w:trHeight w:val="216"/>
        </w:trPr>
        <w:tc>
          <w:tcPr>
            <w:tcW w:w="2289" w:type="dxa"/>
            <w:vMerge/>
            <w:hideMark/>
          </w:tcPr>
          <w:p w14:paraId="4DA1768F" w14:textId="77777777" w:rsidR="00681E39" w:rsidRPr="00681E39" w:rsidRDefault="00681E39">
            <w:pPr>
              <w:pStyle w:val="Tabele"/>
              <w:rPr>
                <w:b/>
                <w:bCs/>
                <w:color w:val="auto"/>
                <w:lang w:eastAsia="pl-PL"/>
              </w:rPr>
            </w:pPr>
          </w:p>
        </w:tc>
        <w:tc>
          <w:tcPr>
            <w:tcW w:w="5018" w:type="dxa"/>
            <w:noWrap/>
            <w:hideMark/>
          </w:tcPr>
          <w:p w14:paraId="464E25DD" w14:textId="77777777" w:rsidR="00681E39" w:rsidRPr="00681E39" w:rsidRDefault="00681E39">
            <w:pPr>
              <w:pStyle w:val="Tabele"/>
              <w:rPr>
                <w:color w:val="auto"/>
                <w:lang w:eastAsia="pl-PL"/>
              </w:rPr>
            </w:pPr>
            <w:r w:rsidRPr="00681E39">
              <w:rPr>
                <w:color w:val="auto"/>
                <w:lang w:eastAsia="pl-PL"/>
              </w:rPr>
              <w:t>Elektrownie wiatrowe*</w:t>
            </w:r>
          </w:p>
        </w:tc>
        <w:tc>
          <w:tcPr>
            <w:tcW w:w="855" w:type="dxa"/>
            <w:shd w:val="clear" w:color="auto" w:fill="C5E0B3"/>
            <w:noWrap/>
            <w:hideMark/>
          </w:tcPr>
          <w:p w14:paraId="3F0F67ED" w14:textId="77777777" w:rsidR="00681E39" w:rsidRPr="00681E39" w:rsidRDefault="00681E39">
            <w:pPr>
              <w:pStyle w:val="Tabele"/>
              <w:jc w:val="right"/>
              <w:rPr>
                <w:color w:val="auto"/>
                <w:lang w:eastAsia="pl-PL"/>
              </w:rPr>
            </w:pPr>
            <w:r w:rsidRPr="00681E39">
              <w:rPr>
                <w:color w:val="auto"/>
              </w:rPr>
              <w:t>17</w:t>
            </w:r>
          </w:p>
        </w:tc>
        <w:tc>
          <w:tcPr>
            <w:tcW w:w="855" w:type="dxa"/>
            <w:shd w:val="clear" w:color="auto" w:fill="C5E0B3"/>
            <w:noWrap/>
            <w:hideMark/>
          </w:tcPr>
          <w:p w14:paraId="4D12C45E" w14:textId="77777777" w:rsidR="00681E39" w:rsidRPr="00681E39" w:rsidRDefault="00681E39">
            <w:pPr>
              <w:pStyle w:val="Tabele"/>
              <w:jc w:val="right"/>
              <w:rPr>
                <w:color w:val="auto"/>
                <w:lang w:eastAsia="pl-PL"/>
              </w:rPr>
            </w:pPr>
            <w:r w:rsidRPr="00681E39">
              <w:rPr>
                <w:color w:val="auto"/>
              </w:rPr>
              <w:t>146</w:t>
            </w:r>
          </w:p>
        </w:tc>
        <w:tc>
          <w:tcPr>
            <w:tcW w:w="855" w:type="dxa"/>
            <w:shd w:val="clear" w:color="auto" w:fill="C5E0B3"/>
            <w:noWrap/>
            <w:hideMark/>
          </w:tcPr>
          <w:p w14:paraId="640418BF" w14:textId="77777777" w:rsidR="00681E39" w:rsidRPr="00681E39" w:rsidRDefault="00681E39">
            <w:pPr>
              <w:pStyle w:val="Tabele"/>
              <w:jc w:val="right"/>
              <w:rPr>
                <w:color w:val="auto"/>
                <w:lang w:eastAsia="pl-PL"/>
              </w:rPr>
            </w:pPr>
            <w:r w:rsidRPr="00681E39">
              <w:rPr>
                <w:color w:val="auto"/>
              </w:rPr>
              <w:t>833</w:t>
            </w:r>
          </w:p>
        </w:tc>
        <w:tc>
          <w:tcPr>
            <w:tcW w:w="855" w:type="dxa"/>
            <w:shd w:val="clear" w:color="auto" w:fill="C5E0B3"/>
            <w:noWrap/>
            <w:hideMark/>
          </w:tcPr>
          <w:p w14:paraId="0C3645FC" w14:textId="77777777" w:rsidR="00681E39" w:rsidRPr="00681E39" w:rsidRDefault="00681E39">
            <w:pPr>
              <w:pStyle w:val="Tabele"/>
              <w:jc w:val="right"/>
              <w:rPr>
                <w:color w:val="auto"/>
                <w:lang w:eastAsia="pl-PL"/>
              </w:rPr>
            </w:pPr>
            <w:r w:rsidRPr="00681E39">
              <w:rPr>
                <w:color w:val="auto"/>
              </w:rPr>
              <w:t>1 294</w:t>
            </w:r>
          </w:p>
        </w:tc>
        <w:tc>
          <w:tcPr>
            <w:tcW w:w="855" w:type="dxa"/>
            <w:noWrap/>
            <w:hideMark/>
          </w:tcPr>
          <w:p w14:paraId="19278BEC" w14:textId="77777777" w:rsidR="00681E39" w:rsidRPr="00681E39" w:rsidRDefault="00681E39">
            <w:pPr>
              <w:pStyle w:val="Tabele"/>
              <w:jc w:val="right"/>
              <w:rPr>
                <w:color w:val="auto"/>
                <w:lang w:eastAsia="pl-PL"/>
              </w:rPr>
            </w:pPr>
            <w:r w:rsidRPr="00681E39">
              <w:rPr>
                <w:rFonts w:cs="Arial"/>
                <w:color w:val="auto"/>
                <w:szCs w:val="16"/>
              </w:rPr>
              <w:t>2 364</w:t>
            </w:r>
          </w:p>
        </w:tc>
        <w:tc>
          <w:tcPr>
            <w:tcW w:w="855" w:type="dxa"/>
            <w:noWrap/>
            <w:hideMark/>
          </w:tcPr>
          <w:p w14:paraId="1D2F9921" w14:textId="77777777" w:rsidR="00681E39" w:rsidRPr="00681E39" w:rsidRDefault="00681E39">
            <w:pPr>
              <w:pStyle w:val="Tabele"/>
              <w:jc w:val="right"/>
              <w:rPr>
                <w:color w:val="auto"/>
                <w:lang w:eastAsia="pl-PL"/>
              </w:rPr>
            </w:pPr>
            <w:r w:rsidRPr="00681E39">
              <w:rPr>
                <w:rFonts w:cs="Arial"/>
                <w:color w:val="auto"/>
                <w:szCs w:val="16"/>
              </w:rPr>
              <w:t>5 333</w:t>
            </w:r>
          </w:p>
        </w:tc>
        <w:tc>
          <w:tcPr>
            <w:tcW w:w="855" w:type="dxa"/>
            <w:noWrap/>
            <w:hideMark/>
          </w:tcPr>
          <w:p w14:paraId="461249E6" w14:textId="77777777" w:rsidR="00681E39" w:rsidRPr="00681E39" w:rsidRDefault="00681E39">
            <w:pPr>
              <w:pStyle w:val="Tabele"/>
              <w:jc w:val="right"/>
              <w:rPr>
                <w:color w:val="auto"/>
                <w:lang w:eastAsia="pl-PL"/>
              </w:rPr>
            </w:pPr>
            <w:r w:rsidRPr="00681E39">
              <w:rPr>
                <w:rFonts w:cs="Arial"/>
                <w:color w:val="auto"/>
                <w:szCs w:val="16"/>
              </w:rPr>
              <w:t>10 054</w:t>
            </w:r>
          </w:p>
        </w:tc>
        <w:tc>
          <w:tcPr>
            <w:tcW w:w="855" w:type="dxa"/>
            <w:noWrap/>
            <w:hideMark/>
          </w:tcPr>
          <w:p w14:paraId="46A9DE43" w14:textId="77777777" w:rsidR="00681E39" w:rsidRPr="00681E39" w:rsidRDefault="00681E39">
            <w:pPr>
              <w:pStyle w:val="Tabele"/>
              <w:jc w:val="right"/>
              <w:rPr>
                <w:color w:val="auto"/>
                <w:lang w:eastAsia="pl-PL"/>
              </w:rPr>
            </w:pPr>
            <w:r w:rsidRPr="00681E39">
              <w:rPr>
                <w:rFonts w:cs="Arial"/>
                <w:color w:val="auto"/>
                <w:szCs w:val="16"/>
              </w:rPr>
              <w:t>13 565</w:t>
            </w:r>
          </w:p>
        </w:tc>
      </w:tr>
      <w:tr w:rsidR="00870665" w:rsidRPr="00A82E2A" w14:paraId="44C7DC84" w14:textId="77777777" w:rsidTr="00913C31">
        <w:trPr>
          <w:trHeight w:val="216"/>
        </w:trPr>
        <w:tc>
          <w:tcPr>
            <w:tcW w:w="2289" w:type="dxa"/>
            <w:vMerge/>
            <w:hideMark/>
          </w:tcPr>
          <w:p w14:paraId="555D0FA4" w14:textId="77777777" w:rsidR="00681E39" w:rsidRPr="00681E39" w:rsidRDefault="00681E39">
            <w:pPr>
              <w:pStyle w:val="Tabele"/>
              <w:rPr>
                <w:b/>
                <w:bCs/>
                <w:color w:val="auto"/>
                <w:lang w:eastAsia="pl-PL"/>
              </w:rPr>
            </w:pPr>
          </w:p>
        </w:tc>
        <w:tc>
          <w:tcPr>
            <w:tcW w:w="5018" w:type="dxa"/>
            <w:noWrap/>
            <w:hideMark/>
          </w:tcPr>
          <w:p w14:paraId="6E2DE177" w14:textId="77777777" w:rsidR="00681E39" w:rsidRPr="00681E39" w:rsidRDefault="00681E39">
            <w:pPr>
              <w:pStyle w:val="Tabele"/>
              <w:rPr>
                <w:color w:val="auto"/>
                <w:lang w:eastAsia="pl-PL"/>
              </w:rPr>
            </w:pPr>
            <w:r w:rsidRPr="00681E39">
              <w:rPr>
                <w:color w:val="auto"/>
                <w:lang w:eastAsia="pl-PL"/>
              </w:rPr>
              <w:t>Elektrownie fotowoltaiczne</w:t>
            </w:r>
          </w:p>
        </w:tc>
        <w:tc>
          <w:tcPr>
            <w:tcW w:w="855" w:type="dxa"/>
            <w:shd w:val="clear" w:color="auto" w:fill="C5E0B3"/>
            <w:noWrap/>
            <w:hideMark/>
          </w:tcPr>
          <w:p w14:paraId="712F78BB" w14:textId="77777777" w:rsidR="00681E39" w:rsidRPr="00681E39" w:rsidRDefault="00681E39">
            <w:pPr>
              <w:pStyle w:val="Tabele"/>
              <w:jc w:val="right"/>
              <w:rPr>
                <w:color w:val="auto"/>
                <w:lang w:eastAsia="pl-PL"/>
              </w:rPr>
            </w:pPr>
            <w:r w:rsidRPr="00681E39">
              <w:rPr>
                <w:color w:val="auto"/>
              </w:rPr>
              <w:t>0</w:t>
            </w:r>
          </w:p>
        </w:tc>
        <w:tc>
          <w:tcPr>
            <w:tcW w:w="855" w:type="dxa"/>
            <w:shd w:val="clear" w:color="auto" w:fill="C5E0B3"/>
            <w:noWrap/>
            <w:hideMark/>
          </w:tcPr>
          <w:p w14:paraId="45378A5B" w14:textId="77777777" w:rsidR="00681E39" w:rsidRPr="00681E39" w:rsidRDefault="00681E39">
            <w:pPr>
              <w:pStyle w:val="Tabele"/>
              <w:jc w:val="right"/>
              <w:rPr>
                <w:color w:val="auto"/>
                <w:lang w:eastAsia="pl-PL"/>
              </w:rPr>
            </w:pPr>
            <w:r w:rsidRPr="00681E39">
              <w:rPr>
                <w:color w:val="auto"/>
              </w:rPr>
              <w:t>0</w:t>
            </w:r>
          </w:p>
        </w:tc>
        <w:tc>
          <w:tcPr>
            <w:tcW w:w="855" w:type="dxa"/>
            <w:shd w:val="clear" w:color="auto" w:fill="C5E0B3"/>
            <w:noWrap/>
            <w:hideMark/>
          </w:tcPr>
          <w:p w14:paraId="7EC3989A" w14:textId="77777777" w:rsidR="00681E39" w:rsidRPr="00681E39" w:rsidRDefault="00681E39">
            <w:pPr>
              <w:pStyle w:val="Tabele"/>
              <w:jc w:val="right"/>
              <w:rPr>
                <w:color w:val="auto"/>
                <w:lang w:eastAsia="pl-PL"/>
              </w:rPr>
            </w:pPr>
            <w:r w:rsidRPr="00681E39">
              <w:rPr>
                <w:color w:val="auto"/>
              </w:rPr>
              <w:t>5</w:t>
            </w:r>
          </w:p>
        </w:tc>
        <w:tc>
          <w:tcPr>
            <w:tcW w:w="855" w:type="dxa"/>
            <w:shd w:val="clear" w:color="auto" w:fill="C5E0B3"/>
            <w:noWrap/>
            <w:hideMark/>
          </w:tcPr>
          <w:p w14:paraId="30C23A17" w14:textId="77777777" w:rsidR="00681E39" w:rsidRPr="00681E39" w:rsidRDefault="00681E39">
            <w:pPr>
              <w:pStyle w:val="Tabele"/>
              <w:jc w:val="right"/>
              <w:rPr>
                <w:color w:val="auto"/>
                <w:lang w:eastAsia="pl-PL"/>
              </w:rPr>
            </w:pPr>
            <w:r w:rsidRPr="00681E39">
              <w:rPr>
                <w:color w:val="auto"/>
              </w:rPr>
              <w:t>168</w:t>
            </w:r>
          </w:p>
        </w:tc>
        <w:tc>
          <w:tcPr>
            <w:tcW w:w="855" w:type="dxa"/>
            <w:noWrap/>
            <w:hideMark/>
          </w:tcPr>
          <w:p w14:paraId="263B5ECC" w14:textId="77777777" w:rsidR="00681E39" w:rsidRPr="00681E39" w:rsidRDefault="00681E39">
            <w:pPr>
              <w:pStyle w:val="Tabele"/>
              <w:jc w:val="right"/>
              <w:rPr>
                <w:color w:val="auto"/>
                <w:lang w:eastAsia="pl-PL"/>
              </w:rPr>
            </w:pPr>
            <w:r w:rsidRPr="00681E39">
              <w:rPr>
                <w:rFonts w:cs="Arial"/>
                <w:color w:val="auto"/>
                <w:szCs w:val="16"/>
              </w:rPr>
              <w:t>1 440</w:t>
            </w:r>
          </w:p>
        </w:tc>
        <w:tc>
          <w:tcPr>
            <w:tcW w:w="855" w:type="dxa"/>
            <w:noWrap/>
            <w:hideMark/>
          </w:tcPr>
          <w:p w14:paraId="4EB074CD" w14:textId="77777777" w:rsidR="00681E39" w:rsidRPr="00681E39" w:rsidRDefault="00681E39">
            <w:pPr>
              <w:pStyle w:val="Tabele"/>
              <w:jc w:val="right"/>
              <w:rPr>
                <w:color w:val="auto"/>
                <w:lang w:eastAsia="pl-PL"/>
              </w:rPr>
            </w:pPr>
            <w:r w:rsidRPr="00681E39">
              <w:rPr>
                <w:rFonts w:cs="Arial"/>
                <w:color w:val="auto"/>
                <w:szCs w:val="16"/>
              </w:rPr>
              <w:t>2 268</w:t>
            </w:r>
          </w:p>
        </w:tc>
        <w:tc>
          <w:tcPr>
            <w:tcW w:w="855" w:type="dxa"/>
            <w:noWrap/>
            <w:hideMark/>
          </w:tcPr>
          <w:p w14:paraId="627DBB41" w14:textId="77777777" w:rsidR="00681E39" w:rsidRPr="00681E39" w:rsidRDefault="00681E39">
            <w:pPr>
              <w:pStyle w:val="Tabele"/>
              <w:jc w:val="right"/>
              <w:rPr>
                <w:color w:val="auto"/>
                <w:lang w:eastAsia="pl-PL"/>
              </w:rPr>
            </w:pPr>
            <w:r w:rsidRPr="00681E39">
              <w:rPr>
                <w:rFonts w:cs="Arial"/>
                <w:color w:val="auto"/>
                <w:szCs w:val="16"/>
              </w:rPr>
              <w:t>3 115</w:t>
            </w:r>
          </w:p>
        </w:tc>
        <w:tc>
          <w:tcPr>
            <w:tcW w:w="855" w:type="dxa"/>
            <w:noWrap/>
            <w:hideMark/>
          </w:tcPr>
          <w:p w14:paraId="0C85A434" w14:textId="77777777" w:rsidR="00681E39" w:rsidRPr="00681E39" w:rsidRDefault="00681E39">
            <w:pPr>
              <w:pStyle w:val="Tabele"/>
              <w:jc w:val="right"/>
              <w:rPr>
                <w:color w:val="auto"/>
                <w:lang w:eastAsia="pl-PL"/>
              </w:rPr>
            </w:pPr>
            <w:r w:rsidRPr="00681E39">
              <w:rPr>
                <w:rFonts w:cs="Arial"/>
                <w:color w:val="auto"/>
                <w:szCs w:val="16"/>
              </w:rPr>
              <w:t>4 026</w:t>
            </w:r>
          </w:p>
        </w:tc>
      </w:tr>
      <w:tr w:rsidR="00870665" w:rsidRPr="00A82E2A" w14:paraId="637FFD06" w14:textId="77777777" w:rsidTr="00913C31">
        <w:trPr>
          <w:trHeight w:val="216"/>
        </w:trPr>
        <w:tc>
          <w:tcPr>
            <w:tcW w:w="2289" w:type="dxa"/>
            <w:vMerge/>
            <w:hideMark/>
          </w:tcPr>
          <w:p w14:paraId="42637CA2" w14:textId="77777777" w:rsidR="00681E39" w:rsidRPr="00681E39" w:rsidRDefault="00681E39">
            <w:pPr>
              <w:pStyle w:val="Tabele"/>
              <w:rPr>
                <w:b/>
                <w:bCs/>
                <w:color w:val="auto"/>
                <w:lang w:eastAsia="pl-PL"/>
              </w:rPr>
            </w:pPr>
          </w:p>
        </w:tc>
        <w:tc>
          <w:tcPr>
            <w:tcW w:w="5018" w:type="dxa"/>
            <w:noWrap/>
            <w:hideMark/>
          </w:tcPr>
          <w:p w14:paraId="7DB13408" w14:textId="77777777" w:rsidR="00681E39" w:rsidRPr="00681E39" w:rsidRDefault="00681E39">
            <w:pPr>
              <w:pStyle w:val="Tabele"/>
              <w:rPr>
                <w:color w:val="auto"/>
                <w:lang w:eastAsia="pl-PL"/>
              </w:rPr>
            </w:pPr>
            <w:r w:rsidRPr="00681E39">
              <w:rPr>
                <w:color w:val="auto"/>
                <w:lang w:eastAsia="pl-PL"/>
              </w:rPr>
              <w:t>Elektrownie biomasowe</w:t>
            </w:r>
          </w:p>
        </w:tc>
        <w:tc>
          <w:tcPr>
            <w:tcW w:w="855" w:type="dxa"/>
            <w:shd w:val="clear" w:color="auto" w:fill="C5E0B3"/>
            <w:noWrap/>
            <w:hideMark/>
          </w:tcPr>
          <w:p w14:paraId="1226074D" w14:textId="77777777" w:rsidR="00681E39" w:rsidRPr="00681E39" w:rsidRDefault="00681E39">
            <w:pPr>
              <w:pStyle w:val="Tabele"/>
              <w:jc w:val="right"/>
              <w:rPr>
                <w:color w:val="auto"/>
                <w:lang w:eastAsia="pl-PL"/>
              </w:rPr>
            </w:pPr>
            <w:r w:rsidRPr="00681E39">
              <w:rPr>
                <w:color w:val="auto"/>
              </w:rPr>
              <w:t>120</w:t>
            </w:r>
          </w:p>
        </w:tc>
        <w:tc>
          <w:tcPr>
            <w:tcW w:w="855" w:type="dxa"/>
            <w:shd w:val="clear" w:color="auto" w:fill="C5E0B3"/>
            <w:noWrap/>
            <w:hideMark/>
          </w:tcPr>
          <w:p w14:paraId="57F2DA21" w14:textId="77777777" w:rsidR="00681E39" w:rsidRPr="00681E39" w:rsidRDefault="00681E39">
            <w:pPr>
              <w:pStyle w:val="Tabele"/>
              <w:jc w:val="right"/>
              <w:rPr>
                <w:color w:val="auto"/>
                <w:lang w:eastAsia="pl-PL"/>
              </w:rPr>
            </w:pPr>
            <w:r w:rsidRPr="00681E39">
              <w:rPr>
                <w:color w:val="auto"/>
              </w:rPr>
              <w:t>508</w:t>
            </w:r>
          </w:p>
        </w:tc>
        <w:tc>
          <w:tcPr>
            <w:tcW w:w="855" w:type="dxa"/>
            <w:shd w:val="clear" w:color="auto" w:fill="C5E0B3"/>
            <w:noWrap/>
            <w:hideMark/>
          </w:tcPr>
          <w:p w14:paraId="1AA716EE" w14:textId="77777777" w:rsidR="00681E39" w:rsidRPr="00681E39" w:rsidRDefault="00681E39">
            <w:pPr>
              <w:pStyle w:val="Tabele"/>
              <w:jc w:val="right"/>
              <w:rPr>
                <w:color w:val="auto"/>
                <w:lang w:eastAsia="pl-PL"/>
              </w:rPr>
            </w:pPr>
            <w:r w:rsidRPr="00681E39">
              <w:rPr>
                <w:color w:val="auto"/>
              </w:rPr>
              <w:t>776</w:t>
            </w:r>
          </w:p>
        </w:tc>
        <w:tc>
          <w:tcPr>
            <w:tcW w:w="855" w:type="dxa"/>
            <w:shd w:val="clear" w:color="auto" w:fill="C5E0B3"/>
            <w:noWrap/>
            <w:hideMark/>
          </w:tcPr>
          <w:p w14:paraId="1727745E" w14:textId="77777777" w:rsidR="00681E39" w:rsidRPr="00681E39" w:rsidRDefault="00681E39">
            <w:pPr>
              <w:pStyle w:val="Tabele"/>
              <w:jc w:val="right"/>
              <w:rPr>
                <w:color w:val="auto"/>
                <w:lang w:eastAsia="pl-PL"/>
              </w:rPr>
            </w:pPr>
            <w:r w:rsidRPr="00681E39">
              <w:rPr>
                <w:color w:val="auto"/>
              </w:rPr>
              <w:t>596</w:t>
            </w:r>
          </w:p>
        </w:tc>
        <w:tc>
          <w:tcPr>
            <w:tcW w:w="855" w:type="dxa"/>
            <w:noWrap/>
            <w:hideMark/>
          </w:tcPr>
          <w:p w14:paraId="5FA7EDB3" w14:textId="77777777" w:rsidR="00681E39" w:rsidRPr="00681E39" w:rsidRDefault="00681E39">
            <w:pPr>
              <w:pStyle w:val="Tabele"/>
              <w:jc w:val="right"/>
              <w:rPr>
                <w:color w:val="auto"/>
                <w:lang w:eastAsia="pl-PL"/>
              </w:rPr>
            </w:pPr>
            <w:r w:rsidRPr="00681E39">
              <w:rPr>
                <w:rFonts w:cs="Arial"/>
                <w:color w:val="auto"/>
                <w:szCs w:val="16"/>
              </w:rPr>
              <w:t>532</w:t>
            </w:r>
          </w:p>
        </w:tc>
        <w:tc>
          <w:tcPr>
            <w:tcW w:w="855" w:type="dxa"/>
            <w:noWrap/>
            <w:hideMark/>
          </w:tcPr>
          <w:p w14:paraId="4856C4AB" w14:textId="77777777" w:rsidR="00681E39" w:rsidRPr="00681E39" w:rsidRDefault="00681E39">
            <w:pPr>
              <w:pStyle w:val="Tabele"/>
              <w:jc w:val="right"/>
              <w:rPr>
                <w:color w:val="auto"/>
                <w:lang w:eastAsia="pl-PL"/>
              </w:rPr>
            </w:pPr>
            <w:r w:rsidRPr="00681E39">
              <w:rPr>
                <w:rFonts w:cs="Arial"/>
                <w:color w:val="auto"/>
                <w:szCs w:val="16"/>
              </w:rPr>
              <w:t>486</w:t>
            </w:r>
          </w:p>
        </w:tc>
        <w:tc>
          <w:tcPr>
            <w:tcW w:w="855" w:type="dxa"/>
            <w:noWrap/>
            <w:hideMark/>
          </w:tcPr>
          <w:p w14:paraId="43C3A964" w14:textId="77777777" w:rsidR="00681E39" w:rsidRPr="00681E39" w:rsidRDefault="00681E39">
            <w:pPr>
              <w:pStyle w:val="Tabele"/>
              <w:jc w:val="right"/>
              <w:rPr>
                <w:color w:val="auto"/>
                <w:lang w:eastAsia="pl-PL"/>
              </w:rPr>
            </w:pPr>
            <w:r w:rsidRPr="00681E39">
              <w:rPr>
                <w:rFonts w:cs="Arial"/>
                <w:color w:val="auto"/>
                <w:szCs w:val="16"/>
              </w:rPr>
              <w:t>386</w:t>
            </w:r>
          </w:p>
        </w:tc>
        <w:tc>
          <w:tcPr>
            <w:tcW w:w="855" w:type="dxa"/>
            <w:noWrap/>
            <w:hideMark/>
          </w:tcPr>
          <w:p w14:paraId="44462FEE" w14:textId="77777777" w:rsidR="00681E39" w:rsidRPr="00681E39" w:rsidRDefault="00681E39">
            <w:pPr>
              <w:pStyle w:val="Tabele"/>
              <w:jc w:val="right"/>
              <w:rPr>
                <w:color w:val="auto"/>
                <w:lang w:eastAsia="pl-PL"/>
              </w:rPr>
            </w:pPr>
            <w:r w:rsidRPr="00681E39">
              <w:rPr>
                <w:rFonts w:cs="Arial"/>
                <w:color w:val="auto"/>
                <w:szCs w:val="16"/>
              </w:rPr>
              <w:t>350</w:t>
            </w:r>
          </w:p>
        </w:tc>
      </w:tr>
      <w:tr w:rsidR="00870665" w:rsidRPr="00A82E2A" w14:paraId="1F625973" w14:textId="77777777" w:rsidTr="00913C31">
        <w:trPr>
          <w:trHeight w:val="216"/>
        </w:trPr>
        <w:tc>
          <w:tcPr>
            <w:tcW w:w="2289" w:type="dxa"/>
            <w:vMerge/>
            <w:hideMark/>
          </w:tcPr>
          <w:p w14:paraId="3BCE182E" w14:textId="77777777" w:rsidR="00681E39" w:rsidRPr="00681E39" w:rsidRDefault="00681E39">
            <w:pPr>
              <w:pStyle w:val="Tabele"/>
              <w:rPr>
                <w:b/>
                <w:bCs/>
                <w:color w:val="auto"/>
                <w:lang w:eastAsia="pl-PL"/>
              </w:rPr>
            </w:pPr>
          </w:p>
        </w:tc>
        <w:tc>
          <w:tcPr>
            <w:tcW w:w="5018" w:type="dxa"/>
            <w:noWrap/>
            <w:hideMark/>
          </w:tcPr>
          <w:p w14:paraId="6C8275CC" w14:textId="77777777" w:rsidR="00681E39" w:rsidRPr="00681E39" w:rsidRDefault="00681E39">
            <w:pPr>
              <w:pStyle w:val="Tabele"/>
              <w:rPr>
                <w:color w:val="auto"/>
                <w:lang w:eastAsia="pl-PL"/>
              </w:rPr>
            </w:pPr>
            <w:r w:rsidRPr="00681E39">
              <w:rPr>
                <w:color w:val="auto"/>
                <w:lang w:eastAsia="pl-PL"/>
              </w:rPr>
              <w:t>Elektrownie geotermalne</w:t>
            </w:r>
          </w:p>
        </w:tc>
        <w:tc>
          <w:tcPr>
            <w:tcW w:w="855" w:type="dxa"/>
            <w:shd w:val="clear" w:color="auto" w:fill="C5E0B3"/>
            <w:noWrap/>
            <w:hideMark/>
          </w:tcPr>
          <w:p w14:paraId="63EE1230" w14:textId="77777777" w:rsidR="00681E39" w:rsidRPr="00681E39" w:rsidRDefault="00681E39">
            <w:pPr>
              <w:pStyle w:val="Tabele"/>
              <w:jc w:val="right"/>
              <w:rPr>
                <w:color w:val="auto"/>
                <w:lang w:eastAsia="pl-PL"/>
              </w:rPr>
            </w:pPr>
            <w:r w:rsidRPr="00681E39">
              <w:rPr>
                <w:color w:val="auto"/>
              </w:rPr>
              <w:t>0</w:t>
            </w:r>
          </w:p>
        </w:tc>
        <w:tc>
          <w:tcPr>
            <w:tcW w:w="855" w:type="dxa"/>
            <w:shd w:val="clear" w:color="auto" w:fill="C5E0B3"/>
            <w:noWrap/>
            <w:hideMark/>
          </w:tcPr>
          <w:p w14:paraId="3F3C97AD" w14:textId="77777777" w:rsidR="00681E39" w:rsidRPr="00681E39" w:rsidRDefault="00681E39">
            <w:pPr>
              <w:pStyle w:val="Tabele"/>
              <w:jc w:val="right"/>
              <w:rPr>
                <w:color w:val="auto"/>
                <w:lang w:eastAsia="pl-PL"/>
              </w:rPr>
            </w:pPr>
            <w:r w:rsidRPr="00681E39">
              <w:rPr>
                <w:color w:val="auto"/>
              </w:rPr>
              <w:t>0</w:t>
            </w:r>
          </w:p>
        </w:tc>
        <w:tc>
          <w:tcPr>
            <w:tcW w:w="855" w:type="dxa"/>
            <w:shd w:val="clear" w:color="auto" w:fill="C5E0B3"/>
            <w:noWrap/>
            <w:hideMark/>
          </w:tcPr>
          <w:p w14:paraId="12939254" w14:textId="77777777" w:rsidR="00681E39" w:rsidRPr="00681E39" w:rsidRDefault="00681E39">
            <w:pPr>
              <w:pStyle w:val="Tabele"/>
              <w:jc w:val="right"/>
              <w:rPr>
                <w:color w:val="auto"/>
                <w:lang w:eastAsia="pl-PL"/>
              </w:rPr>
            </w:pPr>
            <w:r w:rsidRPr="00681E39">
              <w:rPr>
                <w:color w:val="auto"/>
              </w:rPr>
              <w:t>0</w:t>
            </w:r>
          </w:p>
        </w:tc>
        <w:tc>
          <w:tcPr>
            <w:tcW w:w="855" w:type="dxa"/>
            <w:shd w:val="clear" w:color="auto" w:fill="C5E0B3"/>
            <w:noWrap/>
            <w:hideMark/>
          </w:tcPr>
          <w:p w14:paraId="4261691F" w14:textId="77777777" w:rsidR="00681E39" w:rsidRPr="00681E39" w:rsidRDefault="00681E39">
            <w:pPr>
              <w:pStyle w:val="Tabele"/>
              <w:jc w:val="right"/>
              <w:rPr>
                <w:color w:val="auto"/>
                <w:lang w:eastAsia="pl-PL"/>
              </w:rPr>
            </w:pPr>
            <w:r w:rsidRPr="00681E39">
              <w:rPr>
                <w:color w:val="auto"/>
              </w:rPr>
              <w:t>0</w:t>
            </w:r>
          </w:p>
        </w:tc>
        <w:tc>
          <w:tcPr>
            <w:tcW w:w="855" w:type="dxa"/>
            <w:noWrap/>
            <w:hideMark/>
          </w:tcPr>
          <w:p w14:paraId="2E0AA47A" w14:textId="77777777" w:rsidR="00681E39" w:rsidRPr="00681E39" w:rsidRDefault="00681E39">
            <w:pPr>
              <w:pStyle w:val="Tabele"/>
              <w:jc w:val="right"/>
              <w:rPr>
                <w:color w:val="auto"/>
                <w:lang w:eastAsia="pl-PL"/>
              </w:rPr>
            </w:pPr>
            <w:r w:rsidRPr="00681E39">
              <w:rPr>
                <w:rFonts w:cs="Arial"/>
                <w:color w:val="auto"/>
                <w:szCs w:val="16"/>
              </w:rPr>
              <w:t>0</w:t>
            </w:r>
          </w:p>
        </w:tc>
        <w:tc>
          <w:tcPr>
            <w:tcW w:w="855" w:type="dxa"/>
            <w:noWrap/>
            <w:hideMark/>
          </w:tcPr>
          <w:p w14:paraId="6954AA78" w14:textId="77777777" w:rsidR="00681E39" w:rsidRPr="00681E39" w:rsidRDefault="00681E39">
            <w:pPr>
              <w:pStyle w:val="Tabele"/>
              <w:jc w:val="right"/>
              <w:rPr>
                <w:color w:val="auto"/>
                <w:lang w:eastAsia="pl-PL"/>
              </w:rPr>
            </w:pPr>
            <w:r w:rsidRPr="00681E39">
              <w:rPr>
                <w:rFonts w:cs="Arial"/>
                <w:color w:val="auto"/>
                <w:szCs w:val="16"/>
              </w:rPr>
              <w:t>0</w:t>
            </w:r>
          </w:p>
        </w:tc>
        <w:tc>
          <w:tcPr>
            <w:tcW w:w="855" w:type="dxa"/>
            <w:noWrap/>
            <w:hideMark/>
          </w:tcPr>
          <w:p w14:paraId="701CA8BD" w14:textId="77777777" w:rsidR="00681E39" w:rsidRPr="00681E39" w:rsidRDefault="00681E39">
            <w:pPr>
              <w:pStyle w:val="Tabele"/>
              <w:jc w:val="right"/>
              <w:rPr>
                <w:color w:val="auto"/>
                <w:lang w:eastAsia="pl-PL"/>
              </w:rPr>
            </w:pPr>
            <w:r w:rsidRPr="00681E39">
              <w:rPr>
                <w:rFonts w:cs="Arial"/>
                <w:color w:val="auto"/>
                <w:szCs w:val="16"/>
              </w:rPr>
              <w:t>0</w:t>
            </w:r>
          </w:p>
        </w:tc>
        <w:tc>
          <w:tcPr>
            <w:tcW w:w="855" w:type="dxa"/>
            <w:noWrap/>
            <w:hideMark/>
          </w:tcPr>
          <w:p w14:paraId="16825120" w14:textId="77777777" w:rsidR="00681E39" w:rsidRPr="00681E39" w:rsidRDefault="00681E39">
            <w:pPr>
              <w:pStyle w:val="Tabele"/>
              <w:jc w:val="right"/>
              <w:rPr>
                <w:color w:val="auto"/>
                <w:lang w:eastAsia="pl-PL"/>
              </w:rPr>
            </w:pPr>
            <w:r w:rsidRPr="00681E39">
              <w:rPr>
                <w:rFonts w:cs="Arial"/>
                <w:color w:val="auto"/>
                <w:szCs w:val="16"/>
              </w:rPr>
              <w:t>0</w:t>
            </w:r>
          </w:p>
        </w:tc>
      </w:tr>
      <w:tr w:rsidR="00870665" w:rsidRPr="00A82E2A" w14:paraId="617EFAAD" w14:textId="77777777" w:rsidTr="00913C31">
        <w:trPr>
          <w:trHeight w:val="216"/>
        </w:trPr>
        <w:tc>
          <w:tcPr>
            <w:tcW w:w="2289" w:type="dxa"/>
            <w:vMerge/>
            <w:hideMark/>
          </w:tcPr>
          <w:p w14:paraId="1B0E5A5C" w14:textId="77777777" w:rsidR="00AC2A66" w:rsidRPr="00681E39" w:rsidRDefault="00AC2A66" w:rsidP="00AC2A66">
            <w:pPr>
              <w:pStyle w:val="Tabele"/>
              <w:rPr>
                <w:b/>
                <w:bCs/>
                <w:color w:val="auto"/>
                <w:lang w:eastAsia="pl-PL"/>
              </w:rPr>
            </w:pPr>
          </w:p>
        </w:tc>
        <w:tc>
          <w:tcPr>
            <w:tcW w:w="5018" w:type="dxa"/>
            <w:noWrap/>
            <w:hideMark/>
          </w:tcPr>
          <w:p w14:paraId="10AD3D23" w14:textId="61CA8BA1" w:rsidR="00AC2A66" w:rsidRPr="00681E39" w:rsidRDefault="00AC2A66" w:rsidP="00AC2A66">
            <w:pPr>
              <w:pStyle w:val="Tabele"/>
              <w:rPr>
                <w:color w:val="auto"/>
                <w:lang w:eastAsia="pl-PL"/>
              </w:rPr>
            </w:pPr>
            <w:r w:rsidRPr="00681E39">
              <w:rPr>
                <w:color w:val="auto"/>
                <w:lang w:eastAsia="pl-PL"/>
              </w:rPr>
              <w:t xml:space="preserve">Elektrownie na </w:t>
            </w:r>
            <w:r w:rsidR="009D6130">
              <w:rPr>
                <w:color w:val="auto"/>
                <w:lang w:eastAsia="pl-PL"/>
              </w:rPr>
              <w:t>gazy odnawialne (</w:t>
            </w:r>
            <w:r>
              <w:rPr>
                <w:color w:val="auto"/>
                <w:lang w:eastAsia="pl-PL"/>
              </w:rPr>
              <w:t>biometan</w:t>
            </w:r>
            <w:r w:rsidR="009D6130">
              <w:rPr>
                <w:color w:val="auto"/>
                <w:lang w:eastAsia="pl-PL"/>
              </w:rPr>
              <w:t>/biogaz/wodór)</w:t>
            </w:r>
          </w:p>
        </w:tc>
        <w:tc>
          <w:tcPr>
            <w:tcW w:w="855" w:type="dxa"/>
            <w:shd w:val="clear" w:color="auto" w:fill="C5E0B3"/>
            <w:noWrap/>
            <w:hideMark/>
          </w:tcPr>
          <w:p w14:paraId="610F26A7" w14:textId="41920206" w:rsidR="00AC2A66" w:rsidRPr="00681E39" w:rsidRDefault="00AC2A66" w:rsidP="00AC2A66">
            <w:pPr>
              <w:pStyle w:val="Tabele"/>
              <w:jc w:val="right"/>
              <w:rPr>
                <w:color w:val="auto"/>
                <w:lang w:eastAsia="pl-PL"/>
              </w:rPr>
            </w:pPr>
            <w:r w:rsidRPr="00681E39">
              <w:rPr>
                <w:color w:val="auto"/>
              </w:rPr>
              <w:t>10</w:t>
            </w:r>
          </w:p>
        </w:tc>
        <w:tc>
          <w:tcPr>
            <w:tcW w:w="855" w:type="dxa"/>
            <w:shd w:val="clear" w:color="auto" w:fill="C5E0B3"/>
            <w:noWrap/>
            <w:hideMark/>
          </w:tcPr>
          <w:p w14:paraId="1D4AC4B0" w14:textId="3C038202" w:rsidR="00AC2A66" w:rsidRPr="00681E39" w:rsidRDefault="00AC2A66" w:rsidP="00AC2A66">
            <w:pPr>
              <w:pStyle w:val="Tabele"/>
              <w:jc w:val="right"/>
              <w:rPr>
                <w:color w:val="auto"/>
                <w:lang w:eastAsia="pl-PL"/>
              </w:rPr>
            </w:pPr>
            <w:r w:rsidRPr="00681E39">
              <w:rPr>
                <w:color w:val="auto"/>
              </w:rPr>
              <w:t>34</w:t>
            </w:r>
          </w:p>
        </w:tc>
        <w:tc>
          <w:tcPr>
            <w:tcW w:w="855" w:type="dxa"/>
            <w:shd w:val="clear" w:color="auto" w:fill="C5E0B3"/>
            <w:noWrap/>
            <w:hideMark/>
          </w:tcPr>
          <w:p w14:paraId="58685C9E" w14:textId="183C95D9" w:rsidR="00AC2A66" w:rsidRPr="00681E39" w:rsidRDefault="00AC2A66" w:rsidP="00AC2A66">
            <w:pPr>
              <w:pStyle w:val="Tabele"/>
              <w:jc w:val="right"/>
              <w:rPr>
                <w:color w:val="auto"/>
                <w:lang w:eastAsia="pl-PL"/>
              </w:rPr>
            </w:pPr>
            <w:r w:rsidRPr="00681E39">
              <w:rPr>
                <w:color w:val="auto"/>
              </w:rPr>
              <w:t>78</w:t>
            </w:r>
          </w:p>
        </w:tc>
        <w:tc>
          <w:tcPr>
            <w:tcW w:w="855" w:type="dxa"/>
            <w:shd w:val="clear" w:color="auto" w:fill="C5E0B3"/>
            <w:noWrap/>
            <w:hideMark/>
          </w:tcPr>
          <w:p w14:paraId="36B5FA95" w14:textId="1F1CE9B7" w:rsidR="00AC2A66" w:rsidRPr="00681E39" w:rsidRDefault="00AC2A66" w:rsidP="00AC2A66">
            <w:pPr>
              <w:pStyle w:val="Tabele"/>
              <w:jc w:val="right"/>
              <w:rPr>
                <w:color w:val="auto"/>
                <w:lang w:eastAsia="pl-PL"/>
              </w:rPr>
            </w:pPr>
            <w:r w:rsidRPr="00681E39">
              <w:rPr>
                <w:color w:val="auto"/>
              </w:rPr>
              <w:t>106</w:t>
            </w:r>
          </w:p>
        </w:tc>
        <w:tc>
          <w:tcPr>
            <w:tcW w:w="855" w:type="dxa"/>
            <w:noWrap/>
            <w:hideMark/>
          </w:tcPr>
          <w:p w14:paraId="7E5AF028" w14:textId="0DE250F8" w:rsidR="00AC2A66" w:rsidRPr="00681E39" w:rsidRDefault="00AC2A66" w:rsidP="00AC2A66">
            <w:pPr>
              <w:pStyle w:val="Tabele"/>
              <w:jc w:val="right"/>
              <w:rPr>
                <w:color w:val="auto"/>
                <w:lang w:eastAsia="pl-PL"/>
              </w:rPr>
            </w:pPr>
            <w:r w:rsidRPr="00681E39">
              <w:rPr>
                <w:rFonts w:cs="Arial"/>
                <w:color w:val="auto"/>
                <w:szCs w:val="16"/>
              </w:rPr>
              <w:t>179</w:t>
            </w:r>
          </w:p>
        </w:tc>
        <w:tc>
          <w:tcPr>
            <w:tcW w:w="855" w:type="dxa"/>
            <w:noWrap/>
            <w:hideMark/>
          </w:tcPr>
          <w:p w14:paraId="01BC1A0F" w14:textId="0CF760EC" w:rsidR="00AC2A66" w:rsidRPr="00681E39" w:rsidRDefault="00AC2A66" w:rsidP="00AC2A66">
            <w:pPr>
              <w:pStyle w:val="Tabele"/>
              <w:jc w:val="right"/>
              <w:rPr>
                <w:color w:val="auto"/>
                <w:lang w:eastAsia="pl-PL"/>
              </w:rPr>
            </w:pPr>
            <w:r w:rsidRPr="00681E39">
              <w:rPr>
                <w:rFonts w:cs="Arial"/>
                <w:color w:val="auto"/>
                <w:szCs w:val="16"/>
              </w:rPr>
              <w:t>250</w:t>
            </w:r>
          </w:p>
        </w:tc>
        <w:tc>
          <w:tcPr>
            <w:tcW w:w="855" w:type="dxa"/>
            <w:noWrap/>
            <w:hideMark/>
          </w:tcPr>
          <w:p w14:paraId="284057BD" w14:textId="2C3AC010" w:rsidR="00AC2A66" w:rsidRPr="00681E39" w:rsidRDefault="0028644F" w:rsidP="00AC2A66">
            <w:pPr>
              <w:pStyle w:val="Tabele"/>
              <w:jc w:val="right"/>
              <w:rPr>
                <w:color w:val="auto"/>
                <w:lang w:eastAsia="pl-PL"/>
              </w:rPr>
            </w:pPr>
            <w:r>
              <w:rPr>
                <w:rFonts w:cs="Arial"/>
                <w:color w:val="auto"/>
                <w:szCs w:val="16"/>
              </w:rPr>
              <w:t>384</w:t>
            </w:r>
          </w:p>
        </w:tc>
        <w:tc>
          <w:tcPr>
            <w:tcW w:w="855" w:type="dxa"/>
            <w:noWrap/>
            <w:hideMark/>
          </w:tcPr>
          <w:p w14:paraId="4772C088" w14:textId="2152AB2E" w:rsidR="00AC2A66" w:rsidRPr="00681E39" w:rsidRDefault="00AC2A66" w:rsidP="00AC2A66">
            <w:pPr>
              <w:pStyle w:val="Tabele"/>
              <w:jc w:val="right"/>
              <w:rPr>
                <w:color w:val="auto"/>
                <w:lang w:eastAsia="pl-PL"/>
              </w:rPr>
            </w:pPr>
            <w:r w:rsidRPr="00681E39">
              <w:rPr>
                <w:rFonts w:cs="Arial"/>
                <w:color w:val="auto"/>
                <w:szCs w:val="16"/>
              </w:rPr>
              <w:t xml:space="preserve">1 </w:t>
            </w:r>
            <w:r w:rsidR="003608AD">
              <w:rPr>
                <w:rFonts w:cs="Arial"/>
                <w:color w:val="auto"/>
                <w:szCs w:val="16"/>
              </w:rPr>
              <w:t>479</w:t>
            </w:r>
          </w:p>
        </w:tc>
      </w:tr>
      <w:tr w:rsidR="00870665" w:rsidRPr="00A82E2A" w14:paraId="24762909" w14:textId="77777777" w:rsidTr="00913C31">
        <w:trPr>
          <w:trHeight w:val="216"/>
        </w:trPr>
        <w:tc>
          <w:tcPr>
            <w:tcW w:w="2289" w:type="dxa"/>
            <w:vMerge/>
            <w:hideMark/>
          </w:tcPr>
          <w:p w14:paraId="5F639F47" w14:textId="77777777" w:rsidR="00681E39" w:rsidRPr="00681E39" w:rsidRDefault="00681E39">
            <w:pPr>
              <w:pStyle w:val="Tabele"/>
              <w:rPr>
                <w:b/>
                <w:bCs/>
                <w:color w:val="auto"/>
                <w:lang w:eastAsia="pl-PL"/>
              </w:rPr>
            </w:pPr>
          </w:p>
        </w:tc>
        <w:tc>
          <w:tcPr>
            <w:tcW w:w="5018" w:type="dxa"/>
            <w:noWrap/>
            <w:hideMark/>
          </w:tcPr>
          <w:p w14:paraId="0BE25E3B" w14:textId="4C74BD17" w:rsidR="00681E39" w:rsidRPr="00681E39" w:rsidRDefault="00D56D40">
            <w:pPr>
              <w:pStyle w:val="Tabele"/>
              <w:rPr>
                <w:color w:val="auto"/>
                <w:lang w:eastAsia="pl-PL"/>
              </w:rPr>
            </w:pPr>
            <w:r w:rsidRPr="544B5BC3">
              <w:rPr>
                <w:color w:val="auto"/>
                <w:lang w:eastAsia="pl-PL"/>
              </w:rPr>
              <w:t xml:space="preserve">Odnawialne odpady komunalne </w:t>
            </w:r>
            <w:r w:rsidR="00D576EA">
              <w:rPr>
                <w:color w:val="auto"/>
                <w:lang w:eastAsia="pl-PL"/>
              </w:rPr>
              <w:t>(frakcja BIO)</w:t>
            </w:r>
          </w:p>
        </w:tc>
        <w:tc>
          <w:tcPr>
            <w:tcW w:w="855" w:type="dxa"/>
            <w:shd w:val="clear" w:color="auto" w:fill="C5E0B3"/>
            <w:noWrap/>
            <w:hideMark/>
          </w:tcPr>
          <w:p w14:paraId="0645C572" w14:textId="77777777" w:rsidR="00681E39" w:rsidRPr="00681E39" w:rsidRDefault="00681E39">
            <w:pPr>
              <w:pStyle w:val="Tabele"/>
              <w:jc w:val="right"/>
              <w:rPr>
                <w:color w:val="auto"/>
                <w:lang w:eastAsia="pl-PL"/>
              </w:rPr>
            </w:pPr>
            <w:r w:rsidRPr="00681E39">
              <w:rPr>
                <w:color w:val="auto"/>
              </w:rPr>
              <w:t>0</w:t>
            </w:r>
          </w:p>
        </w:tc>
        <w:tc>
          <w:tcPr>
            <w:tcW w:w="855" w:type="dxa"/>
            <w:shd w:val="clear" w:color="auto" w:fill="C5E0B3"/>
            <w:noWrap/>
            <w:hideMark/>
          </w:tcPr>
          <w:p w14:paraId="3DB448E2" w14:textId="77777777" w:rsidR="00681E39" w:rsidRPr="00681E39" w:rsidRDefault="00681E39">
            <w:pPr>
              <w:pStyle w:val="Tabele"/>
              <w:jc w:val="right"/>
              <w:rPr>
                <w:color w:val="auto"/>
                <w:lang w:eastAsia="pl-PL"/>
              </w:rPr>
            </w:pPr>
            <w:r w:rsidRPr="00681E39">
              <w:rPr>
                <w:color w:val="auto"/>
              </w:rPr>
              <w:t>0</w:t>
            </w:r>
          </w:p>
        </w:tc>
        <w:tc>
          <w:tcPr>
            <w:tcW w:w="855" w:type="dxa"/>
            <w:shd w:val="clear" w:color="auto" w:fill="C5E0B3"/>
            <w:noWrap/>
            <w:hideMark/>
          </w:tcPr>
          <w:p w14:paraId="485CCEDB" w14:textId="77777777" w:rsidR="00681E39" w:rsidRPr="00681E39" w:rsidRDefault="00681E39">
            <w:pPr>
              <w:pStyle w:val="Tabele"/>
              <w:jc w:val="right"/>
              <w:rPr>
                <w:color w:val="auto"/>
                <w:lang w:eastAsia="pl-PL"/>
              </w:rPr>
            </w:pPr>
            <w:r w:rsidRPr="00681E39">
              <w:rPr>
                <w:color w:val="auto"/>
              </w:rPr>
              <w:t>0</w:t>
            </w:r>
          </w:p>
        </w:tc>
        <w:tc>
          <w:tcPr>
            <w:tcW w:w="855" w:type="dxa"/>
            <w:shd w:val="clear" w:color="auto" w:fill="C5E0B3"/>
            <w:noWrap/>
            <w:hideMark/>
          </w:tcPr>
          <w:p w14:paraId="2B788FB6" w14:textId="77777777" w:rsidR="00681E39" w:rsidRPr="00681E39" w:rsidRDefault="00681E39">
            <w:pPr>
              <w:pStyle w:val="Tabele"/>
              <w:jc w:val="right"/>
              <w:rPr>
                <w:color w:val="auto"/>
                <w:lang w:eastAsia="pl-PL"/>
              </w:rPr>
            </w:pPr>
            <w:r w:rsidRPr="00681E39">
              <w:rPr>
                <w:color w:val="auto"/>
              </w:rPr>
              <w:t>16</w:t>
            </w:r>
          </w:p>
        </w:tc>
        <w:tc>
          <w:tcPr>
            <w:tcW w:w="855" w:type="dxa"/>
            <w:noWrap/>
            <w:hideMark/>
          </w:tcPr>
          <w:p w14:paraId="4B2DFF06" w14:textId="77777777" w:rsidR="00681E39" w:rsidRPr="00681E39" w:rsidRDefault="00681E39">
            <w:pPr>
              <w:pStyle w:val="Tabele"/>
              <w:jc w:val="right"/>
              <w:rPr>
                <w:color w:val="auto"/>
                <w:lang w:eastAsia="pl-PL"/>
              </w:rPr>
            </w:pPr>
            <w:r w:rsidRPr="00681E39">
              <w:rPr>
                <w:rFonts w:cs="Arial"/>
                <w:color w:val="auto"/>
                <w:szCs w:val="16"/>
              </w:rPr>
              <w:t>26</w:t>
            </w:r>
          </w:p>
        </w:tc>
        <w:tc>
          <w:tcPr>
            <w:tcW w:w="855" w:type="dxa"/>
            <w:noWrap/>
            <w:hideMark/>
          </w:tcPr>
          <w:p w14:paraId="3E9D7514" w14:textId="77777777" w:rsidR="00681E39" w:rsidRPr="00681E39" w:rsidRDefault="00681E39">
            <w:pPr>
              <w:pStyle w:val="Tabele"/>
              <w:jc w:val="right"/>
              <w:rPr>
                <w:color w:val="auto"/>
                <w:lang w:eastAsia="pl-PL"/>
              </w:rPr>
            </w:pPr>
            <w:r w:rsidRPr="00681E39">
              <w:rPr>
                <w:rFonts w:cs="Arial"/>
                <w:color w:val="auto"/>
                <w:szCs w:val="16"/>
              </w:rPr>
              <w:t>32</w:t>
            </w:r>
          </w:p>
        </w:tc>
        <w:tc>
          <w:tcPr>
            <w:tcW w:w="855" w:type="dxa"/>
            <w:noWrap/>
            <w:hideMark/>
          </w:tcPr>
          <w:p w14:paraId="39A14952" w14:textId="77777777" w:rsidR="00681E39" w:rsidRPr="00681E39" w:rsidRDefault="00681E39">
            <w:pPr>
              <w:pStyle w:val="Tabele"/>
              <w:jc w:val="right"/>
              <w:rPr>
                <w:color w:val="auto"/>
                <w:lang w:eastAsia="pl-PL"/>
              </w:rPr>
            </w:pPr>
            <w:r w:rsidRPr="00681E39">
              <w:rPr>
                <w:rFonts w:cs="Arial"/>
                <w:color w:val="auto"/>
                <w:szCs w:val="16"/>
              </w:rPr>
              <w:t>32</w:t>
            </w:r>
          </w:p>
        </w:tc>
        <w:tc>
          <w:tcPr>
            <w:tcW w:w="855" w:type="dxa"/>
            <w:noWrap/>
            <w:hideMark/>
          </w:tcPr>
          <w:p w14:paraId="7B86AC72" w14:textId="77777777" w:rsidR="00681E39" w:rsidRPr="00681E39" w:rsidRDefault="00681E39">
            <w:pPr>
              <w:pStyle w:val="Tabele"/>
              <w:jc w:val="right"/>
              <w:rPr>
                <w:color w:val="auto"/>
                <w:lang w:eastAsia="pl-PL"/>
              </w:rPr>
            </w:pPr>
            <w:r w:rsidRPr="00681E39">
              <w:rPr>
                <w:rFonts w:cs="Arial"/>
                <w:color w:val="auto"/>
                <w:szCs w:val="16"/>
              </w:rPr>
              <w:t>28</w:t>
            </w:r>
          </w:p>
        </w:tc>
      </w:tr>
      <w:tr w:rsidR="00870665" w:rsidRPr="00A82E2A" w14:paraId="0E78E4DD" w14:textId="77777777" w:rsidTr="00913C31">
        <w:trPr>
          <w:trHeight w:val="216"/>
        </w:trPr>
        <w:tc>
          <w:tcPr>
            <w:tcW w:w="2289" w:type="dxa"/>
            <w:vMerge w:val="restart"/>
            <w:hideMark/>
          </w:tcPr>
          <w:p w14:paraId="6410F2B8" w14:textId="77777777" w:rsidR="00681E39" w:rsidRPr="00681E39" w:rsidRDefault="00681E39">
            <w:pPr>
              <w:pStyle w:val="Tabele"/>
              <w:rPr>
                <w:b/>
                <w:bCs/>
                <w:color w:val="auto"/>
                <w:lang w:eastAsia="pl-PL"/>
              </w:rPr>
            </w:pPr>
            <w:r w:rsidRPr="00681E39">
              <w:rPr>
                <w:b/>
                <w:bCs/>
                <w:color w:val="auto"/>
                <w:lang w:eastAsia="pl-PL"/>
              </w:rPr>
              <w:t xml:space="preserve">Udział poszczególnych rodzajów technologii w zużyciu energii z OZE w elektroenergetyce </w:t>
            </w:r>
          </w:p>
        </w:tc>
        <w:tc>
          <w:tcPr>
            <w:tcW w:w="5018" w:type="dxa"/>
            <w:noWrap/>
            <w:hideMark/>
          </w:tcPr>
          <w:p w14:paraId="793C5C60" w14:textId="77777777" w:rsidR="00681E39" w:rsidRPr="00681E39" w:rsidRDefault="00681E39">
            <w:pPr>
              <w:pStyle w:val="Tabele"/>
              <w:rPr>
                <w:color w:val="auto"/>
                <w:lang w:eastAsia="pl-PL"/>
              </w:rPr>
            </w:pPr>
            <w:r w:rsidRPr="00681E39">
              <w:rPr>
                <w:color w:val="auto"/>
                <w:lang w:eastAsia="pl-PL"/>
              </w:rPr>
              <w:t xml:space="preserve">Elektrownie wodne </w:t>
            </w:r>
          </w:p>
        </w:tc>
        <w:tc>
          <w:tcPr>
            <w:tcW w:w="855" w:type="dxa"/>
            <w:shd w:val="clear" w:color="auto" w:fill="C5E0B3"/>
            <w:noWrap/>
            <w:hideMark/>
          </w:tcPr>
          <w:p w14:paraId="1BB0BF6B" w14:textId="77777777" w:rsidR="00681E39" w:rsidRPr="00681E39" w:rsidRDefault="00681E39">
            <w:pPr>
              <w:pStyle w:val="Tabele"/>
              <w:jc w:val="right"/>
              <w:rPr>
                <w:color w:val="auto"/>
                <w:lang w:eastAsia="pl-PL"/>
              </w:rPr>
            </w:pPr>
            <w:r w:rsidRPr="00681E39">
              <w:rPr>
                <w:color w:val="auto"/>
              </w:rPr>
              <w:t>52,7%</w:t>
            </w:r>
          </w:p>
        </w:tc>
        <w:tc>
          <w:tcPr>
            <w:tcW w:w="855" w:type="dxa"/>
            <w:shd w:val="clear" w:color="auto" w:fill="C5E0B3"/>
            <w:noWrap/>
            <w:hideMark/>
          </w:tcPr>
          <w:p w14:paraId="66AC3F1D" w14:textId="77777777" w:rsidR="00681E39" w:rsidRPr="00681E39" w:rsidRDefault="00681E39">
            <w:pPr>
              <w:pStyle w:val="Tabele"/>
              <w:jc w:val="right"/>
              <w:rPr>
                <w:color w:val="auto"/>
                <w:lang w:eastAsia="pl-PL"/>
              </w:rPr>
            </w:pPr>
            <w:r w:rsidRPr="00681E39">
              <w:rPr>
                <w:color w:val="auto"/>
              </w:rPr>
              <w:t>21,6%</w:t>
            </w:r>
          </w:p>
        </w:tc>
        <w:tc>
          <w:tcPr>
            <w:tcW w:w="855" w:type="dxa"/>
            <w:shd w:val="clear" w:color="auto" w:fill="C5E0B3"/>
            <w:noWrap/>
            <w:hideMark/>
          </w:tcPr>
          <w:p w14:paraId="78FE342B" w14:textId="77777777" w:rsidR="00681E39" w:rsidRPr="00681E39" w:rsidRDefault="00681E39">
            <w:pPr>
              <w:pStyle w:val="Tabele"/>
              <w:jc w:val="right"/>
              <w:rPr>
                <w:color w:val="auto"/>
                <w:lang w:eastAsia="pl-PL"/>
              </w:rPr>
            </w:pPr>
            <w:r w:rsidRPr="00681E39">
              <w:rPr>
                <w:color w:val="auto"/>
              </w:rPr>
              <w:t>10,5%</w:t>
            </w:r>
          </w:p>
        </w:tc>
        <w:tc>
          <w:tcPr>
            <w:tcW w:w="855" w:type="dxa"/>
            <w:shd w:val="clear" w:color="auto" w:fill="C5E0B3"/>
            <w:noWrap/>
            <w:hideMark/>
          </w:tcPr>
          <w:p w14:paraId="4B244065" w14:textId="77777777" w:rsidR="00681E39" w:rsidRPr="00681E39" w:rsidRDefault="00681E39">
            <w:pPr>
              <w:pStyle w:val="Tabele"/>
              <w:jc w:val="right"/>
              <w:rPr>
                <w:color w:val="auto"/>
                <w:lang w:eastAsia="pl-PL"/>
              </w:rPr>
            </w:pPr>
            <w:r w:rsidRPr="00681E39">
              <w:rPr>
                <w:color w:val="auto"/>
              </w:rPr>
              <w:t>8,4%</w:t>
            </w:r>
          </w:p>
        </w:tc>
        <w:tc>
          <w:tcPr>
            <w:tcW w:w="855" w:type="dxa"/>
            <w:noWrap/>
            <w:hideMark/>
          </w:tcPr>
          <w:p w14:paraId="48C73663" w14:textId="77777777" w:rsidR="00681E39" w:rsidRPr="00681E39" w:rsidRDefault="00681E39">
            <w:pPr>
              <w:pStyle w:val="Tabele"/>
              <w:jc w:val="right"/>
              <w:rPr>
                <w:color w:val="auto"/>
                <w:lang w:eastAsia="pl-PL"/>
              </w:rPr>
            </w:pPr>
            <w:r w:rsidRPr="00681E39">
              <w:rPr>
                <w:rFonts w:cs="Arial"/>
                <w:color w:val="auto"/>
                <w:szCs w:val="16"/>
              </w:rPr>
              <w:t>4,7%</w:t>
            </w:r>
          </w:p>
        </w:tc>
        <w:tc>
          <w:tcPr>
            <w:tcW w:w="855" w:type="dxa"/>
            <w:noWrap/>
            <w:hideMark/>
          </w:tcPr>
          <w:p w14:paraId="1D7E49AF" w14:textId="77777777" w:rsidR="00681E39" w:rsidRPr="00681E39" w:rsidRDefault="00681E39">
            <w:pPr>
              <w:pStyle w:val="Tabele"/>
              <w:jc w:val="right"/>
              <w:rPr>
                <w:color w:val="auto"/>
                <w:lang w:eastAsia="pl-PL"/>
              </w:rPr>
            </w:pPr>
            <w:r w:rsidRPr="00681E39">
              <w:rPr>
                <w:rFonts w:cs="Arial"/>
                <w:color w:val="auto"/>
                <w:szCs w:val="16"/>
              </w:rPr>
              <w:t>2,9%</w:t>
            </w:r>
          </w:p>
        </w:tc>
        <w:tc>
          <w:tcPr>
            <w:tcW w:w="855" w:type="dxa"/>
            <w:noWrap/>
            <w:hideMark/>
          </w:tcPr>
          <w:p w14:paraId="10DD90A0" w14:textId="77777777" w:rsidR="00681E39" w:rsidRPr="00681E39" w:rsidRDefault="00681E39">
            <w:pPr>
              <w:pStyle w:val="Tabele"/>
              <w:jc w:val="right"/>
              <w:rPr>
                <w:color w:val="auto"/>
                <w:lang w:eastAsia="pl-PL"/>
              </w:rPr>
            </w:pPr>
            <w:r w:rsidRPr="00681E39">
              <w:rPr>
                <w:rFonts w:cs="Arial"/>
                <w:color w:val="auto"/>
                <w:szCs w:val="16"/>
              </w:rPr>
              <w:t>1,8%</w:t>
            </w:r>
          </w:p>
        </w:tc>
        <w:tc>
          <w:tcPr>
            <w:tcW w:w="855" w:type="dxa"/>
            <w:noWrap/>
            <w:hideMark/>
          </w:tcPr>
          <w:p w14:paraId="1F01F9A2" w14:textId="77777777" w:rsidR="00681E39" w:rsidRPr="00681E39" w:rsidRDefault="00681E39">
            <w:pPr>
              <w:pStyle w:val="Tabele"/>
              <w:jc w:val="right"/>
              <w:rPr>
                <w:color w:val="auto"/>
                <w:lang w:eastAsia="pl-PL"/>
              </w:rPr>
            </w:pPr>
            <w:r w:rsidRPr="00681E39">
              <w:rPr>
                <w:rFonts w:cs="Arial"/>
                <w:color w:val="auto"/>
                <w:szCs w:val="16"/>
              </w:rPr>
              <w:t>1,3%</w:t>
            </w:r>
          </w:p>
        </w:tc>
      </w:tr>
      <w:tr w:rsidR="00870665" w:rsidRPr="00A82E2A" w14:paraId="52C47135" w14:textId="77777777" w:rsidTr="00913C31">
        <w:trPr>
          <w:trHeight w:val="216"/>
        </w:trPr>
        <w:tc>
          <w:tcPr>
            <w:tcW w:w="2289" w:type="dxa"/>
            <w:vMerge/>
            <w:hideMark/>
          </w:tcPr>
          <w:p w14:paraId="4EF0B8DE" w14:textId="77777777" w:rsidR="00681E39" w:rsidRPr="00681E39" w:rsidRDefault="00681E39">
            <w:pPr>
              <w:pStyle w:val="Tabele"/>
              <w:rPr>
                <w:color w:val="auto"/>
                <w:lang w:eastAsia="pl-PL"/>
              </w:rPr>
            </w:pPr>
          </w:p>
        </w:tc>
        <w:tc>
          <w:tcPr>
            <w:tcW w:w="5018" w:type="dxa"/>
            <w:noWrap/>
            <w:hideMark/>
          </w:tcPr>
          <w:p w14:paraId="03F0FA8A" w14:textId="77777777" w:rsidR="00681E39" w:rsidRPr="00681E39" w:rsidRDefault="00681E39">
            <w:pPr>
              <w:pStyle w:val="Tabele"/>
              <w:rPr>
                <w:color w:val="auto"/>
                <w:lang w:eastAsia="pl-PL"/>
              </w:rPr>
            </w:pPr>
            <w:r w:rsidRPr="00681E39">
              <w:rPr>
                <w:color w:val="auto"/>
                <w:lang w:eastAsia="pl-PL"/>
              </w:rPr>
              <w:t>Elektrownie wiatrowe</w:t>
            </w:r>
          </w:p>
        </w:tc>
        <w:tc>
          <w:tcPr>
            <w:tcW w:w="855" w:type="dxa"/>
            <w:shd w:val="clear" w:color="auto" w:fill="C5E0B3"/>
            <w:noWrap/>
            <w:hideMark/>
          </w:tcPr>
          <w:p w14:paraId="4EC82419" w14:textId="77777777" w:rsidR="00681E39" w:rsidRPr="00681E39" w:rsidRDefault="00681E39">
            <w:pPr>
              <w:pStyle w:val="Tabele"/>
              <w:jc w:val="right"/>
              <w:rPr>
                <w:color w:val="auto"/>
                <w:lang w:eastAsia="pl-PL"/>
              </w:rPr>
            </w:pPr>
            <w:r w:rsidRPr="00681E39">
              <w:rPr>
                <w:color w:val="auto"/>
              </w:rPr>
              <w:t>5,5%</w:t>
            </w:r>
          </w:p>
        </w:tc>
        <w:tc>
          <w:tcPr>
            <w:tcW w:w="855" w:type="dxa"/>
            <w:shd w:val="clear" w:color="auto" w:fill="C5E0B3"/>
            <w:noWrap/>
            <w:hideMark/>
          </w:tcPr>
          <w:p w14:paraId="6F1DB41D" w14:textId="77777777" w:rsidR="00681E39" w:rsidRPr="00681E39" w:rsidRDefault="00681E39">
            <w:pPr>
              <w:pStyle w:val="Tabele"/>
              <w:jc w:val="right"/>
              <w:rPr>
                <w:color w:val="auto"/>
                <w:lang w:eastAsia="pl-PL"/>
              </w:rPr>
            </w:pPr>
            <w:r w:rsidRPr="00681E39">
              <w:rPr>
                <w:color w:val="auto"/>
              </w:rPr>
              <w:t>16,6%</w:t>
            </w:r>
          </w:p>
        </w:tc>
        <w:tc>
          <w:tcPr>
            <w:tcW w:w="855" w:type="dxa"/>
            <w:shd w:val="clear" w:color="auto" w:fill="C5E0B3"/>
            <w:noWrap/>
            <w:hideMark/>
          </w:tcPr>
          <w:p w14:paraId="61939EFD" w14:textId="77777777" w:rsidR="00681E39" w:rsidRPr="00681E39" w:rsidRDefault="00681E39">
            <w:pPr>
              <w:pStyle w:val="Tabele"/>
              <w:jc w:val="right"/>
              <w:rPr>
                <w:color w:val="auto"/>
                <w:lang w:eastAsia="pl-PL"/>
              </w:rPr>
            </w:pPr>
            <w:r w:rsidRPr="00681E39">
              <w:rPr>
                <w:color w:val="auto"/>
              </w:rPr>
              <w:t>44,1%</w:t>
            </w:r>
          </w:p>
        </w:tc>
        <w:tc>
          <w:tcPr>
            <w:tcW w:w="855" w:type="dxa"/>
            <w:shd w:val="clear" w:color="auto" w:fill="C5E0B3"/>
            <w:noWrap/>
            <w:hideMark/>
          </w:tcPr>
          <w:p w14:paraId="774743D2" w14:textId="77777777" w:rsidR="00681E39" w:rsidRPr="00681E39" w:rsidRDefault="00681E39">
            <w:pPr>
              <w:pStyle w:val="Tabele"/>
              <w:jc w:val="right"/>
              <w:rPr>
                <w:color w:val="auto"/>
                <w:lang w:eastAsia="pl-PL"/>
              </w:rPr>
            </w:pPr>
            <w:r w:rsidRPr="00681E39">
              <w:rPr>
                <w:color w:val="auto"/>
              </w:rPr>
              <w:t>54,4%</w:t>
            </w:r>
          </w:p>
        </w:tc>
        <w:tc>
          <w:tcPr>
            <w:tcW w:w="855" w:type="dxa"/>
            <w:noWrap/>
            <w:hideMark/>
          </w:tcPr>
          <w:p w14:paraId="0401CF6C" w14:textId="77777777" w:rsidR="00681E39" w:rsidRPr="00681E39" w:rsidRDefault="00681E39">
            <w:pPr>
              <w:pStyle w:val="Tabele"/>
              <w:jc w:val="right"/>
              <w:rPr>
                <w:color w:val="auto"/>
                <w:lang w:eastAsia="pl-PL"/>
              </w:rPr>
            </w:pPr>
            <w:r w:rsidRPr="00681E39">
              <w:rPr>
                <w:rFonts w:cs="Arial"/>
                <w:color w:val="auto"/>
                <w:szCs w:val="16"/>
              </w:rPr>
              <w:t>49,6%</w:t>
            </w:r>
          </w:p>
        </w:tc>
        <w:tc>
          <w:tcPr>
            <w:tcW w:w="855" w:type="dxa"/>
            <w:noWrap/>
            <w:hideMark/>
          </w:tcPr>
          <w:p w14:paraId="547F06B9" w14:textId="77777777" w:rsidR="00681E39" w:rsidRPr="00681E39" w:rsidRDefault="00681E39">
            <w:pPr>
              <w:pStyle w:val="Tabele"/>
              <w:jc w:val="right"/>
              <w:rPr>
                <w:color w:val="auto"/>
                <w:lang w:eastAsia="pl-PL"/>
              </w:rPr>
            </w:pPr>
            <w:r w:rsidRPr="00681E39">
              <w:rPr>
                <w:rFonts w:cs="Arial"/>
                <w:color w:val="auto"/>
                <w:szCs w:val="16"/>
              </w:rPr>
              <w:t>61,9%</w:t>
            </w:r>
          </w:p>
        </w:tc>
        <w:tc>
          <w:tcPr>
            <w:tcW w:w="855" w:type="dxa"/>
            <w:noWrap/>
            <w:hideMark/>
          </w:tcPr>
          <w:p w14:paraId="2831D2A8" w14:textId="77777777" w:rsidR="00681E39" w:rsidRPr="00681E39" w:rsidRDefault="00681E39">
            <w:pPr>
              <w:pStyle w:val="Tabele"/>
              <w:jc w:val="right"/>
              <w:rPr>
                <w:color w:val="auto"/>
                <w:lang w:eastAsia="pl-PL"/>
              </w:rPr>
            </w:pPr>
            <w:r w:rsidRPr="00681E39">
              <w:rPr>
                <w:rFonts w:cs="Arial"/>
                <w:color w:val="auto"/>
                <w:szCs w:val="16"/>
              </w:rPr>
              <w:t>70,7%</w:t>
            </w:r>
          </w:p>
        </w:tc>
        <w:tc>
          <w:tcPr>
            <w:tcW w:w="855" w:type="dxa"/>
            <w:noWrap/>
            <w:hideMark/>
          </w:tcPr>
          <w:p w14:paraId="1A6B3CA4" w14:textId="77777777" w:rsidR="00681E39" w:rsidRPr="00681E39" w:rsidRDefault="00681E39">
            <w:pPr>
              <w:pStyle w:val="Tabele"/>
              <w:jc w:val="right"/>
              <w:rPr>
                <w:color w:val="auto"/>
                <w:lang w:eastAsia="pl-PL"/>
              </w:rPr>
            </w:pPr>
            <w:r w:rsidRPr="00681E39">
              <w:rPr>
                <w:rFonts w:cs="Arial"/>
                <w:color w:val="auto"/>
                <w:szCs w:val="16"/>
              </w:rPr>
              <w:t>68,8%</w:t>
            </w:r>
          </w:p>
        </w:tc>
      </w:tr>
      <w:tr w:rsidR="00870665" w:rsidRPr="00A82E2A" w14:paraId="22DFD679" w14:textId="77777777" w:rsidTr="00913C31">
        <w:trPr>
          <w:trHeight w:val="216"/>
        </w:trPr>
        <w:tc>
          <w:tcPr>
            <w:tcW w:w="2289" w:type="dxa"/>
            <w:vMerge/>
            <w:hideMark/>
          </w:tcPr>
          <w:p w14:paraId="5537E820" w14:textId="77777777" w:rsidR="00681E39" w:rsidRPr="00681E39" w:rsidRDefault="00681E39">
            <w:pPr>
              <w:pStyle w:val="Tabele"/>
              <w:rPr>
                <w:color w:val="auto"/>
                <w:lang w:eastAsia="pl-PL"/>
              </w:rPr>
            </w:pPr>
          </w:p>
        </w:tc>
        <w:tc>
          <w:tcPr>
            <w:tcW w:w="5018" w:type="dxa"/>
            <w:noWrap/>
            <w:hideMark/>
          </w:tcPr>
          <w:p w14:paraId="5CD106B7" w14:textId="77777777" w:rsidR="00681E39" w:rsidRPr="00681E39" w:rsidRDefault="00681E39">
            <w:pPr>
              <w:pStyle w:val="Tabele"/>
              <w:rPr>
                <w:color w:val="auto"/>
                <w:lang w:eastAsia="pl-PL"/>
              </w:rPr>
            </w:pPr>
            <w:r w:rsidRPr="00681E39">
              <w:rPr>
                <w:color w:val="auto"/>
                <w:lang w:eastAsia="pl-PL"/>
              </w:rPr>
              <w:t>Elektrownie fotowoltaiczne</w:t>
            </w:r>
          </w:p>
        </w:tc>
        <w:tc>
          <w:tcPr>
            <w:tcW w:w="855" w:type="dxa"/>
            <w:shd w:val="clear" w:color="auto" w:fill="C5E0B3"/>
            <w:noWrap/>
            <w:hideMark/>
          </w:tcPr>
          <w:p w14:paraId="59FB7451" w14:textId="77777777" w:rsidR="00681E39" w:rsidRPr="00681E39" w:rsidRDefault="00681E39">
            <w:pPr>
              <w:pStyle w:val="Tabele"/>
              <w:jc w:val="right"/>
              <w:rPr>
                <w:color w:val="auto"/>
                <w:lang w:eastAsia="pl-PL"/>
              </w:rPr>
            </w:pPr>
            <w:r w:rsidRPr="00681E39">
              <w:rPr>
                <w:color w:val="auto"/>
              </w:rPr>
              <w:t>0,0%</w:t>
            </w:r>
          </w:p>
        </w:tc>
        <w:tc>
          <w:tcPr>
            <w:tcW w:w="855" w:type="dxa"/>
            <w:shd w:val="clear" w:color="auto" w:fill="C5E0B3"/>
            <w:noWrap/>
            <w:hideMark/>
          </w:tcPr>
          <w:p w14:paraId="1EAA3F77" w14:textId="77777777" w:rsidR="00681E39" w:rsidRPr="00681E39" w:rsidRDefault="00681E39">
            <w:pPr>
              <w:pStyle w:val="Tabele"/>
              <w:jc w:val="right"/>
              <w:rPr>
                <w:color w:val="auto"/>
                <w:lang w:eastAsia="pl-PL"/>
              </w:rPr>
            </w:pPr>
            <w:r w:rsidRPr="00681E39">
              <w:rPr>
                <w:color w:val="auto"/>
              </w:rPr>
              <w:t>0,0%</w:t>
            </w:r>
          </w:p>
        </w:tc>
        <w:tc>
          <w:tcPr>
            <w:tcW w:w="855" w:type="dxa"/>
            <w:shd w:val="clear" w:color="auto" w:fill="C5E0B3"/>
            <w:noWrap/>
            <w:hideMark/>
          </w:tcPr>
          <w:p w14:paraId="04516B43" w14:textId="77777777" w:rsidR="00681E39" w:rsidRPr="00681E39" w:rsidRDefault="00681E39">
            <w:pPr>
              <w:pStyle w:val="Tabele"/>
              <w:jc w:val="right"/>
              <w:rPr>
                <w:color w:val="auto"/>
                <w:lang w:eastAsia="pl-PL"/>
              </w:rPr>
            </w:pPr>
            <w:r w:rsidRPr="00681E39">
              <w:rPr>
                <w:color w:val="auto"/>
              </w:rPr>
              <w:t>0,3%</w:t>
            </w:r>
          </w:p>
        </w:tc>
        <w:tc>
          <w:tcPr>
            <w:tcW w:w="855" w:type="dxa"/>
            <w:shd w:val="clear" w:color="auto" w:fill="C5E0B3"/>
            <w:noWrap/>
            <w:hideMark/>
          </w:tcPr>
          <w:p w14:paraId="428C9134" w14:textId="77777777" w:rsidR="00681E39" w:rsidRPr="00681E39" w:rsidRDefault="00681E39">
            <w:pPr>
              <w:pStyle w:val="Tabele"/>
              <w:jc w:val="right"/>
              <w:rPr>
                <w:color w:val="auto"/>
                <w:lang w:eastAsia="pl-PL"/>
              </w:rPr>
            </w:pPr>
            <w:r w:rsidRPr="00681E39">
              <w:rPr>
                <w:color w:val="auto"/>
              </w:rPr>
              <w:t>7,1%</w:t>
            </w:r>
          </w:p>
        </w:tc>
        <w:tc>
          <w:tcPr>
            <w:tcW w:w="855" w:type="dxa"/>
            <w:noWrap/>
            <w:hideMark/>
          </w:tcPr>
          <w:p w14:paraId="25AB43A5" w14:textId="77777777" w:rsidR="00681E39" w:rsidRPr="00681E39" w:rsidRDefault="00681E39">
            <w:pPr>
              <w:pStyle w:val="Tabele"/>
              <w:jc w:val="right"/>
              <w:rPr>
                <w:color w:val="auto"/>
                <w:lang w:eastAsia="pl-PL"/>
              </w:rPr>
            </w:pPr>
            <w:r w:rsidRPr="00681E39">
              <w:rPr>
                <w:rFonts w:cs="Arial"/>
                <w:color w:val="auto"/>
                <w:szCs w:val="16"/>
              </w:rPr>
              <w:t>30,2%</w:t>
            </w:r>
          </w:p>
        </w:tc>
        <w:tc>
          <w:tcPr>
            <w:tcW w:w="855" w:type="dxa"/>
            <w:noWrap/>
            <w:hideMark/>
          </w:tcPr>
          <w:p w14:paraId="364EDCEB" w14:textId="77777777" w:rsidR="00681E39" w:rsidRPr="00681E39" w:rsidRDefault="00681E39">
            <w:pPr>
              <w:pStyle w:val="Tabele"/>
              <w:jc w:val="right"/>
              <w:rPr>
                <w:color w:val="auto"/>
                <w:lang w:eastAsia="pl-PL"/>
              </w:rPr>
            </w:pPr>
            <w:r w:rsidRPr="00681E39">
              <w:rPr>
                <w:rFonts w:cs="Arial"/>
                <w:color w:val="auto"/>
                <w:szCs w:val="16"/>
              </w:rPr>
              <w:t>26,3%</w:t>
            </w:r>
          </w:p>
        </w:tc>
        <w:tc>
          <w:tcPr>
            <w:tcW w:w="855" w:type="dxa"/>
            <w:noWrap/>
            <w:hideMark/>
          </w:tcPr>
          <w:p w14:paraId="0A7E0442" w14:textId="77777777" w:rsidR="00681E39" w:rsidRPr="00681E39" w:rsidRDefault="00681E39">
            <w:pPr>
              <w:pStyle w:val="Tabele"/>
              <w:jc w:val="right"/>
              <w:rPr>
                <w:color w:val="auto"/>
                <w:lang w:eastAsia="pl-PL"/>
              </w:rPr>
            </w:pPr>
            <w:r w:rsidRPr="00681E39">
              <w:rPr>
                <w:rFonts w:cs="Arial"/>
                <w:color w:val="auto"/>
                <w:szCs w:val="16"/>
              </w:rPr>
              <w:t>21,9%</w:t>
            </w:r>
          </w:p>
        </w:tc>
        <w:tc>
          <w:tcPr>
            <w:tcW w:w="855" w:type="dxa"/>
            <w:noWrap/>
            <w:hideMark/>
          </w:tcPr>
          <w:p w14:paraId="1F760622" w14:textId="77777777" w:rsidR="00681E39" w:rsidRPr="00681E39" w:rsidRDefault="00681E39">
            <w:pPr>
              <w:pStyle w:val="Tabele"/>
              <w:jc w:val="right"/>
              <w:rPr>
                <w:color w:val="auto"/>
                <w:lang w:eastAsia="pl-PL"/>
              </w:rPr>
            </w:pPr>
            <w:r w:rsidRPr="00681E39">
              <w:rPr>
                <w:rFonts w:cs="Arial"/>
                <w:color w:val="auto"/>
                <w:szCs w:val="16"/>
              </w:rPr>
              <w:t>20,4%</w:t>
            </w:r>
          </w:p>
        </w:tc>
      </w:tr>
      <w:tr w:rsidR="00870665" w:rsidRPr="00A82E2A" w14:paraId="1376DEDB" w14:textId="77777777" w:rsidTr="00913C31">
        <w:trPr>
          <w:trHeight w:val="216"/>
        </w:trPr>
        <w:tc>
          <w:tcPr>
            <w:tcW w:w="2289" w:type="dxa"/>
            <w:vMerge/>
            <w:hideMark/>
          </w:tcPr>
          <w:p w14:paraId="00339935" w14:textId="77777777" w:rsidR="00681E39" w:rsidRPr="00681E39" w:rsidRDefault="00681E39">
            <w:pPr>
              <w:pStyle w:val="Tabele"/>
              <w:rPr>
                <w:color w:val="auto"/>
                <w:lang w:eastAsia="pl-PL"/>
              </w:rPr>
            </w:pPr>
          </w:p>
        </w:tc>
        <w:tc>
          <w:tcPr>
            <w:tcW w:w="5018" w:type="dxa"/>
            <w:noWrap/>
            <w:hideMark/>
          </w:tcPr>
          <w:p w14:paraId="56893109" w14:textId="77777777" w:rsidR="00681E39" w:rsidRPr="00681E39" w:rsidRDefault="00681E39">
            <w:pPr>
              <w:pStyle w:val="Tabele"/>
              <w:rPr>
                <w:color w:val="auto"/>
                <w:lang w:eastAsia="pl-PL"/>
              </w:rPr>
            </w:pPr>
            <w:r w:rsidRPr="00681E39">
              <w:rPr>
                <w:color w:val="auto"/>
                <w:lang w:eastAsia="pl-PL"/>
              </w:rPr>
              <w:t>Elektrownie biomasowe</w:t>
            </w:r>
          </w:p>
        </w:tc>
        <w:tc>
          <w:tcPr>
            <w:tcW w:w="855" w:type="dxa"/>
            <w:shd w:val="clear" w:color="auto" w:fill="C5E0B3"/>
            <w:noWrap/>
            <w:hideMark/>
          </w:tcPr>
          <w:p w14:paraId="682B1B9B" w14:textId="77777777" w:rsidR="00681E39" w:rsidRPr="00681E39" w:rsidRDefault="00681E39">
            <w:pPr>
              <w:pStyle w:val="Tabele"/>
              <w:jc w:val="right"/>
              <w:rPr>
                <w:color w:val="auto"/>
                <w:lang w:eastAsia="pl-PL"/>
              </w:rPr>
            </w:pPr>
            <w:r w:rsidRPr="00681E39">
              <w:rPr>
                <w:color w:val="auto"/>
              </w:rPr>
              <w:t>38,6%</w:t>
            </w:r>
          </w:p>
        </w:tc>
        <w:tc>
          <w:tcPr>
            <w:tcW w:w="855" w:type="dxa"/>
            <w:shd w:val="clear" w:color="auto" w:fill="C5E0B3"/>
            <w:noWrap/>
            <w:hideMark/>
          </w:tcPr>
          <w:p w14:paraId="58CF02C4" w14:textId="77777777" w:rsidR="00681E39" w:rsidRPr="00681E39" w:rsidRDefault="00681E39">
            <w:pPr>
              <w:pStyle w:val="Tabele"/>
              <w:jc w:val="right"/>
              <w:rPr>
                <w:color w:val="auto"/>
                <w:lang w:eastAsia="pl-PL"/>
              </w:rPr>
            </w:pPr>
            <w:r w:rsidRPr="00681E39">
              <w:rPr>
                <w:color w:val="auto"/>
              </w:rPr>
              <w:t>57,9%</w:t>
            </w:r>
          </w:p>
        </w:tc>
        <w:tc>
          <w:tcPr>
            <w:tcW w:w="855" w:type="dxa"/>
            <w:shd w:val="clear" w:color="auto" w:fill="C5E0B3"/>
            <w:noWrap/>
            <w:hideMark/>
          </w:tcPr>
          <w:p w14:paraId="18AA03E7" w14:textId="77777777" w:rsidR="00681E39" w:rsidRPr="00681E39" w:rsidRDefault="00681E39">
            <w:pPr>
              <w:pStyle w:val="Tabele"/>
              <w:jc w:val="right"/>
              <w:rPr>
                <w:color w:val="auto"/>
                <w:lang w:eastAsia="pl-PL"/>
              </w:rPr>
            </w:pPr>
            <w:r w:rsidRPr="00681E39">
              <w:rPr>
                <w:color w:val="auto"/>
              </w:rPr>
              <w:t>41,1%</w:t>
            </w:r>
          </w:p>
        </w:tc>
        <w:tc>
          <w:tcPr>
            <w:tcW w:w="855" w:type="dxa"/>
            <w:shd w:val="clear" w:color="auto" w:fill="C5E0B3"/>
            <w:noWrap/>
            <w:hideMark/>
          </w:tcPr>
          <w:p w14:paraId="4D648192" w14:textId="77777777" w:rsidR="00681E39" w:rsidRPr="00681E39" w:rsidRDefault="00681E39">
            <w:pPr>
              <w:pStyle w:val="Tabele"/>
              <w:jc w:val="right"/>
              <w:rPr>
                <w:color w:val="auto"/>
                <w:lang w:eastAsia="pl-PL"/>
              </w:rPr>
            </w:pPr>
            <w:r w:rsidRPr="00681E39">
              <w:rPr>
                <w:color w:val="auto"/>
              </w:rPr>
              <w:t>25,0%</w:t>
            </w:r>
          </w:p>
        </w:tc>
        <w:tc>
          <w:tcPr>
            <w:tcW w:w="855" w:type="dxa"/>
            <w:noWrap/>
            <w:hideMark/>
          </w:tcPr>
          <w:p w14:paraId="23CB90E9" w14:textId="77777777" w:rsidR="00681E39" w:rsidRPr="00681E39" w:rsidRDefault="00681E39">
            <w:pPr>
              <w:pStyle w:val="Tabele"/>
              <w:jc w:val="right"/>
              <w:rPr>
                <w:color w:val="auto"/>
                <w:lang w:eastAsia="pl-PL"/>
              </w:rPr>
            </w:pPr>
            <w:r w:rsidRPr="00681E39">
              <w:rPr>
                <w:rFonts w:cs="Arial"/>
                <w:color w:val="auto"/>
                <w:szCs w:val="16"/>
              </w:rPr>
              <w:t>11,2%</w:t>
            </w:r>
          </w:p>
        </w:tc>
        <w:tc>
          <w:tcPr>
            <w:tcW w:w="855" w:type="dxa"/>
            <w:noWrap/>
            <w:hideMark/>
          </w:tcPr>
          <w:p w14:paraId="53831070" w14:textId="77777777" w:rsidR="00681E39" w:rsidRPr="00681E39" w:rsidRDefault="00681E39">
            <w:pPr>
              <w:pStyle w:val="Tabele"/>
              <w:jc w:val="right"/>
              <w:rPr>
                <w:color w:val="auto"/>
                <w:lang w:eastAsia="pl-PL"/>
              </w:rPr>
            </w:pPr>
            <w:r w:rsidRPr="00681E39">
              <w:rPr>
                <w:rFonts w:cs="Arial"/>
                <w:color w:val="auto"/>
                <w:szCs w:val="16"/>
              </w:rPr>
              <w:t>5,6%</w:t>
            </w:r>
          </w:p>
        </w:tc>
        <w:tc>
          <w:tcPr>
            <w:tcW w:w="855" w:type="dxa"/>
            <w:noWrap/>
            <w:hideMark/>
          </w:tcPr>
          <w:p w14:paraId="661A71B3" w14:textId="77777777" w:rsidR="00681E39" w:rsidRPr="00681E39" w:rsidRDefault="00681E39">
            <w:pPr>
              <w:pStyle w:val="Tabele"/>
              <w:jc w:val="right"/>
              <w:rPr>
                <w:color w:val="auto"/>
                <w:lang w:eastAsia="pl-PL"/>
              </w:rPr>
            </w:pPr>
            <w:r w:rsidRPr="00681E39">
              <w:rPr>
                <w:rFonts w:cs="Arial"/>
                <w:color w:val="auto"/>
                <w:szCs w:val="16"/>
              </w:rPr>
              <w:t>2,7%</w:t>
            </w:r>
          </w:p>
        </w:tc>
        <w:tc>
          <w:tcPr>
            <w:tcW w:w="855" w:type="dxa"/>
            <w:noWrap/>
            <w:hideMark/>
          </w:tcPr>
          <w:p w14:paraId="1F88D824" w14:textId="77777777" w:rsidR="00681E39" w:rsidRPr="00681E39" w:rsidRDefault="00681E39">
            <w:pPr>
              <w:pStyle w:val="Tabele"/>
              <w:jc w:val="right"/>
              <w:rPr>
                <w:color w:val="auto"/>
                <w:lang w:eastAsia="pl-PL"/>
              </w:rPr>
            </w:pPr>
            <w:r w:rsidRPr="00681E39">
              <w:rPr>
                <w:rFonts w:cs="Arial"/>
                <w:color w:val="auto"/>
                <w:szCs w:val="16"/>
              </w:rPr>
              <w:t>1,8%</w:t>
            </w:r>
          </w:p>
        </w:tc>
      </w:tr>
      <w:tr w:rsidR="00870665" w:rsidRPr="00A82E2A" w14:paraId="569E5FF0" w14:textId="77777777" w:rsidTr="00913C31">
        <w:trPr>
          <w:trHeight w:val="216"/>
        </w:trPr>
        <w:tc>
          <w:tcPr>
            <w:tcW w:w="2289" w:type="dxa"/>
            <w:vMerge/>
            <w:hideMark/>
          </w:tcPr>
          <w:p w14:paraId="18BBAC08" w14:textId="77777777" w:rsidR="00681E39" w:rsidRPr="00681E39" w:rsidRDefault="00681E39">
            <w:pPr>
              <w:pStyle w:val="Tabele"/>
              <w:rPr>
                <w:color w:val="auto"/>
                <w:lang w:eastAsia="pl-PL"/>
              </w:rPr>
            </w:pPr>
          </w:p>
        </w:tc>
        <w:tc>
          <w:tcPr>
            <w:tcW w:w="5018" w:type="dxa"/>
            <w:noWrap/>
            <w:hideMark/>
          </w:tcPr>
          <w:p w14:paraId="72C37FAD" w14:textId="77777777" w:rsidR="00681E39" w:rsidRPr="00681E39" w:rsidRDefault="00681E39">
            <w:pPr>
              <w:pStyle w:val="Tabele"/>
              <w:rPr>
                <w:color w:val="auto"/>
                <w:lang w:eastAsia="pl-PL"/>
              </w:rPr>
            </w:pPr>
            <w:r w:rsidRPr="00681E39">
              <w:rPr>
                <w:color w:val="auto"/>
                <w:lang w:eastAsia="pl-PL"/>
              </w:rPr>
              <w:t>Elektrownie geotermalne</w:t>
            </w:r>
          </w:p>
        </w:tc>
        <w:tc>
          <w:tcPr>
            <w:tcW w:w="855" w:type="dxa"/>
            <w:shd w:val="clear" w:color="auto" w:fill="C5E0B3"/>
            <w:noWrap/>
            <w:hideMark/>
          </w:tcPr>
          <w:p w14:paraId="510608B5" w14:textId="77777777" w:rsidR="00681E39" w:rsidRPr="00681E39" w:rsidRDefault="00681E39">
            <w:pPr>
              <w:pStyle w:val="Tabele"/>
              <w:jc w:val="right"/>
              <w:rPr>
                <w:color w:val="auto"/>
                <w:lang w:eastAsia="pl-PL"/>
              </w:rPr>
            </w:pPr>
            <w:r w:rsidRPr="00681E39">
              <w:rPr>
                <w:color w:val="auto"/>
              </w:rPr>
              <w:t>0,0%</w:t>
            </w:r>
          </w:p>
        </w:tc>
        <w:tc>
          <w:tcPr>
            <w:tcW w:w="855" w:type="dxa"/>
            <w:shd w:val="clear" w:color="auto" w:fill="C5E0B3"/>
            <w:noWrap/>
            <w:hideMark/>
          </w:tcPr>
          <w:p w14:paraId="6F88E124" w14:textId="77777777" w:rsidR="00681E39" w:rsidRPr="00681E39" w:rsidRDefault="00681E39">
            <w:pPr>
              <w:pStyle w:val="Tabele"/>
              <w:jc w:val="right"/>
              <w:rPr>
                <w:color w:val="auto"/>
                <w:lang w:eastAsia="pl-PL"/>
              </w:rPr>
            </w:pPr>
            <w:r w:rsidRPr="00681E39">
              <w:rPr>
                <w:color w:val="auto"/>
              </w:rPr>
              <w:t>0,0%</w:t>
            </w:r>
          </w:p>
        </w:tc>
        <w:tc>
          <w:tcPr>
            <w:tcW w:w="855" w:type="dxa"/>
            <w:shd w:val="clear" w:color="auto" w:fill="C5E0B3"/>
            <w:noWrap/>
            <w:hideMark/>
          </w:tcPr>
          <w:p w14:paraId="713216AA" w14:textId="77777777" w:rsidR="00681E39" w:rsidRPr="00681E39" w:rsidRDefault="00681E39">
            <w:pPr>
              <w:pStyle w:val="Tabele"/>
              <w:jc w:val="right"/>
              <w:rPr>
                <w:color w:val="auto"/>
                <w:lang w:eastAsia="pl-PL"/>
              </w:rPr>
            </w:pPr>
            <w:r w:rsidRPr="00681E39">
              <w:rPr>
                <w:color w:val="auto"/>
              </w:rPr>
              <w:t>0,0%</w:t>
            </w:r>
          </w:p>
        </w:tc>
        <w:tc>
          <w:tcPr>
            <w:tcW w:w="855" w:type="dxa"/>
            <w:shd w:val="clear" w:color="auto" w:fill="C5E0B3"/>
            <w:noWrap/>
            <w:hideMark/>
          </w:tcPr>
          <w:p w14:paraId="299C69E0" w14:textId="77777777" w:rsidR="00681E39" w:rsidRPr="00681E39" w:rsidRDefault="00681E39">
            <w:pPr>
              <w:pStyle w:val="Tabele"/>
              <w:jc w:val="right"/>
              <w:rPr>
                <w:color w:val="auto"/>
                <w:lang w:eastAsia="pl-PL"/>
              </w:rPr>
            </w:pPr>
            <w:r w:rsidRPr="00681E39">
              <w:rPr>
                <w:color w:val="auto"/>
              </w:rPr>
              <w:t>0,0%</w:t>
            </w:r>
          </w:p>
        </w:tc>
        <w:tc>
          <w:tcPr>
            <w:tcW w:w="855" w:type="dxa"/>
            <w:noWrap/>
            <w:hideMark/>
          </w:tcPr>
          <w:p w14:paraId="7096826D" w14:textId="77777777" w:rsidR="00681E39" w:rsidRPr="00681E39" w:rsidRDefault="00681E39">
            <w:pPr>
              <w:pStyle w:val="Tabele"/>
              <w:jc w:val="right"/>
              <w:rPr>
                <w:color w:val="auto"/>
                <w:lang w:eastAsia="pl-PL"/>
              </w:rPr>
            </w:pPr>
            <w:r w:rsidRPr="00681E39">
              <w:rPr>
                <w:rFonts w:cs="Arial"/>
                <w:color w:val="auto"/>
                <w:szCs w:val="16"/>
              </w:rPr>
              <w:t>0,0%</w:t>
            </w:r>
          </w:p>
        </w:tc>
        <w:tc>
          <w:tcPr>
            <w:tcW w:w="855" w:type="dxa"/>
            <w:noWrap/>
            <w:hideMark/>
          </w:tcPr>
          <w:p w14:paraId="59167772" w14:textId="77777777" w:rsidR="00681E39" w:rsidRPr="00681E39" w:rsidRDefault="00681E39">
            <w:pPr>
              <w:pStyle w:val="Tabele"/>
              <w:jc w:val="right"/>
              <w:rPr>
                <w:color w:val="auto"/>
                <w:lang w:eastAsia="pl-PL"/>
              </w:rPr>
            </w:pPr>
            <w:r w:rsidRPr="00681E39">
              <w:rPr>
                <w:rFonts w:cs="Arial"/>
                <w:color w:val="auto"/>
                <w:szCs w:val="16"/>
              </w:rPr>
              <w:t>0,0%</w:t>
            </w:r>
          </w:p>
        </w:tc>
        <w:tc>
          <w:tcPr>
            <w:tcW w:w="855" w:type="dxa"/>
            <w:noWrap/>
            <w:hideMark/>
          </w:tcPr>
          <w:p w14:paraId="4DF14753" w14:textId="77777777" w:rsidR="00681E39" w:rsidRPr="00681E39" w:rsidRDefault="00681E39">
            <w:pPr>
              <w:pStyle w:val="Tabele"/>
              <w:jc w:val="right"/>
              <w:rPr>
                <w:color w:val="auto"/>
                <w:lang w:eastAsia="pl-PL"/>
              </w:rPr>
            </w:pPr>
            <w:r w:rsidRPr="00681E39">
              <w:rPr>
                <w:rFonts w:cs="Arial"/>
                <w:color w:val="auto"/>
                <w:szCs w:val="16"/>
              </w:rPr>
              <w:t>0,0%</w:t>
            </w:r>
          </w:p>
        </w:tc>
        <w:tc>
          <w:tcPr>
            <w:tcW w:w="855" w:type="dxa"/>
            <w:noWrap/>
            <w:hideMark/>
          </w:tcPr>
          <w:p w14:paraId="3C4A1F1B" w14:textId="77777777" w:rsidR="00681E39" w:rsidRPr="00681E39" w:rsidRDefault="00681E39">
            <w:pPr>
              <w:pStyle w:val="Tabele"/>
              <w:jc w:val="right"/>
              <w:rPr>
                <w:color w:val="auto"/>
                <w:lang w:eastAsia="pl-PL"/>
              </w:rPr>
            </w:pPr>
            <w:r w:rsidRPr="00681E39">
              <w:rPr>
                <w:rFonts w:cs="Arial"/>
                <w:color w:val="auto"/>
                <w:szCs w:val="16"/>
              </w:rPr>
              <w:t>0,0%</w:t>
            </w:r>
          </w:p>
        </w:tc>
      </w:tr>
      <w:tr w:rsidR="00870665" w:rsidRPr="00A82E2A" w14:paraId="135A00BC" w14:textId="77777777" w:rsidTr="00913C31">
        <w:trPr>
          <w:trHeight w:val="216"/>
        </w:trPr>
        <w:tc>
          <w:tcPr>
            <w:tcW w:w="2289" w:type="dxa"/>
            <w:vMerge/>
            <w:hideMark/>
          </w:tcPr>
          <w:p w14:paraId="14D34DE3" w14:textId="77777777" w:rsidR="00681E39" w:rsidRPr="00681E39" w:rsidRDefault="00681E39">
            <w:pPr>
              <w:pStyle w:val="Tabele"/>
              <w:rPr>
                <w:color w:val="auto"/>
                <w:lang w:eastAsia="pl-PL"/>
              </w:rPr>
            </w:pPr>
          </w:p>
        </w:tc>
        <w:tc>
          <w:tcPr>
            <w:tcW w:w="5018" w:type="dxa"/>
            <w:noWrap/>
            <w:hideMark/>
          </w:tcPr>
          <w:p w14:paraId="095FACD3" w14:textId="0A92D77D" w:rsidR="00681E39" w:rsidRPr="00681E39" w:rsidRDefault="00681E39">
            <w:pPr>
              <w:pStyle w:val="Tabele"/>
              <w:rPr>
                <w:color w:val="auto"/>
                <w:lang w:eastAsia="pl-PL"/>
              </w:rPr>
            </w:pPr>
            <w:r w:rsidRPr="00681E39">
              <w:rPr>
                <w:color w:val="auto"/>
                <w:lang w:eastAsia="pl-PL"/>
              </w:rPr>
              <w:t xml:space="preserve">Elektrownie na </w:t>
            </w:r>
            <w:r w:rsidR="00272D3A">
              <w:rPr>
                <w:color w:val="auto"/>
                <w:lang w:eastAsia="pl-PL"/>
              </w:rPr>
              <w:t>gazy odnawialne (</w:t>
            </w:r>
            <w:r w:rsidR="008242DD">
              <w:rPr>
                <w:color w:val="auto"/>
                <w:lang w:eastAsia="pl-PL"/>
              </w:rPr>
              <w:t>biometan</w:t>
            </w:r>
            <w:r w:rsidR="00272D3A">
              <w:rPr>
                <w:color w:val="auto"/>
                <w:lang w:eastAsia="pl-PL"/>
              </w:rPr>
              <w:t>/biogaz/wodór)</w:t>
            </w:r>
          </w:p>
        </w:tc>
        <w:tc>
          <w:tcPr>
            <w:tcW w:w="855" w:type="dxa"/>
            <w:shd w:val="clear" w:color="auto" w:fill="C5E0B3"/>
            <w:noWrap/>
            <w:hideMark/>
          </w:tcPr>
          <w:p w14:paraId="3675C656" w14:textId="3993D2D8" w:rsidR="00681E39" w:rsidRPr="00681E39" w:rsidRDefault="007010E2">
            <w:pPr>
              <w:pStyle w:val="Tabele"/>
              <w:jc w:val="right"/>
              <w:rPr>
                <w:color w:val="auto"/>
                <w:lang w:eastAsia="pl-PL"/>
              </w:rPr>
            </w:pPr>
            <w:r>
              <w:rPr>
                <w:color w:val="auto"/>
              </w:rPr>
              <w:t>3,2</w:t>
            </w:r>
            <w:r w:rsidR="00681E39" w:rsidRPr="00681E39">
              <w:rPr>
                <w:color w:val="auto"/>
              </w:rPr>
              <w:t>%</w:t>
            </w:r>
          </w:p>
        </w:tc>
        <w:tc>
          <w:tcPr>
            <w:tcW w:w="855" w:type="dxa"/>
            <w:shd w:val="clear" w:color="auto" w:fill="C5E0B3"/>
            <w:noWrap/>
            <w:hideMark/>
          </w:tcPr>
          <w:p w14:paraId="5F46A71C" w14:textId="305957CB" w:rsidR="00681E39" w:rsidRPr="00681E39" w:rsidRDefault="0031533B">
            <w:pPr>
              <w:pStyle w:val="Tabele"/>
              <w:jc w:val="right"/>
              <w:rPr>
                <w:color w:val="auto"/>
                <w:lang w:eastAsia="pl-PL"/>
              </w:rPr>
            </w:pPr>
            <w:r>
              <w:rPr>
                <w:color w:val="auto"/>
              </w:rPr>
              <w:t>3,9</w:t>
            </w:r>
            <w:r w:rsidR="00681E39" w:rsidRPr="00681E39">
              <w:rPr>
                <w:color w:val="auto"/>
              </w:rPr>
              <w:t>%</w:t>
            </w:r>
          </w:p>
        </w:tc>
        <w:tc>
          <w:tcPr>
            <w:tcW w:w="855" w:type="dxa"/>
            <w:shd w:val="clear" w:color="auto" w:fill="C5E0B3"/>
            <w:noWrap/>
            <w:hideMark/>
          </w:tcPr>
          <w:p w14:paraId="3485BD28" w14:textId="2C0DB48E" w:rsidR="00681E39" w:rsidRPr="00681E39" w:rsidRDefault="00735FD8">
            <w:pPr>
              <w:pStyle w:val="Tabele"/>
              <w:jc w:val="right"/>
              <w:rPr>
                <w:color w:val="auto"/>
                <w:lang w:eastAsia="pl-PL"/>
              </w:rPr>
            </w:pPr>
            <w:r>
              <w:rPr>
                <w:color w:val="auto"/>
              </w:rPr>
              <w:t>4,1</w:t>
            </w:r>
            <w:r w:rsidR="00681E39" w:rsidRPr="00681E39">
              <w:rPr>
                <w:color w:val="auto"/>
              </w:rPr>
              <w:t>%</w:t>
            </w:r>
          </w:p>
        </w:tc>
        <w:tc>
          <w:tcPr>
            <w:tcW w:w="855" w:type="dxa"/>
            <w:shd w:val="clear" w:color="auto" w:fill="C5E0B3"/>
            <w:noWrap/>
            <w:hideMark/>
          </w:tcPr>
          <w:p w14:paraId="09B67529" w14:textId="1A6A04D4" w:rsidR="00681E39" w:rsidRPr="00681E39" w:rsidRDefault="00735FD8">
            <w:pPr>
              <w:pStyle w:val="Tabele"/>
              <w:jc w:val="right"/>
              <w:rPr>
                <w:color w:val="auto"/>
                <w:lang w:eastAsia="pl-PL"/>
              </w:rPr>
            </w:pPr>
            <w:r>
              <w:rPr>
                <w:color w:val="auto"/>
              </w:rPr>
              <w:t>4,5</w:t>
            </w:r>
            <w:r w:rsidR="00681E39" w:rsidRPr="00681E39">
              <w:rPr>
                <w:color w:val="auto"/>
              </w:rPr>
              <w:t>%</w:t>
            </w:r>
          </w:p>
        </w:tc>
        <w:tc>
          <w:tcPr>
            <w:tcW w:w="855" w:type="dxa"/>
            <w:noWrap/>
            <w:hideMark/>
          </w:tcPr>
          <w:p w14:paraId="37B96044" w14:textId="5DB50F68" w:rsidR="00681E39" w:rsidRPr="00681E39" w:rsidRDefault="00FB4A71">
            <w:pPr>
              <w:pStyle w:val="Tabele"/>
              <w:jc w:val="right"/>
              <w:rPr>
                <w:color w:val="auto"/>
                <w:lang w:eastAsia="pl-PL"/>
              </w:rPr>
            </w:pPr>
            <w:r>
              <w:rPr>
                <w:rFonts w:cs="Arial"/>
                <w:color w:val="auto"/>
                <w:szCs w:val="16"/>
              </w:rPr>
              <w:t>3,8</w:t>
            </w:r>
            <w:r w:rsidR="00681E39" w:rsidRPr="00681E39">
              <w:rPr>
                <w:rFonts w:cs="Arial"/>
                <w:color w:val="auto"/>
                <w:szCs w:val="16"/>
              </w:rPr>
              <w:t>%</w:t>
            </w:r>
          </w:p>
        </w:tc>
        <w:tc>
          <w:tcPr>
            <w:tcW w:w="855" w:type="dxa"/>
            <w:noWrap/>
            <w:hideMark/>
          </w:tcPr>
          <w:p w14:paraId="5DAED749" w14:textId="46FBC742" w:rsidR="00681E39" w:rsidRPr="00681E39" w:rsidRDefault="00FB4A71">
            <w:pPr>
              <w:pStyle w:val="Tabele"/>
              <w:jc w:val="right"/>
              <w:rPr>
                <w:color w:val="auto"/>
                <w:lang w:eastAsia="pl-PL"/>
              </w:rPr>
            </w:pPr>
            <w:r>
              <w:rPr>
                <w:rFonts w:cs="Arial"/>
                <w:color w:val="auto"/>
                <w:szCs w:val="16"/>
              </w:rPr>
              <w:t>2,9</w:t>
            </w:r>
            <w:r w:rsidR="00681E39" w:rsidRPr="00681E39">
              <w:rPr>
                <w:rFonts w:cs="Arial"/>
                <w:color w:val="auto"/>
                <w:szCs w:val="16"/>
              </w:rPr>
              <w:t>%</w:t>
            </w:r>
          </w:p>
        </w:tc>
        <w:tc>
          <w:tcPr>
            <w:tcW w:w="855" w:type="dxa"/>
            <w:noWrap/>
            <w:hideMark/>
          </w:tcPr>
          <w:p w14:paraId="1785E968" w14:textId="321599A4" w:rsidR="00681E39" w:rsidRPr="00681E39" w:rsidRDefault="00AA181F">
            <w:pPr>
              <w:pStyle w:val="Tabele"/>
              <w:jc w:val="right"/>
              <w:rPr>
                <w:color w:val="auto"/>
                <w:lang w:eastAsia="pl-PL"/>
              </w:rPr>
            </w:pPr>
            <w:r>
              <w:rPr>
                <w:rFonts w:cs="Arial"/>
                <w:color w:val="auto"/>
                <w:szCs w:val="16"/>
              </w:rPr>
              <w:t>2,7</w:t>
            </w:r>
            <w:r w:rsidR="00681E39" w:rsidRPr="00681E39">
              <w:rPr>
                <w:rFonts w:cs="Arial"/>
                <w:color w:val="auto"/>
                <w:szCs w:val="16"/>
              </w:rPr>
              <w:t>%</w:t>
            </w:r>
          </w:p>
        </w:tc>
        <w:tc>
          <w:tcPr>
            <w:tcW w:w="855" w:type="dxa"/>
            <w:noWrap/>
            <w:hideMark/>
          </w:tcPr>
          <w:p w14:paraId="0758051D" w14:textId="30CCE64E" w:rsidR="00681E39" w:rsidRPr="00681E39" w:rsidRDefault="00710DE4">
            <w:pPr>
              <w:pStyle w:val="Tabele"/>
              <w:jc w:val="right"/>
              <w:rPr>
                <w:color w:val="auto"/>
                <w:lang w:eastAsia="pl-PL"/>
              </w:rPr>
            </w:pPr>
            <w:r>
              <w:rPr>
                <w:rFonts w:cs="Arial"/>
                <w:color w:val="auto"/>
                <w:szCs w:val="16"/>
              </w:rPr>
              <w:t>7,5</w:t>
            </w:r>
            <w:r w:rsidR="00681E39" w:rsidRPr="00681E39">
              <w:rPr>
                <w:rFonts w:cs="Arial"/>
                <w:color w:val="auto"/>
                <w:szCs w:val="16"/>
              </w:rPr>
              <w:t>%</w:t>
            </w:r>
          </w:p>
        </w:tc>
      </w:tr>
      <w:tr w:rsidR="00870665" w:rsidRPr="00A82E2A" w14:paraId="58098A88" w14:textId="77777777" w:rsidTr="00913C31">
        <w:trPr>
          <w:trHeight w:val="216"/>
        </w:trPr>
        <w:tc>
          <w:tcPr>
            <w:tcW w:w="2289" w:type="dxa"/>
            <w:vMerge/>
            <w:hideMark/>
          </w:tcPr>
          <w:p w14:paraId="7EDAF832" w14:textId="77777777" w:rsidR="00681E39" w:rsidRPr="00681E39" w:rsidRDefault="00681E39">
            <w:pPr>
              <w:pStyle w:val="Tabele"/>
              <w:rPr>
                <w:color w:val="auto"/>
                <w:lang w:eastAsia="pl-PL"/>
              </w:rPr>
            </w:pPr>
          </w:p>
        </w:tc>
        <w:tc>
          <w:tcPr>
            <w:tcW w:w="5018" w:type="dxa"/>
            <w:noWrap/>
            <w:hideMark/>
          </w:tcPr>
          <w:p w14:paraId="31709671" w14:textId="316774DB" w:rsidR="00681E39" w:rsidRPr="00681E39" w:rsidRDefault="00681E39">
            <w:pPr>
              <w:pStyle w:val="Tabele"/>
              <w:rPr>
                <w:color w:val="auto"/>
                <w:lang w:eastAsia="pl-PL"/>
              </w:rPr>
            </w:pPr>
            <w:r w:rsidRPr="00681E39">
              <w:rPr>
                <w:color w:val="auto"/>
                <w:lang w:eastAsia="pl-PL"/>
              </w:rPr>
              <w:t xml:space="preserve">Odnawialne odpady komunalne </w:t>
            </w:r>
            <w:r w:rsidR="00D576EA">
              <w:rPr>
                <w:color w:val="auto"/>
                <w:lang w:eastAsia="pl-PL"/>
              </w:rPr>
              <w:t>(frakcja BIO)</w:t>
            </w:r>
          </w:p>
        </w:tc>
        <w:tc>
          <w:tcPr>
            <w:tcW w:w="855" w:type="dxa"/>
            <w:shd w:val="clear" w:color="auto" w:fill="C5E0B3"/>
            <w:noWrap/>
            <w:hideMark/>
          </w:tcPr>
          <w:p w14:paraId="474845B1" w14:textId="77777777" w:rsidR="00681E39" w:rsidRPr="00681E39" w:rsidRDefault="00681E39">
            <w:pPr>
              <w:pStyle w:val="Tabele"/>
              <w:jc w:val="right"/>
              <w:rPr>
                <w:color w:val="auto"/>
                <w:lang w:eastAsia="pl-PL"/>
              </w:rPr>
            </w:pPr>
            <w:r w:rsidRPr="00681E39">
              <w:rPr>
                <w:color w:val="auto"/>
              </w:rPr>
              <w:t>0,0%</w:t>
            </w:r>
          </w:p>
        </w:tc>
        <w:tc>
          <w:tcPr>
            <w:tcW w:w="855" w:type="dxa"/>
            <w:shd w:val="clear" w:color="auto" w:fill="C5E0B3"/>
            <w:noWrap/>
            <w:hideMark/>
          </w:tcPr>
          <w:p w14:paraId="3AA66C92" w14:textId="77777777" w:rsidR="00681E39" w:rsidRPr="00681E39" w:rsidRDefault="00681E39">
            <w:pPr>
              <w:pStyle w:val="Tabele"/>
              <w:jc w:val="right"/>
              <w:rPr>
                <w:color w:val="auto"/>
                <w:lang w:eastAsia="pl-PL"/>
              </w:rPr>
            </w:pPr>
            <w:r w:rsidRPr="00681E39">
              <w:rPr>
                <w:color w:val="auto"/>
              </w:rPr>
              <w:t>0,0%</w:t>
            </w:r>
          </w:p>
        </w:tc>
        <w:tc>
          <w:tcPr>
            <w:tcW w:w="855" w:type="dxa"/>
            <w:shd w:val="clear" w:color="auto" w:fill="C5E0B3"/>
            <w:noWrap/>
            <w:hideMark/>
          </w:tcPr>
          <w:p w14:paraId="1D9FEBA4" w14:textId="77777777" w:rsidR="00681E39" w:rsidRPr="00681E39" w:rsidRDefault="00681E39">
            <w:pPr>
              <w:pStyle w:val="Tabele"/>
              <w:jc w:val="right"/>
              <w:rPr>
                <w:color w:val="auto"/>
                <w:lang w:eastAsia="pl-PL"/>
              </w:rPr>
            </w:pPr>
            <w:r w:rsidRPr="00681E39">
              <w:rPr>
                <w:color w:val="auto"/>
              </w:rPr>
              <w:t>0,0%</w:t>
            </w:r>
          </w:p>
        </w:tc>
        <w:tc>
          <w:tcPr>
            <w:tcW w:w="855" w:type="dxa"/>
            <w:shd w:val="clear" w:color="auto" w:fill="C5E0B3"/>
            <w:noWrap/>
            <w:hideMark/>
          </w:tcPr>
          <w:p w14:paraId="1B1FBAD0" w14:textId="77777777" w:rsidR="00681E39" w:rsidRPr="00681E39" w:rsidRDefault="00681E39">
            <w:pPr>
              <w:pStyle w:val="Tabele"/>
              <w:jc w:val="right"/>
              <w:rPr>
                <w:color w:val="auto"/>
                <w:lang w:eastAsia="pl-PL"/>
              </w:rPr>
            </w:pPr>
            <w:r w:rsidRPr="00681E39">
              <w:rPr>
                <w:color w:val="auto"/>
              </w:rPr>
              <w:t>0,7%</w:t>
            </w:r>
          </w:p>
        </w:tc>
        <w:tc>
          <w:tcPr>
            <w:tcW w:w="855" w:type="dxa"/>
            <w:noWrap/>
            <w:hideMark/>
          </w:tcPr>
          <w:p w14:paraId="2B4E74F0" w14:textId="77777777" w:rsidR="00681E39" w:rsidRPr="00681E39" w:rsidRDefault="00681E39">
            <w:pPr>
              <w:pStyle w:val="Tabele"/>
              <w:jc w:val="right"/>
              <w:rPr>
                <w:color w:val="auto"/>
                <w:lang w:eastAsia="pl-PL"/>
              </w:rPr>
            </w:pPr>
            <w:r w:rsidRPr="00681E39">
              <w:rPr>
                <w:rFonts w:cs="Arial"/>
                <w:color w:val="auto"/>
                <w:szCs w:val="16"/>
              </w:rPr>
              <w:t>0,5%</w:t>
            </w:r>
          </w:p>
        </w:tc>
        <w:tc>
          <w:tcPr>
            <w:tcW w:w="855" w:type="dxa"/>
            <w:noWrap/>
            <w:hideMark/>
          </w:tcPr>
          <w:p w14:paraId="7BE8D794" w14:textId="77777777" w:rsidR="00681E39" w:rsidRPr="00681E39" w:rsidRDefault="00681E39">
            <w:pPr>
              <w:pStyle w:val="Tabele"/>
              <w:jc w:val="right"/>
              <w:rPr>
                <w:color w:val="auto"/>
                <w:lang w:eastAsia="pl-PL"/>
              </w:rPr>
            </w:pPr>
            <w:r w:rsidRPr="00681E39">
              <w:rPr>
                <w:rFonts w:cs="Arial"/>
                <w:color w:val="auto"/>
                <w:szCs w:val="16"/>
              </w:rPr>
              <w:t>0,4%</w:t>
            </w:r>
          </w:p>
        </w:tc>
        <w:tc>
          <w:tcPr>
            <w:tcW w:w="855" w:type="dxa"/>
            <w:noWrap/>
            <w:hideMark/>
          </w:tcPr>
          <w:p w14:paraId="2EA3320B" w14:textId="77777777" w:rsidR="00681E39" w:rsidRPr="00681E39" w:rsidRDefault="00681E39">
            <w:pPr>
              <w:pStyle w:val="Tabele"/>
              <w:jc w:val="right"/>
              <w:rPr>
                <w:color w:val="auto"/>
                <w:lang w:eastAsia="pl-PL"/>
              </w:rPr>
            </w:pPr>
            <w:r w:rsidRPr="00681E39">
              <w:rPr>
                <w:rFonts w:cs="Arial"/>
                <w:color w:val="auto"/>
                <w:szCs w:val="16"/>
              </w:rPr>
              <w:t>0,2%</w:t>
            </w:r>
          </w:p>
        </w:tc>
        <w:tc>
          <w:tcPr>
            <w:tcW w:w="855" w:type="dxa"/>
            <w:noWrap/>
            <w:hideMark/>
          </w:tcPr>
          <w:p w14:paraId="45C38B6A" w14:textId="77777777" w:rsidR="00681E39" w:rsidRPr="00681E39" w:rsidRDefault="00681E39">
            <w:pPr>
              <w:pStyle w:val="Tabele"/>
              <w:jc w:val="right"/>
              <w:rPr>
                <w:color w:val="auto"/>
                <w:lang w:eastAsia="pl-PL"/>
              </w:rPr>
            </w:pPr>
            <w:r w:rsidRPr="00681E39">
              <w:rPr>
                <w:rFonts w:cs="Arial"/>
                <w:color w:val="auto"/>
                <w:szCs w:val="16"/>
              </w:rPr>
              <w:t>0,1%</w:t>
            </w:r>
          </w:p>
        </w:tc>
      </w:tr>
    </w:tbl>
    <w:p w14:paraId="4A71AD7C" w14:textId="77777777" w:rsidR="005C4144" w:rsidRDefault="005C4144" w:rsidP="00896449">
      <w:pPr>
        <w:pStyle w:val="adnotacje"/>
        <w:spacing w:before="60" w:after="120"/>
      </w:pPr>
      <w:r w:rsidRPr="00A82E2A">
        <w:t>*wartości znormalizowane</w:t>
      </w:r>
    </w:p>
    <w:p w14:paraId="06193994" w14:textId="05C5A600" w:rsidR="005C4144" w:rsidRDefault="005C4144" w:rsidP="00896449">
      <w:pPr>
        <w:pStyle w:val="Legenda"/>
        <w:spacing w:before="60"/>
      </w:pPr>
      <w:r w:rsidRPr="00CA23BA">
        <w:t>Źródło: Opracowanie własne ARE S</w:t>
      </w:r>
      <w:r>
        <w:t>.</w:t>
      </w:r>
      <w:r w:rsidRPr="00CA23BA">
        <w:t>A</w:t>
      </w:r>
      <w:r w:rsidR="00681E39">
        <w:t>.</w:t>
      </w:r>
      <w:r w:rsidR="00681E39" w:rsidRPr="00CA23BA">
        <w:t>,</w:t>
      </w:r>
      <w:r w:rsidRPr="00CA23BA">
        <w:t xml:space="preserve"> Eurostat SHARES</w:t>
      </w:r>
    </w:p>
    <w:p w14:paraId="572E4B0D" w14:textId="3F1D4A7B" w:rsidR="005C4144" w:rsidRDefault="005C4144" w:rsidP="005C4144">
      <w:pPr>
        <w:pStyle w:val="Legenda"/>
      </w:pPr>
      <w:bookmarkStart w:id="230" w:name="_Ref156550795"/>
      <w:bookmarkStart w:id="231" w:name="_Ref195870836"/>
      <w:bookmarkStart w:id="232" w:name="_Toc171587183"/>
      <w:bookmarkStart w:id="233" w:name="_Toc174710967"/>
      <w:bookmarkStart w:id="234" w:name="_Toc202966970"/>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25</w:t>
      </w:r>
      <w:r w:rsidR="00653D9A">
        <w:rPr>
          <w:noProof/>
        </w:rPr>
        <w:fldChar w:fldCharType="end"/>
      </w:r>
      <w:bookmarkEnd w:id="230"/>
      <w:bookmarkEnd w:id="231"/>
      <w:r>
        <w:t xml:space="preserve">. </w:t>
      </w:r>
      <w:r w:rsidRPr="00CA23BA">
        <w:t>Sektor ciepłownictwa</w:t>
      </w:r>
      <w:r>
        <w:t xml:space="preserve"> i </w:t>
      </w:r>
      <w:r w:rsidRPr="00CA23BA">
        <w:t>chłodnictwa</w:t>
      </w:r>
      <w:bookmarkEnd w:id="232"/>
      <w:bookmarkEnd w:id="233"/>
      <w:bookmarkEnd w:id="234"/>
    </w:p>
    <w:tbl>
      <w:tblPr>
        <w:tblStyle w:val="KPEiK"/>
        <w:tblW w:w="5000" w:type="pct"/>
        <w:tblLayout w:type="fixed"/>
        <w:tblCellMar>
          <w:left w:w="57" w:type="dxa"/>
          <w:right w:w="57" w:type="dxa"/>
        </w:tblCellMar>
        <w:tblLook w:val="04A0" w:firstRow="1" w:lastRow="0" w:firstColumn="1" w:lastColumn="0" w:noHBand="0" w:noVBand="1"/>
      </w:tblPr>
      <w:tblGrid>
        <w:gridCol w:w="2122"/>
        <w:gridCol w:w="4677"/>
        <w:gridCol w:w="899"/>
        <w:gridCol w:w="899"/>
        <w:gridCol w:w="900"/>
        <w:gridCol w:w="899"/>
        <w:gridCol w:w="899"/>
        <w:gridCol w:w="900"/>
        <w:gridCol w:w="899"/>
        <w:gridCol w:w="900"/>
      </w:tblGrid>
      <w:tr w:rsidR="00B12D21" w:rsidRPr="00157153" w14:paraId="29B7263B" w14:textId="77777777" w:rsidTr="00913C31">
        <w:trPr>
          <w:cnfStyle w:val="100000000000" w:firstRow="1" w:lastRow="0" w:firstColumn="0" w:lastColumn="0" w:oddVBand="0" w:evenVBand="0" w:oddHBand="0" w:evenHBand="0" w:firstRowFirstColumn="0" w:firstRowLastColumn="0" w:lastRowFirstColumn="0" w:lastRowLastColumn="0"/>
          <w:trHeight w:val="229"/>
          <w:tblHeader/>
        </w:trPr>
        <w:tc>
          <w:tcPr>
            <w:tcW w:w="2122" w:type="dxa"/>
          </w:tcPr>
          <w:p w14:paraId="26022903" w14:textId="77777777" w:rsidR="00286543" w:rsidRPr="00157153" w:rsidRDefault="00286543">
            <w:pPr>
              <w:pStyle w:val="Tabele"/>
              <w:jc w:val="center"/>
              <w:rPr>
                <w:lang w:eastAsia="pl-PL"/>
              </w:rPr>
            </w:pPr>
          </w:p>
        </w:tc>
        <w:tc>
          <w:tcPr>
            <w:tcW w:w="4677" w:type="dxa"/>
          </w:tcPr>
          <w:p w14:paraId="3BEC1229" w14:textId="77777777" w:rsidR="00286543" w:rsidRPr="00157153" w:rsidRDefault="00286543">
            <w:pPr>
              <w:pStyle w:val="Tabele"/>
              <w:jc w:val="center"/>
              <w:rPr>
                <w:lang w:eastAsia="pl-PL"/>
              </w:rPr>
            </w:pPr>
          </w:p>
        </w:tc>
        <w:tc>
          <w:tcPr>
            <w:tcW w:w="899" w:type="dxa"/>
            <w:noWrap/>
            <w:hideMark/>
          </w:tcPr>
          <w:p w14:paraId="6A817FF7" w14:textId="77777777" w:rsidR="00286543" w:rsidRPr="00157153" w:rsidRDefault="00286543">
            <w:pPr>
              <w:pStyle w:val="Tabele"/>
              <w:jc w:val="center"/>
              <w:rPr>
                <w:lang w:eastAsia="pl-PL"/>
              </w:rPr>
            </w:pPr>
            <w:r w:rsidRPr="00157153">
              <w:rPr>
                <w:lang w:eastAsia="pl-PL"/>
              </w:rPr>
              <w:t>2005</w:t>
            </w:r>
          </w:p>
        </w:tc>
        <w:tc>
          <w:tcPr>
            <w:tcW w:w="899" w:type="dxa"/>
            <w:noWrap/>
            <w:hideMark/>
          </w:tcPr>
          <w:p w14:paraId="0517151B" w14:textId="77777777" w:rsidR="00286543" w:rsidRPr="00157153" w:rsidRDefault="00286543">
            <w:pPr>
              <w:pStyle w:val="Tabele"/>
              <w:jc w:val="center"/>
              <w:rPr>
                <w:lang w:eastAsia="pl-PL"/>
              </w:rPr>
            </w:pPr>
            <w:r w:rsidRPr="00157153">
              <w:rPr>
                <w:lang w:eastAsia="pl-PL"/>
              </w:rPr>
              <w:t>2010</w:t>
            </w:r>
          </w:p>
        </w:tc>
        <w:tc>
          <w:tcPr>
            <w:tcW w:w="900" w:type="dxa"/>
            <w:noWrap/>
            <w:hideMark/>
          </w:tcPr>
          <w:p w14:paraId="61914F46" w14:textId="77777777" w:rsidR="00286543" w:rsidRPr="00157153" w:rsidRDefault="00286543">
            <w:pPr>
              <w:pStyle w:val="Tabele"/>
              <w:jc w:val="center"/>
              <w:rPr>
                <w:lang w:eastAsia="pl-PL"/>
              </w:rPr>
            </w:pPr>
            <w:r w:rsidRPr="00157153">
              <w:rPr>
                <w:lang w:eastAsia="pl-PL"/>
              </w:rPr>
              <w:t>2015</w:t>
            </w:r>
          </w:p>
        </w:tc>
        <w:tc>
          <w:tcPr>
            <w:tcW w:w="899" w:type="dxa"/>
            <w:noWrap/>
            <w:hideMark/>
          </w:tcPr>
          <w:p w14:paraId="1E9B1F8D" w14:textId="77777777" w:rsidR="00286543" w:rsidRPr="00157153" w:rsidRDefault="00286543">
            <w:pPr>
              <w:pStyle w:val="Tabele"/>
              <w:jc w:val="center"/>
              <w:rPr>
                <w:lang w:eastAsia="pl-PL"/>
              </w:rPr>
            </w:pPr>
            <w:r w:rsidRPr="00157153">
              <w:rPr>
                <w:lang w:eastAsia="pl-PL"/>
              </w:rPr>
              <w:t>2020</w:t>
            </w:r>
          </w:p>
        </w:tc>
        <w:tc>
          <w:tcPr>
            <w:tcW w:w="899" w:type="dxa"/>
            <w:noWrap/>
            <w:hideMark/>
          </w:tcPr>
          <w:p w14:paraId="40162603" w14:textId="77777777" w:rsidR="00286543" w:rsidRPr="00157153" w:rsidRDefault="00286543">
            <w:pPr>
              <w:pStyle w:val="Tabele"/>
              <w:jc w:val="center"/>
              <w:rPr>
                <w:lang w:eastAsia="pl-PL"/>
              </w:rPr>
            </w:pPr>
            <w:r w:rsidRPr="00157153">
              <w:rPr>
                <w:lang w:eastAsia="pl-PL"/>
              </w:rPr>
              <w:t>2025</w:t>
            </w:r>
          </w:p>
        </w:tc>
        <w:tc>
          <w:tcPr>
            <w:tcW w:w="900" w:type="dxa"/>
            <w:noWrap/>
            <w:hideMark/>
          </w:tcPr>
          <w:p w14:paraId="2CBD0700" w14:textId="77777777" w:rsidR="00286543" w:rsidRPr="00157153" w:rsidRDefault="00286543">
            <w:pPr>
              <w:pStyle w:val="Tabele"/>
              <w:jc w:val="center"/>
              <w:rPr>
                <w:lang w:eastAsia="pl-PL"/>
              </w:rPr>
            </w:pPr>
            <w:r w:rsidRPr="00157153">
              <w:rPr>
                <w:lang w:eastAsia="pl-PL"/>
              </w:rPr>
              <w:t>2030</w:t>
            </w:r>
          </w:p>
        </w:tc>
        <w:tc>
          <w:tcPr>
            <w:tcW w:w="899" w:type="dxa"/>
            <w:noWrap/>
            <w:hideMark/>
          </w:tcPr>
          <w:p w14:paraId="6AC25088" w14:textId="77777777" w:rsidR="00286543" w:rsidRPr="00157153" w:rsidRDefault="00286543">
            <w:pPr>
              <w:pStyle w:val="Tabele"/>
              <w:jc w:val="center"/>
              <w:rPr>
                <w:lang w:eastAsia="pl-PL"/>
              </w:rPr>
            </w:pPr>
            <w:r w:rsidRPr="00157153">
              <w:rPr>
                <w:lang w:eastAsia="pl-PL"/>
              </w:rPr>
              <w:t>2035</w:t>
            </w:r>
          </w:p>
        </w:tc>
        <w:tc>
          <w:tcPr>
            <w:tcW w:w="900" w:type="dxa"/>
            <w:noWrap/>
            <w:hideMark/>
          </w:tcPr>
          <w:p w14:paraId="3B9860D3" w14:textId="77777777" w:rsidR="00286543" w:rsidRPr="00157153" w:rsidRDefault="00286543">
            <w:pPr>
              <w:pStyle w:val="Tabele"/>
              <w:jc w:val="center"/>
              <w:rPr>
                <w:lang w:eastAsia="pl-PL"/>
              </w:rPr>
            </w:pPr>
            <w:r w:rsidRPr="00157153">
              <w:rPr>
                <w:lang w:eastAsia="pl-PL"/>
              </w:rPr>
              <w:t>2040</w:t>
            </w:r>
          </w:p>
        </w:tc>
      </w:tr>
      <w:tr w:rsidR="007F0D2B" w:rsidRPr="00157153" w14:paraId="1A83438E" w14:textId="77777777" w:rsidTr="00913C31">
        <w:trPr>
          <w:trHeight w:val="229"/>
        </w:trPr>
        <w:tc>
          <w:tcPr>
            <w:tcW w:w="2122" w:type="dxa"/>
            <w:vMerge w:val="restart"/>
            <w:hideMark/>
          </w:tcPr>
          <w:p w14:paraId="72426066" w14:textId="77777777" w:rsidR="00286543" w:rsidRPr="00286543" w:rsidRDefault="00286543">
            <w:pPr>
              <w:pStyle w:val="Tabele"/>
              <w:rPr>
                <w:b/>
                <w:bCs/>
                <w:color w:val="auto"/>
                <w:lang w:eastAsia="pl-PL"/>
              </w:rPr>
            </w:pPr>
            <w:r w:rsidRPr="00286543">
              <w:rPr>
                <w:b/>
                <w:bCs/>
                <w:color w:val="auto"/>
                <w:lang w:eastAsia="pl-PL"/>
              </w:rPr>
              <w:t>Zużycie energii końcowej brutto z OZE w podziale na technologie - ciepłownictwo i chłodnictwo [ktoe]</w:t>
            </w:r>
          </w:p>
        </w:tc>
        <w:tc>
          <w:tcPr>
            <w:tcW w:w="4677" w:type="dxa"/>
            <w:noWrap/>
            <w:hideMark/>
          </w:tcPr>
          <w:p w14:paraId="77792761" w14:textId="77777777" w:rsidR="00286543" w:rsidRPr="00286543" w:rsidRDefault="00286543">
            <w:pPr>
              <w:pStyle w:val="Tabele"/>
              <w:rPr>
                <w:b/>
                <w:bCs/>
                <w:color w:val="auto"/>
                <w:lang w:eastAsia="pl-PL"/>
              </w:rPr>
            </w:pPr>
            <w:r w:rsidRPr="00286543">
              <w:rPr>
                <w:b/>
                <w:bCs/>
                <w:color w:val="auto"/>
                <w:lang w:eastAsia="pl-PL"/>
              </w:rPr>
              <w:t>Końcowe zużycie energii brutto w ciepłownictwie i chłodnictwie (denominator RES-H&amp;C)</w:t>
            </w:r>
          </w:p>
        </w:tc>
        <w:tc>
          <w:tcPr>
            <w:tcW w:w="899" w:type="dxa"/>
            <w:shd w:val="clear" w:color="auto" w:fill="C5E0B3" w:themeFill="accent6" w:themeFillTint="66"/>
            <w:noWrap/>
            <w:hideMark/>
          </w:tcPr>
          <w:p w14:paraId="7DE8BE07" w14:textId="77777777" w:rsidR="00286543" w:rsidRPr="00286543" w:rsidRDefault="00286543">
            <w:pPr>
              <w:pStyle w:val="Tabele"/>
              <w:jc w:val="right"/>
              <w:rPr>
                <w:b/>
                <w:bCs/>
                <w:color w:val="auto"/>
                <w:lang w:eastAsia="pl-PL"/>
              </w:rPr>
            </w:pPr>
            <w:r w:rsidRPr="00286543">
              <w:rPr>
                <w:b/>
                <w:bCs/>
                <w:color w:val="auto"/>
              </w:rPr>
              <w:t>38 064</w:t>
            </w:r>
          </w:p>
        </w:tc>
        <w:tc>
          <w:tcPr>
            <w:tcW w:w="899" w:type="dxa"/>
            <w:shd w:val="clear" w:color="auto" w:fill="C5E0B3" w:themeFill="accent6" w:themeFillTint="66"/>
            <w:noWrap/>
            <w:hideMark/>
          </w:tcPr>
          <w:p w14:paraId="64CF143E" w14:textId="77777777" w:rsidR="00286543" w:rsidRPr="00286543" w:rsidRDefault="00286543">
            <w:pPr>
              <w:pStyle w:val="Tabele"/>
              <w:jc w:val="right"/>
              <w:rPr>
                <w:b/>
                <w:bCs/>
                <w:color w:val="auto"/>
                <w:lang w:eastAsia="pl-PL"/>
              </w:rPr>
            </w:pPr>
            <w:r w:rsidRPr="00286543">
              <w:rPr>
                <w:b/>
                <w:bCs/>
                <w:color w:val="auto"/>
              </w:rPr>
              <w:t>39 594</w:t>
            </w:r>
          </w:p>
        </w:tc>
        <w:tc>
          <w:tcPr>
            <w:tcW w:w="900" w:type="dxa"/>
            <w:shd w:val="clear" w:color="auto" w:fill="C5E0B3" w:themeFill="accent6" w:themeFillTint="66"/>
            <w:noWrap/>
            <w:hideMark/>
          </w:tcPr>
          <w:p w14:paraId="7748788B" w14:textId="77777777" w:rsidR="00286543" w:rsidRPr="00286543" w:rsidRDefault="00286543">
            <w:pPr>
              <w:pStyle w:val="Tabele"/>
              <w:jc w:val="right"/>
              <w:rPr>
                <w:b/>
                <w:bCs/>
                <w:color w:val="auto"/>
                <w:lang w:eastAsia="pl-PL"/>
              </w:rPr>
            </w:pPr>
            <w:r w:rsidRPr="00286543">
              <w:rPr>
                <w:b/>
                <w:bCs/>
                <w:color w:val="auto"/>
              </w:rPr>
              <w:t>35 310</w:t>
            </w:r>
          </w:p>
        </w:tc>
        <w:tc>
          <w:tcPr>
            <w:tcW w:w="899" w:type="dxa"/>
            <w:shd w:val="clear" w:color="auto" w:fill="C5E0B3" w:themeFill="accent6" w:themeFillTint="66"/>
            <w:noWrap/>
            <w:hideMark/>
          </w:tcPr>
          <w:p w14:paraId="32456D86" w14:textId="77777777" w:rsidR="00286543" w:rsidRPr="00286543" w:rsidRDefault="00286543">
            <w:pPr>
              <w:pStyle w:val="Tabele"/>
              <w:jc w:val="right"/>
              <w:rPr>
                <w:b/>
                <w:bCs/>
                <w:color w:val="auto"/>
                <w:lang w:eastAsia="pl-PL"/>
              </w:rPr>
            </w:pPr>
            <w:r w:rsidRPr="00286543">
              <w:rPr>
                <w:b/>
                <w:bCs/>
                <w:color w:val="auto"/>
              </w:rPr>
              <w:t>38 417</w:t>
            </w:r>
          </w:p>
        </w:tc>
        <w:tc>
          <w:tcPr>
            <w:tcW w:w="899" w:type="dxa"/>
            <w:noWrap/>
            <w:hideMark/>
          </w:tcPr>
          <w:p w14:paraId="2C877F6E" w14:textId="77777777" w:rsidR="00286543" w:rsidRPr="00286543" w:rsidRDefault="00286543">
            <w:pPr>
              <w:pStyle w:val="Tabele"/>
              <w:jc w:val="right"/>
              <w:rPr>
                <w:b/>
                <w:bCs/>
                <w:color w:val="auto"/>
                <w:lang w:eastAsia="pl-PL"/>
              </w:rPr>
            </w:pPr>
            <w:r w:rsidRPr="00286543">
              <w:rPr>
                <w:rFonts w:cs="Arial"/>
                <w:b/>
                <w:bCs/>
                <w:color w:val="auto"/>
                <w:szCs w:val="16"/>
              </w:rPr>
              <w:t>33 735</w:t>
            </w:r>
          </w:p>
        </w:tc>
        <w:tc>
          <w:tcPr>
            <w:tcW w:w="900" w:type="dxa"/>
            <w:noWrap/>
            <w:hideMark/>
          </w:tcPr>
          <w:p w14:paraId="653058F4" w14:textId="77777777" w:rsidR="00286543" w:rsidRPr="00286543" w:rsidRDefault="00286543">
            <w:pPr>
              <w:pStyle w:val="Tabele"/>
              <w:jc w:val="right"/>
              <w:rPr>
                <w:b/>
                <w:bCs/>
                <w:color w:val="auto"/>
                <w:lang w:eastAsia="pl-PL"/>
              </w:rPr>
            </w:pPr>
            <w:r w:rsidRPr="00286543">
              <w:rPr>
                <w:rFonts w:cs="Arial"/>
                <w:b/>
                <w:bCs/>
                <w:color w:val="auto"/>
                <w:szCs w:val="16"/>
              </w:rPr>
              <w:t>29 298</w:t>
            </w:r>
          </w:p>
        </w:tc>
        <w:tc>
          <w:tcPr>
            <w:tcW w:w="899" w:type="dxa"/>
            <w:noWrap/>
            <w:hideMark/>
          </w:tcPr>
          <w:p w14:paraId="0AD1791D" w14:textId="77777777" w:rsidR="00286543" w:rsidRPr="00286543" w:rsidRDefault="00286543">
            <w:pPr>
              <w:pStyle w:val="Tabele"/>
              <w:jc w:val="right"/>
              <w:rPr>
                <w:b/>
                <w:bCs/>
                <w:color w:val="auto"/>
                <w:lang w:eastAsia="pl-PL"/>
              </w:rPr>
            </w:pPr>
            <w:r w:rsidRPr="00286543">
              <w:rPr>
                <w:rFonts w:cs="Arial"/>
                <w:b/>
                <w:bCs/>
                <w:color w:val="auto"/>
                <w:szCs w:val="16"/>
              </w:rPr>
              <w:t>25 156</w:t>
            </w:r>
          </w:p>
        </w:tc>
        <w:tc>
          <w:tcPr>
            <w:tcW w:w="900" w:type="dxa"/>
            <w:noWrap/>
            <w:hideMark/>
          </w:tcPr>
          <w:p w14:paraId="211FF34D" w14:textId="77777777" w:rsidR="00286543" w:rsidRPr="00286543" w:rsidRDefault="00286543">
            <w:pPr>
              <w:pStyle w:val="Tabele"/>
              <w:jc w:val="right"/>
              <w:rPr>
                <w:b/>
                <w:bCs/>
                <w:color w:val="auto"/>
                <w:lang w:eastAsia="pl-PL"/>
              </w:rPr>
            </w:pPr>
            <w:r w:rsidRPr="00286543">
              <w:rPr>
                <w:rFonts w:cs="Arial"/>
                <w:b/>
                <w:bCs/>
                <w:color w:val="auto"/>
                <w:szCs w:val="16"/>
              </w:rPr>
              <w:t>22 478</w:t>
            </w:r>
          </w:p>
        </w:tc>
      </w:tr>
      <w:tr w:rsidR="007F0D2B" w:rsidRPr="00157153" w14:paraId="010D4765" w14:textId="77777777" w:rsidTr="00913C31">
        <w:trPr>
          <w:trHeight w:val="229"/>
        </w:trPr>
        <w:tc>
          <w:tcPr>
            <w:tcW w:w="2122" w:type="dxa"/>
            <w:vMerge/>
            <w:hideMark/>
          </w:tcPr>
          <w:p w14:paraId="38C362B2" w14:textId="77777777" w:rsidR="00286543" w:rsidRPr="00286543" w:rsidRDefault="00286543">
            <w:pPr>
              <w:pStyle w:val="Tabele"/>
              <w:rPr>
                <w:b/>
                <w:bCs/>
                <w:color w:val="auto"/>
                <w:lang w:eastAsia="pl-PL"/>
              </w:rPr>
            </w:pPr>
          </w:p>
        </w:tc>
        <w:tc>
          <w:tcPr>
            <w:tcW w:w="4677" w:type="dxa"/>
            <w:hideMark/>
          </w:tcPr>
          <w:p w14:paraId="3AAE24C6" w14:textId="77777777" w:rsidR="00286543" w:rsidRPr="00286543" w:rsidRDefault="00286543">
            <w:pPr>
              <w:pStyle w:val="Tabele"/>
              <w:rPr>
                <w:color w:val="auto"/>
                <w:lang w:eastAsia="pl-PL"/>
              </w:rPr>
            </w:pPr>
            <w:r w:rsidRPr="00286543">
              <w:rPr>
                <w:color w:val="auto"/>
                <w:lang w:eastAsia="pl-PL"/>
              </w:rPr>
              <w:t>Geotermia</w:t>
            </w:r>
          </w:p>
        </w:tc>
        <w:tc>
          <w:tcPr>
            <w:tcW w:w="899" w:type="dxa"/>
            <w:shd w:val="clear" w:color="auto" w:fill="C5E0B3" w:themeFill="accent6" w:themeFillTint="66"/>
            <w:noWrap/>
            <w:hideMark/>
          </w:tcPr>
          <w:p w14:paraId="45C59F2A" w14:textId="77777777" w:rsidR="00286543" w:rsidRPr="00286543" w:rsidRDefault="00286543">
            <w:pPr>
              <w:pStyle w:val="Tabele"/>
              <w:jc w:val="right"/>
              <w:rPr>
                <w:color w:val="auto"/>
                <w:lang w:eastAsia="pl-PL"/>
              </w:rPr>
            </w:pPr>
            <w:r w:rsidRPr="00286543">
              <w:rPr>
                <w:color w:val="auto"/>
              </w:rPr>
              <w:t>11</w:t>
            </w:r>
          </w:p>
        </w:tc>
        <w:tc>
          <w:tcPr>
            <w:tcW w:w="899" w:type="dxa"/>
            <w:shd w:val="clear" w:color="auto" w:fill="C5E0B3" w:themeFill="accent6" w:themeFillTint="66"/>
            <w:noWrap/>
            <w:hideMark/>
          </w:tcPr>
          <w:p w14:paraId="4977E2ED" w14:textId="77777777" w:rsidR="00286543" w:rsidRPr="00286543" w:rsidRDefault="00286543">
            <w:pPr>
              <w:pStyle w:val="Tabele"/>
              <w:jc w:val="right"/>
              <w:rPr>
                <w:color w:val="auto"/>
                <w:lang w:eastAsia="pl-PL"/>
              </w:rPr>
            </w:pPr>
            <w:r w:rsidRPr="00286543">
              <w:rPr>
                <w:color w:val="auto"/>
              </w:rPr>
              <w:t>13</w:t>
            </w:r>
          </w:p>
        </w:tc>
        <w:tc>
          <w:tcPr>
            <w:tcW w:w="900" w:type="dxa"/>
            <w:shd w:val="clear" w:color="auto" w:fill="C5E0B3" w:themeFill="accent6" w:themeFillTint="66"/>
            <w:noWrap/>
            <w:hideMark/>
          </w:tcPr>
          <w:p w14:paraId="174981AE" w14:textId="77777777" w:rsidR="00286543" w:rsidRPr="00286543" w:rsidRDefault="00286543">
            <w:pPr>
              <w:pStyle w:val="Tabele"/>
              <w:jc w:val="right"/>
              <w:rPr>
                <w:color w:val="auto"/>
                <w:lang w:eastAsia="pl-PL"/>
              </w:rPr>
            </w:pPr>
            <w:r w:rsidRPr="00286543">
              <w:rPr>
                <w:color w:val="auto"/>
              </w:rPr>
              <w:t>22</w:t>
            </w:r>
          </w:p>
        </w:tc>
        <w:tc>
          <w:tcPr>
            <w:tcW w:w="899" w:type="dxa"/>
            <w:shd w:val="clear" w:color="auto" w:fill="C5E0B3" w:themeFill="accent6" w:themeFillTint="66"/>
            <w:noWrap/>
            <w:hideMark/>
          </w:tcPr>
          <w:p w14:paraId="7A00B30B" w14:textId="77777777" w:rsidR="00286543" w:rsidRPr="00286543" w:rsidRDefault="00286543">
            <w:pPr>
              <w:pStyle w:val="Tabele"/>
              <w:jc w:val="right"/>
              <w:rPr>
                <w:color w:val="auto"/>
                <w:lang w:eastAsia="pl-PL"/>
              </w:rPr>
            </w:pPr>
            <w:r w:rsidRPr="00286543">
              <w:rPr>
                <w:color w:val="auto"/>
              </w:rPr>
              <w:t>26</w:t>
            </w:r>
          </w:p>
        </w:tc>
        <w:tc>
          <w:tcPr>
            <w:tcW w:w="899" w:type="dxa"/>
            <w:noWrap/>
            <w:hideMark/>
          </w:tcPr>
          <w:p w14:paraId="07E1AE1A" w14:textId="77777777" w:rsidR="00286543" w:rsidRPr="00286543" w:rsidRDefault="00286543">
            <w:pPr>
              <w:pStyle w:val="Tabele"/>
              <w:jc w:val="right"/>
              <w:rPr>
                <w:color w:val="auto"/>
                <w:lang w:eastAsia="pl-PL"/>
              </w:rPr>
            </w:pPr>
            <w:r w:rsidRPr="00286543">
              <w:rPr>
                <w:rFonts w:cs="Arial"/>
                <w:color w:val="auto"/>
                <w:szCs w:val="16"/>
              </w:rPr>
              <w:t>78</w:t>
            </w:r>
          </w:p>
        </w:tc>
        <w:tc>
          <w:tcPr>
            <w:tcW w:w="900" w:type="dxa"/>
            <w:noWrap/>
            <w:hideMark/>
          </w:tcPr>
          <w:p w14:paraId="77E0CDB8" w14:textId="77777777" w:rsidR="00286543" w:rsidRPr="00286543" w:rsidRDefault="00286543">
            <w:pPr>
              <w:pStyle w:val="Tabele"/>
              <w:jc w:val="right"/>
              <w:rPr>
                <w:color w:val="auto"/>
                <w:lang w:eastAsia="pl-PL"/>
              </w:rPr>
            </w:pPr>
            <w:r w:rsidRPr="00286543">
              <w:rPr>
                <w:rFonts w:cs="Arial"/>
                <w:color w:val="auto"/>
                <w:szCs w:val="16"/>
              </w:rPr>
              <w:t>97</w:t>
            </w:r>
          </w:p>
        </w:tc>
        <w:tc>
          <w:tcPr>
            <w:tcW w:w="899" w:type="dxa"/>
            <w:noWrap/>
            <w:hideMark/>
          </w:tcPr>
          <w:p w14:paraId="0641077B" w14:textId="77777777" w:rsidR="00286543" w:rsidRPr="00286543" w:rsidRDefault="00286543">
            <w:pPr>
              <w:pStyle w:val="Tabele"/>
              <w:jc w:val="right"/>
              <w:rPr>
                <w:color w:val="auto"/>
                <w:lang w:eastAsia="pl-PL"/>
              </w:rPr>
            </w:pPr>
            <w:r w:rsidRPr="00286543">
              <w:rPr>
                <w:rFonts w:cs="Arial"/>
                <w:color w:val="auto"/>
                <w:szCs w:val="16"/>
              </w:rPr>
              <w:t>153</w:t>
            </w:r>
          </w:p>
        </w:tc>
        <w:tc>
          <w:tcPr>
            <w:tcW w:w="900" w:type="dxa"/>
            <w:noWrap/>
            <w:hideMark/>
          </w:tcPr>
          <w:p w14:paraId="07C8A213" w14:textId="77777777" w:rsidR="00286543" w:rsidRPr="00286543" w:rsidRDefault="00286543">
            <w:pPr>
              <w:pStyle w:val="Tabele"/>
              <w:jc w:val="right"/>
              <w:rPr>
                <w:color w:val="auto"/>
                <w:lang w:eastAsia="pl-PL"/>
              </w:rPr>
            </w:pPr>
            <w:r w:rsidRPr="00286543">
              <w:rPr>
                <w:rFonts w:cs="Arial"/>
                <w:color w:val="auto"/>
                <w:szCs w:val="16"/>
              </w:rPr>
              <w:t>204</w:t>
            </w:r>
          </w:p>
        </w:tc>
      </w:tr>
      <w:tr w:rsidR="007F0D2B" w:rsidRPr="00157153" w14:paraId="738C6936" w14:textId="77777777" w:rsidTr="00913C31">
        <w:trPr>
          <w:trHeight w:val="229"/>
        </w:trPr>
        <w:tc>
          <w:tcPr>
            <w:tcW w:w="2122" w:type="dxa"/>
            <w:vMerge/>
            <w:hideMark/>
          </w:tcPr>
          <w:p w14:paraId="7578A98E" w14:textId="77777777" w:rsidR="00286543" w:rsidRPr="00286543" w:rsidRDefault="00286543">
            <w:pPr>
              <w:pStyle w:val="Tabele"/>
              <w:rPr>
                <w:b/>
                <w:bCs/>
                <w:color w:val="auto"/>
                <w:lang w:eastAsia="pl-PL"/>
              </w:rPr>
            </w:pPr>
          </w:p>
        </w:tc>
        <w:tc>
          <w:tcPr>
            <w:tcW w:w="4677" w:type="dxa"/>
            <w:noWrap/>
            <w:hideMark/>
          </w:tcPr>
          <w:p w14:paraId="310DB1D0" w14:textId="09B24B5C" w:rsidR="00286543" w:rsidRPr="00286543" w:rsidRDefault="00286543">
            <w:pPr>
              <w:pStyle w:val="Tabele"/>
              <w:rPr>
                <w:color w:val="auto"/>
                <w:lang w:eastAsia="pl-PL"/>
              </w:rPr>
            </w:pPr>
            <w:r w:rsidRPr="00286543">
              <w:rPr>
                <w:color w:val="auto"/>
                <w:lang w:eastAsia="pl-PL"/>
              </w:rPr>
              <w:t>Słońce</w:t>
            </w:r>
            <w:r w:rsidR="00994F9B">
              <w:rPr>
                <w:color w:val="auto"/>
                <w:lang w:eastAsia="pl-PL"/>
              </w:rPr>
              <w:t xml:space="preserve"> (kolektory </w:t>
            </w:r>
            <w:r w:rsidR="008213AE">
              <w:rPr>
                <w:color w:val="auto"/>
                <w:lang w:eastAsia="pl-PL"/>
              </w:rPr>
              <w:t>słoneczn</w:t>
            </w:r>
            <w:r w:rsidR="00595EF0">
              <w:rPr>
                <w:color w:val="auto"/>
                <w:lang w:eastAsia="pl-PL"/>
              </w:rPr>
              <w:t>e</w:t>
            </w:r>
            <w:r w:rsidR="008213AE">
              <w:rPr>
                <w:color w:val="auto"/>
                <w:lang w:eastAsia="pl-PL"/>
              </w:rPr>
              <w:t>)</w:t>
            </w:r>
          </w:p>
        </w:tc>
        <w:tc>
          <w:tcPr>
            <w:tcW w:w="899" w:type="dxa"/>
            <w:shd w:val="clear" w:color="auto" w:fill="C5E0B3" w:themeFill="accent6" w:themeFillTint="66"/>
            <w:noWrap/>
            <w:hideMark/>
          </w:tcPr>
          <w:p w14:paraId="756B35ED" w14:textId="77777777" w:rsidR="00286543" w:rsidRPr="00286543" w:rsidRDefault="00286543">
            <w:pPr>
              <w:pStyle w:val="Tabele"/>
              <w:jc w:val="right"/>
              <w:rPr>
                <w:color w:val="auto"/>
                <w:lang w:eastAsia="pl-PL"/>
              </w:rPr>
            </w:pPr>
            <w:r w:rsidRPr="00286543">
              <w:rPr>
                <w:color w:val="auto"/>
              </w:rPr>
              <w:t>0</w:t>
            </w:r>
          </w:p>
        </w:tc>
        <w:tc>
          <w:tcPr>
            <w:tcW w:w="899" w:type="dxa"/>
            <w:shd w:val="clear" w:color="auto" w:fill="C5E0B3" w:themeFill="accent6" w:themeFillTint="66"/>
            <w:noWrap/>
            <w:hideMark/>
          </w:tcPr>
          <w:p w14:paraId="2D00BC3C" w14:textId="77777777" w:rsidR="00286543" w:rsidRPr="00286543" w:rsidRDefault="00286543">
            <w:pPr>
              <w:pStyle w:val="Tabele"/>
              <w:jc w:val="right"/>
              <w:rPr>
                <w:color w:val="auto"/>
                <w:lang w:eastAsia="pl-PL"/>
              </w:rPr>
            </w:pPr>
            <w:r w:rsidRPr="00286543">
              <w:rPr>
                <w:color w:val="auto"/>
              </w:rPr>
              <w:t>10</w:t>
            </w:r>
          </w:p>
        </w:tc>
        <w:tc>
          <w:tcPr>
            <w:tcW w:w="900" w:type="dxa"/>
            <w:shd w:val="clear" w:color="auto" w:fill="C5E0B3" w:themeFill="accent6" w:themeFillTint="66"/>
            <w:noWrap/>
            <w:hideMark/>
          </w:tcPr>
          <w:p w14:paraId="10421C72" w14:textId="77777777" w:rsidR="00286543" w:rsidRPr="00286543" w:rsidRDefault="00286543">
            <w:pPr>
              <w:pStyle w:val="Tabele"/>
              <w:jc w:val="right"/>
              <w:rPr>
                <w:color w:val="auto"/>
                <w:lang w:eastAsia="pl-PL"/>
              </w:rPr>
            </w:pPr>
            <w:r w:rsidRPr="00286543">
              <w:rPr>
                <w:color w:val="auto"/>
              </w:rPr>
              <w:t>45</w:t>
            </w:r>
          </w:p>
        </w:tc>
        <w:tc>
          <w:tcPr>
            <w:tcW w:w="899" w:type="dxa"/>
            <w:shd w:val="clear" w:color="auto" w:fill="C5E0B3" w:themeFill="accent6" w:themeFillTint="66"/>
            <w:noWrap/>
            <w:hideMark/>
          </w:tcPr>
          <w:p w14:paraId="534A024D" w14:textId="77777777" w:rsidR="00286543" w:rsidRPr="00286543" w:rsidRDefault="00286543">
            <w:pPr>
              <w:pStyle w:val="Tabele"/>
              <w:jc w:val="right"/>
              <w:rPr>
                <w:color w:val="auto"/>
                <w:lang w:eastAsia="pl-PL"/>
              </w:rPr>
            </w:pPr>
            <w:r w:rsidRPr="00286543">
              <w:rPr>
                <w:color w:val="auto"/>
              </w:rPr>
              <w:t>80</w:t>
            </w:r>
          </w:p>
        </w:tc>
        <w:tc>
          <w:tcPr>
            <w:tcW w:w="899" w:type="dxa"/>
            <w:noWrap/>
            <w:hideMark/>
          </w:tcPr>
          <w:p w14:paraId="59472959" w14:textId="77777777" w:rsidR="00286543" w:rsidRPr="00286543" w:rsidRDefault="00286543">
            <w:pPr>
              <w:pStyle w:val="Tabele"/>
              <w:jc w:val="right"/>
              <w:rPr>
                <w:color w:val="auto"/>
                <w:lang w:eastAsia="pl-PL"/>
              </w:rPr>
            </w:pPr>
            <w:r w:rsidRPr="00286543">
              <w:rPr>
                <w:rFonts w:cs="Arial"/>
                <w:color w:val="auto"/>
                <w:szCs w:val="16"/>
              </w:rPr>
              <w:t>267</w:t>
            </w:r>
          </w:p>
        </w:tc>
        <w:tc>
          <w:tcPr>
            <w:tcW w:w="900" w:type="dxa"/>
            <w:noWrap/>
            <w:hideMark/>
          </w:tcPr>
          <w:p w14:paraId="1A0A3252" w14:textId="77777777" w:rsidR="00286543" w:rsidRPr="00286543" w:rsidRDefault="00286543">
            <w:pPr>
              <w:pStyle w:val="Tabele"/>
              <w:jc w:val="right"/>
              <w:rPr>
                <w:color w:val="auto"/>
                <w:lang w:eastAsia="pl-PL"/>
              </w:rPr>
            </w:pPr>
            <w:r w:rsidRPr="00286543">
              <w:rPr>
                <w:rFonts w:cs="Arial"/>
                <w:color w:val="auto"/>
                <w:szCs w:val="16"/>
              </w:rPr>
              <w:t>428</w:t>
            </w:r>
          </w:p>
        </w:tc>
        <w:tc>
          <w:tcPr>
            <w:tcW w:w="899" w:type="dxa"/>
            <w:noWrap/>
            <w:hideMark/>
          </w:tcPr>
          <w:p w14:paraId="1439385A" w14:textId="77777777" w:rsidR="00286543" w:rsidRPr="00286543" w:rsidRDefault="00286543">
            <w:pPr>
              <w:pStyle w:val="Tabele"/>
              <w:jc w:val="right"/>
              <w:rPr>
                <w:color w:val="auto"/>
                <w:lang w:eastAsia="pl-PL"/>
              </w:rPr>
            </w:pPr>
            <w:r w:rsidRPr="00286543">
              <w:rPr>
                <w:rFonts w:cs="Arial"/>
                <w:color w:val="auto"/>
                <w:szCs w:val="16"/>
              </w:rPr>
              <w:t>513</w:t>
            </w:r>
          </w:p>
        </w:tc>
        <w:tc>
          <w:tcPr>
            <w:tcW w:w="900" w:type="dxa"/>
            <w:noWrap/>
            <w:hideMark/>
          </w:tcPr>
          <w:p w14:paraId="72338FE3" w14:textId="77777777" w:rsidR="00286543" w:rsidRPr="00286543" w:rsidRDefault="00286543">
            <w:pPr>
              <w:pStyle w:val="Tabele"/>
              <w:jc w:val="right"/>
              <w:rPr>
                <w:color w:val="auto"/>
                <w:lang w:eastAsia="pl-PL"/>
              </w:rPr>
            </w:pPr>
            <w:r w:rsidRPr="00286543">
              <w:rPr>
                <w:rFonts w:cs="Arial"/>
                <w:color w:val="auto"/>
                <w:szCs w:val="16"/>
              </w:rPr>
              <w:t>557</w:t>
            </w:r>
          </w:p>
        </w:tc>
      </w:tr>
      <w:tr w:rsidR="007F0D2B" w:rsidRPr="00157153" w14:paraId="3F2F1C00" w14:textId="77777777" w:rsidTr="00913C31">
        <w:trPr>
          <w:trHeight w:val="229"/>
        </w:trPr>
        <w:tc>
          <w:tcPr>
            <w:tcW w:w="2122" w:type="dxa"/>
            <w:vMerge/>
            <w:hideMark/>
          </w:tcPr>
          <w:p w14:paraId="6CAD3F84" w14:textId="77777777" w:rsidR="00286543" w:rsidRPr="00286543" w:rsidRDefault="00286543">
            <w:pPr>
              <w:pStyle w:val="Tabele"/>
              <w:rPr>
                <w:b/>
                <w:bCs/>
                <w:color w:val="auto"/>
                <w:lang w:eastAsia="pl-PL"/>
              </w:rPr>
            </w:pPr>
          </w:p>
        </w:tc>
        <w:tc>
          <w:tcPr>
            <w:tcW w:w="4677" w:type="dxa"/>
            <w:noWrap/>
            <w:hideMark/>
          </w:tcPr>
          <w:p w14:paraId="4D6A9161" w14:textId="77777777" w:rsidR="00286543" w:rsidRPr="00286543" w:rsidRDefault="00286543">
            <w:pPr>
              <w:pStyle w:val="Tabele"/>
              <w:rPr>
                <w:color w:val="auto"/>
                <w:lang w:eastAsia="pl-PL"/>
              </w:rPr>
            </w:pPr>
            <w:r w:rsidRPr="00286543">
              <w:rPr>
                <w:color w:val="auto"/>
                <w:lang w:eastAsia="pl-PL"/>
              </w:rPr>
              <w:t>Biomasa stała</w:t>
            </w:r>
          </w:p>
        </w:tc>
        <w:tc>
          <w:tcPr>
            <w:tcW w:w="899" w:type="dxa"/>
            <w:shd w:val="clear" w:color="auto" w:fill="C5E0B3" w:themeFill="accent6" w:themeFillTint="66"/>
            <w:noWrap/>
            <w:hideMark/>
          </w:tcPr>
          <w:p w14:paraId="0C581BC5" w14:textId="77777777" w:rsidR="00286543" w:rsidRPr="00286543" w:rsidRDefault="00286543">
            <w:pPr>
              <w:pStyle w:val="Tabele"/>
              <w:jc w:val="right"/>
              <w:rPr>
                <w:color w:val="auto"/>
                <w:lang w:eastAsia="pl-PL"/>
              </w:rPr>
            </w:pPr>
            <w:r w:rsidRPr="00286543">
              <w:rPr>
                <w:color w:val="auto"/>
              </w:rPr>
              <w:t>3 814</w:t>
            </w:r>
          </w:p>
        </w:tc>
        <w:tc>
          <w:tcPr>
            <w:tcW w:w="899" w:type="dxa"/>
            <w:shd w:val="clear" w:color="auto" w:fill="C5E0B3" w:themeFill="accent6" w:themeFillTint="66"/>
            <w:noWrap/>
            <w:hideMark/>
          </w:tcPr>
          <w:p w14:paraId="2B2E0CC4" w14:textId="77777777" w:rsidR="00286543" w:rsidRPr="00286543" w:rsidRDefault="00286543">
            <w:pPr>
              <w:pStyle w:val="Tabele"/>
              <w:jc w:val="right"/>
              <w:rPr>
                <w:color w:val="auto"/>
                <w:lang w:eastAsia="pl-PL"/>
              </w:rPr>
            </w:pPr>
            <w:r w:rsidRPr="00286543">
              <w:rPr>
                <w:color w:val="auto"/>
              </w:rPr>
              <w:t>4 555</w:t>
            </w:r>
          </w:p>
        </w:tc>
        <w:tc>
          <w:tcPr>
            <w:tcW w:w="900" w:type="dxa"/>
            <w:shd w:val="clear" w:color="auto" w:fill="C5E0B3" w:themeFill="accent6" w:themeFillTint="66"/>
            <w:noWrap/>
            <w:hideMark/>
          </w:tcPr>
          <w:p w14:paraId="20AC7786" w14:textId="77777777" w:rsidR="00286543" w:rsidRPr="00286543" w:rsidRDefault="00286543">
            <w:pPr>
              <w:pStyle w:val="Tabele"/>
              <w:jc w:val="right"/>
              <w:rPr>
                <w:color w:val="auto"/>
                <w:lang w:eastAsia="pl-PL"/>
              </w:rPr>
            </w:pPr>
            <w:r w:rsidRPr="00286543">
              <w:rPr>
                <w:color w:val="auto"/>
              </w:rPr>
              <w:t>4 896</w:t>
            </w:r>
          </w:p>
        </w:tc>
        <w:tc>
          <w:tcPr>
            <w:tcW w:w="899" w:type="dxa"/>
            <w:shd w:val="clear" w:color="auto" w:fill="C5E0B3" w:themeFill="accent6" w:themeFillTint="66"/>
            <w:noWrap/>
            <w:hideMark/>
          </w:tcPr>
          <w:p w14:paraId="13720BA0" w14:textId="77777777" w:rsidR="00286543" w:rsidRPr="00286543" w:rsidRDefault="00286543">
            <w:pPr>
              <w:pStyle w:val="Tabele"/>
              <w:jc w:val="right"/>
              <w:rPr>
                <w:color w:val="auto"/>
                <w:lang w:eastAsia="pl-PL"/>
              </w:rPr>
            </w:pPr>
            <w:r w:rsidRPr="00286543">
              <w:rPr>
                <w:color w:val="auto"/>
              </w:rPr>
              <w:t>7 892</w:t>
            </w:r>
          </w:p>
        </w:tc>
        <w:tc>
          <w:tcPr>
            <w:tcW w:w="899" w:type="dxa"/>
            <w:noWrap/>
            <w:hideMark/>
          </w:tcPr>
          <w:p w14:paraId="1934B898" w14:textId="77777777" w:rsidR="00286543" w:rsidRPr="00286543" w:rsidRDefault="00286543">
            <w:pPr>
              <w:pStyle w:val="Tabele"/>
              <w:jc w:val="right"/>
              <w:rPr>
                <w:color w:val="auto"/>
                <w:lang w:eastAsia="pl-PL"/>
              </w:rPr>
            </w:pPr>
            <w:r w:rsidRPr="00286543">
              <w:rPr>
                <w:rFonts w:cs="Arial"/>
                <w:color w:val="auto"/>
                <w:szCs w:val="16"/>
              </w:rPr>
              <w:t>7 096</w:t>
            </w:r>
          </w:p>
        </w:tc>
        <w:tc>
          <w:tcPr>
            <w:tcW w:w="900" w:type="dxa"/>
            <w:noWrap/>
            <w:hideMark/>
          </w:tcPr>
          <w:p w14:paraId="169A4CEE" w14:textId="77777777" w:rsidR="00286543" w:rsidRPr="00286543" w:rsidRDefault="00286543">
            <w:pPr>
              <w:pStyle w:val="Tabele"/>
              <w:jc w:val="right"/>
              <w:rPr>
                <w:color w:val="auto"/>
                <w:lang w:eastAsia="pl-PL"/>
              </w:rPr>
            </w:pPr>
            <w:r w:rsidRPr="00286543">
              <w:rPr>
                <w:rFonts w:cs="Arial"/>
                <w:color w:val="auto"/>
                <w:szCs w:val="16"/>
              </w:rPr>
              <w:t>7 059</w:t>
            </w:r>
          </w:p>
        </w:tc>
        <w:tc>
          <w:tcPr>
            <w:tcW w:w="899" w:type="dxa"/>
            <w:noWrap/>
            <w:hideMark/>
          </w:tcPr>
          <w:p w14:paraId="3885F24B" w14:textId="77777777" w:rsidR="00286543" w:rsidRPr="00286543" w:rsidRDefault="00286543">
            <w:pPr>
              <w:pStyle w:val="Tabele"/>
              <w:jc w:val="right"/>
              <w:rPr>
                <w:color w:val="auto"/>
                <w:lang w:eastAsia="pl-PL"/>
              </w:rPr>
            </w:pPr>
            <w:r w:rsidRPr="00286543">
              <w:rPr>
                <w:rFonts w:cs="Arial"/>
                <w:color w:val="auto"/>
                <w:szCs w:val="16"/>
              </w:rPr>
              <w:t>6 600</w:t>
            </w:r>
          </w:p>
        </w:tc>
        <w:tc>
          <w:tcPr>
            <w:tcW w:w="900" w:type="dxa"/>
            <w:noWrap/>
            <w:hideMark/>
          </w:tcPr>
          <w:p w14:paraId="05AD0B0E" w14:textId="77777777" w:rsidR="00286543" w:rsidRPr="00286543" w:rsidRDefault="00286543">
            <w:pPr>
              <w:pStyle w:val="Tabele"/>
              <w:jc w:val="right"/>
              <w:rPr>
                <w:color w:val="auto"/>
                <w:lang w:eastAsia="pl-PL"/>
              </w:rPr>
            </w:pPr>
            <w:r w:rsidRPr="00286543">
              <w:rPr>
                <w:rFonts w:cs="Arial"/>
                <w:color w:val="auto"/>
                <w:szCs w:val="16"/>
              </w:rPr>
              <w:t>5 937</w:t>
            </w:r>
          </w:p>
        </w:tc>
      </w:tr>
      <w:tr w:rsidR="007F0D2B" w:rsidRPr="00157153" w14:paraId="0A8F8B8E" w14:textId="77777777" w:rsidTr="00913C31">
        <w:trPr>
          <w:trHeight w:val="229"/>
        </w:trPr>
        <w:tc>
          <w:tcPr>
            <w:tcW w:w="2122" w:type="dxa"/>
            <w:vMerge/>
            <w:hideMark/>
          </w:tcPr>
          <w:p w14:paraId="61278E58" w14:textId="77777777" w:rsidR="00286543" w:rsidRPr="00286543" w:rsidRDefault="00286543">
            <w:pPr>
              <w:pStyle w:val="Tabele"/>
              <w:rPr>
                <w:b/>
                <w:bCs/>
                <w:color w:val="auto"/>
                <w:lang w:eastAsia="pl-PL"/>
              </w:rPr>
            </w:pPr>
          </w:p>
        </w:tc>
        <w:tc>
          <w:tcPr>
            <w:tcW w:w="4677" w:type="dxa"/>
            <w:noWrap/>
            <w:hideMark/>
          </w:tcPr>
          <w:p w14:paraId="458CC0B4" w14:textId="77777777" w:rsidR="00286543" w:rsidRPr="00286543" w:rsidRDefault="00286543">
            <w:pPr>
              <w:pStyle w:val="Tabele"/>
              <w:rPr>
                <w:color w:val="auto"/>
                <w:lang w:eastAsia="pl-PL"/>
              </w:rPr>
            </w:pPr>
            <w:r w:rsidRPr="00286543">
              <w:rPr>
                <w:color w:val="auto"/>
                <w:lang w:eastAsia="pl-PL"/>
              </w:rPr>
              <w:t>Pompy ciepła</w:t>
            </w:r>
          </w:p>
        </w:tc>
        <w:tc>
          <w:tcPr>
            <w:tcW w:w="899" w:type="dxa"/>
            <w:shd w:val="clear" w:color="auto" w:fill="C5E0B3" w:themeFill="accent6" w:themeFillTint="66"/>
            <w:noWrap/>
            <w:hideMark/>
          </w:tcPr>
          <w:p w14:paraId="43C98119" w14:textId="77777777" w:rsidR="00286543" w:rsidRPr="00286543" w:rsidRDefault="00286543">
            <w:pPr>
              <w:pStyle w:val="Tabele"/>
              <w:jc w:val="right"/>
              <w:rPr>
                <w:color w:val="auto"/>
                <w:lang w:eastAsia="pl-PL"/>
              </w:rPr>
            </w:pPr>
            <w:r w:rsidRPr="00286543">
              <w:rPr>
                <w:color w:val="auto"/>
              </w:rPr>
              <w:t>0</w:t>
            </w:r>
          </w:p>
        </w:tc>
        <w:tc>
          <w:tcPr>
            <w:tcW w:w="899" w:type="dxa"/>
            <w:shd w:val="clear" w:color="auto" w:fill="C5E0B3" w:themeFill="accent6" w:themeFillTint="66"/>
            <w:noWrap/>
            <w:hideMark/>
          </w:tcPr>
          <w:p w14:paraId="246A6F68" w14:textId="77777777" w:rsidR="00286543" w:rsidRPr="00286543" w:rsidRDefault="00286543">
            <w:pPr>
              <w:pStyle w:val="Tabele"/>
              <w:jc w:val="right"/>
              <w:rPr>
                <w:color w:val="auto"/>
                <w:lang w:eastAsia="pl-PL"/>
              </w:rPr>
            </w:pPr>
            <w:r w:rsidRPr="00286543">
              <w:rPr>
                <w:color w:val="auto"/>
              </w:rPr>
              <w:t>45</w:t>
            </w:r>
          </w:p>
        </w:tc>
        <w:tc>
          <w:tcPr>
            <w:tcW w:w="900" w:type="dxa"/>
            <w:shd w:val="clear" w:color="auto" w:fill="C5E0B3" w:themeFill="accent6" w:themeFillTint="66"/>
            <w:noWrap/>
            <w:hideMark/>
          </w:tcPr>
          <w:p w14:paraId="22409BA9" w14:textId="77777777" w:rsidR="00286543" w:rsidRPr="00286543" w:rsidRDefault="00286543">
            <w:pPr>
              <w:pStyle w:val="Tabele"/>
              <w:jc w:val="right"/>
              <w:rPr>
                <w:color w:val="auto"/>
                <w:lang w:eastAsia="pl-PL"/>
              </w:rPr>
            </w:pPr>
            <w:r w:rsidRPr="00286543">
              <w:rPr>
                <w:color w:val="auto"/>
              </w:rPr>
              <w:t>133</w:t>
            </w:r>
          </w:p>
        </w:tc>
        <w:tc>
          <w:tcPr>
            <w:tcW w:w="899" w:type="dxa"/>
            <w:shd w:val="clear" w:color="auto" w:fill="C5E0B3" w:themeFill="accent6" w:themeFillTint="66"/>
            <w:noWrap/>
            <w:hideMark/>
          </w:tcPr>
          <w:p w14:paraId="23A062AF" w14:textId="77777777" w:rsidR="00286543" w:rsidRPr="00286543" w:rsidRDefault="00286543">
            <w:pPr>
              <w:pStyle w:val="Tabele"/>
              <w:jc w:val="right"/>
              <w:rPr>
                <w:color w:val="auto"/>
                <w:lang w:eastAsia="pl-PL"/>
              </w:rPr>
            </w:pPr>
            <w:r w:rsidRPr="00286543">
              <w:rPr>
                <w:color w:val="auto"/>
              </w:rPr>
              <w:t>298</w:t>
            </w:r>
          </w:p>
        </w:tc>
        <w:tc>
          <w:tcPr>
            <w:tcW w:w="899" w:type="dxa"/>
            <w:noWrap/>
            <w:hideMark/>
          </w:tcPr>
          <w:p w14:paraId="5AF6A791" w14:textId="77777777" w:rsidR="00286543" w:rsidRPr="00286543" w:rsidRDefault="00286543">
            <w:pPr>
              <w:pStyle w:val="Tabele"/>
              <w:jc w:val="right"/>
              <w:rPr>
                <w:color w:val="auto"/>
                <w:lang w:eastAsia="pl-PL"/>
              </w:rPr>
            </w:pPr>
            <w:r w:rsidRPr="00286543">
              <w:rPr>
                <w:rFonts w:cs="Arial"/>
                <w:color w:val="auto"/>
                <w:szCs w:val="16"/>
              </w:rPr>
              <w:t>1 255</w:t>
            </w:r>
          </w:p>
        </w:tc>
        <w:tc>
          <w:tcPr>
            <w:tcW w:w="900" w:type="dxa"/>
            <w:noWrap/>
            <w:hideMark/>
          </w:tcPr>
          <w:p w14:paraId="43875744" w14:textId="77777777" w:rsidR="00286543" w:rsidRPr="00286543" w:rsidRDefault="00286543">
            <w:pPr>
              <w:pStyle w:val="Tabele"/>
              <w:jc w:val="right"/>
              <w:rPr>
                <w:color w:val="auto"/>
                <w:lang w:eastAsia="pl-PL"/>
              </w:rPr>
            </w:pPr>
            <w:r w:rsidRPr="00286543">
              <w:rPr>
                <w:rFonts w:cs="Arial"/>
                <w:color w:val="auto"/>
                <w:szCs w:val="16"/>
              </w:rPr>
              <w:t>1 861</w:t>
            </w:r>
          </w:p>
        </w:tc>
        <w:tc>
          <w:tcPr>
            <w:tcW w:w="899" w:type="dxa"/>
            <w:noWrap/>
            <w:hideMark/>
          </w:tcPr>
          <w:p w14:paraId="3A2BB3A1" w14:textId="77777777" w:rsidR="00286543" w:rsidRPr="00286543" w:rsidRDefault="00286543">
            <w:pPr>
              <w:pStyle w:val="Tabele"/>
              <w:jc w:val="right"/>
              <w:rPr>
                <w:color w:val="auto"/>
                <w:lang w:eastAsia="pl-PL"/>
              </w:rPr>
            </w:pPr>
            <w:r w:rsidRPr="00286543">
              <w:rPr>
                <w:rFonts w:cs="Arial"/>
                <w:color w:val="auto"/>
                <w:szCs w:val="16"/>
              </w:rPr>
              <w:t>3 113</w:t>
            </w:r>
          </w:p>
        </w:tc>
        <w:tc>
          <w:tcPr>
            <w:tcW w:w="900" w:type="dxa"/>
            <w:noWrap/>
            <w:hideMark/>
          </w:tcPr>
          <w:p w14:paraId="3996FEDB" w14:textId="77777777" w:rsidR="00286543" w:rsidRPr="00286543" w:rsidRDefault="00286543">
            <w:pPr>
              <w:pStyle w:val="Tabele"/>
              <w:jc w:val="right"/>
              <w:rPr>
                <w:color w:val="auto"/>
                <w:lang w:eastAsia="pl-PL"/>
              </w:rPr>
            </w:pPr>
            <w:r w:rsidRPr="00286543">
              <w:rPr>
                <w:rFonts w:cs="Arial"/>
                <w:color w:val="auto"/>
                <w:szCs w:val="16"/>
              </w:rPr>
              <w:t>4 432</w:t>
            </w:r>
          </w:p>
        </w:tc>
      </w:tr>
      <w:tr w:rsidR="00C4254A" w:rsidRPr="00157153" w14:paraId="1AAE08D8" w14:textId="77777777" w:rsidTr="00913C31">
        <w:trPr>
          <w:trHeight w:val="229"/>
        </w:trPr>
        <w:tc>
          <w:tcPr>
            <w:tcW w:w="2122" w:type="dxa"/>
            <w:vMerge/>
            <w:hideMark/>
          </w:tcPr>
          <w:p w14:paraId="3FE96D2D" w14:textId="77777777" w:rsidR="00C4254A" w:rsidRPr="00286543" w:rsidRDefault="00C4254A" w:rsidP="00C4254A">
            <w:pPr>
              <w:pStyle w:val="Tabele"/>
              <w:rPr>
                <w:b/>
                <w:bCs/>
                <w:color w:val="auto"/>
                <w:lang w:eastAsia="pl-PL"/>
              </w:rPr>
            </w:pPr>
          </w:p>
        </w:tc>
        <w:tc>
          <w:tcPr>
            <w:tcW w:w="4677" w:type="dxa"/>
            <w:noWrap/>
            <w:hideMark/>
          </w:tcPr>
          <w:p w14:paraId="790E1FBA" w14:textId="48B4EDEE" w:rsidR="00C4254A" w:rsidRPr="00286543" w:rsidRDefault="00C4254A" w:rsidP="00C4254A">
            <w:pPr>
              <w:pStyle w:val="Tabele"/>
              <w:rPr>
                <w:color w:val="auto"/>
                <w:lang w:eastAsia="pl-PL"/>
              </w:rPr>
            </w:pPr>
            <w:r>
              <w:rPr>
                <w:color w:val="auto"/>
                <w:lang w:eastAsia="pl-PL"/>
              </w:rPr>
              <w:t>Biometan</w:t>
            </w:r>
            <w:r w:rsidR="00950347">
              <w:rPr>
                <w:color w:val="auto"/>
                <w:lang w:eastAsia="pl-PL"/>
              </w:rPr>
              <w:t>/Biogaz/Wodór</w:t>
            </w:r>
          </w:p>
        </w:tc>
        <w:tc>
          <w:tcPr>
            <w:tcW w:w="899" w:type="dxa"/>
            <w:shd w:val="clear" w:color="auto" w:fill="C5E0B3" w:themeFill="accent6" w:themeFillTint="66"/>
            <w:noWrap/>
            <w:hideMark/>
          </w:tcPr>
          <w:p w14:paraId="2DE40E3E" w14:textId="0B0FA5A0" w:rsidR="00C4254A" w:rsidRPr="00286543" w:rsidRDefault="00C4254A" w:rsidP="00C4254A">
            <w:pPr>
              <w:pStyle w:val="Tabele"/>
              <w:jc w:val="right"/>
              <w:rPr>
                <w:color w:val="auto"/>
                <w:lang w:eastAsia="pl-PL"/>
              </w:rPr>
            </w:pPr>
            <w:r w:rsidRPr="00286543">
              <w:rPr>
                <w:color w:val="auto"/>
              </w:rPr>
              <w:t>41</w:t>
            </w:r>
          </w:p>
        </w:tc>
        <w:tc>
          <w:tcPr>
            <w:tcW w:w="899" w:type="dxa"/>
            <w:shd w:val="clear" w:color="auto" w:fill="C5E0B3" w:themeFill="accent6" w:themeFillTint="66"/>
            <w:noWrap/>
            <w:hideMark/>
          </w:tcPr>
          <w:p w14:paraId="21033B1D" w14:textId="3EE27B44" w:rsidR="00C4254A" w:rsidRPr="00286543" w:rsidRDefault="00C4254A" w:rsidP="00C4254A">
            <w:pPr>
              <w:pStyle w:val="Tabele"/>
              <w:jc w:val="right"/>
              <w:rPr>
                <w:color w:val="auto"/>
                <w:lang w:eastAsia="pl-PL"/>
              </w:rPr>
            </w:pPr>
            <w:r w:rsidRPr="00286543">
              <w:rPr>
                <w:color w:val="auto"/>
              </w:rPr>
              <w:t>51</w:t>
            </w:r>
          </w:p>
        </w:tc>
        <w:tc>
          <w:tcPr>
            <w:tcW w:w="900" w:type="dxa"/>
            <w:shd w:val="clear" w:color="auto" w:fill="C5E0B3" w:themeFill="accent6" w:themeFillTint="66"/>
            <w:noWrap/>
            <w:hideMark/>
          </w:tcPr>
          <w:p w14:paraId="13FF922B" w14:textId="378C9BF2" w:rsidR="00C4254A" w:rsidRPr="00286543" w:rsidRDefault="00C4254A" w:rsidP="00C4254A">
            <w:pPr>
              <w:pStyle w:val="Tabele"/>
              <w:jc w:val="right"/>
              <w:rPr>
                <w:color w:val="auto"/>
                <w:lang w:eastAsia="pl-PL"/>
              </w:rPr>
            </w:pPr>
            <w:r w:rsidRPr="00286543">
              <w:rPr>
                <w:color w:val="auto"/>
              </w:rPr>
              <w:t>88</w:t>
            </w:r>
          </w:p>
        </w:tc>
        <w:tc>
          <w:tcPr>
            <w:tcW w:w="899" w:type="dxa"/>
            <w:shd w:val="clear" w:color="auto" w:fill="C5E0B3" w:themeFill="accent6" w:themeFillTint="66"/>
            <w:noWrap/>
            <w:hideMark/>
          </w:tcPr>
          <w:p w14:paraId="4E972BCD" w14:textId="55079219" w:rsidR="00C4254A" w:rsidRPr="00286543" w:rsidRDefault="00C4254A" w:rsidP="00C4254A">
            <w:pPr>
              <w:pStyle w:val="Tabele"/>
              <w:jc w:val="right"/>
              <w:rPr>
                <w:color w:val="auto"/>
                <w:lang w:eastAsia="pl-PL"/>
              </w:rPr>
            </w:pPr>
            <w:r w:rsidRPr="00286543">
              <w:rPr>
                <w:color w:val="auto"/>
              </w:rPr>
              <w:t>114</w:t>
            </w:r>
          </w:p>
        </w:tc>
        <w:tc>
          <w:tcPr>
            <w:tcW w:w="899" w:type="dxa"/>
            <w:noWrap/>
            <w:hideMark/>
          </w:tcPr>
          <w:p w14:paraId="18782972" w14:textId="2F913D40" w:rsidR="00C4254A" w:rsidRPr="00286543" w:rsidRDefault="00C4254A" w:rsidP="00C4254A">
            <w:pPr>
              <w:pStyle w:val="Tabele"/>
              <w:jc w:val="right"/>
              <w:rPr>
                <w:color w:val="auto"/>
                <w:lang w:eastAsia="pl-PL"/>
              </w:rPr>
            </w:pPr>
            <w:r w:rsidRPr="00286543">
              <w:rPr>
                <w:rFonts w:cs="Arial"/>
                <w:color w:val="auto"/>
                <w:szCs w:val="16"/>
              </w:rPr>
              <w:t>191</w:t>
            </w:r>
          </w:p>
        </w:tc>
        <w:tc>
          <w:tcPr>
            <w:tcW w:w="900" w:type="dxa"/>
            <w:noWrap/>
            <w:hideMark/>
          </w:tcPr>
          <w:p w14:paraId="54DAC950" w14:textId="07E1D6EA" w:rsidR="00C4254A" w:rsidRPr="00286543" w:rsidRDefault="005304C8" w:rsidP="00C4254A">
            <w:pPr>
              <w:pStyle w:val="Tabele"/>
              <w:jc w:val="right"/>
              <w:rPr>
                <w:color w:val="auto"/>
                <w:lang w:eastAsia="pl-PL"/>
              </w:rPr>
            </w:pPr>
            <w:r>
              <w:rPr>
                <w:color w:val="auto"/>
                <w:lang w:eastAsia="pl-PL"/>
              </w:rPr>
              <w:t>1 125</w:t>
            </w:r>
          </w:p>
        </w:tc>
        <w:tc>
          <w:tcPr>
            <w:tcW w:w="899" w:type="dxa"/>
            <w:noWrap/>
            <w:hideMark/>
          </w:tcPr>
          <w:p w14:paraId="6869E62A" w14:textId="0CAF10C1" w:rsidR="00C4254A" w:rsidRPr="00286543" w:rsidRDefault="00466451" w:rsidP="00C4254A">
            <w:pPr>
              <w:pStyle w:val="Tabele"/>
              <w:jc w:val="right"/>
              <w:rPr>
                <w:color w:val="auto"/>
                <w:lang w:eastAsia="pl-PL"/>
              </w:rPr>
            </w:pPr>
            <w:r>
              <w:rPr>
                <w:color w:val="auto"/>
                <w:lang w:eastAsia="pl-PL"/>
              </w:rPr>
              <w:t xml:space="preserve">2 </w:t>
            </w:r>
            <w:r w:rsidR="00ED3C4D">
              <w:rPr>
                <w:color w:val="auto"/>
                <w:lang w:eastAsia="pl-PL"/>
              </w:rPr>
              <w:t>121</w:t>
            </w:r>
          </w:p>
        </w:tc>
        <w:tc>
          <w:tcPr>
            <w:tcW w:w="900" w:type="dxa"/>
            <w:noWrap/>
            <w:hideMark/>
          </w:tcPr>
          <w:p w14:paraId="41AFCCDF" w14:textId="6D5B5117" w:rsidR="00C4254A" w:rsidRPr="00286543" w:rsidRDefault="008425C7" w:rsidP="00C4254A">
            <w:pPr>
              <w:pStyle w:val="Tabele"/>
              <w:jc w:val="right"/>
              <w:rPr>
                <w:color w:val="auto"/>
                <w:lang w:eastAsia="pl-PL"/>
              </w:rPr>
            </w:pPr>
            <w:r>
              <w:rPr>
                <w:color w:val="auto"/>
                <w:lang w:eastAsia="pl-PL"/>
              </w:rPr>
              <w:t>3 797</w:t>
            </w:r>
          </w:p>
        </w:tc>
      </w:tr>
      <w:tr w:rsidR="007F0D2B" w:rsidRPr="00157153" w14:paraId="37D5F971" w14:textId="77777777" w:rsidTr="00913C31">
        <w:trPr>
          <w:trHeight w:val="229"/>
        </w:trPr>
        <w:tc>
          <w:tcPr>
            <w:tcW w:w="2122" w:type="dxa"/>
            <w:vMerge/>
            <w:hideMark/>
          </w:tcPr>
          <w:p w14:paraId="2195FC0B" w14:textId="77777777" w:rsidR="00286543" w:rsidRPr="00286543" w:rsidRDefault="00286543">
            <w:pPr>
              <w:pStyle w:val="Tabele"/>
              <w:rPr>
                <w:b/>
                <w:bCs/>
                <w:color w:val="auto"/>
                <w:lang w:eastAsia="pl-PL"/>
              </w:rPr>
            </w:pPr>
          </w:p>
        </w:tc>
        <w:tc>
          <w:tcPr>
            <w:tcW w:w="4677" w:type="dxa"/>
            <w:noWrap/>
            <w:hideMark/>
          </w:tcPr>
          <w:p w14:paraId="11F306F8" w14:textId="2562F76C" w:rsidR="00286543" w:rsidRPr="00286543" w:rsidRDefault="00FB009C">
            <w:pPr>
              <w:pStyle w:val="Tabele"/>
              <w:rPr>
                <w:color w:val="auto"/>
                <w:lang w:eastAsia="pl-PL"/>
              </w:rPr>
            </w:pPr>
            <w:r w:rsidRPr="00681E39">
              <w:rPr>
                <w:color w:val="auto"/>
                <w:lang w:eastAsia="pl-PL"/>
              </w:rPr>
              <w:t xml:space="preserve">Odnawialne odpady komunalne </w:t>
            </w:r>
            <w:r>
              <w:rPr>
                <w:color w:val="auto"/>
                <w:lang w:eastAsia="pl-PL"/>
              </w:rPr>
              <w:t>(frakcja BIO)</w:t>
            </w:r>
          </w:p>
        </w:tc>
        <w:tc>
          <w:tcPr>
            <w:tcW w:w="899" w:type="dxa"/>
            <w:shd w:val="clear" w:color="auto" w:fill="C5E0B3" w:themeFill="accent6" w:themeFillTint="66"/>
            <w:noWrap/>
            <w:hideMark/>
          </w:tcPr>
          <w:p w14:paraId="335F0AD2" w14:textId="77777777" w:rsidR="00286543" w:rsidRPr="00286543" w:rsidRDefault="00286543">
            <w:pPr>
              <w:pStyle w:val="Tabele"/>
              <w:jc w:val="right"/>
              <w:rPr>
                <w:color w:val="auto"/>
                <w:lang w:eastAsia="pl-PL"/>
              </w:rPr>
            </w:pPr>
            <w:r w:rsidRPr="00286543">
              <w:rPr>
                <w:color w:val="auto"/>
              </w:rPr>
              <w:t>1</w:t>
            </w:r>
          </w:p>
        </w:tc>
        <w:tc>
          <w:tcPr>
            <w:tcW w:w="899" w:type="dxa"/>
            <w:shd w:val="clear" w:color="auto" w:fill="C5E0B3" w:themeFill="accent6" w:themeFillTint="66"/>
            <w:noWrap/>
            <w:hideMark/>
          </w:tcPr>
          <w:p w14:paraId="602EF301" w14:textId="77777777" w:rsidR="00286543" w:rsidRPr="00286543" w:rsidRDefault="00286543">
            <w:pPr>
              <w:pStyle w:val="Tabele"/>
              <w:jc w:val="right"/>
              <w:rPr>
                <w:color w:val="auto"/>
                <w:lang w:eastAsia="pl-PL"/>
              </w:rPr>
            </w:pPr>
            <w:r w:rsidRPr="00286543">
              <w:rPr>
                <w:color w:val="auto"/>
              </w:rPr>
              <w:t>3</w:t>
            </w:r>
          </w:p>
        </w:tc>
        <w:tc>
          <w:tcPr>
            <w:tcW w:w="900" w:type="dxa"/>
            <w:shd w:val="clear" w:color="auto" w:fill="C5E0B3" w:themeFill="accent6" w:themeFillTint="66"/>
            <w:noWrap/>
            <w:hideMark/>
          </w:tcPr>
          <w:p w14:paraId="042D499B" w14:textId="77777777" w:rsidR="00286543" w:rsidRPr="00286543" w:rsidRDefault="00286543">
            <w:pPr>
              <w:pStyle w:val="Tabele"/>
              <w:jc w:val="right"/>
              <w:rPr>
                <w:color w:val="auto"/>
                <w:lang w:eastAsia="pl-PL"/>
              </w:rPr>
            </w:pPr>
            <w:r w:rsidRPr="00286543">
              <w:rPr>
                <w:color w:val="auto"/>
              </w:rPr>
              <w:t>40</w:t>
            </w:r>
          </w:p>
        </w:tc>
        <w:tc>
          <w:tcPr>
            <w:tcW w:w="899" w:type="dxa"/>
            <w:shd w:val="clear" w:color="auto" w:fill="C5E0B3" w:themeFill="accent6" w:themeFillTint="66"/>
            <w:noWrap/>
            <w:hideMark/>
          </w:tcPr>
          <w:p w14:paraId="586D636C" w14:textId="77777777" w:rsidR="00286543" w:rsidRPr="00286543" w:rsidRDefault="00286543">
            <w:pPr>
              <w:pStyle w:val="Tabele"/>
              <w:jc w:val="right"/>
              <w:rPr>
                <w:color w:val="auto"/>
                <w:lang w:eastAsia="pl-PL"/>
              </w:rPr>
            </w:pPr>
            <w:r w:rsidRPr="00286543">
              <w:rPr>
                <w:color w:val="auto"/>
              </w:rPr>
              <w:t>97</w:t>
            </w:r>
          </w:p>
        </w:tc>
        <w:tc>
          <w:tcPr>
            <w:tcW w:w="899" w:type="dxa"/>
            <w:noWrap/>
            <w:hideMark/>
          </w:tcPr>
          <w:p w14:paraId="778C1533" w14:textId="77777777" w:rsidR="00286543" w:rsidRPr="00286543" w:rsidRDefault="00286543">
            <w:pPr>
              <w:pStyle w:val="Tabele"/>
              <w:jc w:val="right"/>
              <w:rPr>
                <w:color w:val="auto"/>
                <w:lang w:eastAsia="pl-PL"/>
              </w:rPr>
            </w:pPr>
            <w:r w:rsidRPr="00286543">
              <w:rPr>
                <w:rFonts w:cs="Arial"/>
                <w:color w:val="auto"/>
                <w:szCs w:val="16"/>
              </w:rPr>
              <w:t>153</w:t>
            </w:r>
          </w:p>
        </w:tc>
        <w:tc>
          <w:tcPr>
            <w:tcW w:w="900" w:type="dxa"/>
            <w:noWrap/>
            <w:hideMark/>
          </w:tcPr>
          <w:p w14:paraId="5416461A" w14:textId="77777777" w:rsidR="00286543" w:rsidRPr="00286543" w:rsidRDefault="00286543">
            <w:pPr>
              <w:pStyle w:val="Tabele"/>
              <w:jc w:val="right"/>
              <w:rPr>
                <w:color w:val="auto"/>
                <w:lang w:eastAsia="pl-PL"/>
              </w:rPr>
            </w:pPr>
            <w:r w:rsidRPr="00286543">
              <w:rPr>
                <w:rFonts w:cs="Arial"/>
                <w:color w:val="auto"/>
                <w:szCs w:val="16"/>
              </w:rPr>
              <w:t>197</w:t>
            </w:r>
          </w:p>
        </w:tc>
        <w:tc>
          <w:tcPr>
            <w:tcW w:w="899" w:type="dxa"/>
            <w:noWrap/>
            <w:hideMark/>
          </w:tcPr>
          <w:p w14:paraId="758C47F5" w14:textId="77777777" w:rsidR="00286543" w:rsidRPr="00286543" w:rsidRDefault="00286543">
            <w:pPr>
              <w:pStyle w:val="Tabele"/>
              <w:jc w:val="right"/>
              <w:rPr>
                <w:color w:val="auto"/>
                <w:lang w:eastAsia="pl-PL"/>
              </w:rPr>
            </w:pPr>
            <w:r w:rsidRPr="00286543">
              <w:rPr>
                <w:rFonts w:cs="Arial"/>
                <w:color w:val="auto"/>
                <w:szCs w:val="16"/>
              </w:rPr>
              <w:t>209</w:t>
            </w:r>
          </w:p>
        </w:tc>
        <w:tc>
          <w:tcPr>
            <w:tcW w:w="900" w:type="dxa"/>
            <w:noWrap/>
            <w:hideMark/>
          </w:tcPr>
          <w:p w14:paraId="21B16D27" w14:textId="77777777" w:rsidR="00286543" w:rsidRPr="00286543" w:rsidRDefault="00286543">
            <w:pPr>
              <w:pStyle w:val="Tabele"/>
              <w:jc w:val="right"/>
              <w:rPr>
                <w:color w:val="auto"/>
                <w:lang w:eastAsia="pl-PL"/>
              </w:rPr>
            </w:pPr>
            <w:r w:rsidRPr="00286543">
              <w:rPr>
                <w:rFonts w:cs="Arial"/>
                <w:color w:val="auto"/>
                <w:szCs w:val="16"/>
              </w:rPr>
              <w:t>271</w:t>
            </w:r>
          </w:p>
        </w:tc>
      </w:tr>
      <w:tr w:rsidR="007F0D2B" w:rsidRPr="00157153" w14:paraId="11E4D555" w14:textId="77777777" w:rsidTr="00913C31">
        <w:trPr>
          <w:trHeight w:val="229"/>
        </w:trPr>
        <w:tc>
          <w:tcPr>
            <w:tcW w:w="2122" w:type="dxa"/>
            <w:vMerge w:val="restart"/>
            <w:hideMark/>
          </w:tcPr>
          <w:p w14:paraId="26CF28C3" w14:textId="77777777" w:rsidR="00286543" w:rsidRPr="00286543" w:rsidRDefault="00286543">
            <w:pPr>
              <w:pStyle w:val="Tabele"/>
              <w:rPr>
                <w:b/>
                <w:bCs/>
                <w:color w:val="auto"/>
                <w:lang w:eastAsia="pl-PL"/>
              </w:rPr>
            </w:pPr>
            <w:r w:rsidRPr="00286543">
              <w:rPr>
                <w:b/>
                <w:bCs/>
                <w:color w:val="auto"/>
                <w:lang w:eastAsia="pl-PL"/>
              </w:rPr>
              <w:t xml:space="preserve">Udział poszczególnych rodzajów technologii w zużyciu energii z OZE w ciepłownictwie i chłodnictwie </w:t>
            </w:r>
          </w:p>
        </w:tc>
        <w:tc>
          <w:tcPr>
            <w:tcW w:w="4677" w:type="dxa"/>
            <w:hideMark/>
          </w:tcPr>
          <w:p w14:paraId="745B89F8" w14:textId="77777777" w:rsidR="00286543" w:rsidRPr="00286543" w:rsidRDefault="00286543">
            <w:pPr>
              <w:pStyle w:val="Tabele"/>
              <w:rPr>
                <w:color w:val="auto"/>
                <w:lang w:eastAsia="pl-PL"/>
              </w:rPr>
            </w:pPr>
            <w:r w:rsidRPr="00286543">
              <w:rPr>
                <w:color w:val="auto"/>
                <w:lang w:eastAsia="pl-PL"/>
              </w:rPr>
              <w:t>Geotermia</w:t>
            </w:r>
          </w:p>
        </w:tc>
        <w:tc>
          <w:tcPr>
            <w:tcW w:w="899" w:type="dxa"/>
            <w:shd w:val="clear" w:color="auto" w:fill="C5E0B3" w:themeFill="accent6" w:themeFillTint="66"/>
            <w:noWrap/>
            <w:hideMark/>
          </w:tcPr>
          <w:p w14:paraId="76C8D3B8" w14:textId="77777777" w:rsidR="00286543" w:rsidRPr="00286543" w:rsidRDefault="00286543">
            <w:pPr>
              <w:pStyle w:val="Tabele"/>
              <w:jc w:val="right"/>
              <w:rPr>
                <w:color w:val="auto"/>
                <w:lang w:eastAsia="pl-PL"/>
              </w:rPr>
            </w:pPr>
            <w:r w:rsidRPr="00286543">
              <w:rPr>
                <w:color w:val="auto"/>
              </w:rPr>
              <w:t>0,3%</w:t>
            </w:r>
          </w:p>
        </w:tc>
        <w:tc>
          <w:tcPr>
            <w:tcW w:w="899" w:type="dxa"/>
            <w:shd w:val="clear" w:color="auto" w:fill="C5E0B3" w:themeFill="accent6" w:themeFillTint="66"/>
            <w:noWrap/>
            <w:hideMark/>
          </w:tcPr>
          <w:p w14:paraId="116F37F4" w14:textId="77777777" w:rsidR="00286543" w:rsidRPr="00286543" w:rsidRDefault="00286543">
            <w:pPr>
              <w:pStyle w:val="Tabele"/>
              <w:jc w:val="right"/>
              <w:rPr>
                <w:color w:val="auto"/>
                <w:lang w:eastAsia="pl-PL"/>
              </w:rPr>
            </w:pPr>
            <w:r w:rsidRPr="00286543">
              <w:rPr>
                <w:color w:val="auto"/>
              </w:rPr>
              <w:t>0,3%</w:t>
            </w:r>
          </w:p>
        </w:tc>
        <w:tc>
          <w:tcPr>
            <w:tcW w:w="900" w:type="dxa"/>
            <w:shd w:val="clear" w:color="auto" w:fill="C5E0B3" w:themeFill="accent6" w:themeFillTint="66"/>
            <w:noWrap/>
            <w:hideMark/>
          </w:tcPr>
          <w:p w14:paraId="72C233B9" w14:textId="77777777" w:rsidR="00286543" w:rsidRPr="00286543" w:rsidRDefault="00286543">
            <w:pPr>
              <w:pStyle w:val="Tabele"/>
              <w:jc w:val="right"/>
              <w:rPr>
                <w:color w:val="auto"/>
                <w:lang w:eastAsia="pl-PL"/>
              </w:rPr>
            </w:pPr>
            <w:r w:rsidRPr="00286543">
              <w:rPr>
                <w:color w:val="auto"/>
              </w:rPr>
              <w:t>0,4%</w:t>
            </w:r>
          </w:p>
        </w:tc>
        <w:tc>
          <w:tcPr>
            <w:tcW w:w="899" w:type="dxa"/>
            <w:shd w:val="clear" w:color="auto" w:fill="C5E0B3" w:themeFill="accent6" w:themeFillTint="66"/>
            <w:noWrap/>
            <w:hideMark/>
          </w:tcPr>
          <w:p w14:paraId="1F47473B" w14:textId="77777777" w:rsidR="00286543" w:rsidRPr="00286543" w:rsidRDefault="00286543">
            <w:pPr>
              <w:pStyle w:val="Tabele"/>
              <w:jc w:val="right"/>
              <w:rPr>
                <w:color w:val="auto"/>
                <w:lang w:eastAsia="pl-PL"/>
              </w:rPr>
            </w:pPr>
            <w:r w:rsidRPr="00286543">
              <w:rPr>
                <w:color w:val="auto"/>
              </w:rPr>
              <w:t>0,3%</w:t>
            </w:r>
          </w:p>
        </w:tc>
        <w:tc>
          <w:tcPr>
            <w:tcW w:w="899" w:type="dxa"/>
            <w:noWrap/>
            <w:hideMark/>
          </w:tcPr>
          <w:p w14:paraId="0C846233" w14:textId="77777777" w:rsidR="00286543" w:rsidRPr="00286543" w:rsidRDefault="00286543">
            <w:pPr>
              <w:pStyle w:val="Tabele"/>
              <w:jc w:val="right"/>
              <w:rPr>
                <w:color w:val="auto"/>
                <w:lang w:eastAsia="pl-PL"/>
              </w:rPr>
            </w:pPr>
            <w:r w:rsidRPr="00286543">
              <w:rPr>
                <w:rFonts w:cs="Arial"/>
                <w:color w:val="auto"/>
                <w:szCs w:val="16"/>
              </w:rPr>
              <w:t>0,9%</w:t>
            </w:r>
          </w:p>
        </w:tc>
        <w:tc>
          <w:tcPr>
            <w:tcW w:w="900" w:type="dxa"/>
            <w:noWrap/>
            <w:hideMark/>
          </w:tcPr>
          <w:p w14:paraId="4DB8081B" w14:textId="77777777" w:rsidR="00286543" w:rsidRPr="00286543" w:rsidRDefault="00286543">
            <w:pPr>
              <w:pStyle w:val="Tabele"/>
              <w:jc w:val="right"/>
              <w:rPr>
                <w:color w:val="auto"/>
                <w:lang w:eastAsia="pl-PL"/>
              </w:rPr>
            </w:pPr>
            <w:r w:rsidRPr="00286543">
              <w:rPr>
                <w:rFonts w:cs="Arial"/>
                <w:color w:val="auto"/>
                <w:szCs w:val="16"/>
              </w:rPr>
              <w:t>0,9%</w:t>
            </w:r>
          </w:p>
        </w:tc>
        <w:tc>
          <w:tcPr>
            <w:tcW w:w="899" w:type="dxa"/>
            <w:noWrap/>
            <w:hideMark/>
          </w:tcPr>
          <w:p w14:paraId="281BDBE3" w14:textId="77777777" w:rsidR="00286543" w:rsidRPr="00286543" w:rsidRDefault="00286543">
            <w:pPr>
              <w:pStyle w:val="Tabele"/>
              <w:jc w:val="right"/>
              <w:rPr>
                <w:color w:val="auto"/>
                <w:lang w:eastAsia="pl-PL"/>
              </w:rPr>
            </w:pPr>
            <w:r w:rsidRPr="00286543">
              <w:rPr>
                <w:rFonts w:cs="Arial"/>
                <w:color w:val="auto"/>
                <w:szCs w:val="16"/>
              </w:rPr>
              <w:t>1,2%</w:t>
            </w:r>
          </w:p>
        </w:tc>
        <w:tc>
          <w:tcPr>
            <w:tcW w:w="900" w:type="dxa"/>
            <w:noWrap/>
            <w:hideMark/>
          </w:tcPr>
          <w:p w14:paraId="4FCF5267" w14:textId="77777777" w:rsidR="00286543" w:rsidRPr="00286543" w:rsidRDefault="00286543">
            <w:pPr>
              <w:pStyle w:val="Tabele"/>
              <w:jc w:val="right"/>
              <w:rPr>
                <w:color w:val="auto"/>
                <w:lang w:eastAsia="pl-PL"/>
              </w:rPr>
            </w:pPr>
            <w:r w:rsidRPr="00286543">
              <w:rPr>
                <w:rFonts w:cs="Arial"/>
                <w:color w:val="auto"/>
                <w:szCs w:val="16"/>
              </w:rPr>
              <w:t>1,3%</w:t>
            </w:r>
          </w:p>
        </w:tc>
      </w:tr>
      <w:tr w:rsidR="007F0D2B" w:rsidRPr="00157153" w14:paraId="2107B8DD" w14:textId="77777777" w:rsidTr="00913C31">
        <w:trPr>
          <w:trHeight w:val="229"/>
        </w:trPr>
        <w:tc>
          <w:tcPr>
            <w:tcW w:w="2122" w:type="dxa"/>
            <w:vMerge/>
            <w:hideMark/>
          </w:tcPr>
          <w:p w14:paraId="12D8E7E9" w14:textId="77777777" w:rsidR="00286543" w:rsidRPr="00286543" w:rsidRDefault="00286543">
            <w:pPr>
              <w:pStyle w:val="Tabele"/>
              <w:rPr>
                <w:color w:val="auto"/>
                <w:lang w:eastAsia="pl-PL"/>
              </w:rPr>
            </w:pPr>
          </w:p>
        </w:tc>
        <w:tc>
          <w:tcPr>
            <w:tcW w:w="4677" w:type="dxa"/>
            <w:noWrap/>
            <w:hideMark/>
          </w:tcPr>
          <w:p w14:paraId="26459ACE" w14:textId="3F2E7652" w:rsidR="00286543" w:rsidRPr="00286543" w:rsidRDefault="00286543">
            <w:pPr>
              <w:pStyle w:val="Tabele"/>
              <w:rPr>
                <w:color w:val="auto"/>
                <w:lang w:eastAsia="pl-PL"/>
              </w:rPr>
            </w:pPr>
            <w:r w:rsidRPr="00286543">
              <w:rPr>
                <w:color w:val="auto"/>
                <w:lang w:eastAsia="pl-PL"/>
              </w:rPr>
              <w:t>Słońce</w:t>
            </w:r>
            <w:r w:rsidR="00A4345C">
              <w:rPr>
                <w:color w:val="auto"/>
                <w:lang w:eastAsia="pl-PL"/>
              </w:rPr>
              <w:t xml:space="preserve"> (kolektory słoneczne)</w:t>
            </w:r>
          </w:p>
        </w:tc>
        <w:tc>
          <w:tcPr>
            <w:tcW w:w="899" w:type="dxa"/>
            <w:shd w:val="clear" w:color="auto" w:fill="C5E0B3" w:themeFill="accent6" w:themeFillTint="66"/>
            <w:noWrap/>
            <w:hideMark/>
          </w:tcPr>
          <w:p w14:paraId="57509D69" w14:textId="77777777" w:rsidR="00286543" w:rsidRPr="00286543" w:rsidRDefault="00286543">
            <w:pPr>
              <w:pStyle w:val="Tabele"/>
              <w:jc w:val="right"/>
              <w:rPr>
                <w:color w:val="auto"/>
                <w:lang w:eastAsia="pl-PL"/>
              </w:rPr>
            </w:pPr>
            <w:r w:rsidRPr="00286543">
              <w:rPr>
                <w:color w:val="auto"/>
              </w:rPr>
              <w:t>0,0%</w:t>
            </w:r>
          </w:p>
        </w:tc>
        <w:tc>
          <w:tcPr>
            <w:tcW w:w="899" w:type="dxa"/>
            <w:shd w:val="clear" w:color="auto" w:fill="C5E0B3" w:themeFill="accent6" w:themeFillTint="66"/>
            <w:noWrap/>
            <w:hideMark/>
          </w:tcPr>
          <w:p w14:paraId="4AB3B769" w14:textId="77777777" w:rsidR="00286543" w:rsidRPr="00286543" w:rsidRDefault="00286543">
            <w:pPr>
              <w:pStyle w:val="Tabele"/>
              <w:jc w:val="right"/>
              <w:rPr>
                <w:color w:val="auto"/>
                <w:lang w:eastAsia="pl-PL"/>
              </w:rPr>
            </w:pPr>
            <w:r w:rsidRPr="00286543">
              <w:rPr>
                <w:color w:val="auto"/>
              </w:rPr>
              <w:t>0,2%</w:t>
            </w:r>
          </w:p>
        </w:tc>
        <w:tc>
          <w:tcPr>
            <w:tcW w:w="900" w:type="dxa"/>
            <w:shd w:val="clear" w:color="auto" w:fill="C5E0B3" w:themeFill="accent6" w:themeFillTint="66"/>
            <w:noWrap/>
            <w:hideMark/>
          </w:tcPr>
          <w:p w14:paraId="6B90110E" w14:textId="77777777" w:rsidR="00286543" w:rsidRPr="00286543" w:rsidRDefault="00286543">
            <w:pPr>
              <w:pStyle w:val="Tabele"/>
              <w:jc w:val="right"/>
              <w:rPr>
                <w:color w:val="auto"/>
                <w:lang w:eastAsia="pl-PL"/>
              </w:rPr>
            </w:pPr>
            <w:r w:rsidRPr="00286543">
              <w:rPr>
                <w:color w:val="auto"/>
              </w:rPr>
              <w:t>0,9%</w:t>
            </w:r>
          </w:p>
        </w:tc>
        <w:tc>
          <w:tcPr>
            <w:tcW w:w="899" w:type="dxa"/>
            <w:shd w:val="clear" w:color="auto" w:fill="C5E0B3" w:themeFill="accent6" w:themeFillTint="66"/>
            <w:noWrap/>
            <w:hideMark/>
          </w:tcPr>
          <w:p w14:paraId="10EB4518" w14:textId="77777777" w:rsidR="00286543" w:rsidRPr="00286543" w:rsidRDefault="00286543">
            <w:pPr>
              <w:pStyle w:val="Tabele"/>
              <w:jc w:val="right"/>
              <w:rPr>
                <w:color w:val="auto"/>
                <w:lang w:eastAsia="pl-PL"/>
              </w:rPr>
            </w:pPr>
            <w:r w:rsidRPr="00286543">
              <w:rPr>
                <w:color w:val="auto"/>
              </w:rPr>
              <w:t>0,9%</w:t>
            </w:r>
          </w:p>
        </w:tc>
        <w:tc>
          <w:tcPr>
            <w:tcW w:w="899" w:type="dxa"/>
            <w:noWrap/>
            <w:hideMark/>
          </w:tcPr>
          <w:p w14:paraId="2CC658B3" w14:textId="77777777" w:rsidR="00286543" w:rsidRPr="00286543" w:rsidRDefault="00286543">
            <w:pPr>
              <w:pStyle w:val="Tabele"/>
              <w:jc w:val="right"/>
              <w:rPr>
                <w:color w:val="auto"/>
                <w:lang w:eastAsia="pl-PL"/>
              </w:rPr>
            </w:pPr>
            <w:r w:rsidRPr="00286543">
              <w:rPr>
                <w:rFonts w:cs="Arial"/>
                <w:color w:val="auto"/>
                <w:szCs w:val="16"/>
              </w:rPr>
              <w:t>3,0%</w:t>
            </w:r>
          </w:p>
        </w:tc>
        <w:tc>
          <w:tcPr>
            <w:tcW w:w="900" w:type="dxa"/>
            <w:noWrap/>
            <w:hideMark/>
          </w:tcPr>
          <w:p w14:paraId="5045A098" w14:textId="77777777" w:rsidR="00286543" w:rsidRPr="00286543" w:rsidRDefault="00286543">
            <w:pPr>
              <w:pStyle w:val="Tabele"/>
              <w:jc w:val="right"/>
              <w:rPr>
                <w:color w:val="auto"/>
                <w:lang w:eastAsia="pl-PL"/>
              </w:rPr>
            </w:pPr>
            <w:r w:rsidRPr="00286543">
              <w:rPr>
                <w:rFonts w:cs="Arial"/>
                <w:color w:val="auto"/>
                <w:szCs w:val="16"/>
              </w:rPr>
              <w:t>4,0%</w:t>
            </w:r>
          </w:p>
        </w:tc>
        <w:tc>
          <w:tcPr>
            <w:tcW w:w="899" w:type="dxa"/>
            <w:noWrap/>
            <w:hideMark/>
          </w:tcPr>
          <w:p w14:paraId="1A2ED1B2" w14:textId="77777777" w:rsidR="00286543" w:rsidRPr="00286543" w:rsidRDefault="00286543">
            <w:pPr>
              <w:pStyle w:val="Tabele"/>
              <w:jc w:val="right"/>
              <w:rPr>
                <w:color w:val="auto"/>
                <w:lang w:eastAsia="pl-PL"/>
              </w:rPr>
            </w:pPr>
            <w:r w:rsidRPr="00286543">
              <w:rPr>
                <w:rFonts w:cs="Arial"/>
                <w:color w:val="auto"/>
                <w:szCs w:val="16"/>
              </w:rPr>
              <w:t>4,0%</w:t>
            </w:r>
          </w:p>
        </w:tc>
        <w:tc>
          <w:tcPr>
            <w:tcW w:w="900" w:type="dxa"/>
            <w:noWrap/>
            <w:hideMark/>
          </w:tcPr>
          <w:p w14:paraId="112F516A" w14:textId="77777777" w:rsidR="00286543" w:rsidRPr="00286543" w:rsidRDefault="00286543">
            <w:pPr>
              <w:pStyle w:val="Tabele"/>
              <w:jc w:val="right"/>
              <w:rPr>
                <w:color w:val="auto"/>
                <w:lang w:eastAsia="pl-PL"/>
              </w:rPr>
            </w:pPr>
            <w:r w:rsidRPr="00286543">
              <w:rPr>
                <w:rFonts w:cs="Arial"/>
                <w:color w:val="auto"/>
                <w:szCs w:val="16"/>
              </w:rPr>
              <w:t>3,7%</w:t>
            </w:r>
          </w:p>
        </w:tc>
      </w:tr>
      <w:tr w:rsidR="007F0D2B" w:rsidRPr="00157153" w14:paraId="2DF0C0E5" w14:textId="77777777" w:rsidTr="00913C31">
        <w:trPr>
          <w:trHeight w:val="229"/>
        </w:trPr>
        <w:tc>
          <w:tcPr>
            <w:tcW w:w="2122" w:type="dxa"/>
            <w:vMerge/>
            <w:hideMark/>
          </w:tcPr>
          <w:p w14:paraId="404BB91F" w14:textId="77777777" w:rsidR="00286543" w:rsidRPr="00286543" w:rsidRDefault="00286543">
            <w:pPr>
              <w:pStyle w:val="Tabele"/>
              <w:rPr>
                <w:color w:val="auto"/>
                <w:lang w:eastAsia="pl-PL"/>
              </w:rPr>
            </w:pPr>
          </w:p>
        </w:tc>
        <w:tc>
          <w:tcPr>
            <w:tcW w:w="4677" w:type="dxa"/>
            <w:noWrap/>
            <w:hideMark/>
          </w:tcPr>
          <w:p w14:paraId="3409B500" w14:textId="77777777" w:rsidR="00286543" w:rsidRPr="00286543" w:rsidRDefault="00286543">
            <w:pPr>
              <w:pStyle w:val="Tabele"/>
              <w:rPr>
                <w:color w:val="auto"/>
                <w:lang w:eastAsia="pl-PL"/>
              </w:rPr>
            </w:pPr>
            <w:r w:rsidRPr="00286543">
              <w:rPr>
                <w:color w:val="auto"/>
                <w:lang w:eastAsia="pl-PL"/>
              </w:rPr>
              <w:t>Biomasa stała</w:t>
            </w:r>
          </w:p>
        </w:tc>
        <w:tc>
          <w:tcPr>
            <w:tcW w:w="899" w:type="dxa"/>
            <w:shd w:val="clear" w:color="auto" w:fill="C5E0B3" w:themeFill="accent6" w:themeFillTint="66"/>
            <w:noWrap/>
            <w:hideMark/>
          </w:tcPr>
          <w:p w14:paraId="73719990" w14:textId="77777777" w:rsidR="00286543" w:rsidRPr="00286543" w:rsidRDefault="00286543">
            <w:pPr>
              <w:pStyle w:val="Tabele"/>
              <w:jc w:val="right"/>
              <w:rPr>
                <w:color w:val="auto"/>
                <w:lang w:eastAsia="pl-PL"/>
              </w:rPr>
            </w:pPr>
            <w:r w:rsidRPr="00286543">
              <w:rPr>
                <w:color w:val="auto"/>
              </w:rPr>
              <w:t>98,6%</w:t>
            </w:r>
          </w:p>
        </w:tc>
        <w:tc>
          <w:tcPr>
            <w:tcW w:w="899" w:type="dxa"/>
            <w:shd w:val="clear" w:color="auto" w:fill="C5E0B3" w:themeFill="accent6" w:themeFillTint="66"/>
            <w:noWrap/>
            <w:hideMark/>
          </w:tcPr>
          <w:p w14:paraId="681D1DF9" w14:textId="77777777" w:rsidR="00286543" w:rsidRPr="00286543" w:rsidRDefault="00286543">
            <w:pPr>
              <w:pStyle w:val="Tabele"/>
              <w:jc w:val="right"/>
              <w:rPr>
                <w:color w:val="auto"/>
                <w:lang w:eastAsia="pl-PL"/>
              </w:rPr>
            </w:pPr>
            <w:r w:rsidRPr="00286543">
              <w:rPr>
                <w:color w:val="auto"/>
              </w:rPr>
              <w:t>97,4%</w:t>
            </w:r>
          </w:p>
        </w:tc>
        <w:tc>
          <w:tcPr>
            <w:tcW w:w="900" w:type="dxa"/>
            <w:shd w:val="clear" w:color="auto" w:fill="C5E0B3" w:themeFill="accent6" w:themeFillTint="66"/>
            <w:noWrap/>
            <w:hideMark/>
          </w:tcPr>
          <w:p w14:paraId="4013D29E" w14:textId="77777777" w:rsidR="00286543" w:rsidRPr="00286543" w:rsidRDefault="00286543">
            <w:pPr>
              <w:pStyle w:val="Tabele"/>
              <w:jc w:val="right"/>
              <w:rPr>
                <w:color w:val="auto"/>
                <w:lang w:eastAsia="pl-PL"/>
              </w:rPr>
            </w:pPr>
            <w:r w:rsidRPr="00286543">
              <w:rPr>
                <w:color w:val="auto"/>
              </w:rPr>
              <w:t>93,7%</w:t>
            </w:r>
          </w:p>
        </w:tc>
        <w:tc>
          <w:tcPr>
            <w:tcW w:w="899" w:type="dxa"/>
            <w:shd w:val="clear" w:color="auto" w:fill="C5E0B3" w:themeFill="accent6" w:themeFillTint="66"/>
            <w:noWrap/>
            <w:hideMark/>
          </w:tcPr>
          <w:p w14:paraId="5383C639" w14:textId="77777777" w:rsidR="00286543" w:rsidRPr="00286543" w:rsidRDefault="00286543">
            <w:pPr>
              <w:pStyle w:val="Tabele"/>
              <w:jc w:val="right"/>
              <w:rPr>
                <w:color w:val="auto"/>
                <w:lang w:eastAsia="pl-PL"/>
              </w:rPr>
            </w:pPr>
            <w:r w:rsidRPr="00286543">
              <w:rPr>
                <w:color w:val="auto"/>
              </w:rPr>
              <w:t>92,8%</w:t>
            </w:r>
          </w:p>
        </w:tc>
        <w:tc>
          <w:tcPr>
            <w:tcW w:w="899" w:type="dxa"/>
            <w:noWrap/>
            <w:hideMark/>
          </w:tcPr>
          <w:p w14:paraId="015855D9" w14:textId="77777777" w:rsidR="00286543" w:rsidRPr="00286543" w:rsidRDefault="00286543">
            <w:pPr>
              <w:pStyle w:val="Tabele"/>
              <w:jc w:val="right"/>
              <w:rPr>
                <w:color w:val="auto"/>
                <w:lang w:eastAsia="pl-PL"/>
              </w:rPr>
            </w:pPr>
            <w:r w:rsidRPr="00286543">
              <w:rPr>
                <w:rFonts w:cs="Arial"/>
                <w:color w:val="auto"/>
                <w:szCs w:val="16"/>
              </w:rPr>
              <w:t>78,5%</w:t>
            </w:r>
          </w:p>
        </w:tc>
        <w:tc>
          <w:tcPr>
            <w:tcW w:w="900" w:type="dxa"/>
            <w:noWrap/>
            <w:hideMark/>
          </w:tcPr>
          <w:p w14:paraId="34E210D8" w14:textId="77777777" w:rsidR="00286543" w:rsidRPr="00286543" w:rsidRDefault="00286543">
            <w:pPr>
              <w:pStyle w:val="Tabele"/>
              <w:jc w:val="right"/>
              <w:rPr>
                <w:color w:val="auto"/>
                <w:lang w:eastAsia="pl-PL"/>
              </w:rPr>
            </w:pPr>
            <w:r w:rsidRPr="00286543">
              <w:rPr>
                <w:rFonts w:cs="Arial"/>
                <w:color w:val="auto"/>
                <w:szCs w:val="16"/>
              </w:rPr>
              <w:t>65,6%</w:t>
            </w:r>
          </w:p>
        </w:tc>
        <w:tc>
          <w:tcPr>
            <w:tcW w:w="899" w:type="dxa"/>
            <w:noWrap/>
            <w:hideMark/>
          </w:tcPr>
          <w:p w14:paraId="5FACEBFC" w14:textId="77777777" w:rsidR="00286543" w:rsidRPr="00286543" w:rsidRDefault="00286543">
            <w:pPr>
              <w:pStyle w:val="Tabele"/>
              <w:jc w:val="right"/>
              <w:rPr>
                <w:color w:val="auto"/>
                <w:lang w:eastAsia="pl-PL"/>
              </w:rPr>
            </w:pPr>
            <w:r w:rsidRPr="00286543">
              <w:rPr>
                <w:rFonts w:cs="Arial"/>
                <w:color w:val="auto"/>
                <w:szCs w:val="16"/>
              </w:rPr>
              <w:t>51,9%</w:t>
            </w:r>
          </w:p>
        </w:tc>
        <w:tc>
          <w:tcPr>
            <w:tcW w:w="900" w:type="dxa"/>
            <w:noWrap/>
            <w:hideMark/>
          </w:tcPr>
          <w:p w14:paraId="07E60CC3" w14:textId="77777777" w:rsidR="00286543" w:rsidRPr="00286543" w:rsidRDefault="00286543">
            <w:pPr>
              <w:pStyle w:val="Tabele"/>
              <w:jc w:val="right"/>
              <w:rPr>
                <w:color w:val="auto"/>
                <w:lang w:eastAsia="pl-PL"/>
              </w:rPr>
            </w:pPr>
            <w:r w:rsidRPr="00286543">
              <w:rPr>
                <w:rFonts w:cs="Arial"/>
                <w:color w:val="auto"/>
                <w:szCs w:val="16"/>
              </w:rPr>
              <w:t>39,1%</w:t>
            </w:r>
          </w:p>
        </w:tc>
      </w:tr>
      <w:tr w:rsidR="007F0D2B" w:rsidRPr="00157153" w14:paraId="255EE1AC" w14:textId="77777777" w:rsidTr="00913C31">
        <w:trPr>
          <w:trHeight w:val="229"/>
        </w:trPr>
        <w:tc>
          <w:tcPr>
            <w:tcW w:w="2122" w:type="dxa"/>
            <w:vMerge/>
            <w:hideMark/>
          </w:tcPr>
          <w:p w14:paraId="7D7868CF" w14:textId="77777777" w:rsidR="00286543" w:rsidRPr="00286543" w:rsidRDefault="00286543">
            <w:pPr>
              <w:pStyle w:val="Tabele"/>
              <w:rPr>
                <w:color w:val="auto"/>
                <w:lang w:eastAsia="pl-PL"/>
              </w:rPr>
            </w:pPr>
          </w:p>
        </w:tc>
        <w:tc>
          <w:tcPr>
            <w:tcW w:w="4677" w:type="dxa"/>
            <w:noWrap/>
            <w:hideMark/>
          </w:tcPr>
          <w:p w14:paraId="0F59C4B7" w14:textId="77777777" w:rsidR="00286543" w:rsidRPr="00286543" w:rsidRDefault="00286543">
            <w:pPr>
              <w:pStyle w:val="Tabele"/>
              <w:rPr>
                <w:color w:val="auto"/>
                <w:lang w:eastAsia="pl-PL"/>
              </w:rPr>
            </w:pPr>
            <w:r w:rsidRPr="00286543">
              <w:rPr>
                <w:color w:val="auto"/>
                <w:lang w:eastAsia="pl-PL"/>
              </w:rPr>
              <w:t>Pompy ciepła</w:t>
            </w:r>
          </w:p>
        </w:tc>
        <w:tc>
          <w:tcPr>
            <w:tcW w:w="899" w:type="dxa"/>
            <w:shd w:val="clear" w:color="auto" w:fill="C5E0B3" w:themeFill="accent6" w:themeFillTint="66"/>
            <w:noWrap/>
            <w:hideMark/>
          </w:tcPr>
          <w:p w14:paraId="01DC492C" w14:textId="77777777" w:rsidR="00286543" w:rsidRPr="00286543" w:rsidRDefault="00286543">
            <w:pPr>
              <w:pStyle w:val="Tabele"/>
              <w:jc w:val="right"/>
              <w:rPr>
                <w:color w:val="auto"/>
                <w:lang w:eastAsia="pl-PL"/>
              </w:rPr>
            </w:pPr>
            <w:r w:rsidRPr="00286543">
              <w:rPr>
                <w:color w:val="auto"/>
              </w:rPr>
              <w:t>0,0%</w:t>
            </w:r>
          </w:p>
        </w:tc>
        <w:tc>
          <w:tcPr>
            <w:tcW w:w="899" w:type="dxa"/>
            <w:shd w:val="clear" w:color="auto" w:fill="C5E0B3" w:themeFill="accent6" w:themeFillTint="66"/>
            <w:noWrap/>
            <w:hideMark/>
          </w:tcPr>
          <w:p w14:paraId="7AEFC24C" w14:textId="77777777" w:rsidR="00286543" w:rsidRPr="00286543" w:rsidRDefault="00286543">
            <w:pPr>
              <w:pStyle w:val="Tabele"/>
              <w:jc w:val="right"/>
              <w:rPr>
                <w:color w:val="auto"/>
                <w:lang w:eastAsia="pl-PL"/>
              </w:rPr>
            </w:pPr>
            <w:r w:rsidRPr="00286543">
              <w:rPr>
                <w:color w:val="auto"/>
              </w:rPr>
              <w:t>1,0%</w:t>
            </w:r>
          </w:p>
        </w:tc>
        <w:tc>
          <w:tcPr>
            <w:tcW w:w="900" w:type="dxa"/>
            <w:shd w:val="clear" w:color="auto" w:fill="C5E0B3" w:themeFill="accent6" w:themeFillTint="66"/>
            <w:noWrap/>
            <w:hideMark/>
          </w:tcPr>
          <w:p w14:paraId="5AFDC8FC" w14:textId="77777777" w:rsidR="00286543" w:rsidRPr="00286543" w:rsidRDefault="00286543">
            <w:pPr>
              <w:pStyle w:val="Tabele"/>
              <w:jc w:val="right"/>
              <w:rPr>
                <w:color w:val="auto"/>
                <w:lang w:eastAsia="pl-PL"/>
              </w:rPr>
            </w:pPr>
            <w:r w:rsidRPr="00286543">
              <w:rPr>
                <w:color w:val="auto"/>
              </w:rPr>
              <w:t>2,5%</w:t>
            </w:r>
          </w:p>
        </w:tc>
        <w:tc>
          <w:tcPr>
            <w:tcW w:w="899" w:type="dxa"/>
            <w:shd w:val="clear" w:color="auto" w:fill="C5E0B3" w:themeFill="accent6" w:themeFillTint="66"/>
            <w:noWrap/>
            <w:hideMark/>
          </w:tcPr>
          <w:p w14:paraId="55144130" w14:textId="77777777" w:rsidR="00286543" w:rsidRPr="00286543" w:rsidRDefault="00286543">
            <w:pPr>
              <w:pStyle w:val="Tabele"/>
              <w:jc w:val="right"/>
              <w:rPr>
                <w:color w:val="auto"/>
                <w:lang w:eastAsia="pl-PL"/>
              </w:rPr>
            </w:pPr>
            <w:r w:rsidRPr="00286543">
              <w:rPr>
                <w:color w:val="auto"/>
              </w:rPr>
              <w:t>3,5%</w:t>
            </w:r>
          </w:p>
        </w:tc>
        <w:tc>
          <w:tcPr>
            <w:tcW w:w="899" w:type="dxa"/>
            <w:noWrap/>
            <w:hideMark/>
          </w:tcPr>
          <w:p w14:paraId="0515BFE2" w14:textId="77777777" w:rsidR="00286543" w:rsidRPr="00286543" w:rsidRDefault="00286543">
            <w:pPr>
              <w:pStyle w:val="Tabele"/>
              <w:jc w:val="right"/>
              <w:rPr>
                <w:color w:val="auto"/>
                <w:lang w:eastAsia="pl-PL"/>
              </w:rPr>
            </w:pPr>
            <w:r w:rsidRPr="00286543">
              <w:rPr>
                <w:rFonts w:cs="Arial"/>
                <w:color w:val="auto"/>
                <w:szCs w:val="16"/>
              </w:rPr>
              <w:t>13,9%</w:t>
            </w:r>
          </w:p>
        </w:tc>
        <w:tc>
          <w:tcPr>
            <w:tcW w:w="900" w:type="dxa"/>
            <w:noWrap/>
            <w:hideMark/>
          </w:tcPr>
          <w:p w14:paraId="2E6EF4BB" w14:textId="77777777" w:rsidR="00286543" w:rsidRPr="00286543" w:rsidRDefault="00286543">
            <w:pPr>
              <w:pStyle w:val="Tabele"/>
              <w:jc w:val="right"/>
              <w:rPr>
                <w:color w:val="auto"/>
                <w:lang w:eastAsia="pl-PL"/>
              </w:rPr>
            </w:pPr>
            <w:r w:rsidRPr="00286543">
              <w:rPr>
                <w:rFonts w:cs="Arial"/>
                <w:color w:val="auto"/>
                <w:szCs w:val="16"/>
              </w:rPr>
              <w:t>17,3%</w:t>
            </w:r>
          </w:p>
        </w:tc>
        <w:tc>
          <w:tcPr>
            <w:tcW w:w="899" w:type="dxa"/>
            <w:noWrap/>
            <w:hideMark/>
          </w:tcPr>
          <w:p w14:paraId="71AF632D" w14:textId="77777777" w:rsidR="00286543" w:rsidRPr="00286543" w:rsidRDefault="00286543">
            <w:pPr>
              <w:pStyle w:val="Tabele"/>
              <w:jc w:val="right"/>
              <w:rPr>
                <w:color w:val="auto"/>
                <w:lang w:eastAsia="pl-PL"/>
              </w:rPr>
            </w:pPr>
            <w:r w:rsidRPr="00286543">
              <w:rPr>
                <w:rFonts w:cs="Arial"/>
                <w:color w:val="auto"/>
                <w:szCs w:val="16"/>
              </w:rPr>
              <w:t>24,5%</w:t>
            </w:r>
          </w:p>
        </w:tc>
        <w:tc>
          <w:tcPr>
            <w:tcW w:w="900" w:type="dxa"/>
            <w:noWrap/>
            <w:hideMark/>
          </w:tcPr>
          <w:p w14:paraId="707CACDB" w14:textId="77777777" w:rsidR="00286543" w:rsidRPr="00286543" w:rsidRDefault="00286543">
            <w:pPr>
              <w:pStyle w:val="Tabele"/>
              <w:jc w:val="right"/>
              <w:rPr>
                <w:color w:val="auto"/>
                <w:lang w:eastAsia="pl-PL"/>
              </w:rPr>
            </w:pPr>
            <w:r w:rsidRPr="00286543">
              <w:rPr>
                <w:rFonts w:cs="Arial"/>
                <w:color w:val="auto"/>
                <w:szCs w:val="16"/>
              </w:rPr>
              <w:t>29,2%</w:t>
            </w:r>
          </w:p>
        </w:tc>
      </w:tr>
      <w:tr w:rsidR="00841D87" w:rsidRPr="00157153" w14:paraId="04D9F7BB" w14:textId="77777777" w:rsidTr="00913C31">
        <w:trPr>
          <w:trHeight w:val="229"/>
        </w:trPr>
        <w:tc>
          <w:tcPr>
            <w:tcW w:w="2122" w:type="dxa"/>
            <w:vMerge/>
            <w:hideMark/>
          </w:tcPr>
          <w:p w14:paraId="4404450C" w14:textId="77777777" w:rsidR="00841D87" w:rsidRPr="00286543" w:rsidRDefault="00841D87" w:rsidP="00841D87">
            <w:pPr>
              <w:pStyle w:val="Tabele"/>
              <w:rPr>
                <w:color w:val="auto"/>
                <w:lang w:eastAsia="pl-PL"/>
              </w:rPr>
            </w:pPr>
          </w:p>
        </w:tc>
        <w:tc>
          <w:tcPr>
            <w:tcW w:w="4677" w:type="dxa"/>
            <w:noWrap/>
            <w:hideMark/>
          </w:tcPr>
          <w:p w14:paraId="72D9B4B9" w14:textId="53162946" w:rsidR="00841D87" w:rsidRPr="00286543" w:rsidRDefault="00841D87" w:rsidP="00841D87">
            <w:pPr>
              <w:pStyle w:val="Tabele"/>
              <w:rPr>
                <w:color w:val="auto"/>
                <w:lang w:eastAsia="pl-PL"/>
              </w:rPr>
            </w:pPr>
            <w:r>
              <w:rPr>
                <w:color w:val="auto"/>
                <w:lang w:eastAsia="pl-PL"/>
              </w:rPr>
              <w:t>Biometan/Biogaz/Wodór</w:t>
            </w:r>
          </w:p>
        </w:tc>
        <w:tc>
          <w:tcPr>
            <w:tcW w:w="899" w:type="dxa"/>
            <w:shd w:val="clear" w:color="auto" w:fill="C5E0B3" w:themeFill="accent6" w:themeFillTint="66"/>
            <w:noWrap/>
            <w:hideMark/>
          </w:tcPr>
          <w:p w14:paraId="24F71578" w14:textId="03122AF5" w:rsidR="00841D87" w:rsidRPr="00286543" w:rsidRDefault="00787E9B" w:rsidP="00841D87">
            <w:pPr>
              <w:pStyle w:val="Tabele"/>
              <w:jc w:val="right"/>
              <w:rPr>
                <w:color w:val="auto"/>
                <w:lang w:eastAsia="pl-PL"/>
              </w:rPr>
            </w:pPr>
            <w:r>
              <w:rPr>
                <w:color w:val="auto"/>
              </w:rPr>
              <w:t>1,1</w:t>
            </w:r>
            <w:r w:rsidR="00841D87" w:rsidRPr="00286543">
              <w:rPr>
                <w:color w:val="auto"/>
              </w:rPr>
              <w:t>%</w:t>
            </w:r>
          </w:p>
        </w:tc>
        <w:tc>
          <w:tcPr>
            <w:tcW w:w="899" w:type="dxa"/>
            <w:shd w:val="clear" w:color="auto" w:fill="C5E0B3" w:themeFill="accent6" w:themeFillTint="66"/>
            <w:noWrap/>
            <w:hideMark/>
          </w:tcPr>
          <w:p w14:paraId="35FF649A" w14:textId="536A8AD0" w:rsidR="00841D87" w:rsidRPr="00286543" w:rsidRDefault="00A46483" w:rsidP="00841D87">
            <w:pPr>
              <w:pStyle w:val="Tabele"/>
              <w:jc w:val="right"/>
              <w:rPr>
                <w:color w:val="auto"/>
                <w:lang w:eastAsia="pl-PL"/>
              </w:rPr>
            </w:pPr>
            <w:r>
              <w:rPr>
                <w:color w:val="auto"/>
              </w:rPr>
              <w:t>1,1</w:t>
            </w:r>
            <w:r w:rsidR="00841D87" w:rsidRPr="00286543">
              <w:rPr>
                <w:color w:val="auto"/>
              </w:rPr>
              <w:t>%</w:t>
            </w:r>
          </w:p>
        </w:tc>
        <w:tc>
          <w:tcPr>
            <w:tcW w:w="900" w:type="dxa"/>
            <w:shd w:val="clear" w:color="auto" w:fill="C5E0B3" w:themeFill="accent6" w:themeFillTint="66"/>
            <w:noWrap/>
            <w:hideMark/>
          </w:tcPr>
          <w:p w14:paraId="21C330C7" w14:textId="09CB662B" w:rsidR="00841D87" w:rsidRPr="00286543" w:rsidRDefault="0046736F" w:rsidP="00841D87">
            <w:pPr>
              <w:pStyle w:val="Tabele"/>
              <w:jc w:val="right"/>
              <w:rPr>
                <w:color w:val="auto"/>
                <w:lang w:eastAsia="pl-PL"/>
              </w:rPr>
            </w:pPr>
            <w:r>
              <w:rPr>
                <w:color w:val="auto"/>
              </w:rPr>
              <w:t>1,7</w:t>
            </w:r>
            <w:r w:rsidR="00841D87" w:rsidRPr="00286543">
              <w:rPr>
                <w:color w:val="auto"/>
              </w:rPr>
              <w:t>%</w:t>
            </w:r>
          </w:p>
        </w:tc>
        <w:tc>
          <w:tcPr>
            <w:tcW w:w="899" w:type="dxa"/>
            <w:shd w:val="clear" w:color="auto" w:fill="C5E0B3" w:themeFill="accent6" w:themeFillTint="66"/>
            <w:noWrap/>
            <w:hideMark/>
          </w:tcPr>
          <w:p w14:paraId="58330B0C" w14:textId="4EFF9282" w:rsidR="00841D87" w:rsidRPr="00286543" w:rsidRDefault="00332E22" w:rsidP="00841D87">
            <w:pPr>
              <w:pStyle w:val="Tabele"/>
              <w:jc w:val="right"/>
              <w:rPr>
                <w:color w:val="auto"/>
                <w:lang w:eastAsia="pl-PL"/>
              </w:rPr>
            </w:pPr>
            <w:r>
              <w:rPr>
                <w:color w:val="auto"/>
              </w:rPr>
              <w:t>1,3</w:t>
            </w:r>
            <w:r w:rsidR="00841D87" w:rsidRPr="00286543">
              <w:rPr>
                <w:color w:val="auto"/>
              </w:rPr>
              <w:t>%</w:t>
            </w:r>
          </w:p>
        </w:tc>
        <w:tc>
          <w:tcPr>
            <w:tcW w:w="899" w:type="dxa"/>
            <w:noWrap/>
            <w:hideMark/>
          </w:tcPr>
          <w:p w14:paraId="393BB383" w14:textId="7FBD2B64" w:rsidR="00841D87" w:rsidRPr="00286543" w:rsidRDefault="00AE06F7" w:rsidP="00841D87">
            <w:pPr>
              <w:pStyle w:val="Tabele"/>
              <w:jc w:val="right"/>
              <w:rPr>
                <w:color w:val="auto"/>
                <w:lang w:eastAsia="pl-PL"/>
              </w:rPr>
            </w:pPr>
            <w:r>
              <w:rPr>
                <w:rFonts w:cs="Arial"/>
                <w:color w:val="auto"/>
                <w:szCs w:val="16"/>
              </w:rPr>
              <w:t>2,1</w:t>
            </w:r>
            <w:r w:rsidR="00841D87" w:rsidRPr="00286543">
              <w:rPr>
                <w:rFonts w:cs="Arial"/>
                <w:color w:val="auto"/>
                <w:szCs w:val="16"/>
              </w:rPr>
              <w:t>%</w:t>
            </w:r>
          </w:p>
        </w:tc>
        <w:tc>
          <w:tcPr>
            <w:tcW w:w="900" w:type="dxa"/>
            <w:noWrap/>
            <w:hideMark/>
          </w:tcPr>
          <w:p w14:paraId="42626E80" w14:textId="204C4E18" w:rsidR="00841D87" w:rsidRPr="00286543" w:rsidRDefault="00CE4FE9" w:rsidP="00841D87">
            <w:pPr>
              <w:pStyle w:val="Tabele"/>
              <w:jc w:val="right"/>
              <w:rPr>
                <w:color w:val="auto"/>
                <w:lang w:eastAsia="pl-PL"/>
              </w:rPr>
            </w:pPr>
            <w:r>
              <w:rPr>
                <w:rFonts w:cs="Arial"/>
                <w:color w:val="auto"/>
                <w:szCs w:val="16"/>
              </w:rPr>
              <w:t>10,4</w:t>
            </w:r>
            <w:r w:rsidR="00841D87" w:rsidRPr="00286543">
              <w:rPr>
                <w:rFonts w:cs="Arial"/>
                <w:color w:val="auto"/>
                <w:szCs w:val="16"/>
              </w:rPr>
              <w:t>%</w:t>
            </w:r>
          </w:p>
        </w:tc>
        <w:tc>
          <w:tcPr>
            <w:tcW w:w="899" w:type="dxa"/>
            <w:noWrap/>
            <w:hideMark/>
          </w:tcPr>
          <w:p w14:paraId="5535EA08" w14:textId="5BE1846E" w:rsidR="00841D87" w:rsidRPr="00286543" w:rsidRDefault="00D62F33" w:rsidP="00841D87">
            <w:pPr>
              <w:pStyle w:val="Tabele"/>
              <w:jc w:val="right"/>
              <w:rPr>
                <w:color w:val="auto"/>
                <w:lang w:eastAsia="pl-PL"/>
              </w:rPr>
            </w:pPr>
            <w:r>
              <w:rPr>
                <w:rFonts w:cs="Arial"/>
                <w:color w:val="auto"/>
                <w:szCs w:val="16"/>
              </w:rPr>
              <w:t>16,7</w:t>
            </w:r>
            <w:r w:rsidR="00841D87" w:rsidRPr="00286543">
              <w:rPr>
                <w:rFonts w:cs="Arial"/>
                <w:color w:val="auto"/>
                <w:szCs w:val="16"/>
              </w:rPr>
              <w:t>%</w:t>
            </w:r>
          </w:p>
        </w:tc>
        <w:tc>
          <w:tcPr>
            <w:tcW w:w="900" w:type="dxa"/>
            <w:noWrap/>
            <w:hideMark/>
          </w:tcPr>
          <w:p w14:paraId="10602454" w14:textId="6DCCF657" w:rsidR="00841D87" w:rsidRPr="00286543" w:rsidRDefault="00CB5F40" w:rsidP="00841D87">
            <w:pPr>
              <w:pStyle w:val="Tabele"/>
              <w:jc w:val="right"/>
              <w:rPr>
                <w:color w:val="auto"/>
                <w:lang w:eastAsia="pl-PL"/>
              </w:rPr>
            </w:pPr>
            <w:r>
              <w:rPr>
                <w:rFonts w:cs="Arial"/>
                <w:color w:val="auto"/>
                <w:szCs w:val="16"/>
              </w:rPr>
              <w:t>25,0</w:t>
            </w:r>
            <w:r w:rsidR="00841D87" w:rsidRPr="00286543">
              <w:rPr>
                <w:rFonts w:cs="Arial"/>
                <w:color w:val="auto"/>
                <w:szCs w:val="16"/>
              </w:rPr>
              <w:t>%</w:t>
            </w:r>
          </w:p>
        </w:tc>
      </w:tr>
      <w:tr w:rsidR="00841D87" w:rsidRPr="00157153" w14:paraId="60A602C4" w14:textId="77777777" w:rsidTr="00913C31">
        <w:trPr>
          <w:trHeight w:val="229"/>
        </w:trPr>
        <w:tc>
          <w:tcPr>
            <w:tcW w:w="2122" w:type="dxa"/>
            <w:vMerge/>
            <w:hideMark/>
          </w:tcPr>
          <w:p w14:paraId="39017BE7" w14:textId="77777777" w:rsidR="00841D87" w:rsidRPr="00286543" w:rsidRDefault="00841D87" w:rsidP="00841D87">
            <w:pPr>
              <w:pStyle w:val="Tabele"/>
              <w:rPr>
                <w:color w:val="auto"/>
                <w:lang w:eastAsia="pl-PL"/>
              </w:rPr>
            </w:pPr>
          </w:p>
        </w:tc>
        <w:tc>
          <w:tcPr>
            <w:tcW w:w="4677" w:type="dxa"/>
            <w:noWrap/>
            <w:hideMark/>
          </w:tcPr>
          <w:p w14:paraId="08FB24E3" w14:textId="38785C91" w:rsidR="00841D87" w:rsidRPr="00286543" w:rsidRDefault="00FB009C" w:rsidP="00841D87">
            <w:pPr>
              <w:pStyle w:val="Tabele"/>
              <w:rPr>
                <w:color w:val="auto"/>
                <w:lang w:eastAsia="pl-PL"/>
              </w:rPr>
            </w:pPr>
            <w:r w:rsidRPr="00681E39">
              <w:rPr>
                <w:color w:val="auto"/>
                <w:lang w:eastAsia="pl-PL"/>
              </w:rPr>
              <w:t xml:space="preserve">Odnawialne odpady komunalne </w:t>
            </w:r>
            <w:r>
              <w:rPr>
                <w:color w:val="auto"/>
                <w:lang w:eastAsia="pl-PL"/>
              </w:rPr>
              <w:t>(frakcja BIO)</w:t>
            </w:r>
          </w:p>
        </w:tc>
        <w:tc>
          <w:tcPr>
            <w:tcW w:w="899" w:type="dxa"/>
            <w:shd w:val="clear" w:color="auto" w:fill="C5E0B3" w:themeFill="accent6" w:themeFillTint="66"/>
            <w:noWrap/>
            <w:hideMark/>
          </w:tcPr>
          <w:p w14:paraId="25C2D562" w14:textId="77777777" w:rsidR="00841D87" w:rsidRPr="00286543" w:rsidRDefault="00841D87" w:rsidP="00841D87">
            <w:pPr>
              <w:pStyle w:val="Tabele"/>
              <w:jc w:val="right"/>
              <w:rPr>
                <w:color w:val="auto"/>
                <w:lang w:eastAsia="pl-PL"/>
              </w:rPr>
            </w:pPr>
            <w:r w:rsidRPr="00286543">
              <w:rPr>
                <w:color w:val="auto"/>
              </w:rPr>
              <w:t>0,0%</w:t>
            </w:r>
          </w:p>
        </w:tc>
        <w:tc>
          <w:tcPr>
            <w:tcW w:w="899" w:type="dxa"/>
            <w:shd w:val="clear" w:color="auto" w:fill="C5E0B3" w:themeFill="accent6" w:themeFillTint="66"/>
            <w:noWrap/>
            <w:hideMark/>
          </w:tcPr>
          <w:p w14:paraId="3E80DDEE" w14:textId="77777777" w:rsidR="00841D87" w:rsidRPr="00286543" w:rsidRDefault="00841D87" w:rsidP="00841D87">
            <w:pPr>
              <w:pStyle w:val="Tabele"/>
              <w:jc w:val="right"/>
              <w:rPr>
                <w:color w:val="auto"/>
                <w:lang w:eastAsia="pl-PL"/>
              </w:rPr>
            </w:pPr>
            <w:r w:rsidRPr="00286543">
              <w:rPr>
                <w:color w:val="auto"/>
              </w:rPr>
              <w:t>0,1%</w:t>
            </w:r>
          </w:p>
        </w:tc>
        <w:tc>
          <w:tcPr>
            <w:tcW w:w="900" w:type="dxa"/>
            <w:shd w:val="clear" w:color="auto" w:fill="C5E0B3" w:themeFill="accent6" w:themeFillTint="66"/>
            <w:noWrap/>
            <w:hideMark/>
          </w:tcPr>
          <w:p w14:paraId="70CEB851" w14:textId="77777777" w:rsidR="00841D87" w:rsidRPr="00286543" w:rsidRDefault="00841D87" w:rsidP="00841D87">
            <w:pPr>
              <w:pStyle w:val="Tabele"/>
              <w:jc w:val="right"/>
              <w:rPr>
                <w:color w:val="auto"/>
                <w:lang w:eastAsia="pl-PL"/>
              </w:rPr>
            </w:pPr>
            <w:r w:rsidRPr="00286543">
              <w:rPr>
                <w:color w:val="auto"/>
              </w:rPr>
              <w:t>0,8%</w:t>
            </w:r>
          </w:p>
        </w:tc>
        <w:tc>
          <w:tcPr>
            <w:tcW w:w="899" w:type="dxa"/>
            <w:shd w:val="clear" w:color="auto" w:fill="C5E0B3" w:themeFill="accent6" w:themeFillTint="66"/>
            <w:noWrap/>
            <w:hideMark/>
          </w:tcPr>
          <w:p w14:paraId="4581F8DB" w14:textId="77777777" w:rsidR="00841D87" w:rsidRPr="00286543" w:rsidRDefault="00841D87" w:rsidP="00841D87">
            <w:pPr>
              <w:pStyle w:val="Tabele"/>
              <w:jc w:val="right"/>
              <w:rPr>
                <w:color w:val="auto"/>
                <w:lang w:eastAsia="pl-PL"/>
              </w:rPr>
            </w:pPr>
            <w:r w:rsidRPr="00286543">
              <w:rPr>
                <w:color w:val="auto"/>
              </w:rPr>
              <w:t>1,1%</w:t>
            </w:r>
          </w:p>
        </w:tc>
        <w:tc>
          <w:tcPr>
            <w:tcW w:w="899" w:type="dxa"/>
            <w:noWrap/>
            <w:hideMark/>
          </w:tcPr>
          <w:p w14:paraId="2634C619" w14:textId="77777777" w:rsidR="00841D87" w:rsidRPr="00286543" w:rsidRDefault="00841D87" w:rsidP="00841D87">
            <w:pPr>
              <w:pStyle w:val="Tabele"/>
              <w:jc w:val="right"/>
              <w:rPr>
                <w:color w:val="auto"/>
                <w:lang w:eastAsia="pl-PL"/>
              </w:rPr>
            </w:pPr>
            <w:r w:rsidRPr="00286543">
              <w:rPr>
                <w:rFonts w:cs="Arial"/>
                <w:color w:val="auto"/>
                <w:szCs w:val="16"/>
              </w:rPr>
              <w:t>1,7%</w:t>
            </w:r>
          </w:p>
        </w:tc>
        <w:tc>
          <w:tcPr>
            <w:tcW w:w="900" w:type="dxa"/>
            <w:noWrap/>
            <w:hideMark/>
          </w:tcPr>
          <w:p w14:paraId="51A06D12" w14:textId="77777777" w:rsidR="00841D87" w:rsidRPr="00286543" w:rsidRDefault="00841D87" w:rsidP="00841D87">
            <w:pPr>
              <w:pStyle w:val="Tabele"/>
              <w:jc w:val="right"/>
              <w:rPr>
                <w:color w:val="auto"/>
                <w:lang w:eastAsia="pl-PL"/>
              </w:rPr>
            </w:pPr>
            <w:r w:rsidRPr="00286543">
              <w:rPr>
                <w:rFonts w:cs="Arial"/>
                <w:color w:val="auto"/>
                <w:szCs w:val="16"/>
              </w:rPr>
              <w:t>1,8%</w:t>
            </w:r>
          </w:p>
        </w:tc>
        <w:tc>
          <w:tcPr>
            <w:tcW w:w="899" w:type="dxa"/>
            <w:noWrap/>
            <w:hideMark/>
          </w:tcPr>
          <w:p w14:paraId="12852A07" w14:textId="77777777" w:rsidR="00841D87" w:rsidRPr="00286543" w:rsidRDefault="00841D87" w:rsidP="00841D87">
            <w:pPr>
              <w:pStyle w:val="Tabele"/>
              <w:jc w:val="right"/>
              <w:rPr>
                <w:color w:val="auto"/>
                <w:lang w:eastAsia="pl-PL"/>
              </w:rPr>
            </w:pPr>
            <w:r w:rsidRPr="00286543">
              <w:rPr>
                <w:rFonts w:cs="Arial"/>
                <w:color w:val="auto"/>
                <w:szCs w:val="16"/>
              </w:rPr>
              <w:t>1,6%</w:t>
            </w:r>
          </w:p>
        </w:tc>
        <w:tc>
          <w:tcPr>
            <w:tcW w:w="900" w:type="dxa"/>
            <w:noWrap/>
            <w:hideMark/>
          </w:tcPr>
          <w:p w14:paraId="19AA03E5" w14:textId="77777777" w:rsidR="00841D87" w:rsidRPr="00286543" w:rsidRDefault="00841D87" w:rsidP="00841D87">
            <w:pPr>
              <w:pStyle w:val="Tabele"/>
              <w:jc w:val="right"/>
              <w:rPr>
                <w:color w:val="auto"/>
                <w:lang w:eastAsia="pl-PL"/>
              </w:rPr>
            </w:pPr>
            <w:r w:rsidRPr="00286543">
              <w:rPr>
                <w:rFonts w:cs="Arial"/>
                <w:color w:val="auto"/>
                <w:szCs w:val="16"/>
              </w:rPr>
              <w:t>1,8%</w:t>
            </w:r>
          </w:p>
        </w:tc>
      </w:tr>
    </w:tbl>
    <w:p w14:paraId="2C3DCBFE" w14:textId="5BC50001" w:rsidR="005C4144" w:rsidRDefault="005C4144" w:rsidP="00A32E63">
      <w:pPr>
        <w:pStyle w:val="Legenda"/>
        <w:spacing w:before="120"/>
      </w:pPr>
      <w:r w:rsidRPr="00CA23BA">
        <w:t>Źródło: Opracowanie własne ARE S</w:t>
      </w:r>
      <w:r>
        <w:t>.</w:t>
      </w:r>
      <w:r w:rsidRPr="00CA23BA">
        <w:t>A</w:t>
      </w:r>
      <w:r w:rsidR="00286543">
        <w:t>.</w:t>
      </w:r>
      <w:r w:rsidR="00286543" w:rsidRPr="00CA23BA">
        <w:t>,</w:t>
      </w:r>
      <w:r w:rsidRPr="00CA23BA">
        <w:t xml:space="preserve"> Eurostat SHARES</w:t>
      </w:r>
    </w:p>
    <w:p w14:paraId="043DAD7E" w14:textId="310DD785" w:rsidR="00913C31" w:rsidRDefault="005178F1" w:rsidP="005C4144">
      <w:pPr>
        <w:pStyle w:val="Legenda"/>
      </w:pPr>
      <w:bookmarkStart w:id="235" w:name="_Ref169815540"/>
      <w:bookmarkStart w:id="236" w:name="_Toc171587184"/>
      <w:bookmarkStart w:id="237" w:name="_Toc174710968"/>
      <w:r>
        <w:t xml:space="preserve"> </w:t>
      </w:r>
      <w:r w:rsidR="00913C31">
        <w:br w:type="page"/>
      </w:r>
    </w:p>
    <w:p w14:paraId="5A3F9FC2" w14:textId="6E4251E5" w:rsidR="005C4144" w:rsidRDefault="005C4144" w:rsidP="005C4144">
      <w:pPr>
        <w:pStyle w:val="Legenda"/>
      </w:pPr>
      <w:bookmarkStart w:id="238" w:name="_Ref200725445"/>
      <w:bookmarkStart w:id="239" w:name="_Toc202966971"/>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26</w:t>
      </w:r>
      <w:r w:rsidR="00653D9A">
        <w:rPr>
          <w:noProof/>
        </w:rPr>
        <w:fldChar w:fldCharType="end"/>
      </w:r>
      <w:bookmarkEnd w:id="235"/>
      <w:bookmarkEnd w:id="238"/>
      <w:r>
        <w:t xml:space="preserve">. </w:t>
      </w:r>
      <w:r w:rsidRPr="00CA23BA">
        <w:t>Sektor transportu</w:t>
      </w:r>
      <w:bookmarkEnd w:id="236"/>
      <w:bookmarkEnd w:id="237"/>
      <w:r w:rsidR="00903774">
        <w:t xml:space="preserve"> – uwzględnieniem mnożników dla rozliczenia celu OZE zgodnie z RED II.</w:t>
      </w:r>
      <w:bookmarkEnd w:id="239"/>
    </w:p>
    <w:tbl>
      <w:tblPr>
        <w:tblStyle w:val="KPEiK"/>
        <w:tblW w:w="5000" w:type="pct"/>
        <w:tblLayout w:type="fixed"/>
        <w:tblCellMar>
          <w:left w:w="57" w:type="dxa"/>
          <w:right w:w="57" w:type="dxa"/>
        </w:tblCellMar>
        <w:tblLook w:val="04A0" w:firstRow="1" w:lastRow="0" w:firstColumn="1" w:lastColumn="0" w:noHBand="0" w:noVBand="1"/>
      </w:tblPr>
      <w:tblGrid>
        <w:gridCol w:w="1555"/>
        <w:gridCol w:w="5315"/>
        <w:gridCol w:w="891"/>
        <w:gridCol w:w="891"/>
        <w:gridCol w:w="890"/>
        <w:gridCol w:w="891"/>
        <w:gridCol w:w="890"/>
        <w:gridCol w:w="890"/>
        <w:gridCol w:w="891"/>
        <w:gridCol w:w="890"/>
      </w:tblGrid>
      <w:tr w:rsidR="00B12D21" w:rsidRPr="00134171" w14:paraId="1DF6837E" w14:textId="77777777" w:rsidTr="00913C31">
        <w:trPr>
          <w:cnfStyle w:val="100000000000" w:firstRow="1" w:lastRow="0" w:firstColumn="0" w:lastColumn="0" w:oddVBand="0" w:evenVBand="0" w:oddHBand="0" w:evenHBand="0" w:firstRowFirstColumn="0" w:firstRowLastColumn="0" w:lastRowFirstColumn="0" w:lastRowLastColumn="0"/>
          <w:trHeight w:val="227"/>
          <w:tblHeader/>
        </w:trPr>
        <w:tc>
          <w:tcPr>
            <w:tcW w:w="1555" w:type="dxa"/>
          </w:tcPr>
          <w:p w14:paraId="588CB7B5" w14:textId="77777777" w:rsidR="005F23C9" w:rsidRPr="00134171" w:rsidRDefault="005F23C9">
            <w:pPr>
              <w:pStyle w:val="Tabele"/>
              <w:jc w:val="center"/>
              <w:rPr>
                <w:lang w:eastAsia="pl-PL"/>
              </w:rPr>
            </w:pPr>
          </w:p>
        </w:tc>
        <w:tc>
          <w:tcPr>
            <w:tcW w:w="5315" w:type="dxa"/>
          </w:tcPr>
          <w:p w14:paraId="29708FCB" w14:textId="77777777" w:rsidR="005F23C9" w:rsidRPr="00134171" w:rsidRDefault="005F23C9">
            <w:pPr>
              <w:pStyle w:val="Tabele"/>
              <w:jc w:val="center"/>
              <w:rPr>
                <w:lang w:eastAsia="pl-PL"/>
              </w:rPr>
            </w:pPr>
          </w:p>
        </w:tc>
        <w:tc>
          <w:tcPr>
            <w:tcW w:w="891" w:type="dxa"/>
            <w:noWrap/>
            <w:hideMark/>
          </w:tcPr>
          <w:p w14:paraId="5E492DF2" w14:textId="77777777" w:rsidR="005F23C9" w:rsidRPr="00134171" w:rsidRDefault="005F23C9">
            <w:pPr>
              <w:pStyle w:val="Tabele"/>
              <w:jc w:val="center"/>
              <w:rPr>
                <w:lang w:eastAsia="pl-PL"/>
              </w:rPr>
            </w:pPr>
            <w:r w:rsidRPr="00134171">
              <w:rPr>
                <w:lang w:eastAsia="pl-PL"/>
              </w:rPr>
              <w:t>2005</w:t>
            </w:r>
          </w:p>
        </w:tc>
        <w:tc>
          <w:tcPr>
            <w:tcW w:w="891" w:type="dxa"/>
            <w:noWrap/>
            <w:hideMark/>
          </w:tcPr>
          <w:p w14:paraId="38747687" w14:textId="77777777" w:rsidR="005F23C9" w:rsidRPr="00134171" w:rsidRDefault="005F23C9">
            <w:pPr>
              <w:pStyle w:val="Tabele"/>
              <w:jc w:val="center"/>
              <w:rPr>
                <w:lang w:eastAsia="pl-PL"/>
              </w:rPr>
            </w:pPr>
            <w:r w:rsidRPr="00134171">
              <w:rPr>
                <w:lang w:eastAsia="pl-PL"/>
              </w:rPr>
              <w:t>2010</w:t>
            </w:r>
          </w:p>
        </w:tc>
        <w:tc>
          <w:tcPr>
            <w:tcW w:w="890" w:type="dxa"/>
            <w:noWrap/>
            <w:hideMark/>
          </w:tcPr>
          <w:p w14:paraId="66F3FC2C" w14:textId="77777777" w:rsidR="005F23C9" w:rsidRPr="00134171" w:rsidRDefault="005F23C9">
            <w:pPr>
              <w:pStyle w:val="Tabele"/>
              <w:jc w:val="center"/>
              <w:rPr>
                <w:lang w:eastAsia="pl-PL"/>
              </w:rPr>
            </w:pPr>
            <w:r w:rsidRPr="00134171">
              <w:rPr>
                <w:lang w:eastAsia="pl-PL"/>
              </w:rPr>
              <w:t>2015</w:t>
            </w:r>
          </w:p>
        </w:tc>
        <w:tc>
          <w:tcPr>
            <w:tcW w:w="891" w:type="dxa"/>
            <w:noWrap/>
            <w:hideMark/>
          </w:tcPr>
          <w:p w14:paraId="391E09BD" w14:textId="77777777" w:rsidR="005F23C9" w:rsidRPr="00134171" w:rsidRDefault="005F23C9">
            <w:pPr>
              <w:pStyle w:val="Tabele"/>
              <w:jc w:val="center"/>
              <w:rPr>
                <w:lang w:eastAsia="pl-PL"/>
              </w:rPr>
            </w:pPr>
            <w:r w:rsidRPr="00134171">
              <w:rPr>
                <w:lang w:eastAsia="pl-PL"/>
              </w:rPr>
              <w:t>2020</w:t>
            </w:r>
          </w:p>
        </w:tc>
        <w:tc>
          <w:tcPr>
            <w:tcW w:w="890" w:type="dxa"/>
            <w:noWrap/>
            <w:hideMark/>
          </w:tcPr>
          <w:p w14:paraId="506864C3" w14:textId="77777777" w:rsidR="005F23C9" w:rsidRPr="00134171" w:rsidRDefault="005F23C9">
            <w:pPr>
              <w:pStyle w:val="Tabele"/>
              <w:jc w:val="center"/>
              <w:rPr>
                <w:lang w:eastAsia="pl-PL"/>
              </w:rPr>
            </w:pPr>
            <w:r w:rsidRPr="00134171">
              <w:rPr>
                <w:lang w:eastAsia="pl-PL"/>
              </w:rPr>
              <w:t>2025</w:t>
            </w:r>
          </w:p>
        </w:tc>
        <w:tc>
          <w:tcPr>
            <w:tcW w:w="890" w:type="dxa"/>
            <w:noWrap/>
            <w:hideMark/>
          </w:tcPr>
          <w:p w14:paraId="4FEE6328" w14:textId="77777777" w:rsidR="005F23C9" w:rsidRPr="00134171" w:rsidRDefault="005F23C9">
            <w:pPr>
              <w:pStyle w:val="Tabele"/>
              <w:jc w:val="center"/>
              <w:rPr>
                <w:lang w:eastAsia="pl-PL"/>
              </w:rPr>
            </w:pPr>
            <w:r w:rsidRPr="00134171">
              <w:rPr>
                <w:lang w:eastAsia="pl-PL"/>
              </w:rPr>
              <w:t>2030</w:t>
            </w:r>
          </w:p>
        </w:tc>
        <w:tc>
          <w:tcPr>
            <w:tcW w:w="891" w:type="dxa"/>
            <w:noWrap/>
            <w:hideMark/>
          </w:tcPr>
          <w:p w14:paraId="075ED8F7" w14:textId="77777777" w:rsidR="005F23C9" w:rsidRPr="00134171" w:rsidRDefault="005F23C9">
            <w:pPr>
              <w:pStyle w:val="Tabele"/>
              <w:jc w:val="center"/>
              <w:rPr>
                <w:lang w:eastAsia="pl-PL"/>
              </w:rPr>
            </w:pPr>
            <w:r w:rsidRPr="00134171">
              <w:rPr>
                <w:lang w:eastAsia="pl-PL"/>
              </w:rPr>
              <w:t>2035</w:t>
            </w:r>
          </w:p>
        </w:tc>
        <w:tc>
          <w:tcPr>
            <w:tcW w:w="890" w:type="dxa"/>
            <w:noWrap/>
            <w:hideMark/>
          </w:tcPr>
          <w:p w14:paraId="5CB630A1" w14:textId="77777777" w:rsidR="005F23C9" w:rsidRPr="00134171" w:rsidRDefault="005F23C9">
            <w:pPr>
              <w:pStyle w:val="Tabele"/>
              <w:jc w:val="center"/>
              <w:rPr>
                <w:lang w:eastAsia="pl-PL"/>
              </w:rPr>
            </w:pPr>
            <w:r w:rsidRPr="00134171">
              <w:rPr>
                <w:lang w:eastAsia="pl-PL"/>
              </w:rPr>
              <w:t>2040</w:t>
            </w:r>
          </w:p>
        </w:tc>
      </w:tr>
      <w:tr w:rsidR="00AC5C33" w:rsidRPr="00134171" w14:paraId="2FC6B236" w14:textId="77777777" w:rsidTr="0D29C4E5">
        <w:trPr>
          <w:trHeight w:val="227"/>
        </w:trPr>
        <w:tc>
          <w:tcPr>
            <w:tcW w:w="1555" w:type="dxa"/>
            <w:vMerge w:val="restart"/>
            <w:hideMark/>
          </w:tcPr>
          <w:p w14:paraId="151F27FB" w14:textId="77777777" w:rsidR="00AC5C33" w:rsidRPr="005F23C9" w:rsidRDefault="00AC5C33" w:rsidP="00AC5C33">
            <w:pPr>
              <w:pStyle w:val="Tabele"/>
              <w:rPr>
                <w:b/>
                <w:bCs/>
                <w:color w:val="auto"/>
                <w:lang w:eastAsia="pl-PL"/>
              </w:rPr>
            </w:pPr>
            <w:r w:rsidRPr="005F23C9">
              <w:rPr>
                <w:b/>
                <w:bCs/>
                <w:color w:val="auto"/>
                <w:lang w:eastAsia="pl-PL"/>
              </w:rPr>
              <w:t>Zużycie energii końcowej brutto z OZE w podziale na paliwa i technologie - sektor transportu [ktoe]</w:t>
            </w:r>
          </w:p>
        </w:tc>
        <w:tc>
          <w:tcPr>
            <w:tcW w:w="5315" w:type="dxa"/>
            <w:noWrap/>
            <w:hideMark/>
          </w:tcPr>
          <w:p w14:paraId="674D8C4B" w14:textId="77777777" w:rsidR="00AC5C33" w:rsidRPr="005F23C9" w:rsidRDefault="00AC5C33" w:rsidP="00AC5C33">
            <w:pPr>
              <w:pStyle w:val="Tabele"/>
              <w:jc w:val="right"/>
              <w:rPr>
                <w:b/>
                <w:bCs/>
                <w:color w:val="auto"/>
                <w:lang w:eastAsia="pl-PL"/>
              </w:rPr>
            </w:pPr>
            <w:r w:rsidRPr="005F23C9">
              <w:rPr>
                <w:b/>
                <w:bCs/>
                <w:color w:val="auto"/>
                <w:lang w:eastAsia="pl-PL"/>
              </w:rPr>
              <w:t>Końcowe zużycie energii brutto w transporcie (denominator RES-T)</w:t>
            </w:r>
          </w:p>
        </w:tc>
        <w:tc>
          <w:tcPr>
            <w:tcW w:w="891" w:type="dxa"/>
            <w:shd w:val="clear" w:color="auto" w:fill="C5E0B3" w:themeFill="accent6" w:themeFillTint="66"/>
            <w:noWrap/>
            <w:hideMark/>
          </w:tcPr>
          <w:p w14:paraId="250BF75C" w14:textId="77777777" w:rsidR="00AC5C33" w:rsidRPr="005F23C9" w:rsidRDefault="00AC5C33" w:rsidP="00AC5C33">
            <w:pPr>
              <w:pStyle w:val="Tabele"/>
              <w:jc w:val="right"/>
              <w:rPr>
                <w:b/>
                <w:bCs/>
                <w:color w:val="auto"/>
                <w:lang w:eastAsia="pl-PL"/>
              </w:rPr>
            </w:pPr>
            <w:r w:rsidRPr="005F23C9">
              <w:rPr>
                <w:rFonts w:cs="Arial"/>
                <w:b/>
                <w:bCs/>
                <w:color w:val="auto"/>
                <w:szCs w:val="16"/>
              </w:rPr>
              <w:t>10 189</w:t>
            </w:r>
          </w:p>
        </w:tc>
        <w:tc>
          <w:tcPr>
            <w:tcW w:w="891" w:type="dxa"/>
            <w:shd w:val="clear" w:color="auto" w:fill="C5E0B3" w:themeFill="accent6" w:themeFillTint="66"/>
            <w:noWrap/>
            <w:hideMark/>
          </w:tcPr>
          <w:p w14:paraId="571D3D4B" w14:textId="77777777" w:rsidR="00AC5C33" w:rsidRPr="005F23C9" w:rsidRDefault="00AC5C33" w:rsidP="00AC5C33">
            <w:pPr>
              <w:pStyle w:val="Tabele"/>
              <w:jc w:val="right"/>
              <w:rPr>
                <w:b/>
                <w:bCs/>
                <w:color w:val="auto"/>
                <w:lang w:eastAsia="pl-PL"/>
              </w:rPr>
            </w:pPr>
            <w:r w:rsidRPr="005F23C9">
              <w:rPr>
                <w:rFonts w:cs="Arial"/>
                <w:b/>
                <w:bCs/>
                <w:color w:val="auto"/>
                <w:szCs w:val="16"/>
              </w:rPr>
              <w:t>14 957</w:t>
            </w:r>
          </w:p>
        </w:tc>
        <w:tc>
          <w:tcPr>
            <w:tcW w:w="890" w:type="dxa"/>
            <w:shd w:val="clear" w:color="auto" w:fill="C5E0B3" w:themeFill="accent6" w:themeFillTint="66"/>
            <w:noWrap/>
            <w:hideMark/>
          </w:tcPr>
          <w:p w14:paraId="17C53AEB" w14:textId="77777777" w:rsidR="00AC5C33" w:rsidRPr="005F23C9" w:rsidRDefault="00AC5C33" w:rsidP="00AC5C33">
            <w:pPr>
              <w:pStyle w:val="Tabele"/>
              <w:jc w:val="right"/>
              <w:rPr>
                <w:b/>
                <w:bCs/>
                <w:color w:val="auto"/>
                <w:lang w:eastAsia="pl-PL"/>
              </w:rPr>
            </w:pPr>
            <w:r w:rsidRPr="005F23C9">
              <w:rPr>
                <w:rFonts w:cs="Arial"/>
                <w:b/>
                <w:bCs/>
                <w:color w:val="auto"/>
                <w:szCs w:val="16"/>
              </w:rPr>
              <w:t>14 493</w:t>
            </w:r>
          </w:p>
        </w:tc>
        <w:tc>
          <w:tcPr>
            <w:tcW w:w="891" w:type="dxa"/>
            <w:shd w:val="clear" w:color="auto" w:fill="C5E0B3" w:themeFill="accent6" w:themeFillTint="66"/>
            <w:noWrap/>
            <w:hideMark/>
          </w:tcPr>
          <w:p w14:paraId="04720697" w14:textId="77777777" w:rsidR="00AC5C33" w:rsidRPr="005F23C9" w:rsidRDefault="00AC5C33" w:rsidP="00AC5C33">
            <w:pPr>
              <w:pStyle w:val="Tabele"/>
              <w:jc w:val="right"/>
              <w:rPr>
                <w:b/>
                <w:bCs/>
                <w:color w:val="auto"/>
                <w:lang w:eastAsia="pl-PL"/>
              </w:rPr>
            </w:pPr>
            <w:r w:rsidRPr="005F23C9">
              <w:rPr>
                <w:rFonts w:cs="Arial"/>
                <w:b/>
                <w:bCs/>
                <w:color w:val="auto"/>
                <w:szCs w:val="16"/>
              </w:rPr>
              <w:t>19 628</w:t>
            </w:r>
          </w:p>
        </w:tc>
        <w:tc>
          <w:tcPr>
            <w:tcW w:w="890" w:type="dxa"/>
            <w:noWrap/>
            <w:hideMark/>
          </w:tcPr>
          <w:p w14:paraId="257391B2" w14:textId="1A7ED388" w:rsidR="00AC5C33" w:rsidRPr="005F23C9" w:rsidRDefault="00AC5C33" w:rsidP="00AC5C33">
            <w:pPr>
              <w:pStyle w:val="Tabele"/>
              <w:jc w:val="right"/>
              <w:rPr>
                <w:b/>
                <w:bCs/>
                <w:color w:val="auto"/>
                <w:lang w:eastAsia="pl-PL"/>
              </w:rPr>
            </w:pPr>
            <w:r w:rsidRPr="00084BE0">
              <w:rPr>
                <w:rFonts w:cs="Arial"/>
                <w:b/>
                <w:bCs/>
                <w:color w:val="auto"/>
                <w:szCs w:val="16"/>
              </w:rPr>
              <w:t>23 098</w:t>
            </w:r>
          </w:p>
        </w:tc>
        <w:tc>
          <w:tcPr>
            <w:tcW w:w="890" w:type="dxa"/>
            <w:noWrap/>
            <w:hideMark/>
          </w:tcPr>
          <w:p w14:paraId="5DA90E0A" w14:textId="77777777" w:rsidR="00AC5C33" w:rsidRPr="005F23C9" w:rsidRDefault="00AC5C33" w:rsidP="00AC5C33">
            <w:pPr>
              <w:pStyle w:val="Tabele"/>
              <w:jc w:val="right"/>
              <w:rPr>
                <w:b/>
                <w:bCs/>
                <w:color w:val="auto"/>
                <w:lang w:eastAsia="pl-PL"/>
              </w:rPr>
            </w:pPr>
            <w:r w:rsidRPr="005F23C9">
              <w:rPr>
                <w:rFonts w:cs="Arial"/>
                <w:b/>
                <w:bCs/>
                <w:color w:val="auto"/>
                <w:szCs w:val="16"/>
              </w:rPr>
              <w:t>21 329</w:t>
            </w:r>
          </w:p>
        </w:tc>
        <w:tc>
          <w:tcPr>
            <w:tcW w:w="891" w:type="dxa"/>
            <w:noWrap/>
            <w:hideMark/>
          </w:tcPr>
          <w:p w14:paraId="398C6E33" w14:textId="77777777" w:rsidR="00AC5C33" w:rsidRPr="005F23C9" w:rsidRDefault="00AC5C33" w:rsidP="00AC5C33">
            <w:pPr>
              <w:pStyle w:val="Tabele"/>
              <w:jc w:val="right"/>
              <w:rPr>
                <w:b/>
                <w:bCs/>
                <w:color w:val="auto"/>
                <w:lang w:eastAsia="pl-PL"/>
              </w:rPr>
            </w:pPr>
            <w:r w:rsidRPr="005F23C9">
              <w:rPr>
                <w:rFonts w:cs="Arial"/>
                <w:b/>
                <w:bCs/>
                <w:color w:val="auto"/>
                <w:szCs w:val="16"/>
              </w:rPr>
              <w:t>19 763</w:t>
            </w:r>
          </w:p>
        </w:tc>
        <w:tc>
          <w:tcPr>
            <w:tcW w:w="890" w:type="dxa"/>
            <w:noWrap/>
            <w:hideMark/>
          </w:tcPr>
          <w:p w14:paraId="5B6C68D3" w14:textId="77777777" w:rsidR="00AC5C33" w:rsidRPr="005F23C9" w:rsidRDefault="00AC5C33" w:rsidP="00AC5C33">
            <w:pPr>
              <w:pStyle w:val="Tabele"/>
              <w:jc w:val="right"/>
              <w:rPr>
                <w:b/>
                <w:bCs/>
                <w:color w:val="auto"/>
                <w:lang w:eastAsia="pl-PL"/>
              </w:rPr>
            </w:pPr>
            <w:r w:rsidRPr="005F23C9">
              <w:rPr>
                <w:rFonts w:cs="Arial"/>
                <w:b/>
                <w:bCs/>
                <w:color w:val="auto"/>
                <w:szCs w:val="16"/>
              </w:rPr>
              <w:t>18 239</w:t>
            </w:r>
          </w:p>
        </w:tc>
      </w:tr>
      <w:tr w:rsidR="00AC5C33" w:rsidRPr="00134171" w14:paraId="5577A822" w14:textId="77777777" w:rsidTr="0D29C4E5">
        <w:trPr>
          <w:trHeight w:val="227"/>
        </w:trPr>
        <w:tc>
          <w:tcPr>
            <w:tcW w:w="1555" w:type="dxa"/>
            <w:vMerge/>
            <w:hideMark/>
          </w:tcPr>
          <w:p w14:paraId="74AF929D" w14:textId="77777777" w:rsidR="00AC5C33" w:rsidRPr="005F23C9" w:rsidRDefault="00AC5C33" w:rsidP="00AC5C33">
            <w:pPr>
              <w:pStyle w:val="Tabele"/>
              <w:rPr>
                <w:b/>
                <w:bCs/>
                <w:color w:val="auto"/>
                <w:lang w:eastAsia="pl-PL"/>
              </w:rPr>
            </w:pPr>
          </w:p>
        </w:tc>
        <w:tc>
          <w:tcPr>
            <w:tcW w:w="5315" w:type="dxa"/>
            <w:noWrap/>
            <w:hideMark/>
          </w:tcPr>
          <w:p w14:paraId="0E988F71" w14:textId="77777777" w:rsidR="00AC5C33" w:rsidRPr="005F23C9" w:rsidRDefault="00AC5C33" w:rsidP="00AC5C33">
            <w:pPr>
              <w:pStyle w:val="Tabele"/>
              <w:jc w:val="right"/>
              <w:rPr>
                <w:color w:val="auto"/>
                <w:lang w:eastAsia="pl-PL"/>
              </w:rPr>
            </w:pPr>
            <w:r w:rsidRPr="005F23C9">
              <w:rPr>
                <w:color w:val="auto"/>
                <w:lang w:eastAsia="pl-PL"/>
              </w:rPr>
              <w:t xml:space="preserve">Energia elektryczna </w:t>
            </w:r>
          </w:p>
        </w:tc>
        <w:tc>
          <w:tcPr>
            <w:tcW w:w="891" w:type="dxa"/>
            <w:shd w:val="clear" w:color="auto" w:fill="C5E0B3" w:themeFill="accent6" w:themeFillTint="66"/>
            <w:noWrap/>
            <w:hideMark/>
          </w:tcPr>
          <w:p w14:paraId="0DC3A604" w14:textId="77777777" w:rsidR="00AC5C33" w:rsidRPr="005F23C9" w:rsidRDefault="00AC5C33" w:rsidP="00AC5C33">
            <w:pPr>
              <w:pStyle w:val="Tabele"/>
              <w:jc w:val="right"/>
              <w:rPr>
                <w:color w:val="auto"/>
                <w:lang w:eastAsia="pl-PL"/>
              </w:rPr>
            </w:pPr>
            <w:r w:rsidRPr="005F23C9">
              <w:rPr>
                <w:rFonts w:cs="Arial"/>
                <w:color w:val="auto"/>
                <w:szCs w:val="16"/>
              </w:rPr>
              <w:t>54</w:t>
            </w:r>
          </w:p>
        </w:tc>
        <w:tc>
          <w:tcPr>
            <w:tcW w:w="891" w:type="dxa"/>
            <w:shd w:val="clear" w:color="auto" w:fill="C5E0B3" w:themeFill="accent6" w:themeFillTint="66"/>
            <w:noWrap/>
            <w:hideMark/>
          </w:tcPr>
          <w:p w14:paraId="25C49144" w14:textId="77777777" w:rsidR="00AC5C33" w:rsidRPr="005F23C9" w:rsidRDefault="00AC5C33" w:rsidP="00AC5C33">
            <w:pPr>
              <w:pStyle w:val="Tabele"/>
              <w:jc w:val="right"/>
              <w:rPr>
                <w:color w:val="auto"/>
                <w:lang w:eastAsia="pl-PL"/>
              </w:rPr>
            </w:pPr>
            <w:r w:rsidRPr="005F23C9">
              <w:rPr>
                <w:rFonts w:cs="Arial"/>
                <w:color w:val="auto"/>
                <w:szCs w:val="16"/>
              </w:rPr>
              <w:t>53</w:t>
            </w:r>
          </w:p>
        </w:tc>
        <w:tc>
          <w:tcPr>
            <w:tcW w:w="890" w:type="dxa"/>
            <w:shd w:val="clear" w:color="auto" w:fill="C5E0B3" w:themeFill="accent6" w:themeFillTint="66"/>
            <w:noWrap/>
            <w:hideMark/>
          </w:tcPr>
          <w:p w14:paraId="01059ED2" w14:textId="77777777" w:rsidR="00AC5C33" w:rsidRPr="005F23C9" w:rsidRDefault="00AC5C33" w:rsidP="00AC5C33">
            <w:pPr>
              <w:pStyle w:val="Tabele"/>
              <w:jc w:val="right"/>
              <w:rPr>
                <w:color w:val="auto"/>
                <w:lang w:eastAsia="pl-PL"/>
              </w:rPr>
            </w:pPr>
            <w:r w:rsidRPr="005F23C9">
              <w:rPr>
                <w:rFonts w:cs="Arial"/>
                <w:color w:val="auto"/>
                <w:szCs w:val="16"/>
              </w:rPr>
              <w:t>72</w:t>
            </w:r>
          </w:p>
        </w:tc>
        <w:tc>
          <w:tcPr>
            <w:tcW w:w="891" w:type="dxa"/>
            <w:shd w:val="clear" w:color="auto" w:fill="C5E0B3" w:themeFill="accent6" w:themeFillTint="66"/>
            <w:noWrap/>
            <w:hideMark/>
          </w:tcPr>
          <w:p w14:paraId="4FAA8BD8" w14:textId="77777777" w:rsidR="00AC5C33" w:rsidRPr="005F23C9" w:rsidRDefault="00AC5C33" w:rsidP="00AC5C33">
            <w:pPr>
              <w:pStyle w:val="Tabele"/>
              <w:jc w:val="right"/>
              <w:rPr>
                <w:color w:val="auto"/>
                <w:lang w:eastAsia="pl-PL"/>
              </w:rPr>
            </w:pPr>
            <w:r w:rsidRPr="005F23C9">
              <w:rPr>
                <w:rFonts w:cs="Arial"/>
                <w:color w:val="auto"/>
                <w:szCs w:val="16"/>
              </w:rPr>
              <w:t>88</w:t>
            </w:r>
          </w:p>
        </w:tc>
        <w:tc>
          <w:tcPr>
            <w:tcW w:w="890" w:type="dxa"/>
            <w:noWrap/>
            <w:hideMark/>
          </w:tcPr>
          <w:p w14:paraId="5CC3C817" w14:textId="3D0F6D0E" w:rsidR="00AC5C33" w:rsidRPr="005F23C9" w:rsidRDefault="00AC5C33" w:rsidP="00AC5C33">
            <w:pPr>
              <w:pStyle w:val="Tabele"/>
              <w:jc w:val="right"/>
              <w:rPr>
                <w:color w:val="auto"/>
                <w:lang w:eastAsia="pl-PL"/>
              </w:rPr>
            </w:pPr>
            <w:r>
              <w:rPr>
                <w:rFonts w:cs="Arial"/>
                <w:color w:val="000000"/>
                <w:szCs w:val="16"/>
              </w:rPr>
              <w:t>95</w:t>
            </w:r>
          </w:p>
        </w:tc>
        <w:tc>
          <w:tcPr>
            <w:tcW w:w="890" w:type="dxa"/>
            <w:noWrap/>
            <w:hideMark/>
          </w:tcPr>
          <w:p w14:paraId="5DE011DD" w14:textId="77777777" w:rsidR="00AC5C33" w:rsidRPr="005F23C9" w:rsidRDefault="00AC5C33" w:rsidP="00AC5C33">
            <w:pPr>
              <w:pStyle w:val="Tabele"/>
              <w:jc w:val="right"/>
              <w:rPr>
                <w:color w:val="auto"/>
                <w:lang w:eastAsia="pl-PL"/>
              </w:rPr>
            </w:pPr>
            <w:r w:rsidRPr="005F23C9">
              <w:rPr>
                <w:rFonts w:cs="Arial"/>
                <w:color w:val="auto"/>
                <w:szCs w:val="16"/>
              </w:rPr>
              <w:t>273</w:t>
            </w:r>
          </w:p>
        </w:tc>
        <w:tc>
          <w:tcPr>
            <w:tcW w:w="891" w:type="dxa"/>
            <w:noWrap/>
            <w:hideMark/>
          </w:tcPr>
          <w:p w14:paraId="781A409F" w14:textId="77777777" w:rsidR="00AC5C33" w:rsidRPr="005F23C9" w:rsidRDefault="00AC5C33" w:rsidP="00AC5C33">
            <w:pPr>
              <w:pStyle w:val="Tabele"/>
              <w:jc w:val="right"/>
              <w:rPr>
                <w:color w:val="auto"/>
                <w:lang w:eastAsia="pl-PL"/>
              </w:rPr>
            </w:pPr>
            <w:r w:rsidRPr="005F23C9">
              <w:rPr>
                <w:rFonts w:cs="Arial"/>
                <w:color w:val="auto"/>
                <w:szCs w:val="16"/>
              </w:rPr>
              <w:t>673</w:t>
            </w:r>
          </w:p>
        </w:tc>
        <w:tc>
          <w:tcPr>
            <w:tcW w:w="890" w:type="dxa"/>
            <w:noWrap/>
            <w:hideMark/>
          </w:tcPr>
          <w:p w14:paraId="222DFED6" w14:textId="77777777" w:rsidR="00AC5C33" w:rsidRPr="005F23C9" w:rsidRDefault="00AC5C33" w:rsidP="00AC5C33">
            <w:pPr>
              <w:pStyle w:val="Tabele"/>
              <w:jc w:val="right"/>
              <w:rPr>
                <w:color w:val="auto"/>
                <w:lang w:eastAsia="pl-PL"/>
              </w:rPr>
            </w:pPr>
            <w:r w:rsidRPr="005F23C9">
              <w:rPr>
                <w:rFonts w:cs="Arial"/>
                <w:color w:val="auto"/>
                <w:szCs w:val="16"/>
              </w:rPr>
              <w:t>1 240</w:t>
            </w:r>
          </w:p>
        </w:tc>
      </w:tr>
      <w:tr w:rsidR="00603C0E" w:rsidRPr="00134171" w14:paraId="3EE143D5" w14:textId="77777777" w:rsidTr="0D29C4E5">
        <w:trPr>
          <w:trHeight w:val="227"/>
        </w:trPr>
        <w:tc>
          <w:tcPr>
            <w:tcW w:w="1555" w:type="dxa"/>
            <w:vMerge/>
            <w:hideMark/>
          </w:tcPr>
          <w:p w14:paraId="6A7A0E92" w14:textId="77777777" w:rsidR="00603C0E" w:rsidRPr="005F23C9" w:rsidRDefault="00603C0E" w:rsidP="00603C0E">
            <w:pPr>
              <w:pStyle w:val="Tabele"/>
              <w:rPr>
                <w:b/>
                <w:bCs/>
                <w:color w:val="auto"/>
                <w:lang w:eastAsia="pl-PL"/>
              </w:rPr>
            </w:pPr>
          </w:p>
        </w:tc>
        <w:tc>
          <w:tcPr>
            <w:tcW w:w="5315" w:type="dxa"/>
            <w:noWrap/>
            <w:hideMark/>
          </w:tcPr>
          <w:p w14:paraId="678DD84B" w14:textId="77777777" w:rsidR="00603C0E" w:rsidRPr="005F23C9" w:rsidRDefault="00603C0E" w:rsidP="00603C0E">
            <w:pPr>
              <w:pStyle w:val="Tabele"/>
              <w:jc w:val="right"/>
              <w:rPr>
                <w:color w:val="auto"/>
                <w:lang w:eastAsia="pl-PL"/>
              </w:rPr>
            </w:pPr>
            <w:r w:rsidRPr="005F23C9">
              <w:rPr>
                <w:color w:val="auto"/>
                <w:lang w:eastAsia="pl-PL"/>
              </w:rPr>
              <w:t>Biopaliwa I generacji</w:t>
            </w:r>
          </w:p>
        </w:tc>
        <w:tc>
          <w:tcPr>
            <w:tcW w:w="891" w:type="dxa"/>
            <w:shd w:val="clear" w:color="auto" w:fill="C5E0B3" w:themeFill="accent6" w:themeFillTint="66"/>
            <w:noWrap/>
            <w:hideMark/>
          </w:tcPr>
          <w:p w14:paraId="47AFAC9B" w14:textId="77777777" w:rsidR="00603C0E" w:rsidRPr="005F23C9" w:rsidRDefault="00603C0E" w:rsidP="00603C0E">
            <w:pPr>
              <w:pStyle w:val="Tabele"/>
              <w:jc w:val="right"/>
              <w:rPr>
                <w:color w:val="auto"/>
                <w:lang w:eastAsia="pl-PL"/>
              </w:rPr>
            </w:pPr>
            <w:r w:rsidRPr="005F23C9">
              <w:rPr>
                <w:rFonts w:cs="Arial"/>
                <w:color w:val="auto"/>
                <w:szCs w:val="16"/>
              </w:rPr>
              <w:t>50</w:t>
            </w:r>
          </w:p>
        </w:tc>
        <w:tc>
          <w:tcPr>
            <w:tcW w:w="891" w:type="dxa"/>
            <w:shd w:val="clear" w:color="auto" w:fill="C5E0B3" w:themeFill="accent6" w:themeFillTint="66"/>
            <w:noWrap/>
            <w:hideMark/>
          </w:tcPr>
          <w:p w14:paraId="397D9DB6" w14:textId="77777777" w:rsidR="00603C0E" w:rsidRPr="005F23C9" w:rsidRDefault="00603C0E" w:rsidP="00603C0E">
            <w:pPr>
              <w:pStyle w:val="Tabele"/>
              <w:jc w:val="right"/>
              <w:rPr>
                <w:color w:val="auto"/>
                <w:lang w:eastAsia="pl-PL"/>
              </w:rPr>
            </w:pPr>
            <w:r w:rsidRPr="005F23C9">
              <w:rPr>
                <w:rFonts w:cs="Arial"/>
                <w:color w:val="auto"/>
                <w:szCs w:val="16"/>
              </w:rPr>
              <w:t>867</w:t>
            </w:r>
          </w:p>
        </w:tc>
        <w:tc>
          <w:tcPr>
            <w:tcW w:w="890" w:type="dxa"/>
            <w:shd w:val="clear" w:color="auto" w:fill="C5E0B3" w:themeFill="accent6" w:themeFillTint="66"/>
            <w:noWrap/>
            <w:hideMark/>
          </w:tcPr>
          <w:p w14:paraId="23181C12" w14:textId="77777777" w:rsidR="00603C0E" w:rsidRPr="005F23C9" w:rsidRDefault="00603C0E" w:rsidP="00603C0E">
            <w:pPr>
              <w:pStyle w:val="Tabele"/>
              <w:jc w:val="right"/>
              <w:rPr>
                <w:color w:val="auto"/>
                <w:lang w:eastAsia="pl-PL"/>
              </w:rPr>
            </w:pPr>
            <w:r w:rsidRPr="005F23C9">
              <w:rPr>
                <w:rFonts w:cs="Arial"/>
                <w:color w:val="auto"/>
                <w:szCs w:val="16"/>
              </w:rPr>
              <w:t>653</w:t>
            </w:r>
          </w:p>
        </w:tc>
        <w:tc>
          <w:tcPr>
            <w:tcW w:w="891" w:type="dxa"/>
            <w:shd w:val="clear" w:color="auto" w:fill="C5E0B3" w:themeFill="accent6" w:themeFillTint="66"/>
            <w:noWrap/>
            <w:hideMark/>
          </w:tcPr>
          <w:p w14:paraId="6EF9A6EB" w14:textId="77777777" w:rsidR="00603C0E" w:rsidRPr="005F23C9" w:rsidRDefault="00603C0E" w:rsidP="00603C0E">
            <w:pPr>
              <w:pStyle w:val="Tabele"/>
              <w:jc w:val="right"/>
              <w:rPr>
                <w:color w:val="auto"/>
                <w:lang w:eastAsia="pl-PL"/>
              </w:rPr>
            </w:pPr>
            <w:r w:rsidRPr="005F23C9">
              <w:rPr>
                <w:rFonts w:cs="Arial"/>
                <w:color w:val="auto"/>
                <w:szCs w:val="16"/>
              </w:rPr>
              <w:t>1 040</w:t>
            </w:r>
          </w:p>
        </w:tc>
        <w:tc>
          <w:tcPr>
            <w:tcW w:w="890" w:type="dxa"/>
            <w:noWrap/>
            <w:hideMark/>
          </w:tcPr>
          <w:p w14:paraId="7A85710A" w14:textId="50AF62CB" w:rsidR="00603C0E" w:rsidRPr="005F23C9" w:rsidRDefault="00603C0E" w:rsidP="00603C0E">
            <w:pPr>
              <w:pStyle w:val="Tabele"/>
              <w:jc w:val="right"/>
              <w:rPr>
                <w:color w:val="auto"/>
                <w:lang w:eastAsia="pl-PL"/>
              </w:rPr>
            </w:pPr>
            <w:r>
              <w:rPr>
                <w:rFonts w:cs="Arial"/>
                <w:color w:val="000000"/>
                <w:szCs w:val="16"/>
              </w:rPr>
              <w:t>1 653</w:t>
            </w:r>
          </w:p>
        </w:tc>
        <w:tc>
          <w:tcPr>
            <w:tcW w:w="890" w:type="dxa"/>
            <w:noWrap/>
            <w:hideMark/>
          </w:tcPr>
          <w:p w14:paraId="6C4E8D95" w14:textId="4974FA12" w:rsidR="00603C0E" w:rsidRPr="005F23C9" w:rsidRDefault="00603C0E" w:rsidP="00603C0E">
            <w:pPr>
              <w:pStyle w:val="Tabele"/>
              <w:jc w:val="right"/>
              <w:rPr>
                <w:color w:val="auto"/>
                <w:lang w:eastAsia="pl-PL"/>
              </w:rPr>
            </w:pPr>
            <w:r>
              <w:rPr>
                <w:rFonts w:cs="Arial"/>
                <w:color w:val="000000"/>
                <w:szCs w:val="16"/>
              </w:rPr>
              <w:t>1 118</w:t>
            </w:r>
          </w:p>
        </w:tc>
        <w:tc>
          <w:tcPr>
            <w:tcW w:w="891" w:type="dxa"/>
            <w:noWrap/>
            <w:hideMark/>
          </w:tcPr>
          <w:p w14:paraId="1C9A7E33" w14:textId="27AA58D6" w:rsidR="00603C0E" w:rsidRPr="005F23C9" w:rsidRDefault="00603C0E" w:rsidP="00603C0E">
            <w:pPr>
              <w:pStyle w:val="Tabele"/>
              <w:jc w:val="right"/>
              <w:rPr>
                <w:color w:val="auto"/>
                <w:lang w:eastAsia="pl-PL"/>
              </w:rPr>
            </w:pPr>
            <w:r>
              <w:rPr>
                <w:rFonts w:cs="Arial"/>
                <w:color w:val="000000"/>
                <w:szCs w:val="16"/>
              </w:rPr>
              <w:t>1 002</w:t>
            </w:r>
          </w:p>
        </w:tc>
        <w:tc>
          <w:tcPr>
            <w:tcW w:w="890" w:type="dxa"/>
            <w:noWrap/>
            <w:hideMark/>
          </w:tcPr>
          <w:p w14:paraId="6DE821BF" w14:textId="4D1ECA7B" w:rsidR="00603C0E" w:rsidRPr="005F23C9" w:rsidRDefault="00603C0E" w:rsidP="00603C0E">
            <w:pPr>
              <w:pStyle w:val="Tabele"/>
              <w:jc w:val="right"/>
              <w:rPr>
                <w:color w:val="auto"/>
                <w:lang w:eastAsia="pl-PL"/>
              </w:rPr>
            </w:pPr>
            <w:r>
              <w:rPr>
                <w:rFonts w:cs="Arial"/>
                <w:color w:val="000000"/>
                <w:szCs w:val="16"/>
              </w:rPr>
              <w:t>868</w:t>
            </w:r>
          </w:p>
        </w:tc>
      </w:tr>
      <w:tr w:rsidR="00603C0E" w:rsidRPr="00134171" w14:paraId="44B123C3" w14:textId="77777777" w:rsidTr="0D29C4E5">
        <w:trPr>
          <w:trHeight w:val="227"/>
        </w:trPr>
        <w:tc>
          <w:tcPr>
            <w:tcW w:w="1555" w:type="dxa"/>
            <w:vMerge/>
            <w:hideMark/>
          </w:tcPr>
          <w:p w14:paraId="62F424E8" w14:textId="77777777" w:rsidR="00603C0E" w:rsidRPr="005F23C9" w:rsidRDefault="00603C0E" w:rsidP="00603C0E">
            <w:pPr>
              <w:pStyle w:val="Tabele"/>
              <w:rPr>
                <w:b/>
                <w:bCs/>
                <w:color w:val="auto"/>
                <w:lang w:eastAsia="pl-PL"/>
              </w:rPr>
            </w:pPr>
          </w:p>
        </w:tc>
        <w:tc>
          <w:tcPr>
            <w:tcW w:w="5315" w:type="dxa"/>
            <w:noWrap/>
            <w:hideMark/>
          </w:tcPr>
          <w:p w14:paraId="4B38D303" w14:textId="77777777" w:rsidR="00603C0E" w:rsidRPr="005F23C9" w:rsidRDefault="00603C0E" w:rsidP="00603C0E">
            <w:pPr>
              <w:pStyle w:val="Tabele"/>
              <w:jc w:val="right"/>
              <w:rPr>
                <w:color w:val="auto"/>
                <w:lang w:eastAsia="pl-PL"/>
              </w:rPr>
            </w:pPr>
            <w:r w:rsidRPr="005F23C9">
              <w:rPr>
                <w:color w:val="auto"/>
                <w:lang w:eastAsia="pl-PL"/>
              </w:rPr>
              <w:t xml:space="preserve">Biopaliwa II generacji </w:t>
            </w:r>
          </w:p>
        </w:tc>
        <w:tc>
          <w:tcPr>
            <w:tcW w:w="891" w:type="dxa"/>
            <w:shd w:val="clear" w:color="auto" w:fill="C5E0B3" w:themeFill="accent6" w:themeFillTint="66"/>
            <w:noWrap/>
            <w:hideMark/>
          </w:tcPr>
          <w:p w14:paraId="5E040828" w14:textId="77777777" w:rsidR="00603C0E" w:rsidRPr="005F23C9" w:rsidRDefault="00603C0E" w:rsidP="00603C0E">
            <w:pPr>
              <w:pStyle w:val="Tabele"/>
              <w:jc w:val="right"/>
              <w:rPr>
                <w:color w:val="auto"/>
                <w:lang w:eastAsia="pl-PL"/>
              </w:rPr>
            </w:pPr>
            <w:r w:rsidRPr="005F23C9">
              <w:rPr>
                <w:rFonts w:cs="Arial"/>
                <w:color w:val="auto"/>
                <w:szCs w:val="16"/>
              </w:rPr>
              <w:t>0</w:t>
            </w:r>
          </w:p>
        </w:tc>
        <w:tc>
          <w:tcPr>
            <w:tcW w:w="891" w:type="dxa"/>
            <w:shd w:val="clear" w:color="auto" w:fill="C5E0B3" w:themeFill="accent6" w:themeFillTint="66"/>
            <w:noWrap/>
            <w:hideMark/>
          </w:tcPr>
          <w:p w14:paraId="5BB9E037" w14:textId="77777777" w:rsidR="00603C0E" w:rsidRPr="005F23C9" w:rsidRDefault="00603C0E" w:rsidP="00603C0E">
            <w:pPr>
              <w:pStyle w:val="Tabele"/>
              <w:jc w:val="right"/>
              <w:rPr>
                <w:color w:val="auto"/>
                <w:lang w:eastAsia="pl-PL"/>
              </w:rPr>
            </w:pPr>
            <w:r w:rsidRPr="005F23C9">
              <w:rPr>
                <w:rFonts w:cs="Arial"/>
                <w:color w:val="auto"/>
                <w:szCs w:val="16"/>
              </w:rPr>
              <w:t>0</w:t>
            </w:r>
          </w:p>
        </w:tc>
        <w:tc>
          <w:tcPr>
            <w:tcW w:w="890" w:type="dxa"/>
            <w:shd w:val="clear" w:color="auto" w:fill="C5E0B3" w:themeFill="accent6" w:themeFillTint="66"/>
            <w:noWrap/>
            <w:hideMark/>
          </w:tcPr>
          <w:p w14:paraId="04DB7739" w14:textId="77777777" w:rsidR="00603C0E" w:rsidRPr="005F23C9" w:rsidRDefault="00603C0E" w:rsidP="00603C0E">
            <w:pPr>
              <w:pStyle w:val="Tabele"/>
              <w:jc w:val="right"/>
              <w:rPr>
                <w:color w:val="auto"/>
                <w:lang w:eastAsia="pl-PL"/>
              </w:rPr>
            </w:pPr>
            <w:r w:rsidRPr="005F23C9">
              <w:rPr>
                <w:rFonts w:cs="Arial"/>
                <w:color w:val="auto"/>
                <w:szCs w:val="16"/>
              </w:rPr>
              <w:t>0</w:t>
            </w:r>
          </w:p>
        </w:tc>
        <w:tc>
          <w:tcPr>
            <w:tcW w:w="891" w:type="dxa"/>
            <w:shd w:val="clear" w:color="auto" w:fill="C5E0B3" w:themeFill="accent6" w:themeFillTint="66"/>
            <w:noWrap/>
            <w:hideMark/>
          </w:tcPr>
          <w:p w14:paraId="727985FE" w14:textId="77777777" w:rsidR="00603C0E" w:rsidRPr="005F23C9" w:rsidRDefault="00603C0E" w:rsidP="00603C0E">
            <w:pPr>
              <w:pStyle w:val="Tabele"/>
              <w:jc w:val="right"/>
              <w:rPr>
                <w:color w:val="auto"/>
                <w:lang w:eastAsia="pl-PL"/>
              </w:rPr>
            </w:pPr>
            <w:r w:rsidRPr="005F23C9">
              <w:rPr>
                <w:rFonts w:cs="Arial"/>
                <w:color w:val="auto"/>
                <w:szCs w:val="16"/>
              </w:rPr>
              <w:t>0</w:t>
            </w:r>
          </w:p>
        </w:tc>
        <w:tc>
          <w:tcPr>
            <w:tcW w:w="890" w:type="dxa"/>
            <w:noWrap/>
            <w:hideMark/>
          </w:tcPr>
          <w:p w14:paraId="3B165BA2" w14:textId="597AAB6A" w:rsidR="00603C0E" w:rsidRPr="005F23C9" w:rsidRDefault="00603C0E" w:rsidP="00603C0E">
            <w:pPr>
              <w:pStyle w:val="Tabele"/>
              <w:jc w:val="right"/>
              <w:rPr>
                <w:color w:val="auto"/>
                <w:lang w:eastAsia="pl-PL"/>
              </w:rPr>
            </w:pPr>
            <w:r>
              <w:rPr>
                <w:rFonts w:cs="Arial"/>
                <w:color w:val="000000"/>
                <w:szCs w:val="16"/>
              </w:rPr>
              <w:t>100</w:t>
            </w:r>
          </w:p>
        </w:tc>
        <w:tc>
          <w:tcPr>
            <w:tcW w:w="890" w:type="dxa"/>
            <w:noWrap/>
            <w:hideMark/>
          </w:tcPr>
          <w:p w14:paraId="63C62127" w14:textId="314AA820" w:rsidR="00603C0E" w:rsidRPr="005F23C9" w:rsidRDefault="00603C0E" w:rsidP="00603C0E">
            <w:pPr>
              <w:pStyle w:val="Tabele"/>
              <w:jc w:val="right"/>
              <w:rPr>
                <w:color w:val="auto"/>
                <w:lang w:eastAsia="pl-PL"/>
              </w:rPr>
            </w:pPr>
            <w:r>
              <w:rPr>
                <w:rFonts w:cs="Arial"/>
                <w:color w:val="000000"/>
                <w:szCs w:val="16"/>
              </w:rPr>
              <w:t>670</w:t>
            </w:r>
          </w:p>
        </w:tc>
        <w:tc>
          <w:tcPr>
            <w:tcW w:w="891" w:type="dxa"/>
            <w:noWrap/>
            <w:hideMark/>
          </w:tcPr>
          <w:p w14:paraId="42F2C410" w14:textId="1820AC7E" w:rsidR="00603C0E" w:rsidRPr="005F23C9" w:rsidRDefault="00603C0E" w:rsidP="00603C0E">
            <w:pPr>
              <w:pStyle w:val="Tabele"/>
              <w:jc w:val="right"/>
              <w:rPr>
                <w:color w:val="auto"/>
                <w:lang w:eastAsia="pl-PL"/>
              </w:rPr>
            </w:pPr>
            <w:r>
              <w:rPr>
                <w:rFonts w:cs="Arial"/>
                <w:color w:val="000000"/>
                <w:szCs w:val="16"/>
              </w:rPr>
              <w:t>730</w:t>
            </w:r>
          </w:p>
        </w:tc>
        <w:tc>
          <w:tcPr>
            <w:tcW w:w="890" w:type="dxa"/>
            <w:noWrap/>
            <w:hideMark/>
          </w:tcPr>
          <w:p w14:paraId="76586D0E" w14:textId="38862196" w:rsidR="00603C0E" w:rsidRPr="005F23C9" w:rsidRDefault="00603C0E" w:rsidP="00603C0E">
            <w:pPr>
              <w:pStyle w:val="Tabele"/>
              <w:jc w:val="right"/>
              <w:rPr>
                <w:color w:val="auto"/>
                <w:lang w:eastAsia="pl-PL"/>
              </w:rPr>
            </w:pPr>
            <w:r>
              <w:rPr>
                <w:rFonts w:cs="Arial"/>
                <w:color w:val="000000"/>
                <w:szCs w:val="16"/>
              </w:rPr>
              <w:t>810</w:t>
            </w:r>
          </w:p>
        </w:tc>
      </w:tr>
      <w:tr w:rsidR="00AC5C33" w:rsidRPr="00134171" w14:paraId="394284A8" w14:textId="77777777" w:rsidTr="0D29C4E5">
        <w:trPr>
          <w:trHeight w:val="227"/>
        </w:trPr>
        <w:tc>
          <w:tcPr>
            <w:tcW w:w="1555" w:type="dxa"/>
            <w:vMerge/>
            <w:hideMark/>
          </w:tcPr>
          <w:p w14:paraId="5AB5B659" w14:textId="77777777" w:rsidR="00AC5C33" w:rsidRPr="005F23C9" w:rsidRDefault="00AC5C33" w:rsidP="00AC5C33">
            <w:pPr>
              <w:pStyle w:val="Tabele"/>
              <w:rPr>
                <w:b/>
                <w:bCs/>
                <w:color w:val="auto"/>
                <w:lang w:eastAsia="pl-PL"/>
              </w:rPr>
            </w:pPr>
          </w:p>
        </w:tc>
        <w:tc>
          <w:tcPr>
            <w:tcW w:w="5315" w:type="dxa"/>
            <w:noWrap/>
            <w:hideMark/>
          </w:tcPr>
          <w:p w14:paraId="08214B41" w14:textId="77777777" w:rsidR="00AC5C33" w:rsidRPr="005F23C9" w:rsidRDefault="00AC5C33" w:rsidP="00AC5C33">
            <w:pPr>
              <w:pStyle w:val="Tabele"/>
              <w:jc w:val="right"/>
              <w:rPr>
                <w:color w:val="auto"/>
                <w:lang w:eastAsia="pl-PL"/>
              </w:rPr>
            </w:pPr>
            <w:r w:rsidRPr="005F23C9">
              <w:rPr>
                <w:color w:val="auto"/>
                <w:lang w:eastAsia="pl-PL"/>
              </w:rPr>
              <w:t>Biometan</w:t>
            </w:r>
          </w:p>
        </w:tc>
        <w:tc>
          <w:tcPr>
            <w:tcW w:w="891" w:type="dxa"/>
            <w:shd w:val="clear" w:color="auto" w:fill="C5E0B3" w:themeFill="accent6" w:themeFillTint="66"/>
            <w:noWrap/>
            <w:hideMark/>
          </w:tcPr>
          <w:p w14:paraId="0050A4B4"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1" w:type="dxa"/>
            <w:shd w:val="clear" w:color="auto" w:fill="C5E0B3" w:themeFill="accent6" w:themeFillTint="66"/>
            <w:noWrap/>
            <w:hideMark/>
          </w:tcPr>
          <w:p w14:paraId="30CB47B0"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0" w:type="dxa"/>
            <w:shd w:val="clear" w:color="auto" w:fill="C5E0B3" w:themeFill="accent6" w:themeFillTint="66"/>
            <w:noWrap/>
            <w:hideMark/>
          </w:tcPr>
          <w:p w14:paraId="0189EA8F"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1" w:type="dxa"/>
            <w:shd w:val="clear" w:color="auto" w:fill="C5E0B3" w:themeFill="accent6" w:themeFillTint="66"/>
            <w:noWrap/>
            <w:hideMark/>
          </w:tcPr>
          <w:p w14:paraId="22F8139E"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0" w:type="dxa"/>
            <w:noWrap/>
            <w:hideMark/>
          </w:tcPr>
          <w:p w14:paraId="22155990" w14:textId="1E49BF48" w:rsidR="00AC5C33" w:rsidRPr="005F23C9" w:rsidRDefault="00AC5C33" w:rsidP="00AC5C33">
            <w:pPr>
              <w:pStyle w:val="Tabele"/>
              <w:jc w:val="right"/>
              <w:rPr>
                <w:color w:val="auto"/>
                <w:lang w:eastAsia="pl-PL"/>
              </w:rPr>
            </w:pPr>
            <w:r>
              <w:rPr>
                <w:rFonts w:cs="Arial"/>
                <w:color w:val="000000"/>
                <w:szCs w:val="16"/>
              </w:rPr>
              <w:t>54</w:t>
            </w:r>
          </w:p>
        </w:tc>
        <w:tc>
          <w:tcPr>
            <w:tcW w:w="890" w:type="dxa"/>
            <w:noWrap/>
            <w:hideMark/>
          </w:tcPr>
          <w:p w14:paraId="28199B07" w14:textId="77777777" w:rsidR="00AC5C33" w:rsidRPr="005F23C9" w:rsidRDefault="00AC5C33" w:rsidP="00AC5C33">
            <w:pPr>
              <w:pStyle w:val="Tabele"/>
              <w:jc w:val="right"/>
              <w:rPr>
                <w:color w:val="auto"/>
                <w:lang w:eastAsia="pl-PL"/>
              </w:rPr>
            </w:pPr>
            <w:r w:rsidRPr="005F23C9">
              <w:rPr>
                <w:rFonts w:cs="Arial"/>
                <w:color w:val="auto"/>
                <w:szCs w:val="16"/>
              </w:rPr>
              <w:t>430</w:t>
            </w:r>
          </w:p>
        </w:tc>
        <w:tc>
          <w:tcPr>
            <w:tcW w:w="891" w:type="dxa"/>
            <w:noWrap/>
            <w:hideMark/>
          </w:tcPr>
          <w:p w14:paraId="795D3617" w14:textId="77777777" w:rsidR="00AC5C33" w:rsidRPr="005F23C9" w:rsidRDefault="00AC5C33" w:rsidP="00AC5C33">
            <w:pPr>
              <w:pStyle w:val="Tabele"/>
              <w:jc w:val="right"/>
              <w:rPr>
                <w:color w:val="auto"/>
                <w:lang w:eastAsia="pl-PL"/>
              </w:rPr>
            </w:pPr>
            <w:r w:rsidRPr="005F23C9">
              <w:rPr>
                <w:rFonts w:cs="Arial"/>
                <w:color w:val="auto"/>
                <w:szCs w:val="16"/>
              </w:rPr>
              <w:t>805</w:t>
            </w:r>
          </w:p>
        </w:tc>
        <w:tc>
          <w:tcPr>
            <w:tcW w:w="890" w:type="dxa"/>
            <w:noWrap/>
            <w:hideMark/>
          </w:tcPr>
          <w:p w14:paraId="07F1110C" w14:textId="77777777" w:rsidR="00AC5C33" w:rsidRPr="005F23C9" w:rsidRDefault="00AC5C33" w:rsidP="00AC5C33">
            <w:pPr>
              <w:pStyle w:val="Tabele"/>
              <w:jc w:val="right"/>
              <w:rPr>
                <w:color w:val="auto"/>
                <w:lang w:eastAsia="pl-PL"/>
              </w:rPr>
            </w:pPr>
            <w:r w:rsidRPr="005F23C9">
              <w:rPr>
                <w:rFonts w:cs="Arial"/>
                <w:color w:val="auto"/>
                <w:szCs w:val="16"/>
              </w:rPr>
              <w:t>880</w:t>
            </w:r>
          </w:p>
        </w:tc>
      </w:tr>
      <w:tr w:rsidR="00AC5C33" w:rsidRPr="00134171" w14:paraId="6E50DFFD" w14:textId="77777777" w:rsidTr="0D29C4E5">
        <w:trPr>
          <w:trHeight w:val="227"/>
        </w:trPr>
        <w:tc>
          <w:tcPr>
            <w:tcW w:w="1555" w:type="dxa"/>
            <w:vMerge/>
            <w:hideMark/>
          </w:tcPr>
          <w:p w14:paraId="47E7FC85" w14:textId="77777777" w:rsidR="00AC5C33" w:rsidRPr="005F23C9" w:rsidRDefault="00AC5C33" w:rsidP="00AC5C33">
            <w:pPr>
              <w:pStyle w:val="Tabele"/>
              <w:rPr>
                <w:b/>
                <w:bCs/>
                <w:color w:val="auto"/>
                <w:lang w:eastAsia="pl-PL"/>
              </w:rPr>
            </w:pPr>
          </w:p>
        </w:tc>
        <w:tc>
          <w:tcPr>
            <w:tcW w:w="5315" w:type="dxa"/>
            <w:noWrap/>
            <w:hideMark/>
          </w:tcPr>
          <w:p w14:paraId="29CF4BD7" w14:textId="77777777" w:rsidR="00AC5C33" w:rsidRPr="005F23C9" w:rsidRDefault="00AC5C33" w:rsidP="00AC5C33">
            <w:pPr>
              <w:pStyle w:val="Tabele"/>
              <w:jc w:val="right"/>
              <w:rPr>
                <w:color w:val="auto"/>
                <w:lang w:eastAsia="pl-PL"/>
              </w:rPr>
            </w:pPr>
            <w:r w:rsidRPr="005F23C9">
              <w:rPr>
                <w:color w:val="auto"/>
                <w:lang w:eastAsia="pl-PL"/>
              </w:rPr>
              <w:t>Biowęglowodory</w:t>
            </w:r>
          </w:p>
        </w:tc>
        <w:tc>
          <w:tcPr>
            <w:tcW w:w="891" w:type="dxa"/>
            <w:shd w:val="clear" w:color="auto" w:fill="C5E0B3" w:themeFill="accent6" w:themeFillTint="66"/>
            <w:noWrap/>
            <w:hideMark/>
          </w:tcPr>
          <w:p w14:paraId="109D4290"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1" w:type="dxa"/>
            <w:shd w:val="clear" w:color="auto" w:fill="C5E0B3" w:themeFill="accent6" w:themeFillTint="66"/>
            <w:noWrap/>
            <w:hideMark/>
          </w:tcPr>
          <w:p w14:paraId="7C0F3E6A"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0" w:type="dxa"/>
            <w:shd w:val="clear" w:color="auto" w:fill="C5E0B3" w:themeFill="accent6" w:themeFillTint="66"/>
            <w:noWrap/>
            <w:hideMark/>
          </w:tcPr>
          <w:p w14:paraId="6FDA59DF"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1" w:type="dxa"/>
            <w:shd w:val="clear" w:color="auto" w:fill="C5E0B3" w:themeFill="accent6" w:themeFillTint="66"/>
            <w:noWrap/>
            <w:hideMark/>
          </w:tcPr>
          <w:p w14:paraId="26B6B979"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0" w:type="dxa"/>
            <w:noWrap/>
            <w:hideMark/>
          </w:tcPr>
          <w:p w14:paraId="4AF61B5E" w14:textId="2F1BFF5D" w:rsidR="00AC5C33" w:rsidRPr="005F23C9" w:rsidRDefault="00AC5C33" w:rsidP="00AC5C33">
            <w:pPr>
              <w:pStyle w:val="Tabele"/>
              <w:jc w:val="right"/>
              <w:rPr>
                <w:color w:val="auto"/>
                <w:lang w:eastAsia="pl-PL"/>
              </w:rPr>
            </w:pPr>
            <w:r>
              <w:rPr>
                <w:rFonts w:cs="Arial"/>
                <w:color w:val="000000"/>
                <w:szCs w:val="16"/>
              </w:rPr>
              <w:t>10</w:t>
            </w:r>
          </w:p>
        </w:tc>
        <w:tc>
          <w:tcPr>
            <w:tcW w:w="890" w:type="dxa"/>
            <w:noWrap/>
            <w:hideMark/>
          </w:tcPr>
          <w:p w14:paraId="5E84B8C4" w14:textId="77777777" w:rsidR="00AC5C33" w:rsidRPr="005F23C9" w:rsidRDefault="00AC5C33" w:rsidP="00AC5C33">
            <w:pPr>
              <w:pStyle w:val="Tabele"/>
              <w:jc w:val="right"/>
              <w:rPr>
                <w:color w:val="auto"/>
                <w:lang w:eastAsia="pl-PL"/>
              </w:rPr>
            </w:pPr>
            <w:r w:rsidRPr="005F23C9">
              <w:rPr>
                <w:rFonts w:cs="Arial"/>
                <w:color w:val="auto"/>
                <w:szCs w:val="16"/>
              </w:rPr>
              <w:t>10</w:t>
            </w:r>
          </w:p>
        </w:tc>
        <w:tc>
          <w:tcPr>
            <w:tcW w:w="891" w:type="dxa"/>
            <w:noWrap/>
            <w:hideMark/>
          </w:tcPr>
          <w:p w14:paraId="24B12C51" w14:textId="77777777" w:rsidR="00AC5C33" w:rsidRPr="005F23C9" w:rsidRDefault="00AC5C33" w:rsidP="00AC5C33">
            <w:pPr>
              <w:pStyle w:val="Tabele"/>
              <w:jc w:val="right"/>
              <w:rPr>
                <w:color w:val="auto"/>
                <w:lang w:eastAsia="pl-PL"/>
              </w:rPr>
            </w:pPr>
            <w:r w:rsidRPr="005F23C9">
              <w:rPr>
                <w:rFonts w:cs="Arial"/>
                <w:color w:val="auto"/>
                <w:szCs w:val="16"/>
              </w:rPr>
              <w:t>10</w:t>
            </w:r>
          </w:p>
        </w:tc>
        <w:tc>
          <w:tcPr>
            <w:tcW w:w="890" w:type="dxa"/>
            <w:noWrap/>
            <w:hideMark/>
          </w:tcPr>
          <w:p w14:paraId="3BFDF598" w14:textId="77777777" w:rsidR="00AC5C33" w:rsidRPr="005F23C9" w:rsidRDefault="00AC5C33" w:rsidP="00AC5C33">
            <w:pPr>
              <w:pStyle w:val="Tabele"/>
              <w:jc w:val="right"/>
              <w:rPr>
                <w:color w:val="auto"/>
                <w:lang w:eastAsia="pl-PL"/>
              </w:rPr>
            </w:pPr>
            <w:r w:rsidRPr="005F23C9">
              <w:rPr>
                <w:rFonts w:cs="Arial"/>
                <w:color w:val="auto"/>
                <w:szCs w:val="16"/>
              </w:rPr>
              <w:t>11</w:t>
            </w:r>
          </w:p>
        </w:tc>
      </w:tr>
      <w:tr w:rsidR="00AC5C33" w:rsidRPr="00134171" w14:paraId="0C97DF17" w14:textId="77777777" w:rsidTr="0D29C4E5">
        <w:trPr>
          <w:trHeight w:val="227"/>
        </w:trPr>
        <w:tc>
          <w:tcPr>
            <w:tcW w:w="1555" w:type="dxa"/>
            <w:vMerge/>
            <w:hideMark/>
          </w:tcPr>
          <w:p w14:paraId="2FADF222" w14:textId="77777777" w:rsidR="00AC5C33" w:rsidRPr="005F23C9" w:rsidRDefault="00AC5C33" w:rsidP="00AC5C33">
            <w:pPr>
              <w:pStyle w:val="Tabele"/>
              <w:rPr>
                <w:b/>
                <w:bCs/>
                <w:color w:val="auto"/>
                <w:lang w:eastAsia="pl-PL"/>
              </w:rPr>
            </w:pPr>
          </w:p>
        </w:tc>
        <w:tc>
          <w:tcPr>
            <w:tcW w:w="5315" w:type="dxa"/>
            <w:noWrap/>
            <w:hideMark/>
          </w:tcPr>
          <w:p w14:paraId="3F2EDAB1" w14:textId="5F640BF1" w:rsidR="00AC5C33" w:rsidRPr="005F23C9" w:rsidRDefault="00AC5C33" w:rsidP="00AC5C33">
            <w:pPr>
              <w:pStyle w:val="Tabele"/>
              <w:jc w:val="right"/>
              <w:rPr>
                <w:color w:val="auto"/>
                <w:lang w:eastAsia="pl-PL"/>
              </w:rPr>
            </w:pPr>
            <w:r w:rsidRPr="005F23C9">
              <w:rPr>
                <w:color w:val="auto"/>
                <w:lang w:eastAsia="pl-PL"/>
              </w:rPr>
              <w:t>RF</w:t>
            </w:r>
            <w:r>
              <w:rPr>
                <w:color w:val="auto"/>
                <w:lang w:eastAsia="pl-PL"/>
              </w:rPr>
              <w:t>N</w:t>
            </w:r>
            <w:r w:rsidRPr="005F23C9">
              <w:rPr>
                <w:color w:val="auto"/>
                <w:lang w:eastAsia="pl-PL"/>
              </w:rPr>
              <w:t>BO</w:t>
            </w:r>
          </w:p>
        </w:tc>
        <w:tc>
          <w:tcPr>
            <w:tcW w:w="891" w:type="dxa"/>
            <w:shd w:val="clear" w:color="auto" w:fill="C5E0B3" w:themeFill="accent6" w:themeFillTint="66"/>
            <w:noWrap/>
            <w:hideMark/>
          </w:tcPr>
          <w:p w14:paraId="03889810"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1" w:type="dxa"/>
            <w:shd w:val="clear" w:color="auto" w:fill="C5E0B3" w:themeFill="accent6" w:themeFillTint="66"/>
            <w:noWrap/>
            <w:hideMark/>
          </w:tcPr>
          <w:p w14:paraId="2A3E5689"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0" w:type="dxa"/>
            <w:shd w:val="clear" w:color="auto" w:fill="C5E0B3" w:themeFill="accent6" w:themeFillTint="66"/>
            <w:noWrap/>
            <w:hideMark/>
          </w:tcPr>
          <w:p w14:paraId="348A8C81"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1" w:type="dxa"/>
            <w:shd w:val="clear" w:color="auto" w:fill="C5E0B3" w:themeFill="accent6" w:themeFillTint="66"/>
            <w:noWrap/>
            <w:hideMark/>
          </w:tcPr>
          <w:p w14:paraId="423CF652"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0" w:type="dxa"/>
            <w:noWrap/>
            <w:hideMark/>
          </w:tcPr>
          <w:p w14:paraId="37C2903D" w14:textId="541FA863" w:rsidR="00AC5C33" w:rsidRPr="005F23C9" w:rsidRDefault="00AC5C33" w:rsidP="00AC5C33">
            <w:pPr>
              <w:pStyle w:val="Tabele"/>
              <w:jc w:val="right"/>
              <w:rPr>
                <w:color w:val="auto"/>
                <w:lang w:eastAsia="pl-PL"/>
              </w:rPr>
            </w:pPr>
            <w:r>
              <w:rPr>
                <w:rFonts w:cs="Arial"/>
                <w:color w:val="000000"/>
                <w:szCs w:val="16"/>
              </w:rPr>
              <w:t>5</w:t>
            </w:r>
          </w:p>
        </w:tc>
        <w:tc>
          <w:tcPr>
            <w:tcW w:w="890" w:type="dxa"/>
            <w:noWrap/>
            <w:hideMark/>
          </w:tcPr>
          <w:p w14:paraId="3E2455F1" w14:textId="77777777" w:rsidR="00AC5C33" w:rsidRPr="005F23C9" w:rsidRDefault="00AC5C33" w:rsidP="00AC5C33">
            <w:pPr>
              <w:pStyle w:val="Tabele"/>
              <w:jc w:val="right"/>
              <w:rPr>
                <w:color w:val="auto"/>
                <w:lang w:eastAsia="pl-PL"/>
              </w:rPr>
            </w:pPr>
            <w:r w:rsidRPr="005F23C9">
              <w:rPr>
                <w:rFonts w:cs="Arial"/>
                <w:color w:val="auto"/>
                <w:szCs w:val="16"/>
              </w:rPr>
              <w:t>27</w:t>
            </w:r>
          </w:p>
        </w:tc>
        <w:tc>
          <w:tcPr>
            <w:tcW w:w="891" w:type="dxa"/>
            <w:noWrap/>
            <w:hideMark/>
          </w:tcPr>
          <w:p w14:paraId="1301D9F7" w14:textId="77777777" w:rsidR="00AC5C33" w:rsidRPr="005F23C9" w:rsidRDefault="00AC5C33" w:rsidP="00AC5C33">
            <w:pPr>
              <w:pStyle w:val="Tabele"/>
              <w:jc w:val="right"/>
              <w:rPr>
                <w:color w:val="auto"/>
                <w:lang w:eastAsia="pl-PL"/>
              </w:rPr>
            </w:pPr>
            <w:r w:rsidRPr="005F23C9">
              <w:rPr>
                <w:rFonts w:cs="Arial"/>
                <w:color w:val="auto"/>
                <w:szCs w:val="16"/>
              </w:rPr>
              <w:t>128</w:t>
            </w:r>
          </w:p>
        </w:tc>
        <w:tc>
          <w:tcPr>
            <w:tcW w:w="890" w:type="dxa"/>
            <w:noWrap/>
            <w:hideMark/>
          </w:tcPr>
          <w:p w14:paraId="4913A349" w14:textId="77777777" w:rsidR="00AC5C33" w:rsidRPr="005F23C9" w:rsidRDefault="00AC5C33" w:rsidP="00AC5C33">
            <w:pPr>
              <w:pStyle w:val="Tabele"/>
              <w:jc w:val="right"/>
              <w:rPr>
                <w:color w:val="auto"/>
                <w:lang w:eastAsia="pl-PL"/>
              </w:rPr>
            </w:pPr>
            <w:r w:rsidRPr="005F23C9">
              <w:rPr>
                <w:rFonts w:cs="Arial"/>
                <w:color w:val="auto"/>
                <w:szCs w:val="16"/>
              </w:rPr>
              <w:t>403</w:t>
            </w:r>
          </w:p>
        </w:tc>
      </w:tr>
      <w:tr w:rsidR="00AC5C33" w:rsidRPr="00134171" w14:paraId="0997A91E" w14:textId="77777777" w:rsidTr="0D29C4E5">
        <w:trPr>
          <w:trHeight w:val="227"/>
        </w:trPr>
        <w:tc>
          <w:tcPr>
            <w:tcW w:w="1555" w:type="dxa"/>
            <w:vMerge/>
            <w:hideMark/>
          </w:tcPr>
          <w:p w14:paraId="3956369E" w14:textId="77777777" w:rsidR="00AC5C33" w:rsidRPr="005F23C9" w:rsidRDefault="00AC5C33" w:rsidP="00AC5C33">
            <w:pPr>
              <w:pStyle w:val="Tabele"/>
              <w:rPr>
                <w:b/>
                <w:bCs/>
                <w:color w:val="auto"/>
                <w:lang w:eastAsia="pl-PL"/>
              </w:rPr>
            </w:pPr>
          </w:p>
        </w:tc>
        <w:tc>
          <w:tcPr>
            <w:tcW w:w="5315" w:type="dxa"/>
            <w:noWrap/>
            <w:hideMark/>
          </w:tcPr>
          <w:p w14:paraId="3B7A2D41" w14:textId="77777777" w:rsidR="00AC5C33" w:rsidRPr="005F23C9" w:rsidRDefault="00AC5C33" w:rsidP="00AC5C33">
            <w:pPr>
              <w:pStyle w:val="Tabele"/>
              <w:jc w:val="right"/>
              <w:rPr>
                <w:color w:val="auto"/>
                <w:lang w:eastAsia="pl-PL"/>
              </w:rPr>
            </w:pPr>
            <w:r w:rsidRPr="005F23C9">
              <w:rPr>
                <w:color w:val="auto"/>
                <w:lang w:eastAsia="pl-PL"/>
              </w:rPr>
              <w:t>Paliwa węglowe z recyclingu</w:t>
            </w:r>
          </w:p>
        </w:tc>
        <w:tc>
          <w:tcPr>
            <w:tcW w:w="891" w:type="dxa"/>
            <w:shd w:val="clear" w:color="auto" w:fill="C5E0B3" w:themeFill="accent6" w:themeFillTint="66"/>
            <w:noWrap/>
            <w:hideMark/>
          </w:tcPr>
          <w:p w14:paraId="5926F8FE"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1" w:type="dxa"/>
            <w:shd w:val="clear" w:color="auto" w:fill="C5E0B3" w:themeFill="accent6" w:themeFillTint="66"/>
            <w:noWrap/>
            <w:hideMark/>
          </w:tcPr>
          <w:p w14:paraId="472B1512"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0" w:type="dxa"/>
            <w:shd w:val="clear" w:color="auto" w:fill="C5E0B3" w:themeFill="accent6" w:themeFillTint="66"/>
            <w:noWrap/>
            <w:hideMark/>
          </w:tcPr>
          <w:p w14:paraId="5AD4237C"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1" w:type="dxa"/>
            <w:shd w:val="clear" w:color="auto" w:fill="C5E0B3" w:themeFill="accent6" w:themeFillTint="66"/>
            <w:noWrap/>
            <w:hideMark/>
          </w:tcPr>
          <w:p w14:paraId="176244FC"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0" w:type="dxa"/>
            <w:noWrap/>
            <w:hideMark/>
          </w:tcPr>
          <w:p w14:paraId="2FFD3178" w14:textId="546D67A1" w:rsidR="00AC5C33" w:rsidRPr="005F23C9" w:rsidRDefault="00AC5C33" w:rsidP="00AC5C33">
            <w:pPr>
              <w:pStyle w:val="Tabele"/>
              <w:jc w:val="right"/>
              <w:rPr>
                <w:color w:val="auto"/>
                <w:lang w:eastAsia="pl-PL"/>
              </w:rPr>
            </w:pPr>
            <w:r>
              <w:rPr>
                <w:rFonts w:cs="Arial"/>
                <w:color w:val="000000"/>
                <w:szCs w:val="16"/>
              </w:rPr>
              <w:t>0</w:t>
            </w:r>
          </w:p>
        </w:tc>
        <w:tc>
          <w:tcPr>
            <w:tcW w:w="890" w:type="dxa"/>
            <w:noWrap/>
            <w:hideMark/>
          </w:tcPr>
          <w:p w14:paraId="1F5F8BBB"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1" w:type="dxa"/>
            <w:noWrap/>
            <w:hideMark/>
          </w:tcPr>
          <w:p w14:paraId="2F80552F"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0" w:type="dxa"/>
            <w:noWrap/>
            <w:hideMark/>
          </w:tcPr>
          <w:p w14:paraId="6950B427" w14:textId="77777777" w:rsidR="00AC5C33" w:rsidRPr="005F23C9" w:rsidRDefault="00AC5C33" w:rsidP="00AC5C33">
            <w:pPr>
              <w:pStyle w:val="Tabele"/>
              <w:jc w:val="right"/>
              <w:rPr>
                <w:color w:val="auto"/>
                <w:lang w:eastAsia="pl-PL"/>
              </w:rPr>
            </w:pPr>
            <w:r w:rsidRPr="005F23C9">
              <w:rPr>
                <w:rFonts w:cs="Arial"/>
                <w:color w:val="auto"/>
                <w:szCs w:val="16"/>
              </w:rPr>
              <w:t>0</w:t>
            </w:r>
          </w:p>
        </w:tc>
      </w:tr>
      <w:tr w:rsidR="00AC5C33" w:rsidRPr="00134171" w14:paraId="395605A9" w14:textId="77777777" w:rsidTr="0D29C4E5">
        <w:trPr>
          <w:trHeight w:val="227"/>
        </w:trPr>
        <w:tc>
          <w:tcPr>
            <w:tcW w:w="1555" w:type="dxa"/>
            <w:vMerge/>
            <w:hideMark/>
          </w:tcPr>
          <w:p w14:paraId="1A3FA64A" w14:textId="77777777" w:rsidR="00AC5C33" w:rsidRPr="005F23C9" w:rsidRDefault="00AC5C33" w:rsidP="00AC5C33">
            <w:pPr>
              <w:pStyle w:val="Tabele"/>
              <w:rPr>
                <w:b/>
                <w:bCs/>
                <w:color w:val="auto"/>
                <w:lang w:eastAsia="pl-PL"/>
              </w:rPr>
            </w:pPr>
          </w:p>
        </w:tc>
        <w:tc>
          <w:tcPr>
            <w:tcW w:w="5315" w:type="dxa"/>
            <w:noWrap/>
            <w:hideMark/>
          </w:tcPr>
          <w:p w14:paraId="16DB15D0" w14:textId="77777777" w:rsidR="00AC5C33" w:rsidRPr="005F23C9" w:rsidRDefault="00AC5C33" w:rsidP="00AC5C33">
            <w:pPr>
              <w:pStyle w:val="Tabele"/>
              <w:rPr>
                <w:color w:val="auto"/>
                <w:lang w:eastAsia="pl-PL"/>
              </w:rPr>
            </w:pPr>
            <w:r w:rsidRPr="005F23C9">
              <w:rPr>
                <w:color w:val="auto"/>
                <w:lang w:eastAsia="pl-PL"/>
              </w:rPr>
              <w:t>Zużycie energii elektrycznej na cele transportu drogowego zakwalifikowane do OZE</w:t>
            </w:r>
          </w:p>
        </w:tc>
        <w:tc>
          <w:tcPr>
            <w:tcW w:w="891" w:type="dxa"/>
            <w:shd w:val="clear" w:color="auto" w:fill="C5E0B3" w:themeFill="accent6" w:themeFillTint="66"/>
            <w:noWrap/>
            <w:hideMark/>
          </w:tcPr>
          <w:p w14:paraId="6DE0977D"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1" w:type="dxa"/>
            <w:shd w:val="clear" w:color="auto" w:fill="C5E0B3" w:themeFill="accent6" w:themeFillTint="66"/>
            <w:noWrap/>
            <w:hideMark/>
          </w:tcPr>
          <w:p w14:paraId="5C2088D3" w14:textId="77777777" w:rsidR="00AC5C33" w:rsidRPr="005F23C9" w:rsidRDefault="00AC5C33" w:rsidP="00AC5C33">
            <w:pPr>
              <w:pStyle w:val="Tabele"/>
              <w:jc w:val="right"/>
              <w:rPr>
                <w:color w:val="auto"/>
                <w:lang w:eastAsia="pl-PL"/>
              </w:rPr>
            </w:pPr>
            <w:r w:rsidRPr="005F23C9">
              <w:rPr>
                <w:rFonts w:cs="Arial"/>
                <w:color w:val="auto"/>
                <w:szCs w:val="16"/>
              </w:rPr>
              <w:t>0</w:t>
            </w:r>
          </w:p>
        </w:tc>
        <w:tc>
          <w:tcPr>
            <w:tcW w:w="890" w:type="dxa"/>
            <w:shd w:val="clear" w:color="auto" w:fill="C5E0B3" w:themeFill="accent6" w:themeFillTint="66"/>
            <w:noWrap/>
            <w:hideMark/>
          </w:tcPr>
          <w:p w14:paraId="672DEE93" w14:textId="77777777" w:rsidR="00AC5C33" w:rsidRPr="005F23C9" w:rsidRDefault="00AC5C33" w:rsidP="00AC5C33">
            <w:pPr>
              <w:pStyle w:val="Tabele"/>
              <w:jc w:val="right"/>
              <w:rPr>
                <w:color w:val="auto"/>
                <w:lang w:eastAsia="pl-PL"/>
              </w:rPr>
            </w:pPr>
            <w:r w:rsidRPr="005F23C9">
              <w:rPr>
                <w:rFonts w:cs="Arial"/>
                <w:color w:val="auto"/>
                <w:szCs w:val="16"/>
              </w:rPr>
              <w:t>1</w:t>
            </w:r>
          </w:p>
        </w:tc>
        <w:tc>
          <w:tcPr>
            <w:tcW w:w="891" w:type="dxa"/>
            <w:shd w:val="clear" w:color="auto" w:fill="C5E0B3" w:themeFill="accent6" w:themeFillTint="66"/>
            <w:noWrap/>
            <w:hideMark/>
          </w:tcPr>
          <w:p w14:paraId="68267B21" w14:textId="77777777" w:rsidR="00AC5C33" w:rsidRPr="005F23C9" w:rsidRDefault="00AC5C33" w:rsidP="00AC5C33">
            <w:pPr>
              <w:pStyle w:val="Tabele"/>
              <w:jc w:val="right"/>
              <w:rPr>
                <w:color w:val="auto"/>
                <w:lang w:eastAsia="pl-PL"/>
              </w:rPr>
            </w:pPr>
            <w:r w:rsidRPr="005F23C9">
              <w:rPr>
                <w:rFonts w:cs="Arial"/>
                <w:color w:val="auto"/>
                <w:szCs w:val="16"/>
              </w:rPr>
              <w:t>2</w:t>
            </w:r>
          </w:p>
        </w:tc>
        <w:tc>
          <w:tcPr>
            <w:tcW w:w="890" w:type="dxa"/>
            <w:noWrap/>
            <w:hideMark/>
          </w:tcPr>
          <w:p w14:paraId="274E9940" w14:textId="5B3C28B5" w:rsidR="00AC5C33" w:rsidRPr="005F23C9" w:rsidRDefault="00AC5C33" w:rsidP="00AC5C33">
            <w:pPr>
              <w:pStyle w:val="Tabele"/>
              <w:jc w:val="right"/>
              <w:rPr>
                <w:color w:val="auto"/>
                <w:lang w:eastAsia="pl-PL"/>
              </w:rPr>
            </w:pPr>
            <w:r>
              <w:rPr>
                <w:rFonts w:cs="Arial"/>
                <w:color w:val="000000"/>
                <w:szCs w:val="16"/>
              </w:rPr>
              <w:t> </w:t>
            </w:r>
          </w:p>
        </w:tc>
        <w:tc>
          <w:tcPr>
            <w:tcW w:w="890" w:type="dxa"/>
            <w:noWrap/>
            <w:hideMark/>
          </w:tcPr>
          <w:p w14:paraId="0D59F42F" w14:textId="77777777" w:rsidR="00AC5C33" w:rsidRPr="005F23C9" w:rsidRDefault="00AC5C33" w:rsidP="00AC5C33">
            <w:pPr>
              <w:pStyle w:val="Tabele"/>
              <w:jc w:val="right"/>
              <w:rPr>
                <w:color w:val="auto"/>
                <w:lang w:eastAsia="pl-PL"/>
              </w:rPr>
            </w:pPr>
            <w:r w:rsidRPr="005F23C9">
              <w:rPr>
                <w:rFonts w:cs="Arial"/>
                <w:color w:val="auto"/>
                <w:szCs w:val="16"/>
              </w:rPr>
              <w:t>93</w:t>
            </w:r>
          </w:p>
        </w:tc>
        <w:tc>
          <w:tcPr>
            <w:tcW w:w="891" w:type="dxa"/>
            <w:noWrap/>
            <w:hideMark/>
          </w:tcPr>
          <w:p w14:paraId="4EF970F0" w14:textId="77777777" w:rsidR="00AC5C33" w:rsidRPr="005F23C9" w:rsidRDefault="00AC5C33" w:rsidP="00AC5C33">
            <w:pPr>
              <w:pStyle w:val="Tabele"/>
              <w:jc w:val="right"/>
              <w:rPr>
                <w:color w:val="auto"/>
                <w:lang w:eastAsia="pl-PL"/>
              </w:rPr>
            </w:pPr>
            <w:r w:rsidRPr="005F23C9">
              <w:rPr>
                <w:rFonts w:cs="Arial"/>
                <w:color w:val="auto"/>
                <w:szCs w:val="16"/>
              </w:rPr>
              <w:t>377</w:t>
            </w:r>
          </w:p>
        </w:tc>
        <w:tc>
          <w:tcPr>
            <w:tcW w:w="890" w:type="dxa"/>
            <w:noWrap/>
            <w:hideMark/>
          </w:tcPr>
          <w:p w14:paraId="526E7410" w14:textId="77777777" w:rsidR="00AC5C33" w:rsidRPr="005F23C9" w:rsidRDefault="00AC5C33" w:rsidP="00AC5C33">
            <w:pPr>
              <w:pStyle w:val="Tabele"/>
              <w:jc w:val="right"/>
              <w:rPr>
                <w:color w:val="auto"/>
                <w:lang w:eastAsia="pl-PL"/>
              </w:rPr>
            </w:pPr>
            <w:r w:rsidRPr="005F23C9">
              <w:rPr>
                <w:rFonts w:cs="Arial"/>
                <w:color w:val="auto"/>
                <w:szCs w:val="16"/>
              </w:rPr>
              <w:t>865</w:t>
            </w:r>
          </w:p>
        </w:tc>
      </w:tr>
      <w:tr w:rsidR="00AC5C33" w:rsidRPr="00134171" w14:paraId="7507650C" w14:textId="77777777" w:rsidTr="0D29C4E5">
        <w:trPr>
          <w:trHeight w:val="227"/>
        </w:trPr>
        <w:tc>
          <w:tcPr>
            <w:tcW w:w="1555" w:type="dxa"/>
            <w:vMerge/>
            <w:hideMark/>
          </w:tcPr>
          <w:p w14:paraId="3423EB94" w14:textId="77777777" w:rsidR="00AC5C33" w:rsidRPr="005F23C9" w:rsidRDefault="00AC5C33" w:rsidP="00AC5C33">
            <w:pPr>
              <w:pStyle w:val="Tabele"/>
              <w:rPr>
                <w:b/>
                <w:bCs/>
                <w:color w:val="auto"/>
                <w:lang w:eastAsia="pl-PL"/>
              </w:rPr>
            </w:pPr>
          </w:p>
        </w:tc>
        <w:tc>
          <w:tcPr>
            <w:tcW w:w="5315" w:type="dxa"/>
            <w:noWrap/>
            <w:hideMark/>
          </w:tcPr>
          <w:p w14:paraId="611155AB" w14:textId="77777777" w:rsidR="00AC5C33" w:rsidRPr="005F23C9" w:rsidRDefault="00AC5C33" w:rsidP="00AC5C33">
            <w:pPr>
              <w:pStyle w:val="Tabele"/>
              <w:rPr>
                <w:color w:val="auto"/>
                <w:lang w:eastAsia="pl-PL"/>
              </w:rPr>
            </w:pPr>
            <w:r w:rsidRPr="005F23C9">
              <w:rPr>
                <w:color w:val="auto"/>
                <w:lang w:eastAsia="pl-PL"/>
              </w:rPr>
              <w:t>Zużycie energii elektrycznej na cele transportu kolejowego zakwalifikowane do OZE</w:t>
            </w:r>
          </w:p>
        </w:tc>
        <w:tc>
          <w:tcPr>
            <w:tcW w:w="891" w:type="dxa"/>
            <w:shd w:val="clear" w:color="auto" w:fill="C5E0B3" w:themeFill="accent6" w:themeFillTint="66"/>
            <w:noWrap/>
            <w:hideMark/>
          </w:tcPr>
          <w:p w14:paraId="71107735" w14:textId="77777777" w:rsidR="00AC5C33" w:rsidRPr="005F23C9" w:rsidRDefault="00AC5C33" w:rsidP="00AC5C33">
            <w:pPr>
              <w:pStyle w:val="Tabele"/>
              <w:jc w:val="right"/>
              <w:rPr>
                <w:color w:val="auto"/>
                <w:lang w:eastAsia="pl-PL"/>
              </w:rPr>
            </w:pPr>
            <w:r w:rsidRPr="005F23C9">
              <w:rPr>
                <w:rFonts w:cs="Arial"/>
                <w:color w:val="auto"/>
                <w:szCs w:val="16"/>
              </w:rPr>
              <w:t>48</w:t>
            </w:r>
          </w:p>
        </w:tc>
        <w:tc>
          <w:tcPr>
            <w:tcW w:w="891" w:type="dxa"/>
            <w:shd w:val="clear" w:color="auto" w:fill="C5E0B3" w:themeFill="accent6" w:themeFillTint="66"/>
            <w:noWrap/>
            <w:hideMark/>
          </w:tcPr>
          <w:p w14:paraId="1FBA1049" w14:textId="77777777" w:rsidR="00AC5C33" w:rsidRPr="005F23C9" w:rsidRDefault="00AC5C33" w:rsidP="00AC5C33">
            <w:pPr>
              <w:pStyle w:val="Tabele"/>
              <w:jc w:val="right"/>
              <w:rPr>
                <w:color w:val="auto"/>
                <w:lang w:eastAsia="pl-PL"/>
              </w:rPr>
            </w:pPr>
            <w:r w:rsidRPr="005F23C9">
              <w:rPr>
                <w:rFonts w:cs="Arial"/>
                <w:color w:val="auto"/>
                <w:szCs w:val="16"/>
              </w:rPr>
              <w:t>47</w:t>
            </w:r>
          </w:p>
        </w:tc>
        <w:tc>
          <w:tcPr>
            <w:tcW w:w="890" w:type="dxa"/>
            <w:shd w:val="clear" w:color="auto" w:fill="C5E0B3" w:themeFill="accent6" w:themeFillTint="66"/>
            <w:noWrap/>
            <w:hideMark/>
          </w:tcPr>
          <w:p w14:paraId="400F86E1" w14:textId="77777777" w:rsidR="00AC5C33" w:rsidRPr="005F23C9" w:rsidRDefault="00AC5C33" w:rsidP="00AC5C33">
            <w:pPr>
              <w:pStyle w:val="Tabele"/>
              <w:jc w:val="right"/>
              <w:rPr>
                <w:color w:val="auto"/>
                <w:lang w:eastAsia="pl-PL"/>
              </w:rPr>
            </w:pPr>
            <w:r w:rsidRPr="005F23C9">
              <w:rPr>
                <w:rFonts w:cs="Arial"/>
                <w:color w:val="auto"/>
                <w:szCs w:val="16"/>
              </w:rPr>
              <w:t>65</w:t>
            </w:r>
          </w:p>
        </w:tc>
        <w:tc>
          <w:tcPr>
            <w:tcW w:w="891" w:type="dxa"/>
            <w:shd w:val="clear" w:color="auto" w:fill="C5E0B3" w:themeFill="accent6" w:themeFillTint="66"/>
            <w:noWrap/>
            <w:hideMark/>
          </w:tcPr>
          <w:p w14:paraId="2EB62EB8" w14:textId="77777777" w:rsidR="00AC5C33" w:rsidRPr="005F23C9" w:rsidRDefault="00AC5C33" w:rsidP="00AC5C33">
            <w:pPr>
              <w:pStyle w:val="Tabele"/>
              <w:jc w:val="right"/>
              <w:rPr>
                <w:color w:val="auto"/>
                <w:lang w:eastAsia="pl-PL"/>
              </w:rPr>
            </w:pPr>
            <w:r w:rsidRPr="005F23C9">
              <w:rPr>
                <w:rFonts w:cs="Arial"/>
                <w:color w:val="auto"/>
                <w:szCs w:val="16"/>
              </w:rPr>
              <w:t>80</w:t>
            </w:r>
          </w:p>
        </w:tc>
        <w:tc>
          <w:tcPr>
            <w:tcW w:w="890" w:type="dxa"/>
            <w:noWrap/>
            <w:hideMark/>
          </w:tcPr>
          <w:p w14:paraId="1E2B1F8A" w14:textId="4AB03DE9" w:rsidR="00AC5C33" w:rsidRPr="005F23C9" w:rsidRDefault="00AC5C33" w:rsidP="00AC5C33">
            <w:pPr>
              <w:pStyle w:val="Tabele"/>
              <w:jc w:val="right"/>
              <w:rPr>
                <w:color w:val="auto"/>
                <w:lang w:eastAsia="pl-PL"/>
              </w:rPr>
            </w:pPr>
            <w:r>
              <w:rPr>
                <w:rFonts w:cs="Arial"/>
                <w:color w:val="000000"/>
                <w:szCs w:val="16"/>
              </w:rPr>
              <w:t>12</w:t>
            </w:r>
          </w:p>
        </w:tc>
        <w:tc>
          <w:tcPr>
            <w:tcW w:w="890" w:type="dxa"/>
            <w:noWrap/>
            <w:hideMark/>
          </w:tcPr>
          <w:p w14:paraId="7765AAAD" w14:textId="77777777" w:rsidR="00AC5C33" w:rsidRPr="005F23C9" w:rsidRDefault="00AC5C33" w:rsidP="00AC5C33">
            <w:pPr>
              <w:pStyle w:val="Tabele"/>
              <w:jc w:val="right"/>
              <w:rPr>
                <w:color w:val="auto"/>
                <w:lang w:eastAsia="pl-PL"/>
              </w:rPr>
            </w:pPr>
            <w:r w:rsidRPr="005F23C9">
              <w:rPr>
                <w:rFonts w:cs="Arial"/>
                <w:color w:val="auto"/>
                <w:szCs w:val="16"/>
              </w:rPr>
              <w:t>179</w:t>
            </w:r>
          </w:p>
        </w:tc>
        <w:tc>
          <w:tcPr>
            <w:tcW w:w="891" w:type="dxa"/>
            <w:noWrap/>
            <w:hideMark/>
          </w:tcPr>
          <w:p w14:paraId="12519BDF" w14:textId="77777777" w:rsidR="00AC5C33" w:rsidRPr="005F23C9" w:rsidRDefault="00AC5C33" w:rsidP="00AC5C33">
            <w:pPr>
              <w:pStyle w:val="Tabele"/>
              <w:jc w:val="right"/>
              <w:rPr>
                <w:color w:val="auto"/>
                <w:lang w:eastAsia="pl-PL"/>
              </w:rPr>
            </w:pPr>
            <w:r w:rsidRPr="005F23C9">
              <w:rPr>
                <w:rFonts w:cs="Arial"/>
                <w:color w:val="auto"/>
                <w:szCs w:val="16"/>
              </w:rPr>
              <w:t>294</w:t>
            </w:r>
          </w:p>
        </w:tc>
        <w:tc>
          <w:tcPr>
            <w:tcW w:w="890" w:type="dxa"/>
            <w:noWrap/>
            <w:hideMark/>
          </w:tcPr>
          <w:p w14:paraId="5FD57893" w14:textId="77777777" w:rsidR="00AC5C33" w:rsidRPr="005F23C9" w:rsidRDefault="00AC5C33" w:rsidP="00AC5C33">
            <w:pPr>
              <w:pStyle w:val="Tabele"/>
              <w:jc w:val="right"/>
              <w:rPr>
                <w:color w:val="auto"/>
                <w:lang w:eastAsia="pl-PL"/>
              </w:rPr>
            </w:pPr>
            <w:r w:rsidRPr="005F23C9">
              <w:rPr>
                <w:rFonts w:cs="Arial"/>
                <w:color w:val="auto"/>
                <w:szCs w:val="16"/>
              </w:rPr>
              <w:t>372</w:t>
            </w:r>
          </w:p>
        </w:tc>
      </w:tr>
      <w:tr w:rsidR="00AC5C33" w:rsidRPr="00134171" w14:paraId="432D6839" w14:textId="77777777" w:rsidTr="0D29C4E5">
        <w:trPr>
          <w:trHeight w:val="227"/>
        </w:trPr>
        <w:tc>
          <w:tcPr>
            <w:tcW w:w="1555" w:type="dxa"/>
            <w:vMerge/>
            <w:hideMark/>
          </w:tcPr>
          <w:p w14:paraId="37BC7F5C" w14:textId="77777777" w:rsidR="00AC5C33" w:rsidRPr="005F23C9" w:rsidRDefault="00AC5C33" w:rsidP="00AC5C33">
            <w:pPr>
              <w:pStyle w:val="Tabele"/>
              <w:rPr>
                <w:b/>
                <w:bCs/>
                <w:color w:val="auto"/>
                <w:lang w:eastAsia="pl-PL"/>
              </w:rPr>
            </w:pPr>
          </w:p>
        </w:tc>
        <w:tc>
          <w:tcPr>
            <w:tcW w:w="5315" w:type="dxa"/>
            <w:noWrap/>
            <w:hideMark/>
          </w:tcPr>
          <w:p w14:paraId="556ECBF4" w14:textId="77777777" w:rsidR="00AC5C33" w:rsidRPr="005F23C9" w:rsidRDefault="00AC5C33" w:rsidP="00AC5C33">
            <w:pPr>
              <w:pStyle w:val="Tabele"/>
              <w:rPr>
                <w:color w:val="auto"/>
                <w:lang w:eastAsia="pl-PL"/>
              </w:rPr>
            </w:pPr>
            <w:r w:rsidRPr="005F23C9">
              <w:rPr>
                <w:color w:val="auto"/>
                <w:lang w:eastAsia="pl-PL"/>
              </w:rPr>
              <w:t>Zużycie energii elektrycznej w transporcie rurociągowym zakwalifikowane do OZE</w:t>
            </w:r>
          </w:p>
        </w:tc>
        <w:tc>
          <w:tcPr>
            <w:tcW w:w="891" w:type="dxa"/>
            <w:shd w:val="clear" w:color="auto" w:fill="C5E0B3" w:themeFill="accent6" w:themeFillTint="66"/>
            <w:noWrap/>
            <w:hideMark/>
          </w:tcPr>
          <w:p w14:paraId="16934030" w14:textId="77777777" w:rsidR="00AC5C33" w:rsidRPr="005F23C9" w:rsidRDefault="00AC5C33" w:rsidP="00AC5C33">
            <w:pPr>
              <w:pStyle w:val="Tabele"/>
              <w:jc w:val="right"/>
              <w:rPr>
                <w:color w:val="auto"/>
                <w:lang w:eastAsia="pl-PL"/>
              </w:rPr>
            </w:pPr>
            <w:r w:rsidRPr="005F23C9">
              <w:rPr>
                <w:rFonts w:cs="Arial"/>
                <w:color w:val="auto"/>
                <w:szCs w:val="16"/>
              </w:rPr>
              <w:t>6</w:t>
            </w:r>
          </w:p>
        </w:tc>
        <w:tc>
          <w:tcPr>
            <w:tcW w:w="891" w:type="dxa"/>
            <w:shd w:val="clear" w:color="auto" w:fill="C5E0B3" w:themeFill="accent6" w:themeFillTint="66"/>
            <w:noWrap/>
            <w:hideMark/>
          </w:tcPr>
          <w:p w14:paraId="2A121E2C" w14:textId="77777777" w:rsidR="00AC5C33" w:rsidRPr="005F23C9" w:rsidRDefault="00AC5C33" w:rsidP="00AC5C33">
            <w:pPr>
              <w:pStyle w:val="Tabele"/>
              <w:jc w:val="right"/>
              <w:rPr>
                <w:color w:val="auto"/>
                <w:lang w:eastAsia="pl-PL"/>
              </w:rPr>
            </w:pPr>
            <w:r w:rsidRPr="005F23C9">
              <w:rPr>
                <w:rFonts w:cs="Arial"/>
                <w:color w:val="auto"/>
                <w:szCs w:val="16"/>
              </w:rPr>
              <w:t>6</w:t>
            </w:r>
          </w:p>
        </w:tc>
        <w:tc>
          <w:tcPr>
            <w:tcW w:w="890" w:type="dxa"/>
            <w:shd w:val="clear" w:color="auto" w:fill="C5E0B3" w:themeFill="accent6" w:themeFillTint="66"/>
            <w:noWrap/>
            <w:hideMark/>
          </w:tcPr>
          <w:p w14:paraId="141C4252" w14:textId="77777777" w:rsidR="00AC5C33" w:rsidRPr="005F23C9" w:rsidRDefault="00AC5C33" w:rsidP="00AC5C33">
            <w:pPr>
              <w:pStyle w:val="Tabele"/>
              <w:jc w:val="right"/>
              <w:rPr>
                <w:color w:val="auto"/>
                <w:lang w:eastAsia="pl-PL"/>
              </w:rPr>
            </w:pPr>
            <w:r w:rsidRPr="005F23C9">
              <w:rPr>
                <w:rFonts w:cs="Arial"/>
                <w:color w:val="auto"/>
                <w:szCs w:val="16"/>
              </w:rPr>
              <w:t>7</w:t>
            </w:r>
          </w:p>
        </w:tc>
        <w:tc>
          <w:tcPr>
            <w:tcW w:w="891" w:type="dxa"/>
            <w:shd w:val="clear" w:color="auto" w:fill="C5E0B3" w:themeFill="accent6" w:themeFillTint="66"/>
            <w:noWrap/>
            <w:hideMark/>
          </w:tcPr>
          <w:p w14:paraId="1B291071" w14:textId="77777777" w:rsidR="00AC5C33" w:rsidRPr="005F23C9" w:rsidRDefault="00AC5C33" w:rsidP="00AC5C33">
            <w:pPr>
              <w:pStyle w:val="Tabele"/>
              <w:jc w:val="right"/>
              <w:rPr>
                <w:color w:val="auto"/>
                <w:lang w:eastAsia="pl-PL"/>
              </w:rPr>
            </w:pPr>
            <w:r w:rsidRPr="005F23C9">
              <w:rPr>
                <w:rFonts w:cs="Arial"/>
                <w:color w:val="auto"/>
                <w:szCs w:val="16"/>
              </w:rPr>
              <w:t>6</w:t>
            </w:r>
          </w:p>
        </w:tc>
        <w:tc>
          <w:tcPr>
            <w:tcW w:w="890" w:type="dxa"/>
            <w:noWrap/>
            <w:hideMark/>
          </w:tcPr>
          <w:p w14:paraId="116891ED" w14:textId="54F516FF" w:rsidR="00AC5C33" w:rsidRPr="005F23C9" w:rsidRDefault="00AC5C33" w:rsidP="00AC5C33">
            <w:pPr>
              <w:pStyle w:val="Tabele"/>
              <w:jc w:val="right"/>
              <w:rPr>
                <w:color w:val="auto"/>
                <w:lang w:eastAsia="pl-PL"/>
              </w:rPr>
            </w:pPr>
            <w:r>
              <w:rPr>
                <w:rFonts w:cs="Arial"/>
                <w:color w:val="000000"/>
                <w:szCs w:val="16"/>
              </w:rPr>
              <w:t>82</w:t>
            </w:r>
          </w:p>
        </w:tc>
        <w:tc>
          <w:tcPr>
            <w:tcW w:w="890" w:type="dxa"/>
            <w:noWrap/>
            <w:hideMark/>
          </w:tcPr>
          <w:p w14:paraId="73B2E086" w14:textId="77777777" w:rsidR="00AC5C33" w:rsidRPr="005F23C9" w:rsidRDefault="00AC5C33" w:rsidP="00AC5C33">
            <w:pPr>
              <w:pStyle w:val="Tabele"/>
              <w:jc w:val="right"/>
              <w:rPr>
                <w:color w:val="auto"/>
                <w:lang w:eastAsia="pl-PL"/>
              </w:rPr>
            </w:pPr>
            <w:r w:rsidRPr="005F23C9">
              <w:rPr>
                <w:rFonts w:cs="Arial"/>
                <w:color w:val="auto"/>
                <w:szCs w:val="16"/>
              </w:rPr>
              <w:t>2</w:t>
            </w:r>
          </w:p>
        </w:tc>
        <w:tc>
          <w:tcPr>
            <w:tcW w:w="891" w:type="dxa"/>
            <w:noWrap/>
            <w:hideMark/>
          </w:tcPr>
          <w:p w14:paraId="305C740F" w14:textId="77777777" w:rsidR="00AC5C33" w:rsidRPr="005F23C9" w:rsidRDefault="00AC5C33" w:rsidP="00AC5C33">
            <w:pPr>
              <w:pStyle w:val="Tabele"/>
              <w:jc w:val="right"/>
              <w:rPr>
                <w:color w:val="auto"/>
                <w:lang w:eastAsia="pl-PL"/>
              </w:rPr>
            </w:pPr>
            <w:r w:rsidRPr="005F23C9">
              <w:rPr>
                <w:rFonts w:cs="Arial"/>
                <w:color w:val="auto"/>
                <w:szCs w:val="16"/>
              </w:rPr>
              <w:t>2</w:t>
            </w:r>
          </w:p>
        </w:tc>
        <w:tc>
          <w:tcPr>
            <w:tcW w:w="890" w:type="dxa"/>
            <w:noWrap/>
            <w:hideMark/>
          </w:tcPr>
          <w:p w14:paraId="65DD3532" w14:textId="77777777" w:rsidR="00AC5C33" w:rsidRPr="005F23C9" w:rsidRDefault="00AC5C33" w:rsidP="00AC5C33">
            <w:pPr>
              <w:pStyle w:val="Tabele"/>
              <w:jc w:val="right"/>
              <w:rPr>
                <w:color w:val="auto"/>
                <w:lang w:eastAsia="pl-PL"/>
              </w:rPr>
            </w:pPr>
            <w:r w:rsidRPr="005F23C9">
              <w:rPr>
                <w:rFonts w:cs="Arial"/>
                <w:color w:val="auto"/>
                <w:szCs w:val="16"/>
              </w:rPr>
              <w:t>2</w:t>
            </w:r>
          </w:p>
        </w:tc>
      </w:tr>
      <w:tr w:rsidR="007F0D2B" w:rsidRPr="00134171" w14:paraId="71699F97" w14:textId="77777777" w:rsidTr="0D29C4E5">
        <w:trPr>
          <w:trHeight w:val="227"/>
        </w:trPr>
        <w:tc>
          <w:tcPr>
            <w:tcW w:w="1555" w:type="dxa"/>
            <w:vMerge w:val="restart"/>
          </w:tcPr>
          <w:p w14:paraId="40042222" w14:textId="77777777" w:rsidR="005F23C9" w:rsidRPr="005F23C9" w:rsidRDefault="005F23C9">
            <w:pPr>
              <w:pStyle w:val="Tabele"/>
              <w:rPr>
                <w:b/>
                <w:bCs/>
                <w:color w:val="auto"/>
                <w:lang w:eastAsia="pl-PL"/>
              </w:rPr>
            </w:pPr>
            <w:r w:rsidRPr="005F23C9">
              <w:rPr>
                <w:b/>
                <w:bCs/>
                <w:color w:val="auto"/>
                <w:lang w:eastAsia="pl-PL"/>
              </w:rPr>
              <w:t>Udział energii elektrycznej w zużyciu energii z OZE w transporcie [%]</w:t>
            </w:r>
          </w:p>
        </w:tc>
        <w:tc>
          <w:tcPr>
            <w:tcW w:w="5315" w:type="dxa"/>
            <w:noWrap/>
          </w:tcPr>
          <w:p w14:paraId="799E3A81" w14:textId="77777777" w:rsidR="005F23C9" w:rsidRPr="005F23C9" w:rsidRDefault="005F23C9">
            <w:pPr>
              <w:pStyle w:val="Tabele"/>
              <w:rPr>
                <w:color w:val="auto"/>
                <w:lang w:eastAsia="pl-PL"/>
              </w:rPr>
            </w:pPr>
            <w:r w:rsidRPr="005F23C9">
              <w:rPr>
                <w:rFonts w:cs="Arial"/>
                <w:color w:val="auto"/>
                <w:szCs w:val="16"/>
              </w:rPr>
              <w:t xml:space="preserve">Energia elektryczna </w:t>
            </w:r>
          </w:p>
        </w:tc>
        <w:tc>
          <w:tcPr>
            <w:tcW w:w="891" w:type="dxa"/>
            <w:shd w:val="clear" w:color="auto" w:fill="C5E0B3" w:themeFill="accent6" w:themeFillTint="66"/>
            <w:noWrap/>
          </w:tcPr>
          <w:p w14:paraId="463763FE" w14:textId="77777777" w:rsidR="005F23C9" w:rsidRPr="005F23C9" w:rsidRDefault="005F23C9">
            <w:pPr>
              <w:pStyle w:val="Tabele"/>
              <w:jc w:val="right"/>
              <w:rPr>
                <w:color w:val="auto"/>
              </w:rPr>
            </w:pPr>
            <w:r w:rsidRPr="005F23C9">
              <w:rPr>
                <w:rFonts w:cs="Arial"/>
                <w:color w:val="auto"/>
                <w:szCs w:val="16"/>
              </w:rPr>
              <w:t>52,3%</w:t>
            </w:r>
          </w:p>
        </w:tc>
        <w:tc>
          <w:tcPr>
            <w:tcW w:w="891" w:type="dxa"/>
            <w:shd w:val="clear" w:color="auto" w:fill="C5E0B3" w:themeFill="accent6" w:themeFillTint="66"/>
            <w:noWrap/>
          </w:tcPr>
          <w:p w14:paraId="5603EE4C" w14:textId="77777777" w:rsidR="005F23C9" w:rsidRPr="005F23C9" w:rsidRDefault="005F23C9">
            <w:pPr>
              <w:pStyle w:val="Tabele"/>
              <w:jc w:val="right"/>
              <w:rPr>
                <w:color w:val="auto"/>
              </w:rPr>
            </w:pPr>
            <w:r w:rsidRPr="005F23C9">
              <w:rPr>
                <w:rFonts w:cs="Arial"/>
                <w:color w:val="auto"/>
                <w:szCs w:val="16"/>
              </w:rPr>
              <w:t>5,8%</w:t>
            </w:r>
          </w:p>
        </w:tc>
        <w:tc>
          <w:tcPr>
            <w:tcW w:w="890" w:type="dxa"/>
            <w:shd w:val="clear" w:color="auto" w:fill="C5E0B3" w:themeFill="accent6" w:themeFillTint="66"/>
            <w:noWrap/>
          </w:tcPr>
          <w:p w14:paraId="6FD9D071" w14:textId="77777777" w:rsidR="005F23C9" w:rsidRPr="005F23C9" w:rsidRDefault="005F23C9">
            <w:pPr>
              <w:pStyle w:val="Tabele"/>
              <w:jc w:val="right"/>
              <w:rPr>
                <w:color w:val="auto"/>
              </w:rPr>
            </w:pPr>
            <w:r w:rsidRPr="005F23C9">
              <w:rPr>
                <w:rFonts w:cs="Arial"/>
                <w:color w:val="auto"/>
                <w:szCs w:val="16"/>
              </w:rPr>
              <w:t>9,9%</w:t>
            </w:r>
          </w:p>
        </w:tc>
        <w:tc>
          <w:tcPr>
            <w:tcW w:w="891" w:type="dxa"/>
            <w:shd w:val="clear" w:color="auto" w:fill="C5E0B3" w:themeFill="accent6" w:themeFillTint="66"/>
            <w:noWrap/>
          </w:tcPr>
          <w:p w14:paraId="121E8267" w14:textId="77777777" w:rsidR="005F23C9" w:rsidRPr="005F23C9" w:rsidRDefault="005F23C9">
            <w:pPr>
              <w:pStyle w:val="Tabele"/>
              <w:jc w:val="right"/>
              <w:rPr>
                <w:color w:val="auto"/>
              </w:rPr>
            </w:pPr>
            <w:r w:rsidRPr="005F23C9">
              <w:rPr>
                <w:rFonts w:cs="Arial"/>
                <w:color w:val="auto"/>
                <w:szCs w:val="16"/>
              </w:rPr>
              <w:t>7,8%</w:t>
            </w:r>
          </w:p>
        </w:tc>
        <w:tc>
          <w:tcPr>
            <w:tcW w:w="890" w:type="dxa"/>
            <w:noWrap/>
          </w:tcPr>
          <w:p w14:paraId="377D6CEE" w14:textId="77777777" w:rsidR="005F23C9" w:rsidRPr="005F23C9" w:rsidRDefault="005F23C9">
            <w:pPr>
              <w:pStyle w:val="Tabele"/>
              <w:jc w:val="right"/>
              <w:rPr>
                <w:color w:val="auto"/>
              </w:rPr>
            </w:pPr>
            <w:r w:rsidRPr="005F23C9">
              <w:rPr>
                <w:rFonts w:cs="Arial"/>
                <w:color w:val="auto"/>
                <w:szCs w:val="16"/>
              </w:rPr>
              <w:t>4,9%</w:t>
            </w:r>
          </w:p>
        </w:tc>
        <w:tc>
          <w:tcPr>
            <w:tcW w:w="890" w:type="dxa"/>
            <w:noWrap/>
          </w:tcPr>
          <w:p w14:paraId="61C8B330" w14:textId="77777777" w:rsidR="005F23C9" w:rsidRPr="005F23C9" w:rsidRDefault="005F23C9">
            <w:pPr>
              <w:pStyle w:val="Tabele"/>
              <w:jc w:val="right"/>
              <w:rPr>
                <w:color w:val="auto"/>
              </w:rPr>
            </w:pPr>
            <w:r w:rsidRPr="005F23C9">
              <w:rPr>
                <w:rFonts w:cs="Arial"/>
                <w:color w:val="auto"/>
                <w:szCs w:val="16"/>
              </w:rPr>
              <w:t>10,8%</w:t>
            </w:r>
          </w:p>
        </w:tc>
        <w:tc>
          <w:tcPr>
            <w:tcW w:w="891" w:type="dxa"/>
            <w:noWrap/>
          </w:tcPr>
          <w:p w14:paraId="6B8F1246" w14:textId="77777777" w:rsidR="005F23C9" w:rsidRPr="005F23C9" w:rsidRDefault="005F23C9">
            <w:pPr>
              <w:pStyle w:val="Tabele"/>
              <w:jc w:val="right"/>
              <w:rPr>
                <w:color w:val="auto"/>
              </w:rPr>
            </w:pPr>
            <w:r w:rsidRPr="005F23C9">
              <w:rPr>
                <w:rFonts w:cs="Arial"/>
                <w:color w:val="auto"/>
                <w:szCs w:val="16"/>
              </w:rPr>
              <w:t>20,1%</w:t>
            </w:r>
          </w:p>
        </w:tc>
        <w:tc>
          <w:tcPr>
            <w:tcW w:w="890" w:type="dxa"/>
            <w:noWrap/>
          </w:tcPr>
          <w:p w14:paraId="6ABCFF76" w14:textId="77777777" w:rsidR="005F23C9" w:rsidRPr="005F23C9" w:rsidRDefault="005F23C9">
            <w:pPr>
              <w:pStyle w:val="Tabele"/>
              <w:jc w:val="right"/>
              <w:rPr>
                <w:color w:val="auto"/>
              </w:rPr>
            </w:pPr>
            <w:r w:rsidRPr="005F23C9">
              <w:rPr>
                <w:rFonts w:cs="Arial"/>
                <w:color w:val="auto"/>
                <w:szCs w:val="16"/>
              </w:rPr>
              <w:t>29,4%</w:t>
            </w:r>
          </w:p>
        </w:tc>
      </w:tr>
      <w:tr w:rsidR="007F0D2B" w:rsidRPr="00134171" w14:paraId="17393686" w14:textId="77777777" w:rsidTr="0D29C4E5">
        <w:trPr>
          <w:trHeight w:val="227"/>
        </w:trPr>
        <w:tc>
          <w:tcPr>
            <w:tcW w:w="1555" w:type="dxa"/>
            <w:vMerge/>
          </w:tcPr>
          <w:p w14:paraId="7C1C64E1" w14:textId="77777777" w:rsidR="005F23C9" w:rsidRPr="005F23C9" w:rsidRDefault="005F23C9">
            <w:pPr>
              <w:pStyle w:val="Tabele"/>
              <w:rPr>
                <w:b/>
                <w:bCs/>
                <w:color w:val="auto"/>
                <w:lang w:eastAsia="pl-PL"/>
              </w:rPr>
            </w:pPr>
          </w:p>
        </w:tc>
        <w:tc>
          <w:tcPr>
            <w:tcW w:w="5315" w:type="dxa"/>
            <w:noWrap/>
          </w:tcPr>
          <w:p w14:paraId="685703D9" w14:textId="77777777" w:rsidR="005F23C9" w:rsidRPr="005F23C9" w:rsidRDefault="005F23C9">
            <w:pPr>
              <w:pStyle w:val="Tabele"/>
              <w:rPr>
                <w:color w:val="auto"/>
                <w:lang w:eastAsia="pl-PL"/>
              </w:rPr>
            </w:pPr>
            <w:r w:rsidRPr="005F23C9">
              <w:rPr>
                <w:rFonts w:cs="Arial"/>
                <w:color w:val="auto"/>
                <w:szCs w:val="16"/>
              </w:rPr>
              <w:t>Biopaliwa</w:t>
            </w:r>
          </w:p>
        </w:tc>
        <w:tc>
          <w:tcPr>
            <w:tcW w:w="891" w:type="dxa"/>
            <w:shd w:val="clear" w:color="auto" w:fill="C5E0B3" w:themeFill="accent6" w:themeFillTint="66"/>
            <w:noWrap/>
          </w:tcPr>
          <w:p w14:paraId="6D3B7C43" w14:textId="77777777" w:rsidR="005F23C9" w:rsidRPr="005F23C9" w:rsidRDefault="005F23C9">
            <w:pPr>
              <w:pStyle w:val="Tabele"/>
              <w:jc w:val="right"/>
              <w:rPr>
                <w:color w:val="auto"/>
              </w:rPr>
            </w:pPr>
            <w:r w:rsidRPr="005F23C9">
              <w:rPr>
                <w:rFonts w:cs="Arial"/>
                <w:color w:val="auto"/>
                <w:szCs w:val="16"/>
              </w:rPr>
              <w:t>47,7%</w:t>
            </w:r>
          </w:p>
        </w:tc>
        <w:tc>
          <w:tcPr>
            <w:tcW w:w="891" w:type="dxa"/>
            <w:shd w:val="clear" w:color="auto" w:fill="C5E0B3" w:themeFill="accent6" w:themeFillTint="66"/>
            <w:noWrap/>
          </w:tcPr>
          <w:p w14:paraId="1E1B0DC7" w14:textId="77777777" w:rsidR="005F23C9" w:rsidRPr="005F23C9" w:rsidRDefault="005F23C9">
            <w:pPr>
              <w:pStyle w:val="Tabele"/>
              <w:jc w:val="right"/>
              <w:rPr>
                <w:color w:val="auto"/>
              </w:rPr>
            </w:pPr>
            <w:r w:rsidRPr="005F23C9">
              <w:rPr>
                <w:rFonts w:cs="Arial"/>
                <w:color w:val="auto"/>
                <w:szCs w:val="16"/>
              </w:rPr>
              <w:t>94,2%</w:t>
            </w:r>
          </w:p>
        </w:tc>
        <w:tc>
          <w:tcPr>
            <w:tcW w:w="890" w:type="dxa"/>
            <w:shd w:val="clear" w:color="auto" w:fill="C5E0B3" w:themeFill="accent6" w:themeFillTint="66"/>
            <w:noWrap/>
          </w:tcPr>
          <w:p w14:paraId="0EEC5374" w14:textId="77777777" w:rsidR="005F23C9" w:rsidRPr="005F23C9" w:rsidRDefault="005F23C9">
            <w:pPr>
              <w:pStyle w:val="Tabele"/>
              <w:jc w:val="right"/>
              <w:rPr>
                <w:color w:val="auto"/>
              </w:rPr>
            </w:pPr>
            <w:r w:rsidRPr="005F23C9">
              <w:rPr>
                <w:rFonts w:cs="Arial"/>
                <w:color w:val="auto"/>
                <w:szCs w:val="16"/>
              </w:rPr>
              <w:t>90,1%</w:t>
            </w:r>
          </w:p>
        </w:tc>
        <w:tc>
          <w:tcPr>
            <w:tcW w:w="891" w:type="dxa"/>
            <w:shd w:val="clear" w:color="auto" w:fill="C5E0B3" w:themeFill="accent6" w:themeFillTint="66"/>
            <w:noWrap/>
          </w:tcPr>
          <w:p w14:paraId="1B4A398C" w14:textId="77777777" w:rsidR="005F23C9" w:rsidRPr="005F23C9" w:rsidRDefault="005F23C9">
            <w:pPr>
              <w:pStyle w:val="Tabele"/>
              <w:jc w:val="right"/>
              <w:rPr>
                <w:color w:val="auto"/>
              </w:rPr>
            </w:pPr>
            <w:r w:rsidRPr="005F23C9">
              <w:rPr>
                <w:rFonts w:cs="Arial"/>
                <w:color w:val="auto"/>
                <w:szCs w:val="16"/>
              </w:rPr>
              <w:t>92,2%</w:t>
            </w:r>
          </w:p>
        </w:tc>
        <w:tc>
          <w:tcPr>
            <w:tcW w:w="890" w:type="dxa"/>
            <w:noWrap/>
          </w:tcPr>
          <w:p w14:paraId="098E7060" w14:textId="77777777" w:rsidR="005F23C9" w:rsidRPr="005F23C9" w:rsidRDefault="005F23C9">
            <w:pPr>
              <w:pStyle w:val="Tabele"/>
              <w:jc w:val="right"/>
              <w:rPr>
                <w:color w:val="auto"/>
              </w:rPr>
            </w:pPr>
            <w:r w:rsidRPr="005F23C9">
              <w:rPr>
                <w:rFonts w:cs="Arial"/>
                <w:color w:val="auto"/>
                <w:szCs w:val="16"/>
              </w:rPr>
              <w:t>91,4%</w:t>
            </w:r>
          </w:p>
        </w:tc>
        <w:tc>
          <w:tcPr>
            <w:tcW w:w="890" w:type="dxa"/>
            <w:noWrap/>
          </w:tcPr>
          <w:p w14:paraId="3879D56A" w14:textId="77777777" w:rsidR="005F23C9" w:rsidRPr="005F23C9" w:rsidRDefault="005F23C9">
            <w:pPr>
              <w:pStyle w:val="Tabele"/>
              <w:jc w:val="right"/>
              <w:rPr>
                <w:color w:val="auto"/>
              </w:rPr>
            </w:pPr>
            <w:r w:rsidRPr="005F23C9">
              <w:rPr>
                <w:rFonts w:cs="Arial"/>
                <w:color w:val="auto"/>
                <w:szCs w:val="16"/>
              </w:rPr>
              <w:t>70,7%</w:t>
            </w:r>
          </w:p>
        </w:tc>
        <w:tc>
          <w:tcPr>
            <w:tcW w:w="891" w:type="dxa"/>
            <w:noWrap/>
          </w:tcPr>
          <w:p w14:paraId="34FD0260" w14:textId="77777777" w:rsidR="005F23C9" w:rsidRPr="005F23C9" w:rsidRDefault="005F23C9">
            <w:pPr>
              <w:pStyle w:val="Tabele"/>
              <w:jc w:val="right"/>
              <w:rPr>
                <w:color w:val="auto"/>
              </w:rPr>
            </w:pPr>
            <w:r w:rsidRPr="005F23C9">
              <w:rPr>
                <w:rFonts w:cs="Arial"/>
                <w:color w:val="auto"/>
                <w:szCs w:val="16"/>
              </w:rPr>
              <w:t>51,7%</w:t>
            </w:r>
          </w:p>
        </w:tc>
        <w:tc>
          <w:tcPr>
            <w:tcW w:w="890" w:type="dxa"/>
            <w:noWrap/>
          </w:tcPr>
          <w:p w14:paraId="6950DF8F" w14:textId="77777777" w:rsidR="005F23C9" w:rsidRPr="005F23C9" w:rsidRDefault="005F23C9">
            <w:pPr>
              <w:pStyle w:val="Tabele"/>
              <w:jc w:val="right"/>
              <w:rPr>
                <w:color w:val="auto"/>
              </w:rPr>
            </w:pPr>
            <w:r w:rsidRPr="005F23C9">
              <w:rPr>
                <w:rFonts w:cs="Arial"/>
                <w:color w:val="auto"/>
                <w:szCs w:val="16"/>
              </w:rPr>
              <w:t>39,9%</w:t>
            </w:r>
          </w:p>
        </w:tc>
      </w:tr>
      <w:tr w:rsidR="007F0D2B" w:rsidRPr="00134171" w14:paraId="3FD8804B" w14:textId="77777777" w:rsidTr="0D29C4E5">
        <w:trPr>
          <w:trHeight w:val="227"/>
        </w:trPr>
        <w:tc>
          <w:tcPr>
            <w:tcW w:w="1555" w:type="dxa"/>
            <w:vMerge/>
          </w:tcPr>
          <w:p w14:paraId="08ED6616" w14:textId="77777777" w:rsidR="005F23C9" w:rsidRPr="005F23C9" w:rsidRDefault="005F23C9">
            <w:pPr>
              <w:pStyle w:val="Tabele"/>
              <w:rPr>
                <w:b/>
                <w:bCs/>
                <w:color w:val="auto"/>
                <w:lang w:eastAsia="pl-PL"/>
              </w:rPr>
            </w:pPr>
          </w:p>
        </w:tc>
        <w:tc>
          <w:tcPr>
            <w:tcW w:w="5315" w:type="dxa"/>
            <w:noWrap/>
          </w:tcPr>
          <w:p w14:paraId="1671FE56" w14:textId="4B667715" w:rsidR="005F23C9" w:rsidRPr="005F23C9" w:rsidRDefault="005F23C9">
            <w:pPr>
              <w:pStyle w:val="Tabele"/>
              <w:rPr>
                <w:color w:val="auto"/>
                <w:lang w:eastAsia="pl-PL"/>
              </w:rPr>
            </w:pPr>
            <w:r w:rsidRPr="005F23C9">
              <w:rPr>
                <w:rFonts w:cs="Arial"/>
                <w:color w:val="auto"/>
                <w:szCs w:val="16"/>
              </w:rPr>
              <w:t>Pozostałe (RF</w:t>
            </w:r>
            <w:r w:rsidR="00124A3E">
              <w:rPr>
                <w:rFonts w:cs="Arial"/>
                <w:color w:val="auto"/>
                <w:szCs w:val="16"/>
              </w:rPr>
              <w:t>N</w:t>
            </w:r>
            <w:r w:rsidRPr="005F23C9">
              <w:rPr>
                <w:rFonts w:cs="Arial"/>
                <w:color w:val="auto"/>
                <w:szCs w:val="16"/>
              </w:rPr>
              <w:t>BO, biometan, paliwa weglowe z recyclingu, biowęglowodory)</w:t>
            </w:r>
          </w:p>
        </w:tc>
        <w:tc>
          <w:tcPr>
            <w:tcW w:w="891" w:type="dxa"/>
            <w:shd w:val="clear" w:color="auto" w:fill="C5E0B3" w:themeFill="accent6" w:themeFillTint="66"/>
            <w:noWrap/>
          </w:tcPr>
          <w:p w14:paraId="2E36E064" w14:textId="77777777" w:rsidR="005F23C9" w:rsidRPr="005F23C9" w:rsidRDefault="005F23C9">
            <w:pPr>
              <w:pStyle w:val="Tabele"/>
              <w:jc w:val="right"/>
              <w:rPr>
                <w:color w:val="auto"/>
              </w:rPr>
            </w:pPr>
            <w:r w:rsidRPr="005F23C9">
              <w:rPr>
                <w:rFonts w:cs="Arial"/>
                <w:color w:val="auto"/>
                <w:szCs w:val="16"/>
              </w:rPr>
              <w:t>0,0%</w:t>
            </w:r>
          </w:p>
        </w:tc>
        <w:tc>
          <w:tcPr>
            <w:tcW w:w="891" w:type="dxa"/>
            <w:shd w:val="clear" w:color="auto" w:fill="C5E0B3" w:themeFill="accent6" w:themeFillTint="66"/>
            <w:noWrap/>
          </w:tcPr>
          <w:p w14:paraId="0A4B2A2F" w14:textId="77777777" w:rsidR="005F23C9" w:rsidRPr="005F23C9" w:rsidRDefault="005F23C9">
            <w:pPr>
              <w:pStyle w:val="Tabele"/>
              <w:jc w:val="right"/>
              <w:rPr>
                <w:color w:val="auto"/>
              </w:rPr>
            </w:pPr>
            <w:r w:rsidRPr="005F23C9">
              <w:rPr>
                <w:rFonts w:cs="Arial"/>
                <w:color w:val="auto"/>
                <w:szCs w:val="16"/>
              </w:rPr>
              <w:t>0,0%</w:t>
            </w:r>
          </w:p>
        </w:tc>
        <w:tc>
          <w:tcPr>
            <w:tcW w:w="890" w:type="dxa"/>
            <w:shd w:val="clear" w:color="auto" w:fill="C5E0B3" w:themeFill="accent6" w:themeFillTint="66"/>
            <w:noWrap/>
          </w:tcPr>
          <w:p w14:paraId="009DF5FD" w14:textId="77777777" w:rsidR="005F23C9" w:rsidRPr="005F23C9" w:rsidRDefault="005F23C9">
            <w:pPr>
              <w:pStyle w:val="Tabele"/>
              <w:jc w:val="right"/>
              <w:rPr>
                <w:color w:val="auto"/>
              </w:rPr>
            </w:pPr>
            <w:r w:rsidRPr="005F23C9">
              <w:rPr>
                <w:rFonts w:cs="Arial"/>
                <w:color w:val="auto"/>
                <w:szCs w:val="16"/>
              </w:rPr>
              <w:t>0,0%</w:t>
            </w:r>
          </w:p>
        </w:tc>
        <w:tc>
          <w:tcPr>
            <w:tcW w:w="891" w:type="dxa"/>
            <w:shd w:val="clear" w:color="auto" w:fill="C5E0B3" w:themeFill="accent6" w:themeFillTint="66"/>
            <w:noWrap/>
          </w:tcPr>
          <w:p w14:paraId="46F2A521" w14:textId="77777777" w:rsidR="005F23C9" w:rsidRPr="005F23C9" w:rsidRDefault="005F23C9">
            <w:pPr>
              <w:pStyle w:val="Tabele"/>
              <w:jc w:val="right"/>
              <w:rPr>
                <w:color w:val="auto"/>
              </w:rPr>
            </w:pPr>
            <w:r w:rsidRPr="005F23C9">
              <w:rPr>
                <w:rFonts w:cs="Arial"/>
                <w:color w:val="auto"/>
                <w:szCs w:val="16"/>
              </w:rPr>
              <w:t>0,0%</w:t>
            </w:r>
          </w:p>
        </w:tc>
        <w:tc>
          <w:tcPr>
            <w:tcW w:w="890" w:type="dxa"/>
            <w:noWrap/>
          </w:tcPr>
          <w:p w14:paraId="65B5C1FF" w14:textId="77777777" w:rsidR="005F23C9" w:rsidRPr="005F23C9" w:rsidRDefault="005F23C9">
            <w:pPr>
              <w:pStyle w:val="Tabele"/>
              <w:jc w:val="right"/>
              <w:rPr>
                <w:color w:val="auto"/>
              </w:rPr>
            </w:pPr>
            <w:r w:rsidRPr="005F23C9">
              <w:rPr>
                <w:rFonts w:cs="Arial"/>
                <w:color w:val="auto"/>
                <w:szCs w:val="16"/>
              </w:rPr>
              <w:t>3,6%</w:t>
            </w:r>
          </w:p>
        </w:tc>
        <w:tc>
          <w:tcPr>
            <w:tcW w:w="890" w:type="dxa"/>
            <w:noWrap/>
          </w:tcPr>
          <w:p w14:paraId="08E0453B" w14:textId="77777777" w:rsidR="005F23C9" w:rsidRPr="005F23C9" w:rsidRDefault="005F23C9">
            <w:pPr>
              <w:pStyle w:val="Tabele"/>
              <w:jc w:val="right"/>
              <w:rPr>
                <w:color w:val="auto"/>
              </w:rPr>
            </w:pPr>
            <w:r w:rsidRPr="005F23C9">
              <w:rPr>
                <w:rFonts w:cs="Arial"/>
                <w:color w:val="auto"/>
                <w:szCs w:val="16"/>
              </w:rPr>
              <w:t>18,5%</w:t>
            </w:r>
          </w:p>
        </w:tc>
        <w:tc>
          <w:tcPr>
            <w:tcW w:w="891" w:type="dxa"/>
            <w:noWrap/>
          </w:tcPr>
          <w:p w14:paraId="1ECCAA00" w14:textId="77777777" w:rsidR="005F23C9" w:rsidRPr="005F23C9" w:rsidRDefault="005F23C9">
            <w:pPr>
              <w:pStyle w:val="Tabele"/>
              <w:jc w:val="right"/>
              <w:rPr>
                <w:color w:val="auto"/>
              </w:rPr>
            </w:pPr>
            <w:r w:rsidRPr="005F23C9">
              <w:rPr>
                <w:rFonts w:cs="Arial"/>
                <w:color w:val="auto"/>
                <w:szCs w:val="16"/>
              </w:rPr>
              <w:t>28,2%</w:t>
            </w:r>
          </w:p>
        </w:tc>
        <w:tc>
          <w:tcPr>
            <w:tcW w:w="890" w:type="dxa"/>
            <w:noWrap/>
          </w:tcPr>
          <w:p w14:paraId="2CA27301" w14:textId="77777777" w:rsidR="005F23C9" w:rsidRPr="005F23C9" w:rsidRDefault="005F23C9">
            <w:pPr>
              <w:pStyle w:val="Tabele"/>
              <w:jc w:val="right"/>
              <w:rPr>
                <w:color w:val="auto"/>
              </w:rPr>
            </w:pPr>
            <w:r w:rsidRPr="005F23C9">
              <w:rPr>
                <w:rFonts w:cs="Arial"/>
                <w:color w:val="auto"/>
                <w:szCs w:val="16"/>
              </w:rPr>
              <w:t>30,7%</w:t>
            </w:r>
          </w:p>
        </w:tc>
      </w:tr>
      <w:tr w:rsidR="007F0D2B" w:rsidRPr="00134171" w14:paraId="44B49EDA" w14:textId="77777777" w:rsidTr="0D29C4E5">
        <w:trPr>
          <w:trHeight w:val="227"/>
        </w:trPr>
        <w:tc>
          <w:tcPr>
            <w:tcW w:w="1555" w:type="dxa"/>
            <w:vMerge/>
            <w:hideMark/>
          </w:tcPr>
          <w:p w14:paraId="6FBE8A1F" w14:textId="77777777" w:rsidR="005F23C9" w:rsidRPr="005F23C9" w:rsidRDefault="005F23C9">
            <w:pPr>
              <w:pStyle w:val="Tabele"/>
              <w:rPr>
                <w:b/>
                <w:bCs/>
                <w:color w:val="auto"/>
                <w:lang w:eastAsia="pl-PL"/>
              </w:rPr>
            </w:pPr>
          </w:p>
        </w:tc>
        <w:tc>
          <w:tcPr>
            <w:tcW w:w="5315" w:type="dxa"/>
            <w:noWrap/>
            <w:hideMark/>
          </w:tcPr>
          <w:p w14:paraId="7BC5AF09" w14:textId="77777777" w:rsidR="005F23C9" w:rsidRPr="005F23C9" w:rsidRDefault="005F23C9">
            <w:pPr>
              <w:pStyle w:val="Tabele"/>
              <w:rPr>
                <w:color w:val="auto"/>
                <w:lang w:eastAsia="pl-PL"/>
              </w:rPr>
            </w:pPr>
            <w:r w:rsidRPr="005F23C9">
              <w:rPr>
                <w:color w:val="auto"/>
                <w:lang w:eastAsia="pl-PL"/>
              </w:rPr>
              <w:t>Udział energii elektrycznej na cele transportu drogowego</w:t>
            </w:r>
          </w:p>
        </w:tc>
        <w:tc>
          <w:tcPr>
            <w:tcW w:w="891" w:type="dxa"/>
            <w:shd w:val="clear" w:color="auto" w:fill="C5E0B3" w:themeFill="accent6" w:themeFillTint="66"/>
            <w:noWrap/>
            <w:hideMark/>
          </w:tcPr>
          <w:p w14:paraId="69D8DC23" w14:textId="77777777" w:rsidR="005F23C9" w:rsidRPr="005F23C9" w:rsidRDefault="005F23C9">
            <w:pPr>
              <w:pStyle w:val="Tabele"/>
              <w:jc w:val="right"/>
              <w:rPr>
                <w:color w:val="auto"/>
                <w:lang w:eastAsia="pl-PL"/>
              </w:rPr>
            </w:pPr>
            <w:r w:rsidRPr="005F23C9">
              <w:rPr>
                <w:rFonts w:cs="Arial"/>
                <w:color w:val="auto"/>
                <w:szCs w:val="16"/>
              </w:rPr>
              <w:t>0,5%</w:t>
            </w:r>
          </w:p>
        </w:tc>
        <w:tc>
          <w:tcPr>
            <w:tcW w:w="891" w:type="dxa"/>
            <w:shd w:val="clear" w:color="auto" w:fill="C5E0B3" w:themeFill="accent6" w:themeFillTint="66"/>
            <w:noWrap/>
            <w:hideMark/>
          </w:tcPr>
          <w:p w14:paraId="3F820BE6" w14:textId="77777777" w:rsidR="005F23C9" w:rsidRPr="005F23C9" w:rsidRDefault="005F23C9">
            <w:pPr>
              <w:pStyle w:val="Tabele"/>
              <w:jc w:val="right"/>
              <w:rPr>
                <w:color w:val="auto"/>
                <w:lang w:eastAsia="pl-PL"/>
              </w:rPr>
            </w:pPr>
            <w:r w:rsidRPr="005F23C9">
              <w:rPr>
                <w:rFonts w:cs="Arial"/>
                <w:color w:val="auto"/>
                <w:szCs w:val="16"/>
              </w:rPr>
              <w:t>0,7%</w:t>
            </w:r>
          </w:p>
        </w:tc>
        <w:tc>
          <w:tcPr>
            <w:tcW w:w="890" w:type="dxa"/>
            <w:shd w:val="clear" w:color="auto" w:fill="C5E0B3" w:themeFill="accent6" w:themeFillTint="66"/>
            <w:noWrap/>
            <w:hideMark/>
          </w:tcPr>
          <w:p w14:paraId="7B0F4095" w14:textId="77777777" w:rsidR="005F23C9" w:rsidRPr="005F23C9" w:rsidRDefault="005F23C9">
            <w:pPr>
              <w:pStyle w:val="Tabele"/>
              <w:jc w:val="right"/>
              <w:rPr>
                <w:color w:val="auto"/>
                <w:lang w:eastAsia="pl-PL"/>
              </w:rPr>
            </w:pPr>
            <w:r w:rsidRPr="005F23C9">
              <w:rPr>
                <w:rFonts w:cs="Arial"/>
                <w:color w:val="auto"/>
                <w:szCs w:val="16"/>
              </w:rPr>
              <w:t>0,7%</w:t>
            </w:r>
          </w:p>
        </w:tc>
        <w:tc>
          <w:tcPr>
            <w:tcW w:w="891" w:type="dxa"/>
            <w:shd w:val="clear" w:color="auto" w:fill="C5E0B3" w:themeFill="accent6" w:themeFillTint="66"/>
            <w:noWrap/>
            <w:hideMark/>
          </w:tcPr>
          <w:p w14:paraId="132D7FA7" w14:textId="77777777" w:rsidR="005F23C9" w:rsidRPr="005F23C9" w:rsidRDefault="005F23C9">
            <w:pPr>
              <w:pStyle w:val="Tabele"/>
              <w:jc w:val="right"/>
              <w:rPr>
                <w:color w:val="auto"/>
                <w:lang w:eastAsia="pl-PL"/>
              </w:rPr>
            </w:pPr>
            <w:r w:rsidRPr="005F23C9">
              <w:rPr>
                <w:rFonts w:cs="Arial"/>
                <w:color w:val="auto"/>
                <w:szCs w:val="16"/>
              </w:rPr>
              <w:t>2,3%</w:t>
            </w:r>
          </w:p>
        </w:tc>
        <w:tc>
          <w:tcPr>
            <w:tcW w:w="890" w:type="dxa"/>
            <w:noWrap/>
            <w:hideMark/>
          </w:tcPr>
          <w:p w14:paraId="5386F652" w14:textId="77777777" w:rsidR="005F23C9" w:rsidRPr="005F23C9" w:rsidRDefault="005F23C9">
            <w:pPr>
              <w:pStyle w:val="Tabele"/>
              <w:jc w:val="right"/>
              <w:rPr>
                <w:color w:val="auto"/>
                <w:lang w:eastAsia="pl-PL"/>
              </w:rPr>
            </w:pPr>
            <w:r w:rsidRPr="005F23C9">
              <w:rPr>
                <w:rFonts w:cs="Arial"/>
                <w:color w:val="auto"/>
                <w:szCs w:val="16"/>
              </w:rPr>
              <w:t>12,8%</w:t>
            </w:r>
          </w:p>
        </w:tc>
        <w:tc>
          <w:tcPr>
            <w:tcW w:w="890" w:type="dxa"/>
            <w:noWrap/>
            <w:hideMark/>
          </w:tcPr>
          <w:p w14:paraId="7BA47AA8" w14:textId="77777777" w:rsidR="005F23C9" w:rsidRPr="005F23C9" w:rsidRDefault="005F23C9">
            <w:pPr>
              <w:pStyle w:val="Tabele"/>
              <w:jc w:val="right"/>
              <w:rPr>
                <w:color w:val="auto"/>
                <w:lang w:eastAsia="pl-PL"/>
              </w:rPr>
            </w:pPr>
            <w:r w:rsidRPr="005F23C9">
              <w:rPr>
                <w:rFonts w:cs="Arial"/>
                <w:color w:val="auto"/>
                <w:szCs w:val="16"/>
              </w:rPr>
              <w:t>34,1%</w:t>
            </w:r>
          </w:p>
        </w:tc>
        <w:tc>
          <w:tcPr>
            <w:tcW w:w="891" w:type="dxa"/>
            <w:noWrap/>
            <w:hideMark/>
          </w:tcPr>
          <w:p w14:paraId="70027B2F" w14:textId="77777777" w:rsidR="005F23C9" w:rsidRPr="005F23C9" w:rsidRDefault="005F23C9">
            <w:pPr>
              <w:pStyle w:val="Tabele"/>
              <w:jc w:val="right"/>
              <w:rPr>
                <w:color w:val="auto"/>
                <w:lang w:eastAsia="pl-PL"/>
              </w:rPr>
            </w:pPr>
            <w:r w:rsidRPr="005F23C9">
              <w:rPr>
                <w:rFonts w:cs="Arial"/>
                <w:color w:val="auto"/>
                <w:szCs w:val="16"/>
              </w:rPr>
              <w:t>56,0%</w:t>
            </w:r>
          </w:p>
        </w:tc>
        <w:tc>
          <w:tcPr>
            <w:tcW w:w="890" w:type="dxa"/>
            <w:noWrap/>
            <w:hideMark/>
          </w:tcPr>
          <w:p w14:paraId="2A3CB987" w14:textId="77777777" w:rsidR="005F23C9" w:rsidRPr="005F23C9" w:rsidRDefault="005F23C9">
            <w:pPr>
              <w:pStyle w:val="Tabele"/>
              <w:jc w:val="right"/>
              <w:rPr>
                <w:color w:val="auto"/>
                <w:lang w:eastAsia="pl-PL"/>
              </w:rPr>
            </w:pPr>
            <w:r w:rsidRPr="005F23C9">
              <w:rPr>
                <w:rFonts w:cs="Arial"/>
                <w:color w:val="auto"/>
                <w:szCs w:val="16"/>
              </w:rPr>
              <w:t>69,8%</w:t>
            </w:r>
          </w:p>
        </w:tc>
      </w:tr>
      <w:tr w:rsidR="007F0D2B" w:rsidRPr="00134171" w14:paraId="1D572B12" w14:textId="77777777" w:rsidTr="0D29C4E5">
        <w:trPr>
          <w:trHeight w:val="227"/>
        </w:trPr>
        <w:tc>
          <w:tcPr>
            <w:tcW w:w="1555" w:type="dxa"/>
            <w:vMerge/>
            <w:hideMark/>
          </w:tcPr>
          <w:p w14:paraId="603EDA2D" w14:textId="77777777" w:rsidR="005F23C9" w:rsidRPr="005F23C9" w:rsidRDefault="005F23C9">
            <w:pPr>
              <w:pStyle w:val="Tabele"/>
              <w:rPr>
                <w:b/>
                <w:bCs/>
                <w:color w:val="auto"/>
                <w:lang w:eastAsia="pl-PL"/>
              </w:rPr>
            </w:pPr>
          </w:p>
        </w:tc>
        <w:tc>
          <w:tcPr>
            <w:tcW w:w="5315" w:type="dxa"/>
            <w:noWrap/>
            <w:hideMark/>
          </w:tcPr>
          <w:p w14:paraId="6644C70A" w14:textId="77777777" w:rsidR="005F23C9" w:rsidRPr="005F23C9" w:rsidRDefault="005F23C9">
            <w:pPr>
              <w:pStyle w:val="Tabele"/>
              <w:rPr>
                <w:color w:val="auto"/>
                <w:lang w:eastAsia="pl-PL"/>
              </w:rPr>
            </w:pPr>
            <w:r w:rsidRPr="005F23C9">
              <w:rPr>
                <w:color w:val="auto"/>
                <w:lang w:eastAsia="pl-PL"/>
              </w:rPr>
              <w:t>Udział energii elektrycznej na cele transportu kolejowego</w:t>
            </w:r>
          </w:p>
        </w:tc>
        <w:tc>
          <w:tcPr>
            <w:tcW w:w="891" w:type="dxa"/>
            <w:shd w:val="clear" w:color="auto" w:fill="C5E0B3" w:themeFill="accent6" w:themeFillTint="66"/>
            <w:noWrap/>
            <w:hideMark/>
          </w:tcPr>
          <w:p w14:paraId="7794AA8A" w14:textId="77777777" w:rsidR="005F23C9" w:rsidRPr="005F23C9" w:rsidRDefault="005F23C9">
            <w:pPr>
              <w:pStyle w:val="Tabele"/>
              <w:jc w:val="right"/>
              <w:rPr>
                <w:color w:val="auto"/>
                <w:lang w:eastAsia="pl-PL"/>
              </w:rPr>
            </w:pPr>
            <w:r w:rsidRPr="005F23C9">
              <w:rPr>
                <w:rFonts w:cs="Arial"/>
                <w:color w:val="auto"/>
                <w:szCs w:val="16"/>
              </w:rPr>
              <w:t>89,0%</w:t>
            </w:r>
          </w:p>
        </w:tc>
        <w:tc>
          <w:tcPr>
            <w:tcW w:w="891" w:type="dxa"/>
            <w:shd w:val="clear" w:color="auto" w:fill="C5E0B3" w:themeFill="accent6" w:themeFillTint="66"/>
            <w:noWrap/>
            <w:hideMark/>
          </w:tcPr>
          <w:p w14:paraId="1D5F5D28" w14:textId="77777777" w:rsidR="005F23C9" w:rsidRPr="005F23C9" w:rsidRDefault="005F23C9">
            <w:pPr>
              <w:pStyle w:val="Tabele"/>
              <w:jc w:val="right"/>
              <w:rPr>
                <w:color w:val="auto"/>
                <w:lang w:eastAsia="pl-PL"/>
              </w:rPr>
            </w:pPr>
            <w:r w:rsidRPr="005F23C9">
              <w:rPr>
                <w:rFonts w:cs="Arial"/>
                <w:color w:val="auto"/>
                <w:szCs w:val="16"/>
              </w:rPr>
              <w:t>88,8%</w:t>
            </w:r>
          </w:p>
        </w:tc>
        <w:tc>
          <w:tcPr>
            <w:tcW w:w="890" w:type="dxa"/>
            <w:shd w:val="clear" w:color="auto" w:fill="C5E0B3" w:themeFill="accent6" w:themeFillTint="66"/>
            <w:noWrap/>
            <w:hideMark/>
          </w:tcPr>
          <w:p w14:paraId="6E858618" w14:textId="77777777" w:rsidR="005F23C9" w:rsidRPr="005F23C9" w:rsidRDefault="005F23C9">
            <w:pPr>
              <w:pStyle w:val="Tabele"/>
              <w:jc w:val="right"/>
              <w:rPr>
                <w:color w:val="auto"/>
                <w:lang w:eastAsia="pl-PL"/>
              </w:rPr>
            </w:pPr>
            <w:r w:rsidRPr="005F23C9">
              <w:rPr>
                <w:rFonts w:cs="Arial"/>
                <w:color w:val="auto"/>
                <w:szCs w:val="16"/>
              </w:rPr>
              <w:t>90,1%</w:t>
            </w:r>
          </w:p>
        </w:tc>
        <w:tc>
          <w:tcPr>
            <w:tcW w:w="891" w:type="dxa"/>
            <w:shd w:val="clear" w:color="auto" w:fill="C5E0B3" w:themeFill="accent6" w:themeFillTint="66"/>
            <w:noWrap/>
            <w:hideMark/>
          </w:tcPr>
          <w:p w14:paraId="13763A43" w14:textId="77777777" w:rsidR="005F23C9" w:rsidRPr="005F23C9" w:rsidRDefault="005F23C9">
            <w:pPr>
              <w:pStyle w:val="Tabele"/>
              <w:jc w:val="right"/>
              <w:rPr>
                <w:color w:val="auto"/>
                <w:lang w:eastAsia="pl-PL"/>
              </w:rPr>
            </w:pPr>
            <w:r w:rsidRPr="005F23C9">
              <w:rPr>
                <w:rFonts w:cs="Arial"/>
                <w:color w:val="auto"/>
                <w:szCs w:val="16"/>
              </w:rPr>
              <w:t>91,1%</w:t>
            </w:r>
          </w:p>
        </w:tc>
        <w:tc>
          <w:tcPr>
            <w:tcW w:w="890" w:type="dxa"/>
            <w:noWrap/>
            <w:hideMark/>
          </w:tcPr>
          <w:p w14:paraId="39A5D36A" w14:textId="77777777" w:rsidR="005F23C9" w:rsidRPr="005F23C9" w:rsidRDefault="005F23C9">
            <w:pPr>
              <w:pStyle w:val="Tabele"/>
              <w:jc w:val="right"/>
              <w:rPr>
                <w:color w:val="auto"/>
                <w:lang w:eastAsia="pl-PL"/>
              </w:rPr>
            </w:pPr>
            <w:r w:rsidRPr="005F23C9">
              <w:rPr>
                <w:rFonts w:cs="Arial"/>
                <w:color w:val="auto"/>
                <w:szCs w:val="16"/>
              </w:rPr>
              <w:t>86,1%</w:t>
            </w:r>
          </w:p>
        </w:tc>
        <w:tc>
          <w:tcPr>
            <w:tcW w:w="890" w:type="dxa"/>
            <w:noWrap/>
            <w:hideMark/>
          </w:tcPr>
          <w:p w14:paraId="29AC5064" w14:textId="77777777" w:rsidR="005F23C9" w:rsidRPr="005F23C9" w:rsidRDefault="005F23C9">
            <w:pPr>
              <w:pStyle w:val="Tabele"/>
              <w:jc w:val="right"/>
              <w:rPr>
                <w:color w:val="auto"/>
                <w:lang w:eastAsia="pl-PL"/>
              </w:rPr>
            </w:pPr>
            <w:r w:rsidRPr="005F23C9">
              <w:rPr>
                <w:rFonts w:cs="Arial"/>
                <w:color w:val="auto"/>
                <w:szCs w:val="16"/>
              </w:rPr>
              <w:t>65,3%</w:t>
            </w:r>
          </w:p>
        </w:tc>
        <w:tc>
          <w:tcPr>
            <w:tcW w:w="891" w:type="dxa"/>
            <w:noWrap/>
            <w:hideMark/>
          </w:tcPr>
          <w:p w14:paraId="5294DFB9" w14:textId="77777777" w:rsidR="005F23C9" w:rsidRPr="005F23C9" w:rsidRDefault="005F23C9">
            <w:pPr>
              <w:pStyle w:val="Tabele"/>
              <w:jc w:val="right"/>
              <w:rPr>
                <w:color w:val="auto"/>
                <w:lang w:eastAsia="pl-PL"/>
              </w:rPr>
            </w:pPr>
            <w:r w:rsidRPr="005F23C9">
              <w:rPr>
                <w:rFonts w:cs="Arial"/>
                <w:color w:val="auto"/>
                <w:szCs w:val="16"/>
              </w:rPr>
              <w:t>43,7%</w:t>
            </w:r>
          </w:p>
        </w:tc>
        <w:tc>
          <w:tcPr>
            <w:tcW w:w="890" w:type="dxa"/>
            <w:noWrap/>
            <w:hideMark/>
          </w:tcPr>
          <w:p w14:paraId="34579C6A" w14:textId="77777777" w:rsidR="005F23C9" w:rsidRPr="005F23C9" w:rsidRDefault="005F23C9">
            <w:pPr>
              <w:pStyle w:val="Tabele"/>
              <w:jc w:val="right"/>
              <w:rPr>
                <w:color w:val="auto"/>
                <w:lang w:eastAsia="pl-PL"/>
              </w:rPr>
            </w:pPr>
            <w:r w:rsidRPr="005F23C9">
              <w:rPr>
                <w:rFonts w:cs="Arial"/>
                <w:color w:val="auto"/>
                <w:szCs w:val="16"/>
              </w:rPr>
              <w:t>30,0%</w:t>
            </w:r>
          </w:p>
        </w:tc>
      </w:tr>
      <w:tr w:rsidR="007F0D2B" w:rsidRPr="00134171" w14:paraId="2D818727" w14:textId="77777777" w:rsidTr="0D29C4E5">
        <w:trPr>
          <w:trHeight w:val="227"/>
        </w:trPr>
        <w:tc>
          <w:tcPr>
            <w:tcW w:w="1555" w:type="dxa"/>
            <w:vMerge/>
            <w:hideMark/>
          </w:tcPr>
          <w:p w14:paraId="341C24DC" w14:textId="77777777" w:rsidR="005F23C9" w:rsidRPr="005F23C9" w:rsidRDefault="005F23C9">
            <w:pPr>
              <w:pStyle w:val="Tabele"/>
              <w:rPr>
                <w:b/>
                <w:bCs/>
                <w:color w:val="auto"/>
                <w:lang w:eastAsia="pl-PL"/>
              </w:rPr>
            </w:pPr>
          </w:p>
        </w:tc>
        <w:tc>
          <w:tcPr>
            <w:tcW w:w="5315" w:type="dxa"/>
            <w:noWrap/>
            <w:hideMark/>
          </w:tcPr>
          <w:p w14:paraId="36BEE52A" w14:textId="77777777" w:rsidR="005F23C9" w:rsidRPr="005F23C9" w:rsidRDefault="005F23C9">
            <w:pPr>
              <w:pStyle w:val="Tabele"/>
              <w:rPr>
                <w:color w:val="auto"/>
                <w:lang w:eastAsia="pl-PL"/>
              </w:rPr>
            </w:pPr>
            <w:r w:rsidRPr="005F23C9">
              <w:rPr>
                <w:color w:val="auto"/>
                <w:lang w:eastAsia="pl-PL"/>
              </w:rPr>
              <w:t>Udział energii elektrycznej na cele innych rodzajów transportu</w:t>
            </w:r>
          </w:p>
        </w:tc>
        <w:tc>
          <w:tcPr>
            <w:tcW w:w="891" w:type="dxa"/>
            <w:shd w:val="clear" w:color="auto" w:fill="C5E0B3" w:themeFill="accent6" w:themeFillTint="66"/>
            <w:noWrap/>
            <w:hideMark/>
          </w:tcPr>
          <w:p w14:paraId="546A3C8C" w14:textId="77777777" w:rsidR="005F23C9" w:rsidRPr="005F23C9" w:rsidRDefault="005F23C9">
            <w:pPr>
              <w:pStyle w:val="Tabele"/>
              <w:jc w:val="right"/>
              <w:rPr>
                <w:color w:val="auto"/>
                <w:lang w:eastAsia="pl-PL"/>
              </w:rPr>
            </w:pPr>
            <w:r w:rsidRPr="005F23C9">
              <w:rPr>
                <w:rFonts w:cs="Arial"/>
                <w:color w:val="auto"/>
                <w:szCs w:val="16"/>
              </w:rPr>
              <w:t>10,5%</w:t>
            </w:r>
          </w:p>
        </w:tc>
        <w:tc>
          <w:tcPr>
            <w:tcW w:w="891" w:type="dxa"/>
            <w:shd w:val="clear" w:color="auto" w:fill="C5E0B3" w:themeFill="accent6" w:themeFillTint="66"/>
            <w:noWrap/>
            <w:hideMark/>
          </w:tcPr>
          <w:p w14:paraId="0AA19ADC" w14:textId="77777777" w:rsidR="005F23C9" w:rsidRPr="005F23C9" w:rsidRDefault="005F23C9">
            <w:pPr>
              <w:pStyle w:val="Tabele"/>
              <w:jc w:val="right"/>
              <w:rPr>
                <w:color w:val="auto"/>
                <w:lang w:eastAsia="pl-PL"/>
              </w:rPr>
            </w:pPr>
            <w:r w:rsidRPr="005F23C9">
              <w:rPr>
                <w:rFonts w:cs="Arial"/>
                <w:color w:val="auto"/>
                <w:szCs w:val="16"/>
              </w:rPr>
              <w:t>10,5%</w:t>
            </w:r>
          </w:p>
        </w:tc>
        <w:tc>
          <w:tcPr>
            <w:tcW w:w="890" w:type="dxa"/>
            <w:shd w:val="clear" w:color="auto" w:fill="C5E0B3" w:themeFill="accent6" w:themeFillTint="66"/>
            <w:noWrap/>
            <w:hideMark/>
          </w:tcPr>
          <w:p w14:paraId="74BE8EC9" w14:textId="77777777" w:rsidR="005F23C9" w:rsidRPr="005F23C9" w:rsidRDefault="005F23C9">
            <w:pPr>
              <w:pStyle w:val="Tabele"/>
              <w:jc w:val="right"/>
              <w:rPr>
                <w:color w:val="auto"/>
                <w:lang w:eastAsia="pl-PL"/>
              </w:rPr>
            </w:pPr>
            <w:r w:rsidRPr="005F23C9">
              <w:rPr>
                <w:rFonts w:cs="Arial"/>
                <w:color w:val="auto"/>
                <w:szCs w:val="16"/>
              </w:rPr>
              <w:t>9,2%</w:t>
            </w:r>
          </w:p>
        </w:tc>
        <w:tc>
          <w:tcPr>
            <w:tcW w:w="891" w:type="dxa"/>
            <w:shd w:val="clear" w:color="auto" w:fill="C5E0B3" w:themeFill="accent6" w:themeFillTint="66"/>
            <w:noWrap/>
            <w:hideMark/>
          </w:tcPr>
          <w:p w14:paraId="4D789CF2" w14:textId="77777777" w:rsidR="005F23C9" w:rsidRPr="005F23C9" w:rsidRDefault="005F23C9">
            <w:pPr>
              <w:pStyle w:val="Tabele"/>
              <w:jc w:val="right"/>
              <w:rPr>
                <w:color w:val="auto"/>
                <w:lang w:eastAsia="pl-PL"/>
              </w:rPr>
            </w:pPr>
            <w:r w:rsidRPr="005F23C9">
              <w:rPr>
                <w:rFonts w:cs="Arial"/>
                <w:color w:val="auto"/>
                <w:szCs w:val="16"/>
              </w:rPr>
              <w:t>6,5%</w:t>
            </w:r>
          </w:p>
        </w:tc>
        <w:tc>
          <w:tcPr>
            <w:tcW w:w="890" w:type="dxa"/>
            <w:noWrap/>
            <w:hideMark/>
          </w:tcPr>
          <w:p w14:paraId="2729C75B" w14:textId="77777777" w:rsidR="005F23C9" w:rsidRPr="005F23C9" w:rsidRDefault="005F23C9">
            <w:pPr>
              <w:pStyle w:val="Tabele"/>
              <w:jc w:val="right"/>
              <w:rPr>
                <w:color w:val="auto"/>
                <w:lang w:eastAsia="pl-PL"/>
              </w:rPr>
            </w:pPr>
            <w:r w:rsidRPr="005F23C9">
              <w:rPr>
                <w:rFonts w:cs="Arial"/>
                <w:color w:val="auto"/>
                <w:szCs w:val="16"/>
              </w:rPr>
              <w:t>1,1%</w:t>
            </w:r>
          </w:p>
        </w:tc>
        <w:tc>
          <w:tcPr>
            <w:tcW w:w="890" w:type="dxa"/>
            <w:noWrap/>
            <w:hideMark/>
          </w:tcPr>
          <w:p w14:paraId="08D1C6ED" w14:textId="77777777" w:rsidR="005F23C9" w:rsidRPr="005F23C9" w:rsidRDefault="005F23C9">
            <w:pPr>
              <w:pStyle w:val="Tabele"/>
              <w:jc w:val="right"/>
              <w:rPr>
                <w:color w:val="auto"/>
                <w:lang w:eastAsia="pl-PL"/>
              </w:rPr>
            </w:pPr>
            <w:r w:rsidRPr="005F23C9">
              <w:rPr>
                <w:rFonts w:cs="Arial"/>
                <w:color w:val="auto"/>
                <w:szCs w:val="16"/>
              </w:rPr>
              <w:t>0,6%</w:t>
            </w:r>
          </w:p>
        </w:tc>
        <w:tc>
          <w:tcPr>
            <w:tcW w:w="891" w:type="dxa"/>
            <w:noWrap/>
            <w:hideMark/>
          </w:tcPr>
          <w:p w14:paraId="72C935E8" w14:textId="77777777" w:rsidR="005F23C9" w:rsidRPr="005F23C9" w:rsidRDefault="005F23C9">
            <w:pPr>
              <w:pStyle w:val="Tabele"/>
              <w:jc w:val="right"/>
              <w:rPr>
                <w:color w:val="auto"/>
                <w:lang w:eastAsia="pl-PL"/>
              </w:rPr>
            </w:pPr>
            <w:r w:rsidRPr="005F23C9">
              <w:rPr>
                <w:rFonts w:cs="Arial"/>
                <w:color w:val="auto"/>
                <w:szCs w:val="16"/>
              </w:rPr>
              <w:t>0,3%</w:t>
            </w:r>
          </w:p>
        </w:tc>
        <w:tc>
          <w:tcPr>
            <w:tcW w:w="890" w:type="dxa"/>
            <w:noWrap/>
            <w:hideMark/>
          </w:tcPr>
          <w:p w14:paraId="2C25EDE2" w14:textId="77777777" w:rsidR="005F23C9" w:rsidRPr="005F23C9" w:rsidRDefault="005F23C9">
            <w:pPr>
              <w:pStyle w:val="Tabele"/>
              <w:jc w:val="right"/>
              <w:rPr>
                <w:color w:val="auto"/>
                <w:lang w:eastAsia="pl-PL"/>
              </w:rPr>
            </w:pPr>
            <w:r w:rsidRPr="005F23C9">
              <w:rPr>
                <w:rFonts w:cs="Arial"/>
                <w:color w:val="auto"/>
                <w:szCs w:val="16"/>
              </w:rPr>
              <w:t>0,2%</w:t>
            </w:r>
          </w:p>
        </w:tc>
      </w:tr>
      <w:tr w:rsidR="007F0D2B" w:rsidRPr="00134171" w14:paraId="737AF097" w14:textId="77777777" w:rsidTr="0D29C4E5">
        <w:trPr>
          <w:trHeight w:val="227"/>
        </w:trPr>
        <w:tc>
          <w:tcPr>
            <w:tcW w:w="1555" w:type="dxa"/>
            <w:vMerge w:val="restart"/>
            <w:hideMark/>
          </w:tcPr>
          <w:p w14:paraId="5D2AABB2" w14:textId="77777777" w:rsidR="005F23C9" w:rsidRPr="005F23C9" w:rsidRDefault="005F23C9">
            <w:pPr>
              <w:pStyle w:val="Tabele"/>
              <w:rPr>
                <w:b/>
                <w:bCs/>
                <w:color w:val="auto"/>
                <w:lang w:eastAsia="pl-PL"/>
              </w:rPr>
            </w:pPr>
          </w:p>
        </w:tc>
        <w:tc>
          <w:tcPr>
            <w:tcW w:w="5315" w:type="dxa"/>
            <w:noWrap/>
            <w:hideMark/>
          </w:tcPr>
          <w:p w14:paraId="4909C546" w14:textId="77777777" w:rsidR="005F23C9" w:rsidRPr="005F23C9" w:rsidRDefault="005F23C9">
            <w:pPr>
              <w:pStyle w:val="Tabele"/>
              <w:rPr>
                <w:color w:val="auto"/>
                <w:lang w:eastAsia="pl-PL"/>
              </w:rPr>
            </w:pPr>
            <w:r w:rsidRPr="005F23C9">
              <w:rPr>
                <w:color w:val="auto"/>
                <w:lang w:eastAsia="pl-PL"/>
              </w:rPr>
              <w:t>Całkowite zużycie energii elektrycznej w transporcie [ktoe]</w:t>
            </w:r>
          </w:p>
        </w:tc>
        <w:tc>
          <w:tcPr>
            <w:tcW w:w="891" w:type="dxa"/>
            <w:shd w:val="clear" w:color="auto" w:fill="C5E0B3" w:themeFill="accent6" w:themeFillTint="66"/>
            <w:noWrap/>
            <w:hideMark/>
          </w:tcPr>
          <w:p w14:paraId="16E1E0B4" w14:textId="77777777" w:rsidR="005F23C9" w:rsidRPr="005F23C9" w:rsidRDefault="005F23C9">
            <w:pPr>
              <w:pStyle w:val="Tabele"/>
              <w:jc w:val="right"/>
              <w:rPr>
                <w:color w:val="auto"/>
                <w:lang w:eastAsia="pl-PL"/>
              </w:rPr>
            </w:pPr>
            <w:r w:rsidRPr="005F23C9">
              <w:rPr>
                <w:rFonts w:cs="Arial"/>
                <w:color w:val="auto"/>
                <w:szCs w:val="16"/>
              </w:rPr>
              <w:t>343,0</w:t>
            </w:r>
          </w:p>
        </w:tc>
        <w:tc>
          <w:tcPr>
            <w:tcW w:w="891" w:type="dxa"/>
            <w:shd w:val="clear" w:color="auto" w:fill="C5E0B3" w:themeFill="accent6" w:themeFillTint="66"/>
            <w:noWrap/>
            <w:hideMark/>
          </w:tcPr>
          <w:p w14:paraId="72761DCC" w14:textId="77777777" w:rsidR="005F23C9" w:rsidRPr="005F23C9" w:rsidRDefault="005F23C9">
            <w:pPr>
              <w:pStyle w:val="Tabele"/>
              <w:jc w:val="right"/>
              <w:rPr>
                <w:color w:val="auto"/>
                <w:lang w:eastAsia="pl-PL"/>
              </w:rPr>
            </w:pPr>
            <w:r w:rsidRPr="005F23C9">
              <w:rPr>
                <w:rFonts w:cs="Arial"/>
                <w:color w:val="auto"/>
                <w:szCs w:val="16"/>
              </w:rPr>
              <w:t>287,0</w:t>
            </w:r>
          </w:p>
        </w:tc>
        <w:tc>
          <w:tcPr>
            <w:tcW w:w="890" w:type="dxa"/>
            <w:shd w:val="clear" w:color="auto" w:fill="C5E0B3" w:themeFill="accent6" w:themeFillTint="66"/>
            <w:noWrap/>
            <w:hideMark/>
          </w:tcPr>
          <w:p w14:paraId="38621518" w14:textId="77777777" w:rsidR="005F23C9" w:rsidRPr="005F23C9" w:rsidRDefault="005F23C9">
            <w:pPr>
              <w:pStyle w:val="Tabele"/>
              <w:jc w:val="right"/>
              <w:rPr>
                <w:color w:val="auto"/>
                <w:lang w:eastAsia="pl-PL"/>
              </w:rPr>
            </w:pPr>
            <w:r w:rsidRPr="005F23C9">
              <w:rPr>
                <w:rFonts w:cs="Arial"/>
                <w:color w:val="auto"/>
                <w:szCs w:val="16"/>
              </w:rPr>
              <w:t>267,2</w:t>
            </w:r>
          </w:p>
        </w:tc>
        <w:tc>
          <w:tcPr>
            <w:tcW w:w="891" w:type="dxa"/>
            <w:shd w:val="clear" w:color="auto" w:fill="C5E0B3" w:themeFill="accent6" w:themeFillTint="66"/>
            <w:noWrap/>
            <w:hideMark/>
          </w:tcPr>
          <w:p w14:paraId="25D00878" w14:textId="77777777" w:rsidR="005F23C9" w:rsidRPr="005F23C9" w:rsidRDefault="005F23C9">
            <w:pPr>
              <w:pStyle w:val="Tabele"/>
              <w:jc w:val="right"/>
              <w:rPr>
                <w:color w:val="auto"/>
                <w:lang w:eastAsia="pl-PL"/>
              </w:rPr>
            </w:pPr>
            <w:r w:rsidRPr="005F23C9">
              <w:rPr>
                <w:rFonts w:cs="Arial"/>
                <w:color w:val="auto"/>
                <w:szCs w:val="16"/>
              </w:rPr>
              <w:t>273</w:t>
            </w:r>
          </w:p>
        </w:tc>
        <w:tc>
          <w:tcPr>
            <w:tcW w:w="890" w:type="dxa"/>
            <w:noWrap/>
            <w:hideMark/>
          </w:tcPr>
          <w:p w14:paraId="38E1B9C3" w14:textId="77777777" w:rsidR="005F23C9" w:rsidRPr="005F23C9" w:rsidRDefault="005F23C9">
            <w:pPr>
              <w:pStyle w:val="Tabele"/>
              <w:jc w:val="right"/>
              <w:rPr>
                <w:color w:val="auto"/>
                <w:lang w:eastAsia="pl-PL"/>
              </w:rPr>
            </w:pPr>
            <w:r w:rsidRPr="005F23C9">
              <w:rPr>
                <w:rFonts w:cs="Arial"/>
                <w:color w:val="auto"/>
                <w:szCs w:val="16"/>
              </w:rPr>
              <w:t>373</w:t>
            </w:r>
          </w:p>
        </w:tc>
        <w:tc>
          <w:tcPr>
            <w:tcW w:w="890" w:type="dxa"/>
            <w:noWrap/>
            <w:hideMark/>
          </w:tcPr>
          <w:p w14:paraId="46A04355" w14:textId="77777777" w:rsidR="005F23C9" w:rsidRPr="005F23C9" w:rsidRDefault="005F23C9">
            <w:pPr>
              <w:pStyle w:val="Tabele"/>
              <w:jc w:val="right"/>
              <w:rPr>
                <w:color w:val="auto"/>
                <w:lang w:eastAsia="pl-PL"/>
              </w:rPr>
            </w:pPr>
            <w:r w:rsidRPr="005F23C9">
              <w:rPr>
                <w:rFonts w:cs="Arial"/>
                <w:color w:val="auto"/>
                <w:szCs w:val="16"/>
              </w:rPr>
              <w:t>625</w:t>
            </w:r>
          </w:p>
        </w:tc>
        <w:tc>
          <w:tcPr>
            <w:tcW w:w="891" w:type="dxa"/>
            <w:noWrap/>
            <w:hideMark/>
          </w:tcPr>
          <w:p w14:paraId="0D43F763" w14:textId="77777777" w:rsidR="005F23C9" w:rsidRPr="005F23C9" w:rsidRDefault="005F23C9">
            <w:pPr>
              <w:pStyle w:val="Tabele"/>
              <w:jc w:val="right"/>
              <w:rPr>
                <w:color w:val="auto"/>
                <w:lang w:eastAsia="pl-PL"/>
              </w:rPr>
            </w:pPr>
            <w:r w:rsidRPr="005F23C9">
              <w:rPr>
                <w:rFonts w:cs="Arial"/>
                <w:color w:val="auto"/>
                <w:szCs w:val="16"/>
              </w:rPr>
              <w:t>1025</w:t>
            </w:r>
          </w:p>
        </w:tc>
        <w:tc>
          <w:tcPr>
            <w:tcW w:w="890" w:type="dxa"/>
            <w:noWrap/>
            <w:hideMark/>
          </w:tcPr>
          <w:p w14:paraId="03764CD6" w14:textId="77777777" w:rsidR="005F23C9" w:rsidRPr="005F23C9" w:rsidRDefault="005F23C9">
            <w:pPr>
              <w:pStyle w:val="Tabele"/>
              <w:jc w:val="right"/>
              <w:rPr>
                <w:color w:val="auto"/>
                <w:lang w:eastAsia="pl-PL"/>
              </w:rPr>
            </w:pPr>
            <w:r w:rsidRPr="005F23C9">
              <w:rPr>
                <w:rFonts w:cs="Arial"/>
                <w:color w:val="auto"/>
                <w:szCs w:val="16"/>
              </w:rPr>
              <w:t>1592</w:t>
            </w:r>
          </w:p>
        </w:tc>
      </w:tr>
      <w:tr w:rsidR="007F0D2B" w:rsidRPr="00134171" w14:paraId="6A913D1D" w14:textId="77777777" w:rsidTr="0D29C4E5">
        <w:trPr>
          <w:trHeight w:val="227"/>
        </w:trPr>
        <w:tc>
          <w:tcPr>
            <w:tcW w:w="1555" w:type="dxa"/>
            <w:vMerge/>
            <w:hideMark/>
          </w:tcPr>
          <w:p w14:paraId="4E6CBF26" w14:textId="77777777" w:rsidR="005F23C9" w:rsidRPr="005F23C9" w:rsidRDefault="005F23C9">
            <w:pPr>
              <w:pStyle w:val="Tabele"/>
              <w:rPr>
                <w:color w:val="auto"/>
                <w:lang w:eastAsia="pl-PL"/>
              </w:rPr>
            </w:pPr>
          </w:p>
        </w:tc>
        <w:tc>
          <w:tcPr>
            <w:tcW w:w="5315" w:type="dxa"/>
            <w:noWrap/>
            <w:hideMark/>
          </w:tcPr>
          <w:p w14:paraId="3CEDFD08" w14:textId="77777777" w:rsidR="005F23C9" w:rsidRPr="005F23C9" w:rsidRDefault="005F23C9">
            <w:pPr>
              <w:pStyle w:val="Tabele"/>
              <w:rPr>
                <w:color w:val="auto"/>
                <w:lang w:eastAsia="pl-PL"/>
              </w:rPr>
            </w:pPr>
            <w:r w:rsidRPr="005F23C9">
              <w:rPr>
                <w:color w:val="auto"/>
                <w:lang w:eastAsia="pl-PL"/>
              </w:rPr>
              <w:t>Rzeczywiste zużycie energii elektrycznej na cele transportu drogowego [ktoe]</w:t>
            </w:r>
          </w:p>
        </w:tc>
        <w:tc>
          <w:tcPr>
            <w:tcW w:w="891" w:type="dxa"/>
            <w:shd w:val="clear" w:color="auto" w:fill="C5E0B3" w:themeFill="accent6" w:themeFillTint="66"/>
            <w:noWrap/>
            <w:hideMark/>
          </w:tcPr>
          <w:p w14:paraId="1110E8C9" w14:textId="77777777" w:rsidR="005F23C9" w:rsidRPr="005F23C9" w:rsidRDefault="005F23C9">
            <w:pPr>
              <w:pStyle w:val="Tabele"/>
              <w:jc w:val="right"/>
              <w:rPr>
                <w:color w:val="auto"/>
                <w:lang w:eastAsia="pl-PL"/>
              </w:rPr>
            </w:pPr>
            <w:r w:rsidRPr="005F23C9">
              <w:rPr>
                <w:rFonts w:cs="Arial"/>
                <w:color w:val="auto"/>
                <w:szCs w:val="16"/>
              </w:rPr>
              <w:t>1,8</w:t>
            </w:r>
          </w:p>
        </w:tc>
        <w:tc>
          <w:tcPr>
            <w:tcW w:w="891" w:type="dxa"/>
            <w:shd w:val="clear" w:color="auto" w:fill="C5E0B3" w:themeFill="accent6" w:themeFillTint="66"/>
            <w:noWrap/>
            <w:hideMark/>
          </w:tcPr>
          <w:p w14:paraId="50BF286E" w14:textId="77777777" w:rsidR="005F23C9" w:rsidRPr="005F23C9" w:rsidRDefault="005F23C9">
            <w:pPr>
              <w:pStyle w:val="Tabele"/>
              <w:jc w:val="right"/>
              <w:rPr>
                <w:color w:val="auto"/>
                <w:lang w:eastAsia="pl-PL"/>
              </w:rPr>
            </w:pPr>
            <w:r w:rsidRPr="005F23C9">
              <w:rPr>
                <w:rFonts w:cs="Arial"/>
                <w:color w:val="auto"/>
                <w:szCs w:val="16"/>
              </w:rPr>
              <w:t>2,0</w:t>
            </w:r>
          </w:p>
        </w:tc>
        <w:tc>
          <w:tcPr>
            <w:tcW w:w="890" w:type="dxa"/>
            <w:shd w:val="clear" w:color="auto" w:fill="C5E0B3" w:themeFill="accent6" w:themeFillTint="66"/>
            <w:noWrap/>
            <w:hideMark/>
          </w:tcPr>
          <w:p w14:paraId="507EF3C1" w14:textId="77777777" w:rsidR="005F23C9" w:rsidRPr="005F23C9" w:rsidRDefault="005F23C9">
            <w:pPr>
              <w:pStyle w:val="Tabele"/>
              <w:jc w:val="right"/>
              <w:rPr>
                <w:color w:val="auto"/>
                <w:lang w:eastAsia="pl-PL"/>
              </w:rPr>
            </w:pPr>
            <w:r w:rsidRPr="005F23C9">
              <w:rPr>
                <w:rFonts w:cs="Arial"/>
                <w:color w:val="auto"/>
                <w:szCs w:val="16"/>
              </w:rPr>
              <w:t>1,9</w:t>
            </w:r>
          </w:p>
        </w:tc>
        <w:tc>
          <w:tcPr>
            <w:tcW w:w="891" w:type="dxa"/>
            <w:shd w:val="clear" w:color="auto" w:fill="C5E0B3" w:themeFill="accent6" w:themeFillTint="66"/>
            <w:noWrap/>
            <w:hideMark/>
          </w:tcPr>
          <w:p w14:paraId="315A0D41" w14:textId="77777777" w:rsidR="005F23C9" w:rsidRPr="005F23C9" w:rsidRDefault="005F23C9">
            <w:pPr>
              <w:pStyle w:val="Tabele"/>
              <w:jc w:val="right"/>
              <w:rPr>
                <w:color w:val="auto"/>
                <w:lang w:eastAsia="pl-PL"/>
              </w:rPr>
            </w:pPr>
            <w:r w:rsidRPr="005F23C9">
              <w:rPr>
                <w:rFonts w:cs="Arial"/>
                <w:color w:val="auto"/>
                <w:szCs w:val="16"/>
              </w:rPr>
              <w:t>6</w:t>
            </w:r>
          </w:p>
        </w:tc>
        <w:tc>
          <w:tcPr>
            <w:tcW w:w="890" w:type="dxa"/>
            <w:noWrap/>
            <w:hideMark/>
          </w:tcPr>
          <w:p w14:paraId="66BB3DCB" w14:textId="77777777" w:rsidR="005F23C9" w:rsidRPr="005F23C9" w:rsidRDefault="005F23C9">
            <w:pPr>
              <w:pStyle w:val="Tabele"/>
              <w:jc w:val="right"/>
              <w:rPr>
                <w:color w:val="auto"/>
                <w:lang w:eastAsia="pl-PL"/>
              </w:rPr>
            </w:pPr>
            <w:r w:rsidRPr="005F23C9">
              <w:rPr>
                <w:rFonts w:cs="Arial"/>
                <w:color w:val="auto"/>
                <w:szCs w:val="16"/>
              </w:rPr>
              <w:t>48</w:t>
            </w:r>
          </w:p>
        </w:tc>
        <w:tc>
          <w:tcPr>
            <w:tcW w:w="890" w:type="dxa"/>
            <w:noWrap/>
            <w:hideMark/>
          </w:tcPr>
          <w:p w14:paraId="383E8404" w14:textId="77777777" w:rsidR="005F23C9" w:rsidRPr="005F23C9" w:rsidRDefault="005F23C9">
            <w:pPr>
              <w:pStyle w:val="Tabele"/>
              <w:jc w:val="right"/>
              <w:rPr>
                <w:color w:val="auto"/>
                <w:lang w:eastAsia="pl-PL"/>
              </w:rPr>
            </w:pPr>
            <w:r w:rsidRPr="005F23C9">
              <w:rPr>
                <w:rFonts w:cs="Arial"/>
                <w:color w:val="auto"/>
                <w:szCs w:val="16"/>
              </w:rPr>
              <w:t>213</w:t>
            </w:r>
          </w:p>
        </w:tc>
        <w:tc>
          <w:tcPr>
            <w:tcW w:w="891" w:type="dxa"/>
            <w:noWrap/>
            <w:hideMark/>
          </w:tcPr>
          <w:p w14:paraId="515B5D2D" w14:textId="77777777" w:rsidR="005F23C9" w:rsidRPr="005F23C9" w:rsidRDefault="005F23C9">
            <w:pPr>
              <w:pStyle w:val="Tabele"/>
              <w:jc w:val="right"/>
              <w:rPr>
                <w:color w:val="auto"/>
                <w:lang w:eastAsia="pl-PL"/>
              </w:rPr>
            </w:pPr>
            <w:r w:rsidRPr="005F23C9">
              <w:rPr>
                <w:rFonts w:cs="Arial"/>
                <w:color w:val="auto"/>
                <w:szCs w:val="16"/>
              </w:rPr>
              <w:t>574</w:t>
            </w:r>
          </w:p>
        </w:tc>
        <w:tc>
          <w:tcPr>
            <w:tcW w:w="890" w:type="dxa"/>
            <w:noWrap/>
            <w:hideMark/>
          </w:tcPr>
          <w:p w14:paraId="39126B61" w14:textId="77777777" w:rsidR="005F23C9" w:rsidRPr="005F23C9" w:rsidRDefault="005F23C9">
            <w:pPr>
              <w:pStyle w:val="Tabele"/>
              <w:jc w:val="right"/>
              <w:rPr>
                <w:color w:val="auto"/>
                <w:lang w:eastAsia="pl-PL"/>
              </w:rPr>
            </w:pPr>
            <w:r w:rsidRPr="005F23C9">
              <w:rPr>
                <w:rFonts w:cs="Arial"/>
                <w:color w:val="auto"/>
                <w:szCs w:val="16"/>
              </w:rPr>
              <w:t>1111</w:t>
            </w:r>
          </w:p>
        </w:tc>
      </w:tr>
      <w:tr w:rsidR="007F0D2B" w:rsidRPr="00134171" w14:paraId="60CF284E" w14:textId="77777777" w:rsidTr="0D29C4E5">
        <w:trPr>
          <w:trHeight w:val="227"/>
        </w:trPr>
        <w:tc>
          <w:tcPr>
            <w:tcW w:w="1555" w:type="dxa"/>
            <w:vMerge/>
            <w:hideMark/>
          </w:tcPr>
          <w:p w14:paraId="60E26111" w14:textId="77777777" w:rsidR="005F23C9" w:rsidRPr="005F23C9" w:rsidRDefault="005F23C9">
            <w:pPr>
              <w:pStyle w:val="Tabele"/>
              <w:rPr>
                <w:color w:val="auto"/>
                <w:lang w:eastAsia="pl-PL"/>
              </w:rPr>
            </w:pPr>
          </w:p>
        </w:tc>
        <w:tc>
          <w:tcPr>
            <w:tcW w:w="5315" w:type="dxa"/>
            <w:noWrap/>
            <w:hideMark/>
          </w:tcPr>
          <w:p w14:paraId="67B2B9B7" w14:textId="77777777" w:rsidR="005F23C9" w:rsidRPr="005F23C9" w:rsidRDefault="005F23C9">
            <w:pPr>
              <w:pStyle w:val="Tabele"/>
              <w:rPr>
                <w:color w:val="auto"/>
                <w:lang w:eastAsia="pl-PL"/>
              </w:rPr>
            </w:pPr>
            <w:r w:rsidRPr="005F23C9">
              <w:rPr>
                <w:color w:val="auto"/>
                <w:lang w:eastAsia="pl-PL"/>
              </w:rPr>
              <w:t>Rzeczywiste zużycie energii elektrycznej na cele transportu kolejowego [ktoe]</w:t>
            </w:r>
          </w:p>
        </w:tc>
        <w:tc>
          <w:tcPr>
            <w:tcW w:w="891" w:type="dxa"/>
            <w:shd w:val="clear" w:color="auto" w:fill="C5E0B3" w:themeFill="accent6" w:themeFillTint="66"/>
            <w:noWrap/>
            <w:hideMark/>
          </w:tcPr>
          <w:p w14:paraId="4E8B9AF0" w14:textId="77777777" w:rsidR="005F23C9" w:rsidRPr="005F23C9" w:rsidRDefault="005F23C9">
            <w:pPr>
              <w:pStyle w:val="Tabele"/>
              <w:jc w:val="right"/>
              <w:rPr>
                <w:color w:val="auto"/>
                <w:lang w:eastAsia="pl-PL"/>
              </w:rPr>
            </w:pPr>
            <w:r w:rsidRPr="005F23C9">
              <w:rPr>
                <w:rFonts w:cs="Arial"/>
                <w:color w:val="auto"/>
                <w:szCs w:val="16"/>
              </w:rPr>
              <w:t>305,2</w:t>
            </w:r>
          </w:p>
        </w:tc>
        <w:tc>
          <w:tcPr>
            <w:tcW w:w="891" w:type="dxa"/>
            <w:shd w:val="clear" w:color="auto" w:fill="C5E0B3" w:themeFill="accent6" w:themeFillTint="66"/>
            <w:noWrap/>
            <w:hideMark/>
          </w:tcPr>
          <w:p w14:paraId="5CC3D3E2" w14:textId="77777777" w:rsidR="005F23C9" w:rsidRPr="005F23C9" w:rsidRDefault="005F23C9">
            <w:pPr>
              <w:pStyle w:val="Tabele"/>
              <w:jc w:val="right"/>
              <w:rPr>
                <w:color w:val="auto"/>
                <w:lang w:eastAsia="pl-PL"/>
              </w:rPr>
            </w:pPr>
            <w:r w:rsidRPr="005F23C9">
              <w:rPr>
                <w:rFonts w:cs="Arial"/>
                <w:color w:val="auto"/>
                <w:szCs w:val="16"/>
              </w:rPr>
              <w:t>254,9</w:t>
            </w:r>
          </w:p>
        </w:tc>
        <w:tc>
          <w:tcPr>
            <w:tcW w:w="890" w:type="dxa"/>
            <w:shd w:val="clear" w:color="auto" w:fill="C5E0B3" w:themeFill="accent6" w:themeFillTint="66"/>
            <w:noWrap/>
            <w:hideMark/>
          </w:tcPr>
          <w:p w14:paraId="5FA4781D" w14:textId="77777777" w:rsidR="005F23C9" w:rsidRPr="005F23C9" w:rsidRDefault="005F23C9">
            <w:pPr>
              <w:pStyle w:val="Tabele"/>
              <w:jc w:val="right"/>
              <w:rPr>
                <w:color w:val="auto"/>
                <w:lang w:eastAsia="pl-PL"/>
              </w:rPr>
            </w:pPr>
            <w:r w:rsidRPr="005F23C9">
              <w:rPr>
                <w:rFonts w:cs="Arial"/>
                <w:color w:val="auto"/>
                <w:szCs w:val="16"/>
              </w:rPr>
              <w:t>240,6</w:t>
            </w:r>
          </w:p>
        </w:tc>
        <w:tc>
          <w:tcPr>
            <w:tcW w:w="891" w:type="dxa"/>
            <w:shd w:val="clear" w:color="auto" w:fill="C5E0B3" w:themeFill="accent6" w:themeFillTint="66"/>
            <w:noWrap/>
            <w:hideMark/>
          </w:tcPr>
          <w:p w14:paraId="43A0E9C5" w14:textId="77777777" w:rsidR="005F23C9" w:rsidRPr="005F23C9" w:rsidRDefault="005F23C9">
            <w:pPr>
              <w:pStyle w:val="Tabele"/>
              <w:jc w:val="right"/>
              <w:rPr>
                <w:color w:val="auto"/>
                <w:lang w:eastAsia="pl-PL"/>
              </w:rPr>
            </w:pPr>
            <w:r w:rsidRPr="005F23C9">
              <w:rPr>
                <w:rFonts w:cs="Arial"/>
                <w:color w:val="auto"/>
                <w:szCs w:val="16"/>
              </w:rPr>
              <w:t>249</w:t>
            </w:r>
          </w:p>
        </w:tc>
        <w:tc>
          <w:tcPr>
            <w:tcW w:w="890" w:type="dxa"/>
            <w:noWrap/>
            <w:hideMark/>
          </w:tcPr>
          <w:p w14:paraId="0F35005D" w14:textId="77777777" w:rsidR="005F23C9" w:rsidRPr="005F23C9" w:rsidRDefault="005F23C9">
            <w:pPr>
              <w:pStyle w:val="Tabele"/>
              <w:jc w:val="right"/>
              <w:rPr>
                <w:color w:val="auto"/>
                <w:lang w:eastAsia="pl-PL"/>
              </w:rPr>
            </w:pPr>
            <w:r w:rsidRPr="005F23C9">
              <w:rPr>
                <w:rFonts w:cs="Arial"/>
                <w:color w:val="auto"/>
                <w:szCs w:val="16"/>
              </w:rPr>
              <w:t>321</w:t>
            </w:r>
          </w:p>
        </w:tc>
        <w:tc>
          <w:tcPr>
            <w:tcW w:w="890" w:type="dxa"/>
            <w:noWrap/>
            <w:hideMark/>
          </w:tcPr>
          <w:p w14:paraId="7F5BA26F" w14:textId="77777777" w:rsidR="005F23C9" w:rsidRPr="005F23C9" w:rsidRDefault="005F23C9">
            <w:pPr>
              <w:pStyle w:val="Tabele"/>
              <w:jc w:val="right"/>
              <w:rPr>
                <w:color w:val="auto"/>
                <w:lang w:eastAsia="pl-PL"/>
              </w:rPr>
            </w:pPr>
            <w:r w:rsidRPr="005F23C9">
              <w:rPr>
                <w:rFonts w:cs="Arial"/>
                <w:color w:val="auto"/>
                <w:szCs w:val="16"/>
              </w:rPr>
              <w:t>408</w:t>
            </w:r>
          </w:p>
        </w:tc>
        <w:tc>
          <w:tcPr>
            <w:tcW w:w="891" w:type="dxa"/>
            <w:noWrap/>
            <w:hideMark/>
          </w:tcPr>
          <w:p w14:paraId="7973746E" w14:textId="77777777" w:rsidR="005F23C9" w:rsidRPr="005F23C9" w:rsidRDefault="005F23C9">
            <w:pPr>
              <w:pStyle w:val="Tabele"/>
              <w:jc w:val="right"/>
              <w:rPr>
                <w:color w:val="auto"/>
                <w:lang w:eastAsia="pl-PL"/>
              </w:rPr>
            </w:pPr>
            <w:r w:rsidRPr="005F23C9">
              <w:rPr>
                <w:rFonts w:cs="Arial"/>
                <w:color w:val="auto"/>
                <w:szCs w:val="16"/>
              </w:rPr>
              <w:t>448</w:t>
            </w:r>
          </w:p>
        </w:tc>
        <w:tc>
          <w:tcPr>
            <w:tcW w:w="890" w:type="dxa"/>
            <w:noWrap/>
            <w:hideMark/>
          </w:tcPr>
          <w:p w14:paraId="5D46A6C1" w14:textId="77777777" w:rsidR="005F23C9" w:rsidRPr="005F23C9" w:rsidRDefault="005F23C9">
            <w:pPr>
              <w:pStyle w:val="Tabele"/>
              <w:jc w:val="right"/>
              <w:rPr>
                <w:color w:val="auto"/>
                <w:lang w:eastAsia="pl-PL"/>
              </w:rPr>
            </w:pPr>
            <w:r w:rsidRPr="005F23C9">
              <w:rPr>
                <w:rFonts w:cs="Arial"/>
                <w:color w:val="auto"/>
                <w:szCs w:val="16"/>
              </w:rPr>
              <w:t>478</w:t>
            </w:r>
          </w:p>
        </w:tc>
      </w:tr>
      <w:tr w:rsidR="007F0D2B" w:rsidRPr="00134171" w14:paraId="64AD78DC" w14:textId="77777777" w:rsidTr="0D29C4E5">
        <w:trPr>
          <w:trHeight w:val="227"/>
        </w:trPr>
        <w:tc>
          <w:tcPr>
            <w:tcW w:w="1555" w:type="dxa"/>
            <w:vMerge/>
            <w:hideMark/>
          </w:tcPr>
          <w:p w14:paraId="064A0F7B" w14:textId="77777777" w:rsidR="005F23C9" w:rsidRPr="005F23C9" w:rsidRDefault="005F23C9">
            <w:pPr>
              <w:pStyle w:val="Tabele"/>
              <w:rPr>
                <w:color w:val="auto"/>
                <w:lang w:eastAsia="pl-PL"/>
              </w:rPr>
            </w:pPr>
          </w:p>
        </w:tc>
        <w:tc>
          <w:tcPr>
            <w:tcW w:w="5315" w:type="dxa"/>
            <w:noWrap/>
            <w:hideMark/>
          </w:tcPr>
          <w:p w14:paraId="62409EAC" w14:textId="77777777" w:rsidR="005F23C9" w:rsidRPr="005F23C9" w:rsidRDefault="005F23C9">
            <w:pPr>
              <w:pStyle w:val="Tabele"/>
              <w:rPr>
                <w:color w:val="auto"/>
                <w:lang w:eastAsia="pl-PL"/>
              </w:rPr>
            </w:pPr>
            <w:r w:rsidRPr="005F23C9">
              <w:rPr>
                <w:color w:val="auto"/>
                <w:lang w:eastAsia="pl-PL"/>
              </w:rPr>
              <w:t>Rzeczywiste zużycie energii elektrycznej w transporcie rurociągowym [ktoe]</w:t>
            </w:r>
          </w:p>
        </w:tc>
        <w:tc>
          <w:tcPr>
            <w:tcW w:w="891" w:type="dxa"/>
            <w:shd w:val="clear" w:color="auto" w:fill="C5E0B3" w:themeFill="accent6" w:themeFillTint="66"/>
            <w:noWrap/>
            <w:hideMark/>
          </w:tcPr>
          <w:p w14:paraId="64142724" w14:textId="77777777" w:rsidR="005F23C9" w:rsidRPr="005F23C9" w:rsidRDefault="005F23C9">
            <w:pPr>
              <w:pStyle w:val="Tabele"/>
              <w:jc w:val="right"/>
              <w:rPr>
                <w:color w:val="auto"/>
                <w:lang w:eastAsia="pl-PL"/>
              </w:rPr>
            </w:pPr>
            <w:r w:rsidRPr="005F23C9">
              <w:rPr>
                <w:rFonts w:cs="Arial"/>
                <w:color w:val="auto"/>
                <w:szCs w:val="16"/>
              </w:rPr>
              <w:t>36,0</w:t>
            </w:r>
          </w:p>
        </w:tc>
        <w:tc>
          <w:tcPr>
            <w:tcW w:w="891" w:type="dxa"/>
            <w:shd w:val="clear" w:color="auto" w:fill="C5E0B3" w:themeFill="accent6" w:themeFillTint="66"/>
            <w:noWrap/>
            <w:hideMark/>
          </w:tcPr>
          <w:p w14:paraId="742E772D" w14:textId="77777777" w:rsidR="005F23C9" w:rsidRPr="005F23C9" w:rsidRDefault="005F23C9">
            <w:pPr>
              <w:pStyle w:val="Tabele"/>
              <w:jc w:val="right"/>
              <w:rPr>
                <w:color w:val="auto"/>
                <w:lang w:eastAsia="pl-PL"/>
              </w:rPr>
            </w:pPr>
            <w:r w:rsidRPr="005F23C9">
              <w:rPr>
                <w:rFonts w:cs="Arial"/>
                <w:color w:val="auto"/>
                <w:szCs w:val="16"/>
              </w:rPr>
              <w:t>30,2</w:t>
            </w:r>
          </w:p>
        </w:tc>
        <w:tc>
          <w:tcPr>
            <w:tcW w:w="890" w:type="dxa"/>
            <w:shd w:val="clear" w:color="auto" w:fill="C5E0B3" w:themeFill="accent6" w:themeFillTint="66"/>
            <w:noWrap/>
            <w:hideMark/>
          </w:tcPr>
          <w:p w14:paraId="359EF727" w14:textId="77777777" w:rsidR="005F23C9" w:rsidRPr="005F23C9" w:rsidRDefault="005F23C9">
            <w:pPr>
              <w:pStyle w:val="Tabele"/>
              <w:jc w:val="right"/>
              <w:rPr>
                <w:color w:val="auto"/>
                <w:lang w:eastAsia="pl-PL"/>
              </w:rPr>
            </w:pPr>
            <w:r w:rsidRPr="005F23C9">
              <w:rPr>
                <w:rFonts w:cs="Arial"/>
                <w:color w:val="auto"/>
                <w:szCs w:val="16"/>
              </w:rPr>
              <w:t>24,7</w:t>
            </w:r>
          </w:p>
        </w:tc>
        <w:tc>
          <w:tcPr>
            <w:tcW w:w="891" w:type="dxa"/>
            <w:shd w:val="clear" w:color="auto" w:fill="C5E0B3" w:themeFill="accent6" w:themeFillTint="66"/>
            <w:noWrap/>
            <w:hideMark/>
          </w:tcPr>
          <w:p w14:paraId="2E7C6C1C" w14:textId="77777777" w:rsidR="005F23C9" w:rsidRPr="005F23C9" w:rsidRDefault="005F23C9">
            <w:pPr>
              <w:pStyle w:val="Tabele"/>
              <w:jc w:val="right"/>
              <w:rPr>
                <w:color w:val="auto"/>
                <w:lang w:eastAsia="pl-PL"/>
              </w:rPr>
            </w:pPr>
            <w:r w:rsidRPr="005F23C9">
              <w:rPr>
                <w:rFonts w:cs="Arial"/>
                <w:color w:val="auto"/>
                <w:szCs w:val="16"/>
              </w:rPr>
              <w:t>18</w:t>
            </w:r>
          </w:p>
        </w:tc>
        <w:tc>
          <w:tcPr>
            <w:tcW w:w="890" w:type="dxa"/>
            <w:noWrap/>
            <w:hideMark/>
          </w:tcPr>
          <w:p w14:paraId="764C38F3" w14:textId="77777777" w:rsidR="005F23C9" w:rsidRPr="005F23C9" w:rsidRDefault="005F23C9">
            <w:pPr>
              <w:pStyle w:val="Tabele"/>
              <w:jc w:val="right"/>
              <w:rPr>
                <w:color w:val="auto"/>
                <w:lang w:eastAsia="pl-PL"/>
              </w:rPr>
            </w:pPr>
            <w:r w:rsidRPr="005F23C9">
              <w:rPr>
                <w:rFonts w:cs="Arial"/>
                <w:color w:val="auto"/>
                <w:szCs w:val="16"/>
              </w:rPr>
              <w:t>4</w:t>
            </w:r>
          </w:p>
        </w:tc>
        <w:tc>
          <w:tcPr>
            <w:tcW w:w="890" w:type="dxa"/>
            <w:noWrap/>
            <w:hideMark/>
          </w:tcPr>
          <w:p w14:paraId="6531A6C1" w14:textId="77777777" w:rsidR="005F23C9" w:rsidRPr="005F23C9" w:rsidRDefault="005F23C9">
            <w:pPr>
              <w:pStyle w:val="Tabele"/>
              <w:jc w:val="right"/>
              <w:rPr>
                <w:color w:val="auto"/>
                <w:lang w:eastAsia="pl-PL"/>
              </w:rPr>
            </w:pPr>
            <w:r w:rsidRPr="005F23C9">
              <w:rPr>
                <w:rFonts w:cs="Arial"/>
                <w:color w:val="auto"/>
                <w:szCs w:val="16"/>
              </w:rPr>
              <w:t>4</w:t>
            </w:r>
          </w:p>
        </w:tc>
        <w:tc>
          <w:tcPr>
            <w:tcW w:w="891" w:type="dxa"/>
            <w:noWrap/>
            <w:hideMark/>
          </w:tcPr>
          <w:p w14:paraId="3CD72A48" w14:textId="77777777" w:rsidR="005F23C9" w:rsidRPr="005F23C9" w:rsidRDefault="005F23C9">
            <w:pPr>
              <w:pStyle w:val="Tabele"/>
              <w:jc w:val="right"/>
              <w:rPr>
                <w:color w:val="auto"/>
                <w:lang w:eastAsia="pl-PL"/>
              </w:rPr>
            </w:pPr>
            <w:r w:rsidRPr="005F23C9">
              <w:rPr>
                <w:rFonts w:cs="Arial"/>
                <w:color w:val="auto"/>
                <w:szCs w:val="16"/>
              </w:rPr>
              <w:t>3</w:t>
            </w:r>
          </w:p>
        </w:tc>
        <w:tc>
          <w:tcPr>
            <w:tcW w:w="890" w:type="dxa"/>
            <w:noWrap/>
            <w:hideMark/>
          </w:tcPr>
          <w:p w14:paraId="257DE2C6" w14:textId="77777777" w:rsidR="005F23C9" w:rsidRPr="005F23C9" w:rsidRDefault="005F23C9">
            <w:pPr>
              <w:pStyle w:val="Tabele"/>
              <w:jc w:val="right"/>
              <w:rPr>
                <w:color w:val="auto"/>
                <w:lang w:eastAsia="pl-PL"/>
              </w:rPr>
            </w:pPr>
            <w:r w:rsidRPr="005F23C9">
              <w:rPr>
                <w:rFonts w:cs="Arial"/>
                <w:color w:val="auto"/>
                <w:szCs w:val="16"/>
              </w:rPr>
              <w:t>3</w:t>
            </w:r>
          </w:p>
        </w:tc>
      </w:tr>
    </w:tbl>
    <w:p w14:paraId="32ECF15E" w14:textId="6E028003" w:rsidR="005C4144" w:rsidRDefault="005C4144" w:rsidP="005F23C9">
      <w:pPr>
        <w:pStyle w:val="Legenda"/>
      </w:pPr>
      <w:r w:rsidRPr="00CA23BA">
        <w:t>Źródło: Opracowanie własne ARE S</w:t>
      </w:r>
      <w:r>
        <w:t>.</w:t>
      </w:r>
      <w:r w:rsidRPr="00CA23BA">
        <w:t>A</w:t>
      </w:r>
      <w:r w:rsidR="005F23C9">
        <w:t>.</w:t>
      </w:r>
      <w:r w:rsidR="005F23C9" w:rsidRPr="00CA23BA">
        <w:t>, Euros</w:t>
      </w:r>
      <w:r w:rsidRPr="00CA23BA">
        <w:t>SHARES</w:t>
      </w:r>
    </w:p>
    <w:p w14:paraId="46F461A3" w14:textId="77777777" w:rsidR="005C4144" w:rsidRPr="00CA23BA" w:rsidRDefault="005C4144" w:rsidP="005C4144">
      <w:pPr>
        <w:sectPr w:rsidR="005C4144" w:rsidRPr="00CA23BA" w:rsidSect="005C4144">
          <w:pgSz w:w="16838" w:h="11906" w:orient="landscape" w:code="9"/>
          <w:pgMar w:top="1417" w:right="1417" w:bottom="1417" w:left="1417" w:header="680" w:footer="454" w:gutter="0"/>
          <w:cols w:space="708"/>
          <w:docGrid w:linePitch="360"/>
        </w:sectPr>
      </w:pPr>
    </w:p>
    <w:p w14:paraId="495F6A71" w14:textId="5CE6FAC9" w:rsidR="00C62A43" w:rsidRPr="00C62A43" w:rsidRDefault="00585708" w:rsidP="00913C31">
      <w:pPr>
        <w:pStyle w:val="Nagwek3"/>
        <w:spacing w:before="0"/>
      </w:pPr>
      <w:bookmarkStart w:id="240" w:name="_Toc202966882"/>
      <w:r>
        <w:t>Wykorzystanie</w:t>
      </w:r>
      <w:r w:rsidR="00C62A43" w:rsidRPr="00C62A43">
        <w:t xml:space="preserve"> OZE w budynkach i w przemyśle</w:t>
      </w:r>
      <w:bookmarkEnd w:id="240"/>
    </w:p>
    <w:p w14:paraId="5065284C" w14:textId="25147AF3" w:rsidR="001239D5" w:rsidRDefault="001239D5" w:rsidP="001239D5">
      <w:r w:rsidRPr="00F85B97">
        <w:t>Wyniki prognoz</w:t>
      </w:r>
      <w:r>
        <w:t xml:space="preserve"> w </w:t>
      </w:r>
      <w:r w:rsidRPr="00F85B97">
        <w:t>zakresie wytwarzania energii elektrycznej</w:t>
      </w:r>
      <w:r>
        <w:t xml:space="preserve"> w </w:t>
      </w:r>
      <w:r w:rsidRPr="00F85B97">
        <w:t>budynkach</w:t>
      </w:r>
      <w:r w:rsidR="00C37FD6">
        <w:rPr>
          <w:rStyle w:val="Odwoanieprzypisudolnego"/>
        </w:rPr>
        <w:footnoteReference w:id="10"/>
      </w:r>
      <w:r w:rsidRPr="00F85B97">
        <w:t xml:space="preserve"> są pochodną optymalizacji kosztowej przeprowadzonej</w:t>
      </w:r>
      <w:r>
        <w:t xml:space="preserve"> w </w:t>
      </w:r>
      <w:r w:rsidRPr="00F85B97">
        <w:t xml:space="preserve">modelu MESSAGE, uwzględniającej obecne uregulowania prawne odnoszące się do rozwoju energetyki rozproszonej opartej na OZE </w:t>
      </w:r>
      <w:r>
        <w:t>oraz</w:t>
      </w:r>
      <w:r w:rsidRPr="00F85B97">
        <w:t xml:space="preserve"> przewidywania</w:t>
      </w:r>
      <w:r>
        <w:t xml:space="preserve"> w </w:t>
      </w:r>
      <w:r w:rsidRPr="00F85B97">
        <w:t>zakresie potencjału spadku kosztów technologii.</w:t>
      </w:r>
      <w:r>
        <w:t xml:space="preserve"> W </w:t>
      </w:r>
      <w:r w:rsidRPr="00F85B97">
        <w:t>modelu tym, źródła rozproszone konkurują</w:t>
      </w:r>
      <w:r>
        <w:t xml:space="preserve"> cenowo z energią elektryczną z sieci elektroenergetycznej</w:t>
      </w:r>
      <w:r w:rsidRPr="00F85B97">
        <w:t xml:space="preserve">. </w:t>
      </w:r>
    </w:p>
    <w:p w14:paraId="53C7C380" w14:textId="77777777" w:rsidR="001239D5" w:rsidRDefault="001239D5" w:rsidP="001239D5">
      <w:r w:rsidRPr="00F85B97">
        <w:t>Zaprezentowane poniżej wyniki, dotyczące wielkości produkcji</w:t>
      </w:r>
      <w:r>
        <w:t xml:space="preserve"> z </w:t>
      </w:r>
      <w:r w:rsidRPr="00F85B97">
        <w:t>małych instalacji</w:t>
      </w:r>
      <w:r>
        <w:t xml:space="preserve"> i </w:t>
      </w:r>
      <w:r w:rsidRPr="00F85B97">
        <w:t>mikroinstalacji opartych na OZE, zostały wygenerowane przy założeniu stopniowego spadku kosztów technologii, rosnących cen detalicznych energii elektrycznej (głównie</w:t>
      </w:r>
      <w:r>
        <w:t xml:space="preserve"> w </w:t>
      </w:r>
      <w:r w:rsidRPr="00F85B97">
        <w:t xml:space="preserve">wyniku wzrostu kosztów zakupu uprawnień do emisji </w:t>
      </w:r>
      <w:r>
        <w:t>GHG</w:t>
      </w:r>
      <w:r w:rsidRPr="00F85B97">
        <w:t xml:space="preserve"> </w:t>
      </w:r>
      <w:r>
        <w:t>wpływających na poziom ceny hurtowej</w:t>
      </w:r>
      <w:r w:rsidRPr="00F85B97">
        <w:t xml:space="preserve">), jak również sposobów wsparcia </w:t>
      </w:r>
      <w:r>
        <w:t>umożliwiających</w:t>
      </w:r>
      <w:r w:rsidRPr="00F85B97">
        <w:t xml:space="preserve"> częściow</w:t>
      </w:r>
      <w:r>
        <w:t>e</w:t>
      </w:r>
      <w:r w:rsidRPr="00F85B97">
        <w:t xml:space="preserve"> pokryci</w:t>
      </w:r>
      <w:r>
        <w:t>e</w:t>
      </w:r>
      <w:r w:rsidRPr="00F85B97">
        <w:t xml:space="preserve"> kosztów inwestycyjnych, możliwości korzystania</w:t>
      </w:r>
      <w:r>
        <w:t xml:space="preserve"> z </w:t>
      </w:r>
      <w:r w:rsidRPr="00F85B97">
        <w:t xml:space="preserve">pożyczek udzielanych na preferencyjnych warunkach oraz </w:t>
      </w:r>
      <w:r>
        <w:t>wartościowego rozliczania nadwyżek energii wyprodukowanych</w:t>
      </w:r>
      <w:r w:rsidRPr="000A216F">
        <w:t xml:space="preserve"> przez prosumenta, </w:t>
      </w:r>
      <w:r>
        <w:t>zgodnie z zapisami</w:t>
      </w:r>
      <w:r w:rsidRPr="000A216F">
        <w:t xml:space="preserve"> </w:t>
      </w:r>
      <w:r>
        <w:t>ustawy z dnia 29 października 2021 r. o </w:t>
      </w:r>
      <w:r w:rsidRPr="00071676">
        <w:rPr>
          <w:i/>
          <w:iCs/>
        </w:rPr>
        <w:t>zmianie</w:t>
      </w:r>
      <w:r w:rsidRPr="00071676">
        <w:rPr>
          <w:i/>
        </w:rPr>
        <w:t xml:space="preserve"> ustawy</w:t>
      </w:r>
      <w:r>
        <w:rPr>
          <w:i/>
        </w:rPr>
        <w:t xml:space="preserve"> o </w:t>
      </w:r>
      <w:r w:rsidRPr="00071676">
        <w:rPr>
          <w:i/>
        </w:rPr>
        <w:t xml:space="preserve">odnawialnych źródłach energii </w:t>
      </w:r>
      <w:r w:rsidRPr="00071676">
        <w:rPr>
          <w:i/>
          <w:iCs/>
        </w:rPr>
        <w:t>oraz niektórych innych ustaw</w:t>
      </w:r>
      <w:r>
        <w:t xml:space="preserve"> (Dz. U. poz. 2376, z późn. zm.).</w:t>
      </w:r>
    </w:p>
    <w:p w14:paraId="31A3E1D0" w14:textId="77777777" w:rsidR="001239D5" w:rsidRPr="00F85B97" w:rsidRDefault="001239D5" w:rsidP="001239D5">
      <w:r>
        <w:t>N</w:t>
      </w:r>
      <w:r w:rsidRPr="00F85B97">
        <w:t>ajszybciej rozwijającą się technologią</w:t>
      </w:r>
      <w:r>
        <w:t xml:space="preserve"> w </w:t>
      </w:r>
      <w:r w:rsidRPr="00F85B97">
        <w:t>budynkach będzie fotowoltaika (charakteryzująca się najwię</w:t>
      </w:r>
      <w:r>
        <w:t>kszą dynamiką redukcji kosztów i stanowiąca wygodne rozwiązanie techniczne dla gospodarstw domowych, wspólnot mieszkaniowych oraz budynków usługowych).</w:t>
      </w:r>
    </w:p>
    <w:p w14:paraId="10A61261" w14:textId="46D16F04" w:rsidR="005C4144" w:rsidRPr="00F85B97" w:rsidRDefault="005C4144" w:rsidP="005C4144">
      <w:r>
        <w:t>W tabelach</w:t>
      </w:r>
      <w:r w:rsidRPr="00F85B97">
        <w:t xml:space="preserve"> </w:t>
      </w:r>
      <w:r>
        <w:t>(</w:t>
      </w:r>
      <w:r w:rsidR="00D0265A">
        <w:fldChar w:fldCharType="begin"/>
      </w:r>
      <w:r w:rsidR="00D0265A">
        <w:instrText xml:space="preserve"> REF _Ref195871171 \h </w:instrText>
      </w:r>
      <w:r w:rsidR="00D0265A">
        <w:fldChar w:fldCharType="separate"/>
      </w:r>
      <w:r w:rsidR="00F27D6F">
        <w:t xml:space="preserve">Tabela </w:t>
      </w:r>
      <w:r w:rsidR="00F27D6F">
        <w:rPr>
          <w:noProof/>
        </w:rPr>
        <w:t>1</w:t>
      </w:r>
      <w:r w:rsidR="00F27D6F">
        <w:t>.</w:t>
      </w:r>
      <w:r w:rsidR="00F27D6F">
        <w:rPr>
          <w:noProof/>
        </w:rPr>
        <w:t>27</w:t>
      </w:r>
      <w:r w:rsidR="00D0265A">
        <w:fldChar w:fldCharType="end"/>
      </w:r>
      <w:r>
        <w:t xml:space="preserve">; </w:t>
      </w:r>
      <w:r w:rsidR="003739C7">
        <w:fldChar w:fldCharType="begin"/>
      </w:r>
      <w:r w:rsidR="003739C7">
        <w:instrText xml:space="preserve"> REF _Ref195871191 \h </w:instrText>
      </w:r>
      <w:r w:rsidR="003739C7">
        <w:fldChar w:fldCharType="separate"/>
      </w:r>
      <w:r w:rsidR="00F27D6F">
        <w:t xml:space="preserve">Tabela </w:t>
      </w:r>
      <w:r w:rsidR="00F27D6F">
        <w:rPr>
          <w:noProof/>
        </w:rPr>
        <w:t>1</w:t>
      </w:r>
      <w:r w:rsidR="00F27D6F">
        <w:t>.</w:t>
      </w:r>
      <w:r w:rsidR="00F27D6F">
        <w:rPr>
          <w:noProof/>
        </w:rPr>
        <w:t>28</w:t>
      </w:r>
      <w:r w:rsidR="003739C7">
        <w:fldChar w:fldCharType="end"/>
      </w:r>
      <w:r>
        <w:t>)</w:t>
      </w:r>
      <w:r w:rsidRPr="00F85B97">
        <w:t xml:space="preserve"> </w:t>
      </w:r>
      <w:r w:rsidR="00357419" w:rsidRPr="00F85B97">
        <w:t>zaprezentowano projekcje wytwarzania energii elektrycznej</w:t>
      </w:r>
      <w:r w:rsidR="00357419">
        <w:t xml:space="preserve"> i </w:t>
      </w:r>
      <w:r w:rsidR="00357419" w:rsidRPr="00F85B97">
        <w:t>cieplnej</w:t>
      </w:r>
      <w:r w:rsidR="00357419">
        <w:t xml:space="preserve"> z </w:t>
      </w:r>
      <w:r w:rsidR="00357419" w:rsidRPr="00F85B97">
        <w:t>odnawialnych źródeł energii</w:t>
      </w:r>
      <w:r w:rsidR="00357419">
        <w:t xml:space="preserve"> w </w:t>
      </w:r>
      <w:r w:rsidR="00357419" w:rsidRPr="00F85B97">
        <w:t>małych instalacjach</w:t>
      </w:r>
      <w:r w:rsidR="00357419">
        <w:t xml:space="preserve"> i </w:t>
      </w:r>
      <w:r w:rsidR="00357419" w:rsidRPr="00F85B97">
        <w:t>mikroinstalacjach</w:t>
      </w:r>
      <w:r w:rsidR="00357419">
        <w:t xml:space="preserve"> w </w:t>
      </w:r>
      <w:r w:rsidR="00357419" w:rsidRPr="00F85B97">
        <w:t>budynkach,</w:t>
      </w:r>
      <w:r w:rsidR="00357419">
        <w:t xml:space="preserve"> z </w:t>
      </w:r>
      <w:r w:rsidR="00357419" w:rsidRPr="00F85B97">
        <w:t>uwzględnieniem danych dotyczących energii wytworzonej, zużytej na własne potrzeby</w:t>
      </w:r>
      <w:r w:rsidR="00357419">
        <w:t xml:space="preserve"> i </w:t>
      </w:r>
      <w:r w:rsidR="00357419" w:rsidRPr="00F85B97">
        <w:t>wprowadzonej do sieci. Udział energii wprowadzanej do sieci</w:t>
      </w:r>
      <w:r w:rsidR="00357419">
        <w:t xml:space="preserve"> w </w:t>
      </w:r>
      <w:r w:rsidR="00357419" w:rsidRPr="00F85B97">
        <w:t>poszczególnych okresach został określony na podstawie analizy danych historycznych podawanych przez URE</w:t>
      </w:r>
      <w:r w:rsidR="00357419" w:rsidRPr="00F85B97">
        <w:rPr>
          <w:vertAlign w:val="superscript"/>
        </w:rPr>
        <w:footnoteReference w:id="11"/>
      </w:r>
      <w:r w:rsidR="00357419" w:rsidRPr="00F85B97">
        <w:t>. Projekcje produkcji ciepła</w:t>
      </w:r>
      <w:r w:rsidR="00357419">
        <w:t xml:space="preserve"> z </w:t>
      </w:r>
      <w:r w:rsidR="00357419" w:rsidRPr="00F85B97">
        <w:t>mikroinstalacji uzyskano za pomocą symulacyjnego modelu STEAM-PL, gdzie pod uwagę brane są takie elementy jak: poziom zapotrzebowania na energię użyteczną, występujący potencjał, koszty technologii, poziom dopłat, preferencje użytkowników, dotychczasowe tempo rozwoju, przewidywania instyt</w:t>
      </w:r>
      <w:r w:rsidR="00357419">
        <w:t>ucji branżowych i </w:t>
      </w:r>
      <w:r w:rsidR="00357419" w:rsidRPr="00F85B97">
        <w:t>uznanych ośrodków badawczych</w:t>
      </w:r>
      <w:r w:rsidR="00357419">
        <w:t xml:space="preserve"> w </w:t>
      </w:r>
      <w:r w:rsidR="00357419" w:rsidRPr="00F85B97">
        <w:t>kraju</w:t>
      </w:r>
      <w:r w:rsidR="00357419">
        <w:t xml:space="preserve"> i </w:t>
      </w:r>
      <w:r w:rsidR="00357419" w:rsidRPr="00F85B97">
        <w:t>za granicą.</w:t>
      </w:r>
    </w:p>
    <w:p w14:paraId="5A8A5198" w14:textId="597FF8D7" w:rsidR="005C4144" w:rsidRPr="001E42B1" w:rsidRDefault="005C4144" w:rsidP="005C4144">
      <w:pPr>
        <w:pStyle w:val="Legenda"/>
      </w:pPr>
      <w:bookmarkStart w:id="241" w:name="_Ref156552143"/>
      <w:bookmarkStart w:id="242" w:name="_Ref195871171"/>
      <w:bookmarkStart w:id="243" w:name="_Toc171587185"/>
      <w:bookmarkStart w:id="244" w:name="_Toc174710969"/>
      <w:bookmarkStart w:id="245" w:name="_Toc202966972"/>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27</w:t>
      </w:r>
      <w:r w:rsidR="00653D9A">
        <w:rPr>
          <w:noProof/>
        </w:rPr>
        <w:fldChar w:fldCharType="end"/>
      </w:r>
      <w:bookmarkEnd w:id="241"/>
      <w:bookmarkEnd w:id="242"/>
      <w:r>
        <w:t xml:space="preserve">. </w:t>
      </w:r>
      <w:r w:rsidRPr="001E42B1">
        <w:t>Wytwarzanie energii elektrycznej</w:t>
      </w:r>
      <w:r>
        <w:t xml:space="preserve"> z </w:t>
      </w:r>
      <w:r w:rsidRPr="001E42B1">
        <w:t>odnawialnych źródeł energii</w:t>
      </w:r>
      <w:r>
        <w:t xml:space="preserve"> w </w:t>
      </w:r>
      <w:r w:rsidRPr="001E42B1">
        <w:t>budynkach [GWh]</w:t>
      </w:r>
      <w:bookmarkEnd w:id="243"/>
      <w:bookmarkEnd w:id="244"/>
      <w:bookmarkEnd w:id="245"/>
    </w:p>
    <w:tbl>
      <w:tblPr>
        <w:tblStyle w:val="KPEiK"/>
        <w:tblW w:w="4894" w:type="pct"/>
        <w:tblLayout w:type="fixed"/>
        <w:tblLook w:val="04A0" w:firstRow="1" w:lastRow="0" w:firstColumn="1" w:lastColumn="0" w:noHBand="0" w:noVBand="1"/>
      </w:tblPr>
      <w:tblGrid>
        <w:gridCol w:w="1773"/>
        <w:gridCol w:w="1774"/>
        <w:gridCol w:w="1775"/>
        <w:gridCol w:w="1774"/>
        <w:gridCol w:w="1774"/>
      </w:tblGrid>
      <w:tr w:rsidR="00264E23" w:rsidRPr="004526FC" w14:paraId="4A1D5CEF" w14:textId="77777777" w:rsidTr="00264E23">
        <w:trPr>
          <w:cnfStyle w:val="100000000000" w:firstRow="1" w:lastRow="0" w:firstColumn="0" w:lastColumn="0" w:oddVBand="0" w:evenVBand="0" w:oddHBand="0" w:evenHBand="0" w:firstRowFirstColumn="0" w:firstRowLastColumn="0" w:lastRowFirstColumn="0" w:lastRowLastColumn="0"/>
          <w:trHeight w:val="227"/>
          <w:tblHeader/>
        </w:trPr>
        <w:tc>
          <w:tcPr>
            <w:tcW w:w="1773" w:type="dxa"/>
          </w:tcPr>
          <w:p w14:paraId="5DBACC68" w14:textId="77777777" w:rsidR="00264E23" w:rsidRPr="004526FC" w:rsidRDefault="00264E23">
            <w:pPr>
              <w:pStyle w:val="Tabele"/>
              <w:jc w:val="center"/>
            </w:pPr>
          </w:p>
        </w:tc>
        <w:tc>
          <w:tcPr>
            <w:tcW w:w="1774" w:type="dxa"/>
            <w:noWrap/>
            <w:hideMark/>
          </w:tcPr>
          <w:p w14:paraId="62408C85" w14:textId="77777777" w:rsidR="00264E23" w:rsidRPr="004526FC" w:rsidRDefault="00264E23">
            <w:pPr>
              <w:pStyle w:val="Tabele"/>
              <w:jc w:val="center"/>
            </w:pPr>
            <w:r w:rsidRPr="004526FC">
              <w:t>rok</w:t>
            </w:r>
          </w:p>
        </w:tc>
        <w:tc>
          <w:tcPr>
            <w:tcW w:w="1775" w:type="dxa"/>
            <w:noWrap/>
            <w:hideMark/>
          </w:tcPr>
          <w:p w14:paraId="615BA2E1" w14:textId="77777777" w:rsidR="00264E23" w:rsidRPr="004526FC" w:rsidRDefault="00264E23">
            <w:pPr>
              <w:pStyle w:val="Tabele"/>
              <w:jc w:val="center"/>
            </w:pPr>
            <w:r w:rsidRPr="004526FC">
              <w:t>Biogazownie</w:t>
            </w:r>
          </w:p>
        </w:tc>
        <w:tc>
          <w:tcPr>
            <w:tcW w:w="1774" w:type="dxa"/>
            <w:noWrap/>
            <w:hideMark/>
          </w:tcPr>
          <w:p w14:paraId="13848668" w14:textId="77777777" w:rsidR="00264E23" w:rsidRPr="004526FC" w:rsidRDefault="00264E23">
            <w:pPr>
              <w:pStyle w:val="Tabele"/>
              <w:jc w:val="center"/>
            </w:pPr>
            <w:r w:rsidRPr="004526FC">
              <w:t>Fotowoltaika</w:t>
            </w:r>
          </w:p>
        </w:tc>
        <w:tc>
          <w:tcPr>
            <w:tcW w:w="1774" w:type="dxa"/>
            <w:noWrap/>
            <w:hideMark/>
          </w:tcPr>
          <w:p w14:paraId="5E24F023" w14:textId="77777777" w:rsidR="00264E23" w:rsidRPr="004526FC" w:rsidRDefault="00264E23">
            <w:pPr>
              <w:pStyle w:val="Tabele"/>
              <w:jc w:val="center"/>
            </w:pPr>
            <w:r w:rsidRPr="004526FC">
              <w:t>Elektrownie wiatrowe</w:t>
            </w:r>
          </w:p>
        </w:tc>
      </w:tr>
      <w:tr w:rsidR="00264E23" w:rsidRPr="00C94F26" w14:paraId="03AF6780" w14:textId="77777777">
        <w:trPr>
          <w:trHeight w:val="227"/>
        </w:trPr>
        <w:tc>
          <w:tcPr>
            <w:tcW w:w="0" w:type="dxa"/>
            <w:vMerge w:val="restart"/>
          </w:tcPr>
          <w:p w14:paraId="777B0F00" w14:textId="77777777" w:rsidR="00264E23" w:rsidRPr="0090158B" w:rsidRDefault="00264E23">
            <w:pPr>
              <w:pStyle w:val="Tabele"/>
              <w:rPr>
                <w:b/>
                <w:bCs/>
                <w:color w:val="auto"/>
              </w:rPr>
            </w:pPr>
            <w:r w:rsidRPr="0090158B">
              <w:rPr>
                <w:b/>
                <w:bCs/>
                <w:color w:val="auto"/>
              </w:rPr>
              <w:t>Produkcja brutto [GWh]</w:t>
            </w:r>
          </w:p>
        </w:tc>
        <w:tc>
          <w:tcPr>
            <w:tcW w:w="0" w:type="dxa"/>
            <w:shd w:val="clear" w:color="auto" w:fill="C5E0B3"/>
            <w:noWrap/>
            <w:hideMark/>
          </w:tcPr>
          <w:p w14:paraId="46FB7167" w14:textId="77777777" w:rsidR="00264E23" w:rsidRPr="0090158B" w:rsidRDefault="00264E23">
            <w:pPr>
              <w:pStyle w:val="Tabele"/>
              <w:rPr>
                <w:color w:val="auto"/>
              </w:rPr>
            </w:pPr>
            <w:r w:rsidRPr="0090158B">
              <w:rPr>
                <w:color w:val="auto"/>
              </w:rPr>
              <w:t>2015</w:t>
            </w:r>
          </w:p>
        </w:tc>
        <w:tc>
          <w:tcPr>
            <w:tcW w:w="0" w:type="dxa"/>
            <w:shd w:val="clear" w:color="auto" w:fill="C5E0B3"/>
            <w:noWrap/>
            <w:hideMark/>
          </w:tcPr>
          <w:p w14:paraId="373A66BE" w14:textId="77777777" w:rsidR="00264E23" w:rsidRPr="0090158B" w:rsidRDefault="00264E23">
            <w:pPr>
              <w:pStyle w:val="Tabele"/>
              <w:jc w:val="right"/>
              <w:rPr>
                <w:color w:val="auto"/>
              </w:rPr>
            </w:pPr>
            <w:r w:rsidRPr="0090158B">
              <w:rPr>
                <w:color w:val="auto"/>
              </w:rPr>
              <w:t>0</w:t>
            </w:r>
          </w:p>
        </w:tc>
        <w:tc>
          <w:tcPr>
            <w:tcW w:w="0" w:type="dxa"/>
            <w:shd w:val="clear" w:color="auto" w:fill="C5E0B3"/>
            <w:noWrap/>
            <w:hideMark/>
          </w:tcPr>
          <w:p w14:paraId="56845732" w14:textId="77777777" w:rsidR="00264E23" w:rsidRPr="0090158B" w:rsidRDefault="00264E23">
            <w:pPr>
              <w:pStyle w:val="Tabele"/>
              <w:jc w:val="right"/>
              <w:rPr>
                <w:color w:val="auto"/>
              </w:rPr>
            </w:pPr>
            <w:r w:rsidRPr="0090158B">
              <w:rPr>
                <w:color w:val="auto"/>
              </w:rPr>
              <w:t>9</w:t>
            </w:r>
          </w:p>
        </w:tc>
        <w:tc>
          <w:tcPr>
            <w:tcW w:w="0" w:type="dxa"/>
            <w:shd w:val="clear" w:color="auto" w:fill="C5E0B3"/>
            <w:noWrap/>
            <w:hideMark/>
          </w:tcPr>
          <w:p w14:paraId="2E1200A4" w14:textId="77777777" w:rsidR="00264E23" w:rsidRPr="0090158B" w:rsidRDefault="00264E23">
            <w:pPr>
              <w:pStyle w:val="Tabele"/>
              <w:jc w:val="right"/>
              <w:rPr>
                <w:color w:val="auto"/>
              </w:rPr>
            </w:pPr>
            <w:r w:rsidRPr="0090158B">
              <w:rPr>
                <w:color w:val="auto"/>
              </w:rPr>
              <w:t>0</w:t>
            </w:r>
          </w:p>
        </w:tc>
      </w:tr>
      <w:tr w:rsidR="00264E23" w:rsidRPr="00C94F26" w14:paraId="422A1F1E" w14:textId="77777777">
        <w:trPr>
          <w:trHeight w:val="227"/>
        </w:trPr>
        <w:tc>
          <w:tcPr>
            <w:tcW w:w="0" w:type="dxa"/>
            <w:vMerge/>
          </w:tcPr>
          <w:p w14:paraId="7A66E68B" w14:textId="77777777" w:rsidR="00264E23" w:rsidRPr="0090158B" w:rsidRDefault="00264E23">
            <w:pPr>
              <w:pStyle w:val="Tabele"/>
              <w:rPr>
                <w:b/>
                <w:bCs/>
                <w:color w:val="auto"/>
              </w:rPr>
            </w:pPr>
          </w:p>
        </w:tc>
        <w:tc>
          <w:tcPr>
            <w:tcW w:w="0" w:type="dxa"/>
            <w:shd w:val="clear" w:color="auto" w:fill="C5E0B3"/>
            <w:noWrap/>
            <w:hideMark/>
          </w:tcPr>
          <w:p w14:paraId="58A7585B" w14:textId="77777777" w:rsidR="00264E23" w:rsidRPr="0090158B" w:rsidRDefault="00264E23">
            <w:pPr>
              <w:pStyle w:val="Tabele"/>
              <w:rPr>
                <w:color w:val="auto"/>
              </w:rPr>
            </w:pPr>
            <w:r w:rsidRPr="0090158B">
              <w:rPr>
                <w:color w:val="auto"/>
              </w:rPr>
              <w:t>2020</w:t>
            </w:r>
          </w:p>
        </w:tc>
        <w:tc>
          <w:tcPr>
            <w:tcW w:w="0" w:type="dxa"/>
            <w:shd w:val="clear" w:color="auto" w:fill="C5E0B3"/>
            <w:noWrap/>
            <w:hideMark/>
          </w:tcPr>
          <w:p w14:paraId="26F5909F" w14:textId="77777777" w:rsidR="00264E23" w:rsidRPr="0090158B" w:rsidRDefault="00264E23">
            <w:pPr>
              <w:pStyle w:val="Tabele"/>
              <w:jc w:val="right"/>
              <w:rPr>
                <w:color w:val="auto"/>
              </w:rPr>
            </w:pPr>
            <w:r w:rsidRPr="0090158B">
              <w:rPr>
                <w:color w:val="auto"/>
              </w:rPr>
              <w:t>1</w:t>
            </w:r>
          </w:p>
        </w:tc>
        <w:tc>
          <w:tcPr>
            <w:tcW w:w="0" w:type="dxa"/>
            <w:shd w:val="clear" w:color="auto" w:fill="C5E0B3"/>
            <w:noWrap/>
            <w:hideMark/>
          </w:tcPr>
          <w:p w14:paraId="35B9FD60" w14:textId="77777777" w:rsidR="00264E23" w:rsidRPr="0090158B" w:rsidRDefault="00264E23">
            <w:pPr>
              <w:pStyle w:val="Tabele"/>
              <w:jc w:val="right"/>
              <w:rPr>
                <w:color w:val="auto"/>
              </w:rPr>
            </w:pPr>
            <w:r w:rsidRPr="0090158B">
              <w:rPr>
                <w:color w:val="auto"/>
              </w:rPr>
              <w:t>1 527</w:t>
            </w:r>
          </w:p>
        </w:tc>
        <w:tc>
          <w:tcPr>
            <w:tcW w:w="0" w:type="dxa"/>
            <w:shd w:val="clear" w:color="auto" w:fill="C5E0B3"/>
            <w:noWrap/>
            <w:hideMark/>
          </w:tcPr>
          <w:p w14:paraId="3B3A2F01" w14:textId="77777777" w:rsidR="00264E23" w:rsidRPr="0090158B" w:rsidRDefault="00264E23">
            <w:pPr>
              <w:pStyle w:val="Tabele"/>
              <w:jc w:val="right"/>
              <w:rPr>
                <w:color w:val="auto"/>
              </w:rPr>
            </w:pPr>
            <w:r w:rsidRPr="0090158B">
              <w:rPr>
                <w:color w:val="auto"/>
              </w:rPr>
              <w:t>0</w:t>
            </w:r>
          </w:p>
        </w:tc>
      </w:tr>
      <w:tr w:rsidR="00264E23" w:rsidRPr="00C94F26" w14:paraId="4E6E690D" w14:textId="77777777" w:rsidTr="00CD24E8">
        <w:trPr>
          <w:trHeight w:val="227"/>
        </w:trPr>
        <w:tc>
          <w:tcPr>
            <w:tcW w:w="1773" w:type="dxa"/>
            <w:vMerge/>
          </w:tcPr>
          <w:p w14:paraId="26904D4C" w14:textId="77777777" w:rsidR="00264E23" w:rsidRPr="0090158B" w:rsidRDefault="00264E23">
            <w:pPr>
              <w:pStyle w:val="Tabele"/>
              <w:rPr>
                <w:b/>
                <w:bCs/>
                <w:color w:val="auto"/>
              </w:rPr>
            </w:pPr>
          </w:p>
        </w:tc>
        <w:tc>
          <w:tcPr>
            <w:tcW w:w="1774" w:type="dxa"/>
            <w:noWrap/>
            <w:hideMark/>
          </w:tcPr>
          <w:p w14:paraId="08F23554" w14:textId="77777777" w:rsidR="00264E23" w:rsidRPr="0090158B" w:rsidRDefault="00264E23">
            <w:pPr>
              <w:pStyle w:val="Tabele"/>
              <w:rPr>
                <w:color w:val="auto"/>
              </w:rPr>
            </w:pPr>
            <w:r w:rsidRPr="0090158B">
              <w:rPr>
                <w:color w:val="auto"/>
              </w:rPr>
              <w:t>2025</w:t>
            </w:r>
          </w:p>
        </w:tc>
        <w:tc>
          <w:tcPr>
            <w:tcW w:w="1775" w:type="dxa"/>
            <w:noWrap/>
            <w:hideMark/>
          </w:tcPr>
          <w:p w14:paraId="4EF48D63" w14:textId="77777777" w:rsidR="00264E23" w:rsidRPr="0090158B" w:rsidRDefault="00264E23">
            <w:pPr>
              <w:pStyle w:val="Tabele"/>
              <w:jc w:val="right"/>
              <w:rPr>
                <w:color w:val="auto"/>
              </w:rPr>
            </w:pPr>
            <w:r w:rsidRPr="0090158B">
              <w:rPr>
                <w:rFonts w:cs="Arial"/>
                <w:color w:val="auto"/>
                <w:szCs w:val="16"/>
              </w:rPr>
              <w:t>8</w:t>
            </w:r>
          </w:p>
        </w:tc>
        <w:tc>
          <w:tcPr>
            <w:tcW w:w="1774" w:type="dxa"/>
            <w:noWrap/>
            <w:hideMark/>
          </w:tcPr>
          <w:p w14:paraId="16E0FFCF" w14:textId="77777777" w:rsidR="00264E23" w:rsidRPr="0090158B" w:rsidRDefault="00264E23">
            <w:pPr>
              <w:pStyle w:val="Tabele"/>
              <w:jc w:val="right"/>
              <w:rPr>
                <w:color w:val="auto"/>
              </w:rPr>
            </w:pPr>
            <w:r w:rsidRPr="0090158B">
              <w:rPr>
                <w:rFonts w:cs="Arial"/>
                <w:color w:val="auto"/>
                <w:szCs w:val="16"/>
              </w:rPr>
              <w:t>12 899</w:t>
            </w:r>
          </w:p>
        </w:tc>
        <w:tc>
          <w:tcPr>
            <w:tcW w:w="1774" w:type="dxa"/>
            <w:noWrap/>
            <w:hideMark/>
          </w:tcPr>
          <w:p w14:paraId="50C270CE" w14:textId="77777777" w:rsidR="00264E23" w:rsidRPr="0090158B" w:rsidRDefault="00264E23">
            <w:pPr>
              <w:pStyle w:val="Tabele"/>
              <w:jc w:val="right"/>
              <w:rPr>
                <w:color w:val="auto"/>
              </w:rPr>
            </w:pPr>
            <w:r w:rsidRPr="0090158B">
              <w:rPr>
                <w:rFonts w:cs="Arial"/>
                <w:color w:val="auto"/>
                <w:szCs w:val="16"/>
              </w:rPr>
              <w:t>0</w:t>
            </w:r>
          </w:p>
        </w:tc>
      </w:tr>
      <w:tr w:rsidR="00264E23" w:rsidRPr="00C94F26" w14:paraId="42212E88" w14:textId="77777777" w:rsidTr="00CD24E8">
        <w:trPr>
          <w:trHeight w:val="227"/>
        </w:trPr>
        <w:tc>
          <w:tcPr>
            <w:tcW w:w="1773" w:type="dxa"/>
            <w:vMerge/>
          </w:tcPr>
          <w:p w14:paraId="58F3357D" w14:textId="77777777" w:rsidR="00264E23" w:rsidRPr="0090158B" w:rsidRDefault="00264E23">
            <w:pPr>
              <w:pStyle w:val="Tabele"/>
              <w:rPr>
                <w:b/>
                <w:bCs/>
                <w:color w:val="auto"/>
              </w:rPr>
            </w:pPr>
          </w:p>
        </w:tc>
        <w:tc>
          <w:tcPr>
            <w:tcW w:w="1774" w:type="dxa"/>
            <w:noWrap/>
            <w:hideMark/>
          </w:tcPr>
          <w:p w14:paraId="0557E4CA" w14:textId="77777777" w:rsidR="00264E23" w:rsidRPr="0090158B" w:rsidRDefault="00264E23">
            <w:pPr>
              <w:pStyle w:val="Tabele"/>
              <w:rPr>
                <w:color w:val="auto"/>
              </w:rPr>
            </w:pPr>
            <w:r w:rsidRPr="0090158B">
              <w:rPr>
                <w:color w:val="auto"/>
              </w:rPr>
              <w:t>2030</w:t>
            </w:r>
          </w:p>
        </w:tc>
        <w:tc>
          <w:tcPr>
            <w:tcW w:w="1775" w:type="dxa"/>
            <w:noWrap/>
            <w:hideMark/>
          </w:tcPr>
          <w:p w14:paraId="17F0CDD6" w14:textId="77777777" w:rsidR="00264E23" w:rsidRPr="0090158B" w:rsidRDefault="00264E23">
            <w:pPr>
              <w:pStyle w:val="Tabele"/>
              <w:jc w:val="right"/>
              <w:rPr>
                <w:color w:val="auto"/>
              </w:rPr>
            </w:pPr>
            <w:r w:rsidRPr="0090158B">
              <w:rPr>
                <w:rFonts w:cs="Arial"/>
                <w:color w:val="auto"/>
                <w:szCs w:val="16"/>
              </w:rPr>
              <w:t>13</w:t>
            </w:r>
          </w:p>
        </w:tc>
        <w:tc>
          <w:tcPr>
            <w:tcW w:w="1774" w:type="dxa"/>
            <w:noWrap/>
            <w:hideMark/>
          </w:tcPr>
          <w:p w14:paraId="0C1543EA" w14:textId="77777777" w:rsidR="00264E23" w:rsidRPr="0090158B" w:rsidRDefault="00264E23">
            <w:pPr>
              <w:pStyle w:val="Tabele"/>
              <w:jc w:val="right"/>
              <w:rPr>
                <w:color w:val="auto"/>
              </w:rPr>
            </w:pPr>
            <w:r w:rsidRPr="0090158B">
              <w:rPr>
                <w:rFonts w:cs="Arial"/>
                <w:color w:val="auto"/>
                <w:szCs w:val="16"/>
              </w:rPr>
              <w:t>17 099</w:t>
            </w:r>
          </w:p>
        </w:tc>
        <w:tc>
          <w:tcPr>
            <w:tcW w:w="1774" w:type="dxa"/>
            <w:noWrap/>
            <w:hideMark/>
          </w:tcPr>
          <w:p w14:paraId="26DB3230" w14:textId="77777777" w:rsidR="00264E23" w:rsidRPr="0090158B" w:rsidRDefault="00264E23">
            <w:pPr>
              <w:pStyle w:val="Tabele"/>
              <w:jc w:val="right"/>
              <w:rPr>
                <w:color w:val="auto"/>
              </w:rPr>
            </w:pPr>
            <w:r w:rsidRPr="0090158B">
              <w:rPr>
                <w:rFonts w:cs="Arial"/>
                <w:color w:val="auto"/>
                <w:szCs w:val="16"/>
              </w:rPr>
              <w:t>1</w:t>
            </w:r>
          </w:p>
        </w:tc>
      </w:tr>
      <w:tr w:rsidR="00264E23" w:rsidRPr="00C94F26" w14:paraId="63807982" w14:textId="77777777" w:rsidTr="00CD24E8">
        <w:trPr>
          <w:trHeight w:val="227"/>
        </w:trPr>
        <w:tc>
          <w:tcPr>
            <w:tcW w:w="1773" w:type="dxa"/>
            <w:vMerge/>
          </w:tcPr>
          <w:p w14:paraId="2ACD9E1B" w14:textId="77777777" w:rsidR="00264E23" w:rsidRPr="0090158B" w:rsidRDefault="00264E23">
            <w:pPr>
              <w:pStyle w:val="Tabele"/>
              <w:rPr>
                <w:b/>
                <w:bCs/>
                <w:color w:val="auto"/>
              </w:rPr>
            </w:pPr>
          </w:p>
        </w:tc>
        <w:tc>
          <w:tcPr>
            <w:tcW w:w="1774" w:type="dxa"/>
            <w:noWrap/>
            <w:hideMark/>
          </w:tcPr>
          <w:p w14:paraId="2D37480D" w14:textId="77777777" w:rsidR="00264E23" w:rsidRPr="0090158B" w:rsidRDefault="00264E23">
            <w:pPr>
              <w:pStyle w:val="Tabele"/>
              <w:rPr>
                <w:color w:val="auto"/>
              </w:rPr>
            </w:pPr>
            <w:r w:rsidRPr="0090158B">
              <w:rPr>
                <w:color w:val="auto"/>
              </w:rPr>
              <w:t>2035</w:t>
            </w:r>
          </w:p>
        </w:tc>
        <w:tc>
          <w:tcPr>
            <w:tcW w:w="1775" w:type="dxa"/>
            <w:noWrap/>
            <w:hideMark/>
          </w:tcPr>
          <w:p w14:paraId="3CD3F72F" w14:textId="77777777" w:rsidR="00264E23" w:rsidRPr="0090158B" w:rsidRDefault="00264E23">
            <w:pPr>
              <w:pStyle w:val="Tabele"/>
              <w:jc w:val="right"/>
              <w:rPr>
                <w:color w:val="auto"/>
              </w:rPr>
            </w:pPr>
            <w:r w:rsidRPr="0090158B">
              <w:rPr>
                <w:rFonts w:cs="Arial"/>
                <w:color w:val="auto"/>
                <w:szCs w:val="16"/>
              </w:rPr>
              <w:t>17</w:t>
            </w:r>
          </w:p>
        </w:tc>
        <w:tc>
          <w:tcPr>
            <w:tcW w:w="1774" w:type="dxa"/>
            <w:noWrap/>
            <w:hideMark/>
          </w:tcPr>
          <w:p w14:paraId="2ABEA576" w14:textId="77777777" w:rsidR="00264E23" w:rsidRPr="0090158B" w:rsidRDefault="00264E23">
            <w:pPr>
              <w:pStyle w:val="Tabele"/>
              <w:jc w:val="right"/>
              <w:rPr>
                <w:color w:val="auto"/>
              </w:rPr>
            </w:pPr>
            <w:r w:rsidRPr="0090158B">
              <w:rPr>
                <w:rFonts w:cs="Arial"/>
                <w:color w:val="auto"/>
                <w:szCs w:val="16"/>
              </w:rPr>
              <w:t>21 049</w:t>
            </w:r>
          </w:p>
        </w:tc>
        <w:tc>
          <w:tcPr>
            <w:tcW w:w="1774" w:type="dxa"/>
            <w:noWrap/>
            <w:hideMark/>
          </w:tcPr>
          <w:p w14:paraId="6EDE5C1B" w14:textId="77777777" w:rsidR="00264E23" w:rsidRPr="0090158B" w:rsidRDefault="00264E23">
            <w:pPr>
              <w:pStyle w:val="Tabele"/>
              <w:jc w:val="right"/>
              <w:rPr>
                <w:color w:val="auto"/>
              </w:rPr>
            </w:pPr>
            <w:r w:rsidRPr="0090158B">
              <w:rPr>
                <w:rFonts w:cs="Arial"/>
                <w:color w:val="auto"/>
                <w:szCs w:val="16"/>
              </w:rPr>
              <w:t>1</w:t>
            </w:r>
          </w:p>
        </w:tc>
      </w:tr>
      <w:tr w:rsidR="00264E23" w:rsidRPr="00C94F26" w14:paraId="31C02E8C" w14:textId="77777777" w:rsidTr="00CD24E8">
        <w:trPr>
          <w:trHeight w:val="227"/>
        </w:trPr>
        <w:tc>
          <w:tcPr>
            <w:tcW w:w="1773" w:type="dxa"/>
            <w:vMerge/>
          </w:tcPr>
          <w:p w14:paraId="32BA9FFB" w14:textId="77777777" w:rsidR="00264E23" w:rsidRPr="0090158B" w:rsidRDefault="00264E23">
            <w:pPr>
              <w:pStyle w:val="Tabele"/>
              <w:rPr>
                <w:b/>
                <w:bCs/>
                <w:color w:val="auto"/>
              </w:rPr>
            </w:pPr>
          </w:p>
        </w:tc>
        <w:tc>
          <w:tcPr>
            <w:tcW w:w="1774" w:type="dxa"/>
            <w:noWrap/>
            <w:hideMark/>
          </w:tcPr>
          <w:p w14:paraId="3C981E99" w14:textId="77777777" w:rsidR="00264E23" w:rsidRPr="0090158B" w:rsidRDefault="00264E23">
            <w:pPr>
              <w:pStyle w:val="Tabele"/>
              <w:rPr>
                <w:color w:val="auto"/>
              </w:rPr>
            </w:pPr>
            <w:r w:rsidRPr="0090158B">
              <w:rPr>
                <w:color w:val="auto"/>
              </w:rPr>
              <w:t>2040</w:t>
            </w:r>
          </w:p>
        </w:tc>
        <w:tc>
          <w:tcPr>
            <w:tcW w:w="1775" w:type="dxa"/>
            <w:noWrap/>
            <w:hideMark/>
          </w:tcPr>
          <w:p w14:paraId="32DAB930" w14:textId="77777777" w:rsidR="00264E23" w:rsidRPr="0090158B" w:rsidRDefault="00264E23">
            <w:pPr>
              <w:pStyle w:val="Tabele"/>
              <w:jc w:val="right"/>
              <w:rPr>
                <w:color w:val="auto"/>
              </w:rPr>
            </w:pPr>
            <w:r w:rsidRPr="0090158B">
              <w:rPr>
                <w:rFonts w:cs="Arial"/>
                <w:color w:val="auto"/>
                <w:szCs w:val="16"/>
              </w:rPr>
              <w:t>21</w:t>
            </w:r>
          </w:p>
        </w:tc>
        <w:tc>
          <w:tcPr>
            <w:tcW w:w="1774" w:type="dxa"/>
            <w:noWrap/>
            <w:hideMark/>
          </w:tcPr>
          <w:p w14:paraId="0BFF259B" w14:textId="77777777" w:rsidR="00264E23" w:rsidRPr="0090158B" w:rsidRDefault="00264E23">
            <w:pPr>
              <w:pStyle w:val="Tabele"/>
              <w:jc w:val="right"/>
              <w:rPr>
                <w:color w:val="auto"/>
              </w:rPr>
            </w:pPr>
            <w:r w:rsidRPr="0090158B">
              <w:rPr>
                <w:rFonts w:cs="Arial"/>
                <w:color w:val="auto"/>
                <w:szCs w:val="16"/>
              </w:rPr>
              <w:t>24 108</w:t>
            </w:r>
          </w:p>
        </w:tc>
        <w:tc>
          <w:tcPr>
            <w:tcW w:w="1774" w:type="dxa"/>
            <w:noWrap/>
            <w:hideMark/>
          </w:tcPr>
          <w:p w14:paraId="56526381" w14:textId="77777777" w:rsidR="00264E23" w:rsidRPr="0090158B" w:rsidRDefault="00264E23">
            <w:pPr>
              <w:pStyle w:val="Tabele"/>
              <w:jc w:val="right"/>
              <w:rPr>
                <w:color w:val="auto"/>
              </w:rPr>
            </w:pPr>
            <w:r w:rsidRPr="0090158B">
              <w:rPr>
                <w:rFonts w:cs="Arial"/>
                <w:color w:val="auto"/>
                <w:szCs w:val="16"/>
              </w:rPr>
              <w:t>2</w:t>
            </w:r>
          </w:p>
        </w:tc>
      </w:tr>
      <w:tr w:rsidR="00264E23" w:rsidRPr="00C94F26" w14:paraId="49AC2A2A" w14:textId="77777777">
        <w:trPr>
          <w:trHeight w:val="227"/>
        </w:trPr>
        <w:tc>
          <w:tcPr>
            <w:tcW w:w="0" w:type="dxa"/>
            <w:vMerge w:val="restart"/>
          </w:tcPr>
          <w:p w14:paraId="378789C4" w14:textId="77777777" w:rsidR="00264E23" w:rsidRPr="0090158B" w:rsidRDefault="00264E23">
            <w:pPr>
              <w:pStyle w:val="Tabele"/>
              <w:rPr>
                <w:b/>
                <w:bCs/>
                <w:color w:val="auto"/>
              </w:rPr>
            </w:pPr>
            <w:r w:rsidRPr="0090158B">
              <w:rPr>
                <w:b/>
                <w:bCs/>
                <w:color w:val="auto"/>
              </w:rPr>
              <w:t>Zużycie na własne potrzeby [GWh]</w:t>
            </w:r>
          </w:p>
        </w:tc>
        <w:tc>
          <w:tcPr>
            <w:tcW w:w="0" w:type="dxa"/>
            <w:shd w:val="clear" w:color="auto" w:fill="C5E0B3"/>
            <w:noWrap/>
            <w:hideMark/>
          </w:tcPr>
          <w:p w14:paraId="65BCF1C0" w14:textId="77777777" w:rsidR="00264E23" w:rsidRPr="0090158B" w:rsidRDefault="00264E23">
            <w:pPr>
              <w:pStyle w:val="Tabele"/>
              <w:rPr>
                <w:color w:val="auto"/>
              </w:rPr>
            </w:pPr>
            <w:r w:rsidRPr="0090158B">
              <w:rPr>
                <w:color w:val="auto"/>
              </w:rPr>
              <w:t>2015</w:t>
            </w:r>
          </w:p>
        </w:tc>
        <w:tc>
          <w:tcPr>
            <w:tcW w:w="0" w:type="dxa"/>
            <w:shd w:val="clear" w:color="auto" w:fill="C5E0B3"/>
            <w:noWrap/>
            <w:hideMark/>
          </w:tcPr>
          <w:p w14:paraId="1C9352E1" w14:textId="77777777" w:rsidR="00264E23" w:rsidRPr="0090158B" w:rsidRDefault="00264E23">
            <w:pPr>
              <w:pStyle w:val="Tabele"/>
              <w:jc w:val="right"/>
              <w:rPr>
                <w:color w:val="auto"/>
              </w:rPr>
            </w:pPr>
            <w:r w:rsidRPr="0090158B">
              <w:rPr>
                <w:color w:val="auto"/>
              </w:rPr>
              <w:t>0</w:t>
            </w:r>
          </w:p>
        </w:tc>
        <w:tc>
          <w:tcPr>
            <w:tcW w:w="0" w:type="dxa"/>
            <w:shd w:val="clear" w:color="auto" w:fill="C5E0B3"/>
            <w:noWrap/>
            <w:hideMark/>
          </w:tcPr>
          <w:p w14:paraId="5ADF4C71" w14:textId="77777777" w:rsidR="00264E23" w:rsidRPr="0090158B" w:rsidRDefault="00264E23">
            <w:pPr>
              <w:pStyle w:val="Tabele"/>
              <w:jc w:val="right"/>
              <w:rPr>
                <w:color w:val="auto"/>
              </w:rPr>
            </w:pPr>
            <w:r w:rsidRPr="0090158B">
              <w:rPr>
                <w:color w:val="auto"/>
              </w:rPr>
              <w:t>5</w:t>
            </w:r>
          </w:p>
        </w:tc>
        <w:tc>
          <w:tcPr>
            <w:tcW w:w="0" w:type="dxa"/>
            <w:shd w:val="clear" w:color="auto" w:fill="C5E0B3"/>
            <w:noWrap/>
            <w:hideMark/>
          </w:tcPr>
          <w:p w14:paraId="43846890" w14:textId="77777777" w:rsidR="00264E23" w:rsidRPr="0090158B" w:rsidRDefault="00264E23">
            <w:pPr>
              <w:pStyle w:val="Tabele"/>
              <w:jc w:val="right"/>
              <w:rPr>
                <w:color w:val="auto"/>
              </w:rPr>
            </w:pPr>
            <w:r w:rsidRPr="0090158B">
              <w:rPr>
                <w:color w:val="auto"/>
              </w:rPr>
              <w:t>0</w:t>
            </w:r>
          </w:p>
        </w:tc>
      </w:tr>
      <w:tr w:rsidR="00264E23" w:rsidRPr="00C94F26" w14:paraId="4F4A524F" w14:textId="77777777">
        <w:trPr>
          <w:trHeight w:val="227"/>
        </w:trPr>
        <w:tc>
          <w:tcPr>
            <w:tcW w:w="0" w:type="dxa"/>
            <w:vMerge/>
          </w:tcPr>
          <w:p w14:paraId="62C7A827" w14:textId="77777777" w:rsidR="00264E23" w:rsidRPr="0090158B" w:rsidRDefault="00264E23">
            <w:pPr>
              <w:pStyle w:val="Tabele"/>
              <w:rPr>
                <w:b/>
                <w:bCs/>
                <w:color w:val="auto"/>
              </w:rPr>
            </w:pPr>
          </w:p>
        </w:tc>
        <w:tc>
          <w:tcPr>
            <w:tcW w:w="0" w:type="dxa"/>
            <w:shd w:val="clear" w:color="auto" w:fill="C5E0B3"/>
            <w:noWrap/>
            <w:hideMark/>
          </w:tcPr>
          <w:p w14:paraId="208AC52C" w14:textId="77777777" w:rsidR="00264E23" w:rsidRPr="0090158B" w:rsidRDefault="00264E23">
            <w:pPr>
              <w:pStyle w:val="Tabele"/>
              <w:rPr>
                <w:color w:val="auto"/>
              </w:rPr>
            </w:pPr>
            <w:r w:rsidRPr="0090158B">
              <w:rPr>
                <w:color w:val="auto"/>
              </w:rPr>
              <w:t>2020</w:t>
            </w:r>
          </w:p>
        </w:tc>
        <w:tc>
          <w:tcPr>
            <w:tcW w:w="0" w:type="dxa"/>
            <w:shd w:val="clear" w:color="auto" w:fill="C5E0B3"/>
            <w:noWrap/>
          </w:tcPr>
          <w:p w14:paraId="06BAFD22" w14:textId="77777777" w:rsidR="00264E23" w:rsidRPr="0090158B" w:rsidRDefault="00264E23">
            <w:pPr>
              <w:pStyle w:val="Tabele"/>
              <w:jc w:val="right"/>
              <w:rPr>
                <w:color w:val="auto"/>
              </w:rPr>
            </w:pPr>
            <w:r w:rsidRPr="0090158B">
              <w:rPr>
                <w:color w:val="auto"/>
              </w:rPr>
              <w:t>0</w:t>
            </w:r>
          </w:p>
        </w:tc>
        <w:tc>
          <w:tcPr>
            <w:tcW w:w="0" w:type="dxa"/>
            <w:shd w:val="clear" w:color="auto" w:fill="C5E0B3"/>
            <w:noWrap/>
          </w:tcPr>
          <w:p w14:paraId="4E8DB427" w14:textId="77777777" w:rsidR="00264E23" w:rsidRPr="0090158B" w:rsidRDefault="00264E23">
            <w:pPr>
              <w:pStyle w:val="Tabele"/>
              <w:jc w:val="right"/>
              <w:rPr>
                <w:color w:val="auto"/>
              </w:rPr>
            </w:pPr>
            <w:r w:rsidRPr="0090158B">
              <w:rPr>
                <w:color w:val="auto"/>
              </w:rPr>
              <w:t>458</w:t>
            </w:r>
          </w:p>
        </w:tc>
        <w:tc>
          <w:tcPr>
            <w:tcW w:w="0" w:type="dxa"/>
            <w:shd w:val="clear" w:color="auto" w:fill="C5E0B3"/>
            <w:noWrap/>
          </w:tcPr>
          <w:p w14:paraId="2D451BDA" w14:textId="77777777" w:rsidR="00264E23" w:rsidRPr="0090158B" w:rsidRDefault="00264E23">
            <w:pPr>
              <w:pStyle w:val="Tabele"/>
              <w:jc w:val="right"/>
              <w:rPr>
                <w:color w:val="auto"/>
              </w:rPr>
            </w:pPr>
            <w:r w:rsidRPr="0090158B">
              <w:rPr>
                <w:color w:val="auto"/>
              </w:rPr>
              <w:t>0</w:t>
            </w:r>
          </w:p>
        </w:tc>
      </w:tr>
      <w:tr w:rsidR="00264E23" w:rsidRPr="00C94F26" w14:paraId="2A2CBB9C" w14:textId="77777777" w:rsidTr="00CD24E8">
        <w:trPr>
          <w:trHeight w:val="227"/>
        </w:trPr>
        <w:tc>
          <w:tcPr>
            <w:tcW w:w="1773" w:type="dxa"/>
            <w:vMerge/>
          </w:tcPr>
          <w:p w14:paraId="1625BA83" w14:textId="77777777" w:rsidR="00264E23" w:rsidRPr="0090158B" w:rsidRDefault="00264E23">
            <w:pPr>
              <w:pStyle w:val="Tabele"/>
              <w:rPr>
                <w:b/>
                <w:bCs/>
                <w:color w:val="auto"/>
              </w:rPr>
            </w:pPr>
          </w:p>
        </w:tc>
        <w:tc>
          <w:tcPr>
            <w:tcW w:w="1774" w:type="dxa"/>
            <w:noWrap/>
            <w:hideMark/>
          </w:tcPr>
          <w:p w14:paraId="4070FFA4" w14:textId="77777777" w:rsidR="00264E23" w:rsidRPr="0090158B" w:rsidRDefault="00264E23">
            <w:pPr>
              <w:pStyle w:val="Tabele"/>
              <w:rPr>
                <w:color w:val="auto"/>
              </w:rPr>
            </w:pPr>
            <w:r w:rsidRPr="0090158B">
              <w:rPr>
                <w:color w:val="auto"/>
              </w:rPr>
              <w:t>2025</w:t>
            </w:r>
          </w:p>
        </w:tc>
        <w:tc>
          <w:tcPr>
            <w:tcW w:w="1775" w:type="dxa"/>
            <w:noWrap/>
          </w:tcPr>
          <w:p w14:paraId="4A0C1E6E" w14:textId="77777777" w:rsidR="00264E23" w:rsidRPr="0090158B" w:rsidRDefault="00264E23">
            <w:pPr>
              <w:pStyle w:val="Tabele"/>
              <w:jc w:val="right"/>
              <w:rPr>
                <w:color w:val="auto"/>
              </w:rPr>
            </w:pPr>
            <w:r w:rsidRPr="0090158B">
              <w:rPr>
                <w:rFonts w:cs="Arial"/>
                <w:color w:val="auto"/>
                <w:szCs w:val="16"/>
              </w:rPr>
              <w:t>6</w:t>
            </w:r>
          </w:p>
        </w:tc>
        <w:tc>
          <w:tcPr>
            <w:tcW w:w="1774" w:type="dxa"/>
            <w:noWrap/>
          </w:tcPr>
          <w:p w14:paraId="4DF8325C" w14:textId="77777777" w:rsidR="00264E23" w:rsidRPr="0090158B" w:rsidRDefault="00264E23">
            <w:pPr>
              <w:pStyle w:val="Tabele"/>
              <w:jc w:val="right"/>
              <w:rPr>
                <w:color w:val="auto"/>
              </w:rPr>
            </w:pPr>
            <w:r w:rsidRPr="0090158B">
              <w:rPr>
                <w:rFonts w:cs="Arial"/>
                <w:color w:val="auto"/>
                <w:szCs w:val="16"/>
              </w:rPr>
              <w:t>3 870</w:t>
            </w:r>
          </w:p>
        </w:tc>
        <w:tc>
          <w:tcPr>
            <w:tcW w:w="1774" w:type="dxa"/>
            <w:noWrap/>
          </w:tcPr>
          <w:p w14:paraId="45B0C971" w14:textId="77777777" w:rsidR="00264E23" w:rsidRPr="0090158B" w:rsidRDefault="00264E23">
            <w:pPr>
              <w:pStyle w:val="Tabele"/>
              <w:jc w:val="right"/>
              <w:rPr>
                <w:color w:val="auto"/>
              </w:rPr>
            </w:pPr>
            <w:r w:rsidRPr="0090158B">
              <w:rPr>
                <w:color w:val="auto"/>
              </w:rPr>
              <w:t>0</w:t>
            </w:r>
          </w:p>
        </w:tc>
      </w:tr>
      <w:tr w:rsidR="00264E23" w:rsidRPr="00C94F26" w14:paraId="7FC44283" w14:textId="77777777" w:rsidTr="00CD24E8">
        <w:trPr>
          <w:trHeight w:val="227"/>
        </w:trPr>
        <w:tc>
          <w:tcPr>
            <w:tcW w:w="1773" w:type="dxa"/>
            <w:vMerge/>
          </w:tcPr>
          <w:p w14:paraId="254A7CBA" w14:textId="77777777" w:rsidR="00264E23" w:rsidRPr="0090158B" w:rsidRDefault="00264E23">
            <w:pPr>
              <w:pStyle w:val="Tabele"/>
              <w:rPr>
                <w:b/>
                <w:bCs/>
                <w:color w:val="auto"/>
              </w:rPr>
            </w:pPr>
          </w:p>
        </w:tc>
        <w:tc>
          <w:tcPr>
            <w:tcW w:w="1774" w:type="dxa"/>
            <w:noWrap/>
            <w:hideMark/>
          </w:tcPr>
          <w:p w14:paraId="359FC436" w14:textId="77777777" w:rsidR="00264E23" w:rsidRPr="0090158B" w:rsidRDefault="00264E23">
            <w:pPr>
              <w:pStyle w:val="Tabele"/>
              <w:rPr>
                <w:color w:val="auto"/>
              </w:rPr>
            </w:pPr>
            <w:r w:rsidRPr="0090158B">
              <w:rPr>
                <w:color w:val="auto"/>
              </w:rPr>
              <w:t>2030</w:t>
            </w:r>
          </w:p>
        </w:tc>
        <w:tc>
          <w:tcPr>
            <w:tcW w:w="1775" w:type="dxa"/>
            <w:noWrap/>
          </w:tcPr>
          <w:p w14:paraId="4D3720E3" w14:textId="77777777" w:rsidR="00264E23" w:rsidRPr="0090158B" w:rsidRDefault="00264E23">
            <w:pPr>
              <w:pStyle w:val="Tabele"/>
              <w:jc w:val="right"/>
              <w:rPr>
                <w:color w:val="auto"/>
              </w:rPr>
            </w:pPr>
            <w:r w:rsidRPr="0090158B">
              <w:rPr>
                <w:rFonts w:cs="Arial"/>
                <w:color w:val="auto"/>
                <w:szCs w:val="16"/>
              </w:rPr>
              <w:t>10</w:t>
            </w:r>
          </w:p>
        </w:tc>
        <w:tc>
          <w:tcPr>
            <w:tcW w:w="1774" w:type="dxa"/>
            <w:noWrap/>
          </w:tcPr>
          <w:p w14:paraId="56F57310" w14:textId="77777777" w:rsidR="00264E23" w:rsidRPr="0090158B" w:rsidRDefault="00264E23">
            <w:pPr>
              <w:pStyle w:val="Tabele"/>
              <w:jc w:val="right"/>
              <w:rPr>
                <w:color w:val="auto"/>
              </w:rPr>
            </w:pPr>
            <w:r w:rsidRPr="0090158B">
              <w:rPr>
                <w:rFonts w:cs="Arial"/>
                <w:color w:val="auto"/>
                <w:szCs w:val="16"/>
              </w:rPr>
              <w:t>5 985</w:t>
            </w:r>
          </w:p>
        </w:tc>
        <w:tc>
          <w:tcPr>
            <w:tcW w:w="1774" w:type="dxa"/>
            <w:noWrap/>
          </w:tcPr>
          <w:p w14:paraId="214C1B69" w14:textId="77777777" w:rsidR="00264E23" w:rsidRPr="0090158B" w:rsidRDefault="00264E23">
            <w:pPr>
              <w:pStyle w:val="Tabele"/>
              <w:jc w:val="right"/>
              <w:rPr>
                <w:color w:val="auto"/>
              </w:rPr>
            </w:pPr>
            <w:r w:rsidRPr="0090158B">
              <w:rPr>
                <w:color w:val="auto"/>
              </w:rPr>
              <w:t>0</w:t>
            </w:r>
          </w:p>
        </w:tc>
      </w:tr>
      <w:tr w:rsidR="00264E23" w:rsidRPr="00C94F26" w14:paraId="550F225F" w14:textId="77777777" w:rsidTr="00CD24E8">
        <w:trPr>
          <w:trHeight w:val="227"/>
        </w:trPr>
        <w:tc>
          <w:tcPr>
            <w:tcW w:w="1773" w:type="dxa"/>
            <w:vMerge/>
          </w:tcPr>
          <w:p w14:paraId="1C805CC8" w14:textId="77777777" w:rsidR="00264E23" w:rsidRPr="0090158B" w:rsidRDefault="00264E23">
            <w:pPr>
              <w:pStyle w:val="Tabele"/>
              <w:rPr>
                <w:b/>
                <w:bCs/>
                <w:color w:val="auto"/>
              </w:rPr>
            </w:pPr>
          </w:p>
        </w:tc>
        <w:tc>
          <w:tcPr>
            <w:tcW w:w="1774" w:type="dxa"/>
            <w:noWrap/>
            <w:hideMark/>
          </w:tcPr>
          <w:p w14:paraId="03741AC2" w14:textId="77777777" w:rsidR="00264E23" w:rsidRPr="0090158B" w:rsidRDefault="00264E23">
            <w:pPr>
              <w:pStyle w:val="Tabele"/>
              <w:rPr>
                <w:color w:val="auto"/>
              </w:rPr>
            </w:pPr>
            <w:r w:rsidRPr="0090158B">
              <w:rPr>
                <w:color w:val="auto"/>
              </w:rPr>
              <w:t>2035</w:t>
            </w:r>
          </w:p>
        </w:tc>
        <w:tc>
          <w:tcPr>
            <w:tcW w:w="1775" w:type="dxa"/>
            <w:noWrap/>
          </w:tcPr>
          <w:p w14:paraId="18333D80" w14:textId="77777777" w:rsidR="00264E23" w:rsidRPr="0090158B" w:rsidRDefault="00264E23">
            <w:pPr>
              <w:pStyle w:val="Tabele"/>
              <w:jc w:val="right"/>
              <w:rPr>
                <w:color w:val="auto"/>
              </w:rPr>
            </w:pPr>
            <w:r w:rsidRPr="0090158B">
              <w:rPr>
                <w:rFonts w:cs="Arial"/>
                <w:color w:val="auto"/>
                <w:szCs w:val="16"/>
              </w:rPr>
              <w:t>13</w:t>
            </w:r>
          </w:p>
        </w:tc>
        <w:tc>
          <w:tcPr>
            <w:tcW w:w="1774" w:type="dxa"/>
            <w:noWrap/>
          </w:tcPr>
          <w:p w14:paraId="00CB13BF" w14:textId="77777777" w:rsidR="00264E23" w:rsidRPr="0090158B" w:rsidRDefault="00264E23">
            <w:pPr>
              <w:pStyle w:val="Tabele"/>
              <w:jc w:val="right"/>
              <w:rPr>
                <w:color w:val="auto"/>
              </w:rPr>
            </w:pPr>
            <w:r w:rsidRPr="0090158B">
              <w:rPr>
                <w:rFonts w:cs="Arial"/>
                <w:color w:val="auto"/>
                <w:szCs w:val="16"/>
              </w:rPr>
              <w:t>8 420</w:t>
            </w:r>
          </w:p>
        </w:tc>
        <w:tc>
          <w:tcPr>
            <w:tcW w:w="1774" w:type="dxa"/>
            <w:noWrap/>
          </w:tcPr>
          <w:p w14:paraId="09C13B5D" w14:textId="77777777" w:rsidR="00264E23" w:rsidRPr="0090158B" w:rsidRDefault="00264E23">
            <w:pPr>
              <w:pStyle w:val="Tabele"/>
              <w:jc w:val="right"/>
              <w:rPr>
                <w:color w:val="auto"/>
              </w:rPr>
            </w:pPr>
            <w:r w:rsidRPr="0090158B">
              <w:rPr>
                <w:color w:val="auto"/>
              </w:rPr>
              <w:t>0</w:t>
            </w:r>
          </w:p>
        </w:tc>
      </w:tr>
      <w:tr w:rsidR="00264E23" w:rsidRPr="00C94F26" w14:paraId="732F8F5A" w14:textId="77777777" w:rsidTr="00CD24E8">
        <w:trPr>
          <w:trHeight w:val="227"/>
        </w:trPr>
        <w:tc>
          <w:tcPr>
            <w:tcW w:w="1773" w:type="dxa"/>
            <w:vMerge/>
          </w:tcPr>
          <w:p w14:paraId="284AF5DC" w14:textId="77777777" w:rsidR="00264E23" w:rsidRPr="0090158B" w:rsidRDefault="00264E23">
            <w:pPr>
              <w:pStyle w:val="Tabele"/>
              <w:rPr>
                <w:b/>
                <w:bCs/>
                <w:color w:val="auto"/>
              </w:rPr>
            </w:pPr>
          </w:p>
        </w:tc>
        <w:tc>
          <w:tcPr>
            <w:tcW w:w="1774" w:type="dxa"/>
            <w:noWrap/>
            <w:hideMark/>
          </w:tcPr>
          <w:p w14:paraId="5EC6C9EB" w14:textId="77777777" w:rsidR="00264E23" w:rsidRPr="0090158B" w:rsidRDefault="00264E23">
            <w:pPr>
              <w:pStyle w:val="Tabele"/>
              <w:rPr>
                <w:color w:val="auto"/>
              </w:rPr>
            </w:pPr>
            <w:r w:rsidRPr="0090158B">
              <w:rPr>
                <w:color w:val="auto"/>
              </w:rPr>
              <w:t>2040</w:t>
            </w:r>
          </w:p>
        </w:tc>
        <w:tc>
          <w:tcPr>
            <w:tcW w:w="1775" w:type="dxa"/>
            <w:noWrap/>
          </w:tcPr>
          <w:p w14:paraId="0B3D23C7" w14:textId="77777777" w:rsidR="00264E23" w:rsidRPr="0090158B" w:rsidRDefault="00264E23">
            <w:pPr>
              <w:pStyle w:val="Tabele"/>
              <w:jc w:val="right"/>
              <w:rPr>
                <w:color w:val="auto"/>
              </w:rPr>
            </w:pPr>
            <w:r w:rsidRPr="0090158B">
              <w:rPr>
                <w:rFonts w:cs="Arial"/>
                <w:color w:val="auto"/>
                <w:szCs w:val="16"/>
              </w:rPr>
              <w:t>17</w:t>
            </w:r>
          </w:p>
        </w:tc>
        <w:tc>
          <w:tcPr>
            <w:tcW w:w="1774" w:type="dxa"/>
            <w:noWrap/>
          </w:tcPr>
          <w:p w14:paraId="43922FE2" w14:textId="77777777" w:rsidR="00264E23" w:rsidRPr="0090158B" w:rsidRDefault="00264E23">
            <w:pPr>
              <w:pStyle w:val="Tabele"/>
              <w:jc w:val="right"/>
              <w:rPr>
                <w:color w:val="auto"/>
              </w:rPr>
            </w:pPr>
            <w:r w:rsidRPr="0090158B">
              <w:rPr>
                <w:rFonts w:cs="Arial"/>
                <w:color w:val="auto"/>
                <w:szCs w:val="16"/>
              </w:rPr>
              <w:t>10 849</w:t>
            </w:r>
          </w:p>
        </w:tc>
        <w:tc>
          <w:tcPr>
            <w:tcW w:w="1774" w:type="dxa"/>
            <w:noWrap/>
          </w:tcPr>
          <w:p w14:paraId="5A43B97B" w14:textId="77777777" w:rsidR="00264E23" w:rsidRPr="0090158B" w:rsidRDefault="00264E23">
            <w:pPr>
              <w:pStyle w:val="Tabele"/>
              <w:jc w:val="right"/>
              <w:rPr>
                <w:color w:val="auto"/>
              </w:rPr>
            </w:pPr>
            <w:r w:rsidRPr="0090158B">
              <w:rPr>
                <w:color w:val="auto"/>
              </w:rPr>
              <w:t>0</w:t>
            </w:r>
          </w:p>
        </w:tc>
      </w:tr>
      <w:tr w:rsidR="00264E23" w:rsidRPr="00C94F26" w14:paraId="3227931C" w14:textId="77777777">
        <w:trPr>
          <w:trHeight w:val="227"/>
        </w:trPr>
        <w:tc>
          <w:tcPr>
            <w:tcW w:w="0" w:type="dxa"/>
            <w:vMerge w:val="restart"/>
          </w:tcPr>
          <w:p w14:paraId="6282A5FF" w14:textId="77777777" w:rsidR="00264E23" w:rsidRPr="0090158B" w:rsidRDefault="00264E23">
            <w:pPr>
              <w:pStyle w:val="Tabele"/>
              <w:rPr>
                <w:b/>
                <w:bCs/>
                <w:color w:val="auto"/>
              </w:rPr>
            </w:pPr>
            <w:r w:rsidRPr="0090158B">
              <w:rPr>
                <w:b/>
                <w:bCs/>
                <w:color w:val="auto"/>
              </w:rPr>
              <w:t>Energia wprowadzona do sieci [GWh]</w:t>
            </w:r>
          </w:p>
        </w:tc>
        <w:tc>
          <w:tcPr>
            <w:tcW w:w="0" w:type="dxa"/>
            <w:shd w:val="clear" w:color="auto" w:fill="C5E0B3"/>
            <w:noWrap/>
            <w:hideMark/>
          </w:tcPr>
          <w:p w14:paraId="49271807" w14:textId="77777777" w:rsidR="00264E23" w:rsidRPr="0090158B" w:rsidRDefault="00264E23">
            <w:pPr>
              <w:pStyle w:val="Tabele"/>
              <w:rPr>
                <w:color w:val="auto"/>
              </w:rPr>
            </w:pPr>
            <w:r w:rsidRPr="0090158B">
              <w:rPr>
                <w:color w:val="auto"/>
              </w:rPr>
              <w:t>2015</w:t>
            </w:r>
          </w:p>
        </w:tc>
        <w:tc>
          <w:tcPr>
            <w:tcW w:w="0" w:type="dxa"/>
            <w:shd w:val="clear" w:color="auto" w:fill="C5E0B3"/>
            <w:noWrap/>
            <w:hideMark/>
          </w:tcPr>
          <w:p w14:paraId="7BD1B010" w14:textId="77777777" w:rsidR="00264E23" w:rsidRPr="0090158B" w:rsidRDefault="00264E23">
            <w:pPr>
              <w:pStyle w:val="Tabele"/>
              <w:jc w:val="right"/>
              <w:rPr>
                <w:color w:val="auto"/>
              </w:rPr>
            </w:pPr>
            <w:r w:rsidRPr="0090158B">
              <w:rPr>
                <w:color w:val="auto"/>
              </w:rPr>
              <w:t>0</w:t>
            </w:r>
          </w:p>
        </w:tc>
        <w:tc>
          <w:tcPr>
            <w:tcW w:w="0" w:type="dxa"/>
            <w:shd w:val="clear" w:color="auto" w:fill="C5E0B3"/>
            <w:noWrap/>
            <w:hideMark/>
          </w:tcPr>
          <w:p w14:paraId="365C48C1" w14:textId="77777777" w:rsidR="00264E23" w:rsidRPr="0090158B" w:rsidRDefault="00264E23">
            <w:pPr>
              <w:pStyle w:val="Tabele"/>
              <w:jc w:val="right"/>
              <w:rPr>
                <w:color w:val="auto"/>
              </w:rPr>
            </w:pPr>
            <w:r w:rsidRPr="0090158B">
              <w:rPr>
                <w:color w:val="auto"/>
              </w:rPr>
              <w:t>4</w:t>
            </w:r>
          </w:p>
        </w:tc>
        <w:tc>
          <w:tcPr>
            <w:tcW w:w="0" w:type="dxa"/>
            <w:shd w:val="clear" w:color="auto" w:fill="C5E0B3"/>
            <w:noWrap/>
            <w:hideMark/>
          </w:tcPr>
          <w:p w14:paraId="0D5FE02B" w14:textId="77777777" w:rsidR="00264E23" w:rsidRPr="0090158B" w:rsidRDefault="00264E23">
            <w:pPr>
              <w:pStyle w:val="Tabele"/>
              <w:jc w:val="right"/>
              <w:rPr>
                <w:color w:val="auto"/>
              </w:rPr>
            </w:pPr>
            <w:r w:rsidRPr="0090158B">
              <w:rPr>
                <w:color w:val="auto"/>
              </w:rPr>
              <w:t>0</w:t>
            </w:r>
          </w:p>
        </w:tc>
      </w:tr>
      <w:tr w:rsidR="00264E23" w:rsidRPr="00C94F26" w14:paraId="57AE91D3" w14:textId="77777777">
        <w:trPr>
          <w:trHeight w:val="227"/>
        </w:trPr>
        <w:tc>
          <w:tcPr>
            <w:tcW w:w="0" w:type="dxa"/>
            <w:vMerge/>
          </w:tcPr>
          <w:p w14:paraId="7A02DE56" w14:textId="77777777" w:rsidR="00264E23" w:rsidRPr="0090158B" w:rsidRDefault="00264E23">
            <w:pPr>
              <w:pStyle w:val="Tabele"/>
              <w:rPr>
                <w:color w:val="auto"/>
              </w:rPr>
            </w:pPr>
          </w:p>
        </w:tc>
        <w:tc>
          <w:tcPr>
            <w:tcW w:w="0" w:type="dxa"/>
            <w:shd w:val="clear" w:color="auto" w:fill="C5E0B3"/>
            <w:noWrap/>
            <w:hideMark/>
          </w:tcPr>
          <w:p w14:paraId="5B189043" w14:textId="77777777" w:rsidR="00264E23" w:rsidRPr="0090158B" w:rsidRDefault="00264E23">
            <w:pPr>
              <w:pStyle w:val="Tabele"/>
              <w:rPr>
                <w:color w:val="auto"/>
              </w:rPr>
            </w:pPr>
            <w:r w:rsidRPr="0090158B">
              <w:rPr>
                <w:color w:val="auto"/>
              </w:rPr>
              <w:t>2020</w:t>
            </w:r>
          </w:p>
        </w:tc>
        <w:tc>
          <w:tcPr>
            <w:tcW w:w="0" w:type="dxa"/>
            <w:shd w:val="clear" w:color="auto" w:fill="C5E0B3"/>
            <w:noWrap/>
          </w:tcPr>
          <w:p w14:paraId="58634077" w14:textId="77777777" w:rsidR="00264E23" w:rsidRPr="0090158B" w:rsidRDefault="00264E23">
            <w:pPr>
              <w:pStyle w:val="Tabele"/>
              <w:jc w:val="right"/>
              <w:rPr>
                <w:color w:val="auto"/>
              </w:rPr>
            </w:pPr>
            <w:r w:rsidRPr="0090158B">
              <w:rPr>
                <w:color w:val="auto"/>
              </w:rPr>
              <w:t>0</w:t>
            </w:r>
          </w:p>
        </w:tc>
        <w:tc>
          <w:tcPr>
            <w:tcW w:w="0" w:type="dxa"/>
            <w:shd w:val="clear" w:color="auto" w:fill="C5E0B3"/>
            <w:noWrap/>
          </w:tcPr>
          <w:p w14:paraId="72AD052C" w14:textId="77777777" w:rsidR="00264E23" w:rsidRPr="0090158B" w:rsidRDefault="00264E23">
            <w:pPr>
              <w:pStyle w:val="Tabele"/>
              <w:jc w:val="right"/>
              <w:rPr>
                <w:color w:val="auto"/>
              </w:rPr>
            </w:pPr>
            <w:r w:rsidRPr="0090158B">
              <w:rPr>
                <w:color w:val="auto"/>
              </w:rPr>
              <w:t>1 069</w:t>
            </w:r>
          </w:p>
        </w:tc>
        <w:tc>
          <w:tcPr>
            <w:tcW w:w="0" w:type="dxa"/>
            <w:shd w:val="clear" w:color="auto" w:fill="C5E0B3"/>
            <w:noWrap/>
          </w:tcPr>
          <w:p w14:paraId="72AC510F" w14:textId="77777777" w:rsidR="00264E23" w:rsidRPr="0090158B" w:rsidRDefault="00264E23">
            <w:pPr>
              <w:pStyle w:val="Tabele"/>
              <w:jc w:val="right"/>
              <w:rPr>
                <w:color w:val="auto"/>
              </w:rPr>
            </w:pPr>
            <w:r w:rsidRPr="0090158B">
              <w:rPr>
                <w:color w:val="auto"/>
              </w:rPr>
              <w:t>0</w:t>
            </w:r>
          </w:p>
        </w:tc>
      </w:tr>
      <w:tr w:rsidR="00264E23" w:rsidRPr="00C94F26" w14:paraId="2701B00B" w14:textId="77777777" w:rsidTr="00CD24E8">
        <w:trPr>
          <w:trHeight w:val="227"/>
        </w:trPr>
        <w:tc>
          <w:tcPr>
            <w:tcW w:w="1773" w:type="dxa"/>
            <w:vMerge/>
          </w:tcPr>
          <w:p w14:paraId="69D0ACC8" w14:textId="77777777" w:rsidR="00264E23" w:rsidRPr="0090158B" w:rsidRDefault="00264E23">
            <w:pPr>
              <w:pStyle w:val="Tabele"/>
              <w:rPr>
                <w:color w:val="auto"/>
              </w:rPr>
            </w:pPr>
          </w:p>
        </w:tc>
        <w:tc>
          <w:tcPr>
            <w:tcW w:w="1774" w:type="dxa"/>
            <w:noWrap/>
            <w:hideMark/>
          </w:tcPr>
          <w:p w14:paraId="05817157" w14:textId="77777777" w:rsidR="00264E23" w:rsidRPr="0090158B" w:rsidRDefault="00264E23">
            <w:pPr>
              <w:pStyle w:val="Tabele"/>
              <w:rPr>
                <w:color w:val="auto"/>
              </w:rPr>
            </w:pPr>
            <w:r w:rsidRPr="0090158B">
              <w:rPr>
                <w:color w:val="auto"/>
              </w:rPr>
              <w:t>2025</w:t>
            </w:r>
          </w:p>
        </w:tc>
        <w:tc>
          <w:tcPr>
            <w:tcW w:w="1775" w:type="dxa"/>
            <w:noWrap/>
          </w:tcPr>
          <w:p w14:paraId="51E5D3AC" w14:textId="77777777" w:rsidR="00264E23" w:rsidRPr="0090158B" w:rsidRDefault="00264E23">
            <w:pPr>
              <w:pStyle w:val="Tabele"/>
              <w:jc w:val="right"/>
              <w:rPr>
                <w:color w:val="auto"/>
              </w:rPr>
            </w:pPr>
            <w:r w:rsidRPr="0090158B">
              <w:rPr>
                <w:rFonts w:cs="Arial"/>
                <w:color w:val="auto"/>
                <w:szCs w:val="16"/>
              </w:rPr>
              <w:t>2</w:t>
            </w:r>
          </w:p>
        </w:tc>
        <w:tc>
          <w:tcPr>
            <w:tcW w:w="1774" w:type="dxa"/>
            <w:noWrap/>
          </w:tcPr>
          <w:p w14:paraId="78F648BE" w14:textId="77777777" w:rsidR="00264E23" w:rsidRPr="0090158B" w:rsidRDefault="00264E23">
            <w:pPr>
              <w:pStyle w:val="Tabele"/>
              <w:jc w:val="right"/>
              <w:rPr>
                <w:color w:val="auto"/>
              </w:rPr>
            </w:pPr>
            <w:r w:rsidRPr="0090158B">
              <w:rPr>
                <w:rFonts w:cs="Arial"/>
                <w:color w:val="auto"/>
                <w:szCs w:val="16"/>
              </w:rPr>
              <w:t>9 029</w:t>
            </w:r>
          </w:p>
        </w:tc>
        <w:tc>
          <w:tcPr>
            <w:tcW w:w="1774" w:type="dxa"/>
            <w:noWrap/>
          </w:tcPr>
          <w:p w14:paraId="1B51AA5F" w14:textId="77777777" w:rsidR="00264E23" w:rsidRPr="0090158B" w:rsidRDefault="00264E23">
            <w:pPr>
              <w:pStyle w:val="Tabele"/>
              <w:jc w:val="right"/>
              <w:rPr>
                <w:color w:val="auto"/>
              </w:rPr>
            </w:pPr>
            <w:r w:rsidRPr="0090158B">
              <w:rPr>
                <w:rFonts w:cs="Arial"/>
                <w:color w:val="auto"/>
                <w:szCs w:val="16"/>
              </w:rPr>
              <w:t>0</w:t>
            </w:r>
          </w:p>
        </w:tc>
      </w:tr>
      <w:tr w:rsidR="00264E23" w:rsidRPr="00C94F26" w14:paraId="1EE5F357" w14:textId="77777777" w:rsidTr="00CD24E8">
        <w:trPr>
          <w:trHeight w:val="227"/>
        </w:trPr>
        <w:tc>
          <w:tcPr>
            <w:tcW w:w="1773" w:type="dxa"/>
            <w:vMerge/>
          </w:tcPr>
          <w:p w14:paraId="45CD184C" w14:textId="77777777" w:rsidR="00264E23" w:rsidRPr="0090158B" w:rsidRDefault="00264E23">
            <w:pPr>
              <w:pStyle w:val="Tabele"/>
              <w:rPr>
                <w:color w:val="auto"/>
              </w:rPr>
            </w:pPr>
          </w:p>
        </w:tc>
        <w:tc>
          <w:tcPr>
            <w:tcW w:w="1774" w:type="dxa"/>
            <w:noWrap/>
            <w:hideMark/>
          </w:tcPr>
          <w:p w14:paraId="682A0508" w14:textId="77777777" w:rsidR="00264E23" w:rsidRPr="0090158B" w:rsidRDefault="00264E23">
            <w:pPr>
              <w:pStyle w:val="Tabele"/>
              <w:rPr>
                <w:color w:val="auto"/>
              </w:rPr>
            </w:pPr>
            <w:r w:rsidRPr="0090158B">
              <w:rPr>
                <w:color w:val="auto"/>
              </w:rPr>
              <w:t>2030</w:t>
            </w:r>
          </w:p>
        </w:tc>
        <w:tc>
          <w:tcPr>
            <w:tcW w:w="1775" w:type="dxa"/>
            <w:noWrap/>
          </w:tcPr>
          <w:p w14:paraId="2F0FF38D" w14:textId="77777777" w:rsidR="00264E23" w:rsidRPr="0090158B" w:rsidRDefault="00264E23">
            <w:pPr>
              <w:pStyle w:val="Tabele"/>
              <w:jc w:val="right"/>
              <w:rPr>
                <w:color w:val="auto"/>
              </w:rPr>
            </w:pPr>
            <w:r w:rsidRPr="0090158B">
              <w:rPr>
                <w:rFonts w:cs="Arial"/>
                <w:color w:val="auto"/>
                <w:szCs w:val="16"/>
              </w:rPr>
              <w:t>3</w:t>
            </w:r>
          </w:p>
        </w:tc>
        <w:tc>
          <w:tcPr>
            <w:tcW w:w="1774" w:type="dxa"/>
            <w:noWrap/>
          </w:tcPr>
          <w:p w14:paraId="11FF346E" w14:textId="77777777" w:rsidR="00264E23" w:rsidRPr="0090158B" w:rsidRDefault="00264E23">
            <w:pPr>
              <w:pStyle w:val="Tabele"/>
              <w:jc w:val="right"/>
              <w:rPr>
                <w:color w:val="auto"/>
              </w:rPr>
            </w:pPr>
            <w:r w:rsidRPr="0090158B">
              <w:rPr>
                <w:rFonts w:cs="Arial"/>
                <w:color w:val="auto"/>
                <w:szCs w:val="16"/>
              </w:rPr>
              <w:t>11 114</w:t>
            </w:r>
          </w:p>
        </w:tc>
        <w:tc>
          <w:tcPr>
            <w:tcW w:w="1774" w:type="dxa"/>
            <w:noWrap/>
          </w:tcPr>
          <w:p w14:paraId="068B0907" w14:textId="77777777" w:rsidR="00264E23" w:rsidRPr="0090158B" w:rsidRDefault="00264E23">
            <w:pPr>
              <w:pStyle w:val="Tabele"/>
              <w:jc w:val="right"/>
              <w:rPr>
                <w:color w:val="auto"/>
              </w:rPr>
            </w:pPr>
            <w:r w:rsidRPr="0090158B">
              <w:rPr>
                <w:rFonts w:cs="Arial"/>
                <w:color w:val="auto"/>
                <w:szCs w:val="16"/>
              </w:rPr>
              <w:t>1</w:t>
            </w:r>
          </w:p>
        </w:tc>
      </w:tr>
      <w:tr w:rsidR="00264E23" w:rsidRPr="00C94F26" w14:paraId="454CCC00" w14:textId="77777777" w:rsidTr="00CD24E8">
        <w:trPr>
          <w:trHeight w:val="227"/>
        </w:trPr>
        <w:tc>
          <w:tcPr>
            <w:tcW w:w="1773" w:type="dxa"/>
            <w:vMerge/>
          </w:tcPr>
          <w:p w14:paraId="6E618D61" w14:textId="77777777" w:rsidR="00264E23" w:rsidRPr="0090158B" w:rsidRDefault="00264E23">
            <w:pPr>
              <w:pStyle w:val="Tabele"/>
              <w:rPr>
                <w:color w:val="auto"/>
              </w:rPr>
            </w:pPr>
          </w:p>
        </w:tc>
        <w:tc>
          <w:tcPr>
            <w:tcW w:w="1774" w:type="dxa"/>
            <w:noWrap/>
            <w:hideMark/>
          </w:tcPr>
          <w:p w14:paraId="2F79AD89" w14:textId="77777777" w:rsidR="00264E23" w:rsidRPr="0090158B" w:rsidRDefault="00264E23">
            <w:pPr>
              <w:pStyle w:val="Tabele"/>
              <w:rPr>
                <w:color w:val="auto"/>
              </w:rPr>
            </w:pPr>
            <w:r w:rsidRPr="0090158B">
              <w:rPr>
                <w:color w:val="auto"/>
              </w:rPr>
              <w:t>2035</w:t>
            </w:r>
          </w:p>
        </w:tc>
        <w:tc>
          <w:tcPr>
            <w:tcW w:w="1775" w:type="dxa"/>
            <w:noWrap/>
          </w:tcPr>
          <w:p w14:paraId="6A033ECD" w14:textId="77777777" w:rsidR="00264E23" w:rsidRPr="0090158B" w:rsidRDefault="00264E23">
            <w:pPr>
              <w:pStyle w:val="Tabele"/>
              <w:jc w:val="right"/>
              <w:rPr>
                <w:color w:val="auto"/>
              </w:rPr>
            </w:pPr>
            <w:r w:rsidRPr="0090158B">
              <w:rPr>
                <w:rFonts w:cs="Arial"/>
                <w:color w:val="auto"/>
                <w:szCs w:val="16"/>
              </w:rPr>
              <w:t>3</w:t>
            </w:r>
          </w:p>
        </w:tc>
        <w:tc>
          <w:tcPr>
            <w:tcW w:w="1774" w:type="dxa"/>
            <w:noWrap/>
          </w:tcPr>
          <w:p w14:paraId="198D3D1B" w14:textId="77777777" w:rsidR="00264E23" w:rsidRPr="0090158B" w:rsidRDefault="00264E23">
            <w:pPr>
              <w:pStyle w:val="Tabele"/>
              <w:jc w:val="right"/>
              <w:rPr>
                <w:color w:val="auto"/>
              </w:rPr>
            </w:pPr>
            <w:r w:rsidRPr="0090158B">
              <w:rPr>
                <w:rFonts w:cs="Arial"/>
                <w:color w:val="auto"/>
                <w:szCs w:val="16"/>
              </w:rPr>
              <w:t>12 629</w:t>
            </w:r>
          </w:p>
        </w:tc>
        <w:tc>
          <w:tcPr>
            <w:tcW w:w="1774" w:type="dxa"/>
            <w:noWrap/>
          </w:tcPr>
          <w:p w14:paraId="5A6DE73C" w14:textId="77777777" w:rsidR="00264E23" w:rsidRPr="0090158B" w:rsidRDefault="00264E23">
            <w:pPr>
              <w:pStyle w:val="Tabele"/>
              <w:jc w:val="right"/>
              <w:rPr>
                <w:color w:val="auto"/>
              </w:rPr>
            </w:pPr>
            <w:r w:rsidRPr="0090158B">
              <w:rPr>
                <w:rFonts w:cs="Arial"/>
                <w:color w:val="auto"/>
                <w:szCs w:val="16"/>
              </w:rPr>
              <w:t>1</w:t>
            </w:r>
          </w:p>
        </w:tc>
      </w:tr>
      <w:tr w:rsidR="00264E23" w:rsidRPr="00C94F26" w14:paraId="10712853" w14:textId="77777777" w:rsidTr="00CD24E8">
        <w:trPr>
          <w:trHeight w:val="227"/>
        </w:trPr>
        <w:tc>
          <w:tcPr>
            <w:tcW w:w="1773" w:type="dxa"/>
            <w:vMerge/>
          </w:tcPr>
          <w:p w14:paraId="485F21BE" w14:textId="77777777" w:rsidR="00264E23" w:rsidRPr="0090158B" w:rsidRDefault="00264E23">
            <w:pPr>
              <w:pStyle w:val="Tabele"/>
              <w:rPr>
                <w:color w:val="auto"/>
              </w:rPr>
            </w:pPr>
          </w:p>
        </w:tc>
        <w:tc>
          <w:tcPr>
            <w:tcW w:w="1774" w:type="dxa"/>
            <w:noWrap/>
            <w:hideMark/>
          </w:tcPr>
          <w:p w14:paraId="049E5530" w14:textId="77777777" w:rsidR="00264E23" w:rsidRPr="0090158B" w:rsidRDefault="00264E23">
            <w:pPr>
              <w:pStyle w:val="Tabele"/>
              <w:rPr>
                <w:color w:val="auto"/>
              </w:rPr>
            </w:pPr>
            <w:r w:rsidRPr="0090158B">
              <w:rPr>
                <w:color w:val="auto"/>
              </w:rPr>
              <w:t>2040</w:t>
            </w:r>
          </w:p>
        </w:tc>
        <w:tc>
          <w:tcPr>
            <w:tcW w:w="1775" w:type="dxa"/>
            <w:noWrap/>
          </w:tcPr>
          <w:p w14:paraId="4936B9C6" w14:textId="77777777" w:rsidR="00264E23" w:rsidRPr="0090158B" w:rsidRDefault="00264E23">
            <w:pPr>
              <w:pStyle w:val="Tabele"/>
              <w:jc w:val="right"/>
              <w:rPr>
                <w:color w:val="auto"/>
              </w:rPr>
            </w:pPr>
            <w:r w:rsidRPr="0090158B">
              <w:rPr>
                <w:rFonts w:cs="Arial"/>
                <w:color w:val="auto"/>
                <w:szCs w:val="16"/>
              </w:rPr>
              <w:t>4</w:t>
            </w:r>
          </w:p>
        </w:tc>
        <w:tc>
          <w:tcPr>
            <w:tcW w:w="1774" w:type="dxa"/>
            <w:noWrap/>
          </w:tcPr>
          <w:p w14:paraId="5381C8A1" w14:textId="77777777" w:rsidR="00264E23" w:rsidRPr="0090158B" w:rsidRDefault="00264E23">
            <w:pPr>
              <w:pStyle w:val="Tabele"/>
              <w:jc w:val="right"/>
              <w:rPr>
                <w:color w:val="auto"/>
              </w:rPr>
            </w:pPr>
            <w:r w:rsidRPr="0090158B">
              <w:rPr>
                <w:rFonts w:cs="Arial"/>
                <w:color w:val="auto"/>
                <w:szCs w:val="16"/>
              </w:rPr>
              <w:t>13 259</w:t>
            </w:r>
          </w:p>
        </w:tc>
        <w:tc>
          <w:tcPr>
            <w:tcW w:w="1774" w:type="dxa"/>
            <w:noWrap/>
          </w:tcPr>
          <w:p w14:paraId="34FAB150" w14:textId="77777777" w:rsidR="00264E23" w:rsidRPr="0090158B" w:rsidRDefault="00264E23">
            <w:pPr>
              <w:pStyle w:val="Tabele"/>
              <w:jc w:val="right"/>
              <w:rPr>
                <w:color w:val="auto"/>
              </w:rPr>
            </w:pPr>
            <w:r w:rsidRPr="0090158B">
              <w:rPr>
                <w:rFonts w:cs="Arial"/>
                <w:color w:val="auto"/>
                <w:szCs w:val="16"/>
              </w:rPr>
              <w:t>1</w:t>
            </w:r>
          </w:p>
        </w:tc>
      </w:tr>
    </w:tbl>
    <w:p w14:paraId="65E73DC8" w14:textId="71354617" w:rsidR="005C4144" w:rsidRPr="00C94F26" w:rsidRDefault="005C4144" w:rsidP="0090158B">
      <w:pPr>
        <w:pStyle w:val="Legenda"/>
      </w:pPr>
      <w:r w:rsidRPr="00C94F26">
        <w:t>Źródło: Opracowanie własne ARE S</w:t>
      </w:r>
      <w:r>
        <w:t>.</w:t>
      </w:r>
      <w:r w:rsidRPr="00C94F26">
        <w:t>A</w:t>
      </w:r>
      <w:r>
        <w:t>.</w:t>
      </w:r>
      <w:r w:rsidRPr="00C94F26">
        <w:t xml:space="preserve"> (STEAM-PL, MESSAGE-PL</w:t>
      </w:r>
      <w:r w:rsidR="00411C09">
        <w:t>)</w:t>
      </w:r>
    </w:p>
    <w:p w14:paraId="1BEE3B01" w14:textId="707CD6E6" w:rsidR="005C4144" w:rsidRPr="001E42B1" w:rsidRDefault="005C4144" w:rsidP="005C4144">
      <w:pPr>
        <w:pStyle w:val="Legenda"/>
      </w:pPr>
      <w:bookmarkStart w:id="246" w:name="_Ref156552225"/>
      <w:bookmarkStart w:id="247" w:name="_Ref195871191"/>
      <w:bookmarkStart w:id="248" w:name="_Toc171587186"/>
      <w:bookmarkStart w:id="249" w:name="_Toc174710970"/>
      <w:bookmarkStart w:id="250" w:name="_Toc202966973"/>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28</w:t>
      </w:r>
      <w:r w:rsidR="00653D9A">
        <w:rPr>
          <w:noProof/>
        </w:rPr>
        <w:fldChar w:fldCharType="end"/>
      </w:r>
      <w:bookmarkEnd w:id="246"/>
      <w:bookmarkEnd w:id="247"/>
      <w:r>
        <w:t xml:space="preserve">. </w:t>
      </w:r>
      <w:r w:rsidRPr="001E42B1">
        <w:rPr>
          <w:iCs w:val="0"/>
        </w:rPr>
        <w:t>Wytwarzanie ciepła</w:t>
      </w:r>
      <w:r>
        <w:rPr>
          <w:iCs w:val="0"/>
        </w:rPr>
        <w:t xml:space="preserve"> z </w:t>
      </w:r>
      <w:r w:rsidRPr="001E42B1">
        <w:rPr>
          <w:iCs w:val="0"/>
        </w:rPr>
        <w:t>odnawialnych źródeł energii</w:t>
      </w:r>
      <w:r>
        <w:rPr>
          <w:iCs w:val="0"/>
        </w:rPr>
        <w:t xml:space="preserve"> w </w:t>
      </w:r>
      <w:r w:rsidRPr="001E42B1">
        <w:rPr>
          <w:iCs w:val="0"/>
        </w:rPr>
        <w:t>budynkach [ktoe]</w:t>
      </w:r>
      <w:bookmarkEnd w:id="248"/>
      <w:bookmarkEnd w:id="249"/>
      <w:bookmarkEnd w:id="250"/>
    </w:p>
    <w:tbl>
      <w:tblPr>
        <w:tblStyle w:val="KPEiK"/>
        <w:tblW w:w="4847" w:type="pct"/>
        <w:tblLayout w:type="fixed"/>
        <w:tblLook w:val="04A0" w:firstRow="1" w:lastRow="0" w:firstColumn="1" w:lastColumn="0" w:noHBand="0" w:noVBand="1"/>
      </w:tblPr>
      <w:tblGrid>
        <w:gridCol w:w="1838"/>
        <w:gridCol w:w="1701"/>
        <w:gridCol w:w="1843"/>
        <w:gridCol w:w="1701"/>
        <w:gridCol w:w="1702"/>
      </w:tblGrid>
      <w:tr w:rsidR="00584713" w:rsidRPr="00584713" w14:paraId="4716164F" w14:textId="77777777">
        <w:trPr>
          <w:cnfStyle w:val="100000000000" w:firstRow="1" w:lastRow="0" w:firstColumn="0" w:lastColumn="0" w:oddVBand="0" w:evenVBand="0" w:oddHBand="0" w:evenHBand="0" w:firstRowFirstColumn="0" w:firstRowLastColumn="0" w:lastRowFirstColumn="0" w:lastRowLastColumn="0"/>
          <w:trHeight w:val="226"/>
          <w:tblHeader/>
        </w:trPr>
        <w:tc>
          <w:tcPr>
            <w:tcW w:w="1838" w:type="dxa"/>
            <w:noWrap/>
            <w:hideMark/>
          </w:tcPr>
          <w:p w14:paraId="421A7BC1" w14:textId="77777777" w:rsidR="00A72821" w:rsidRPr="005337F9" w:rsidRDefault="00A72821">
            <w:pPr>
              <w:pStyle w:val="Tabele"/>
              <w:jc w:val="center"/>
            </w:pPr>
            <w:r>
              <w:t>rok</w:t>
            </w:r>
          </w:p>
        </w:tc>
        <w:tc>
          <w:tcPr>
            <w:tcW w:w="1701" w:type="dxa"/>
            <w:noWrap/>
            <w:hideMark/>
          </w:tcPr>
          <w:p w14:paraId="0D0A7302" w14:textId="77777777" w:rsidR="00A72821" w:rsidRPr="005337F9" w:rsidRDefault="00A72821">
            <w:pPr>
              <w:pStyle w:val="Tabele"/>
              <w:jc w:val="center"/>
            </w:pPr>
            <w:r w:rsidRPr="005337F9">
              <w:t>Biogazownie</w:t>
            </w:r>
          </w:p>
        </w:tc>
        <w:tc>
          <w:tcPr>
            <w:tcW w:w="1843" w:type="dxa"/>
            <w:noWrap/>
            <w:hideMark/>
          </w:tcPr>
          <w:p w14:paraId="64EAC9AC" w14:textId="77777777" w:rsidR="00A72821" w:rsidRPr="005337F9" w:rsidRDefault="00A72821">
            <w:pPr>
              <w:pStyle w:val="Tabele"/>
              <w:jc w:val="center"/>
            </w:pPr>
            <w:r w:rsidRPr="005337F9">
              <w:t>Kolektory słoneczne</w:t>
            </w:r>
          </w:p>
        </w:tc>
        <w:tc>
          <w:tcPr>
            <w:tcW w:w="1701" w:type="dxa"/>
            <w:noWrap/>
            <w:hideMark/>
          </w:tcPr>
          <w:p w14:paraId="1E47C34C" w14:textId="77777777" w:rsidR="00A72821" w:rsidRPr="005337F9" w:rsidRDefault="00A72821">
            <w:pPr>
              <w:pStyle w:val="Tabele"/>
              <w:jc w:val="center"/>
            </w:pPr>
            <w:r w:rsidRPr="005337F9">
              <w:t>Kotły na biomasę</w:t>
            </w:r>
          </w:p>
        </w:tc>
        <w:tc>
          <w:tcPr>
            <w:tcW w:w="1702" w:type="dxa"/>
            <w:noWrap/>
            <w:hideMark/>
          </w:tcPr>
          <w:p w14:paraId="421BFF18" w14:textId="77777777" w:rsidR="00A72821" w:rsidRPr="00584713" w:rsidRDefault="00A72821">
            <w:pPr>
              <w:pStyle w:val="Tabele"/>
              <w:jc w:val="center"/>
              <w:rPr>
                <w:color w:val="auto"/>
              </w:rPr>
            </w:pPr>
            <w:r w:rsidRPr="00584713">
              <w:t>Pompy ciepła</w:t>
            </w:r>
          </w:p>
        </w:tc>
      </w:tr>
      <w:tr w:rsidR="001C0D24" w:rsidRPr="00F85B97" w14:paraId="453B5A10" w14:textId="77777777" w:rsidTr="001C0D24">
        <w:trPr>
          <w:trHeight w:val="226"/>
        </w:trPr>
        <w:tc>
          <w:tcPr>
            <w:tcW w:w="1838" w:type="dxa"/>
            <w:shd w:val="clear" w:color="auto" w:fill="C5E0B3"/>
            <w:noWrap/>
            <w:hideMark/>
          </w:tcPr>
          <w:p w14:paraId="515B7C23" w14:textId="77777777" w:rsidR="001C0D24" w:rsidRPr="00D857A6" w:rsidRDefault="001C0D24" w:rsidP="001C0D24">
            <w:pPr>
              <w:pStyle w:val="Tabele"/>
              <w:rPr>
                <w:color w:val="auto"/>
              </w:rPr>
            </w:pPr>
            <w:r w:rsidRPr="00D857A6">
              <w:rPr>
                <w:color w:val="auto"/>
              </w:rPr>
              <w:t>2015</w:t>
            </w:r>
          </w:p>
        </w:tc>
        <w:tc>
          <w:tcPr>
            <w:tcW w:w="1701" w:type="dxa"/>
            <w:shd w:val="clear" w:color="auto" w:fill="C5E0B3"/>
            <w:noWrap/>
            <w:hideMark/>
          </w:tcPr>
          <w:p w14:paraId="3DB63B2F" w14:textId="77777777" w:rsidR="001C0D24" w:rsidRPr="00D857A6" w:rsidRDefault="001C0D24" w:rsidP="001C0D24">
            <w:pPr>
              <w:pStyle w:val="Tabele"/>
              <w:jc w:val="right"/>
              <w:rPr>
                <w:color w:val="auto"/>
              </w:rPr>
            </w:pPr>
            <w:r w:rsidRPr="00D857A6">
              <w:rPr>
                <w:color w:val="auto"/>
              </w:rPr>
              <w:t>0</w:t>
            </w:r>
          </w:p>
        </w:tc>
        <w:tc>
          <w:tcPr>
            <w:tcW w:w="1843" w:type="dxa"/>
            <w:shd w:val="clear" w:color="auto" w:fill="C5E0B3"/>
            <w:noWrap/>
            <w:hideMark/>
          </w:tcPr>
          <w:p w14:paraId="13094634" w14:textId="77777777" w:rsidR="001C0D24" w:rsidRPr="00D857A6" w:rsidRDefault="001C0D24" w:rsidP="001C0D24">
            <w:pPr>
              <w:pStyle w:val="Tabele"/>
              <w:jc w:val="right"/>
              <w:rPr>
                <w:color w:val="auto"/>
              </w:rPr>
            </w:pPr>
            <w:r w:rsidRPr="00D857A6">
              <w:rPr>
                <w:color w:val="auto"/>
              </w:rPr>
              <w:t>45</w:t>
            </w:r>
          </w:p>
        </w:tc>
        <w:tc>
          <w:tcPr>
            <w:tcW w:w="1701" w:type="dxa"/>
            <w:shd w:val="clear" w:color="auto" w:fill="C5E0B3"/>
            <w:noWrap/>
            <w:hideMark/>
          </w:tcPr>
          <w:p w14:paraId="65D70158" w14:textId="77777777" w:rsidR="001C0D24" w:rsidRPr="00D857A6" w:rsidRDefault="001C0D24" w:rsidP="001C0D24">
            <w:pPr>
              <w:pStyle w:val="Tabele"/>
              <w:jc w:val="right"/>
              <w:rPr>
                <w:color w:val="auto"/>
              </w:rPr>
            </w:pPr>
            <w:r w:rsidRPr="00D857A6">
              <w:rPr>
                <w:color w:val="auto"/>
              </w:rPr>
              <w:t>2 281</w:t>
            </w:r>
          </w:p>
        </w:tc>
        <w:tc>
          <w:tcPr>
            <w:tcW w:w="1702" w:type="dxa"/>
            <w:shd w:val="clear" w:color="auto" w:fill="C5E0B3"/>
            <w:noWrap/>
          </w:tcPr>
          <w:p w14:paraId="045B7F9D" w14:textId="590177F2" w:rsidR="001C0D24" w:rsidRPr="00D857A6" w:rsidRDefault="001C0D24" w:rsidP="001C0D24">
            <w:pPr>
              <w:pStyle w:val="Tabele"/>
              <w:jc w:val="right"/>
              <w:rPr>
                <w:color w:val="auto"/>
              </w:rPr>
            </w:pPr>
            <w:r>
              <w:rPr>
                <w:color w:val="000000"/>
                <w:szCs w:val="16"/>
              </w:rPr>
              <w:t>133</w:t>
            </w:r>
          </w:p>
        </w:tc>
      </w:tr>
      <w:tr w:rsidR="001C0D24" w:rsidRPr="00F85B97" w14:paraId="3713535A" w14:textId="77777777" w:rsidTr="001C0D24">
        <w:trPr>
          <w:trHeight w:val="226"/>
        </w:trPr>
        <w:tc>
          <w:tcPr>
            <w:tcW w:w="1838" w:type="dxa"/>
            <w:shd w:val="clear" w:color="auto" w:fill="C5E0B3"/>
            <w:noWrap/>
            <w:hideMark/>
          </w:tcPr>
          <w:p w14:paraId="124B1B09" w14:textId="77777777" w:rsidR="001C0D24" w:rsidRPr="00D857A6" w:rsidRDefault="001C0D24" w:rsidP="001C0D24">
            <w:pPr>
              <w:pStyle w:val="Tabele"/>
              <w:rPr>
                <w:color w:val="auto"/>
              </w:rPr>
            </w:pPr>
            <w:r w:rsidRPr="00D857A6">
              <w:rPr>
                <w:color w:val="auto"/>
              </w:rPr>
              <w:t>2020</w:t>
            </w:r>
          </w:p>
        </w:tc>
        <w:tc>
          <w:tcPr>
            <w:tcW w:w="1701" w:type="dxa"/>
            <w:shd w:val="clear" w:color="auto" w:fill="C5E0B3"/>
            <w:noWrap/>
            <w:hideMark/>
          </w:tcPr>
          <w:p w14:paraId="6658ED34" w14:textId="77777777" w:rsidR="001C0D24" w:rsidRPr="00D857A6" w:rsidRDefault="001C0D24" w:rsidP="001C0D24">
            <w:pPr>
              <w:pStyle w:val="Tabele"/>
              <w:jc w:val="right"/>
              <w:rPr>
                <w:color w:val="auto"/>
              </w:rPr>
            </w:pPr>
            <w:r w:rsidRPr="00D857A6">
              <w:rPr>
                <w:color w:val="auto"/>
              </w:rPr>
              <w:t>0</w:t>
            </w:r>
          </w:p>
        </w:tc>
        <w:tc>
          <w:tcPr>
            <w:tcW w:w="1843" w:type="dxa"/>
            <w:shd w:val="clear" w:color="auto" w:fill="C5E0B3"/>
            <w:noWrap/>
            <w:hideMark/>
          </w:tcPr>
          <w:p w14:paraId="7C90C1EC" w14:textId="77777777" w:rsidR="001C0D24" w:rsidRPr="00D857A6" w:rsidRDefault="001C0D24" w:rsidP="001C0D24">
            <w:pPr>
              <w:pStyle w:val="Tabele"/>
              <w:jc w:val="right"/>
              <w:rPr>
                <w:color w:val="auto"/>
              </w:rPr>
            </w:pPr>
            <w:r w:rsidRPr="00D857A6">
              <w:rPr>
                <w:color w:val="auto"/>
              </w:rPr>
              <w:t>80</w:t>
            </w:r>
          </w:p>
        </w:tc>
        <w:tc>
          <w:tcPr>
            <w:tcW w:w="1701" w:type="dxa"/>
            <w:shd w:val="clear" w:color="auto" w:fill="C5E0B3"/>
            <w:noWrap/>
            <w:hideMark/>
          </w:tcPr>
          <w:p w14:paraId="586C795D" w14:textId="77777777" w:rsidR="001C0D24" w:rsidRPr="00D857A6" w:rsidRDefault="001C0D24" w:rsidP="001C0D24">
            <w:pPr>
              <w:pStyle w:val="Tabele"/>
              <w:jc w:val="right"/>
              <w:rPr>
                <w:color w:val="auto"/>
              </w:rPr>
            </w:pPr>
            <w:r w:rsidRPr="00D857A6">
              <w:rPr>
                <w:color w:val="auto"/>
              </w:rPr>
              <w:t>2 098</w:t>
            </w:r>
          </w:p>
        </w:tc>
        <w:tc>
          <w:tcPr>
            <w:tcW w:w="1702" w:type="dxa"/>
            <w:shd w:val="clear" w:color="auto" w:fill="C5E0B3"/>
            <w:noWrap/>
          </w:tcPr>
          <w:p w14:paraId="5478BDB9" w14:textId="2863595B" w:rsidR="001C0D24" w:rsidRPr="00D857A6" w:rsidRDefault="001C0D24" w:rsidP="001C0D24">
            <w:pPr>
              <w:pStyle w:val="Tabele"/>
              <w:jc w:val="right"/>
              <w:rPr>
                <w:color w:val="auto"/>
              </w:rPr>
            </w:pPr>
            <w:r>
              <w:rPr>
                <w:color w:val="000000"/>
                <w:szCs w:val="16"/>
              </w:rPr>
              <w:t>305</w:t>
            </w:r>
          </w:p>
        </w:tc>
      </w:tr>
      <w:tr w:rsidR="001C0D24" w:rsidRPr="00F85B97" w14:paraId="618D617E" w14:textId="77777777" w:rsidTr="00A72821">
        <w:trPr>
          <w:trHeight w:val="226"/>
        </w:trPr>
        <w:tc>
          <w:tcPr>
            <w:tcW w:w="1838" w:type="dxa"/>
            <w:noWrap/>
            <w:hideMark/>
          </w:tcPr>
          <w:p w14:paraId="5328341E" w14:textId="77777777" w:rsidR="001C0D24" w:rsidRPr="00D857A6" w:rsidRDefault="001C0D24" w:rsidP="001C0D24">
            <w:pPr>
              <w:pStyle w:val="Tabele"/>
              <w:rPr>
                <w:color w:val="auto"/>
              </w:rPr>
            </w:pPr>
            <w:r w:rsidRPr="00D857A6">
              <w:rPr>
                <w:color w:val="auto"/>
              </w:rPr>
              <w:t>2025</w:t>
            </w:r>
          </w:p>
        </w:tc>
        <w:tc>
          <w:tcPr>
            <w:tcW w:w="1701" w:type="dxa"/>
            <w:noWrap/>
          </w:tcPr>
          <w:p w14:paraId="486435EB" w14:textId="77777777" w:rsidR="001C0D24" w:rsidRPr="00D857A6" w:rsidRDefault="001C0D24" w:rsidP="001C0D24">
            <w:pPr>
              <w:pStyle w:val="Tabele"/>
              <w:jc w:val="right"/>
              <w:rPr>
                <w:color w:val="auto"/>
              </w:rPr>
            </w:pPr>
            <w:r w:rsidRPr="00D857A6">
              <w:rPr>
                <w:rFonts w:cs="Arial"/>
                <w:color w:val="auto"/>
                <w:szCs w:val="16"/>
              </w:rPr>
              <w:t>4</w:t>
            </w:r>
          </w:p>
        </w:tc>
        <w:tc>
          <w:tcPr>
            <w:tcW w:w="1843" w:type="dxa"/>
            <w:noWrap/>
          </w:tcPr>
          <w:p w14:paraId="47755C1A" w14:textId="77777777" w:rsidR="001C0D24" w:rsidRPr="00D857A6" w:rsidRDefault="001C0D24" w:rsidP="001C0D24">
            <w:pPr>
              <w:pStyle w:val="Tabele"/>
              <w:jc w:val="right"/>
              <w:rPr>
                <w:color w:val="auto"/>
              </w:rPr>
            </w:pPr>
            <w:r w:rsidRPr="00D857A6">
              <w:rPr>
                <w:rFonts w:cs="Arial"/>
                <w:color w:val="auto"/>
                <w:szCs w:val="16"/>
              </w:rPr>
              <w:t>267</w:t>
            </w:r>
          </w:p>
        </w:tc>
        <w:tc>
          <w:tcPr>
            <w:tcW w:w="1701" w:type="dxa"/>
            <w:noWrap/>
          </w:tcPr>
          <w:p w14:paraId="7C5B2237" w14:textId="77777777" w:rsidR="001C0D24" w:rsidRPr="00D857A6" w:rsidRDefault="001C0D24" w:rsidP="001C0D24">
            <w:pPr>
              <w:pStyle w:val="Tabele"/>
              <w:jc w:val="right"/>
              <w:rPr>
                <w:color w:val="auto"/>
              </w:rPr>
            </w:pPr>
            <w:r w:rsidRPr="00D857A6">
              <w:rPr>
                <w:rFonts w:cs="Arial"/>
                <w:color w:val="auto"/>
                <w:szCs w:val="16"/>
              </w:rPr>
              <w:t>2 015</w:t>
            </w:r>
          </w:p>
        </w:tc>
        <w:tc>
          <w:tcPr>
            <w:tcW w:w="1702" w:type="dxa"/>
            <w:noWrap/>
          </w:tcPr>
          <w:p w14:paraId="4F3C90D7" w14:textId="0667B4C1" w:rsidR="001C0D24" w:rsidRPr="00D857A6" w:rsidRDefault="001C0D24" w:rsidP="001C0D24">
            <w:pPr>
              <w:pStyle w:val="Tabele"/>
              <w:jc w:val="right"/>
              <w:rPr>
                <w:color w:val="auto"/>
              </w:rPr>
            </w:pPr>
            <w:r>
              <w:rPr>
                <w:color w:val="000000"/>
                <w:szCs w:val="16"/>
              </w:rPr>
              <w:t>1 246</w:t>
            </w:r>
          </w:p>
        </w:tc>
      </w:tr>
      <w:tr w:rsidR="001C0D24" w:rsidRPr="00F85B97" w14:paraId="14BD95B3" w14:textId="77777777" w:rsidTr="00A72821">
        <w:trPr>
          <w:trHeight w:val="226"/>
        </w:trPr>
        <w:tc>
          <w:tcPr>
            <w:tcW w:w="1838" w:type="dxa"/>
            <w:noWrap/>
            <w:hideMark/>
          </w:tcPr>
          <w:p w14:paraId="4B2DBDDA" w14:textId="77777777" w:rsidR="001C0D24" w:rsidRPr="00D857A6" w:rsidRDefault="001C0D24" w:rsidP="001C0D24">
            <w:pPr>
              <w:pStyle w:val="Tabele"/>
              <w:rPr>
                <w:color w:val="auto"/>
              </w:rPr>
            </w:pPr>
            <w:r w:rsidRPr="00D857A6">
              <w:rPr>
                <w:color w:val="auto"/>
              </w:rPr>
              <w:t>2030</w:t>
            </w:r>
          </w:p>
        </w:tc>
        <w:tc>
          <w:tcPr>
            <w:tcW w:w="1701" w:type="dxa"/>
            <w:noWrap/>
          </w:tcPr>
          <w:p w14:paraId="34D93718" w14:textId="77777777" w:rsidR="001C0D24" w:rsidRPr="00D857A6" w:rsidRDefault="001C0D24" w:rsidP="001C0D24">
            <w:pPr>
              <w:pStyle w:val="Tabele"/>
              <w:jc w:val="right"/>
              <w:rPr>
                <w:color w:val="auto"/>
              </w:rPr>
            </w:pPr>
            <w:r w:rsidRPr="00D857A6">
              <w:rPr>
                <w:rFonts w:cs="Arial"/>
                <w:color w:val="auto"/>
                <w:szCs w:val="16"/>
              </w:rPr>
              <w:t>6</w:t>
            </w:r>
          </w:p>
        </w:tc>
        <w:tc>
          <w:tcPr>
            <w:tcW w:w="1843" w:type="dxa"/>
            <w:noWrap/>
          </w:tcPr>
          <w:p w14:paraId="0C235549" w14:textId="77777777" w:rsidR="001C0D24" w:rsidRPr="00D857A6" w:rsidRDefault="001C0D24" w:rsidP="001C0D24">
            <w:pPr>
              <w:pStyle w:val="Tabele"/>
              <w:jc w:val="right"/>
              <w:rPr>
                <w:color w:val="auto"/>
              </w:rPr>
            </w:pPr>
            <w:r w:rsidRPr="00D857A6">
              <w:rPr>
                <w:rFonts w:cs="Arial"/>
                <w:color w:val="auto"/>
                <w:szCs w:val="16"/>
              </w:rPr>
              <w:t>428</w:t>
            </w:r>
          </w:p>
        </w:tc>
        <w:tc>
          <w:tcPr>
            <w:tcW w:w="1701" w:type="dxa"/>
            <w:noWrap/>
          </w:tcPr>
          <w:p w14:paraId="428B8286" w14:textId="77777777" w:rsidR="001C0D24" w:rsidRPr="00D857A6" w:rsidRDefault="001C0D24" w:rsidP="001C0D24">
            <w:pPr>
              <w:pStyle w:val="Tabele"/>
              <w:jc w:val="right"/>
              <w:rPr>
                <w:color w:val="auto"/>
              </w:rPr>
            </w:pPr>
            <w:r w:rsidRPr="00D857A6">
              <w:rPr>
                <w:rFonts w:cs="Arial"/>
                <w:color w:val="auto"/>
                <w:szCs w:val="16"/>
              </w:rPr>
              <w:t>2 329</w:t>
            </w:r>
          </w:p>
        </w:tc>
        <w:tc>
          <w:tcPr>
            <w:tcW w:w="1702" w:type="dxa"/>
            <w:noWrap/>
          </w:tcPr>
          <w:p w14:paraId="7D1B2093" w14:textId="538E0889" w:rsidR="001C0D24" w:rsidRPr="00D857A6" w:rsidRDefault="001C0D24" w:rsidP="001C0D24">
            <w:pPr>
              <w:pStyle w:val="Tabele"/>
              <w:jc w:val="right"/>
              <w:rPr>
                <w:color w:val="auto"/>
              </w:rPr>
            </w:pPr>
            <w:r>
              <w:rPr>
                <w:color w:val="000000"/>
                <w:szCs w:val="16"/>
              </w:rPr>
              <w:t>1 753</w:t>
            </w:r>
          </w:p>
        </w:tc>
      </w:tr>
      <w:tr w:rsidR="001C0D24" w:rsidRPr="00F85B97" w14:paraId="427B5A62" w14:textId="77777777" w:rsidTr="00A72821">
        <w:trPr>
          <w:trHeight w:val="226"/>
        </w:trPr>
        <w:tc>
          <w:tcPr>
            <w:tcW w:w="1838" w:type="dxa"/>
            <w:noWrap/>
            <w:hideMark/>
          </w:tcPr>
          <w:p w14:paraId="1EEDFB69" w14:textId="77777777" w:rsidR="001C0D24" w:rsidRPr="00D857A6" w:rsidRDefault="001C0D24" w:rsidP="001C0D24">
            <w:pPr>
              <w:pStyle w:val="Tabele"/>
              <w:rPr>
                <w:color w:val="auto"/>
              </w:rPr>
            </w:pPr>
            <w:r w:rsidRPr="00D857A6">
              <w:rPr>
                <w:color w:val="auto"/>
              </w:rPr>
              <w:t>2035</w:t>
            </w:r>
          </w:p>
        </w:tc>
        <w:tc>
          <w:tcPr>
            <w:tcW w:w="1701" w:type="dxa"/>
            <w:noWrap/>
          </w:tcPr>
          <w:p w14:paraId="2AD29B66" w14:textId="77777777" w:rsidR="001C0D24" w:rsidRPr="00D857A6" w:rsidRDefault="001C0D24" w:rsidP="001C0D24">
            <w:pPr>
              <w:pStyle w:val="Tabele"/>
              <w:jc w:val="right"/>
              <w:rPr>
                <w:color w:val="auto"/>
              </w:rPr>
            </w:pPr>
            <w:r w:rsidRPr="00D857A6">
              <w:rPr>
                <w:rFonts w:cs="Arial"/>
                <w:color w:val="auto"/>
                <w:szCs w:val="16"/>
              </w:rPr>
              <w:t>8</w:t>
            </w:r>
          </w:p>
        </w:tc>
        <w:tc>
          <w:tcPr>
            <w:tcW w:w="1843" w:type="dxa"/>
            <w:noWrap/>
          </w:tcPr>
          <w:p w14:paraId="6CA070FE" w14:textId="77777777" w:rsidR="001C0D24" w:rsidRPr="00D857A6" w:rsidRDefault="001C0D24" w:rsidP="001C0D24">
            <w:pPr>
              <w:pStyle w:val="Tabele"/>
              <w:jc w:val="right"/>
              <w:rPr>
                <w:color w:val="auto"/>
              </w:rPr>
            </w:pPr>
            <w:r w:rsidRPr="00D857A6">
              <w:rPr>
                <w:rFonts w:cs="Arial"/>
                <w:color w:val="auto"/>
                <w:szCs w:val="16"/>
              </w:rPr>
              <w:t>513</w:t>
            </w:r>
          </w:p>
        </w:tc>
        <w:tc>
          <w:tcPr>
            <w:tcW w:w="1701" w:type="dxa"/>
            <w:noWrap/>
          </w:tcPr>
          <w:p w14:paraId="621BB16A" w14:textId="77777777" w:rsidR="001C0D24" w:rsidRPr="00D857A6" w:rsidRDefault="001C0D24" w:rsidP="001C0D24">
            <w:pPr>
              <w:pStyle w:val="Tabele"/>
              <w:jc w:val="right"/>
              <w:rPr>
                <w:color w:val="auto"/>
              </w:rPr>
            </w:pPr>
            <w:r w:rsidRPr="00D857A6">
              <w:rPr>
                <w:rFonts w:cs="Arial"/>
                <w:color w:val="auto"/>
                <w:szCs w:val="16"/>
              </w:rPr>
              <w:t>2 089</w:t>
            </w:r>
          </w:p>
        </w:tc>
        <w:tc>
          <w:tcPr>
            <w:tcW w:w="1702" w:type="dxa"/>
            <w:noWrap/>
          </w:tcPr>
          <w:p w14:paraId="5B721423" w14:textId="0AEA40FF" w:rsidR="001C0D24" w:rsidRPr="00D857A6" w:rsidRDefault="001C0D24" w:rsidP="001C0D24">
            <w:pPr>
              <w:pStyle w:val="Tabele"/>
              <w:jc w:val="right"/>
              <w:rPr>
                <w:color w:val="auto"/>
              </w:rPr>
            </w:pPr>
            <w:r>
              <w:rPr>
                <w:color w:val="000000"/>
                <w:szCs w:val="16"/>
              </w:rPr>
              <w:t>2 637</w:t>
            </w:r>
          </w:p>
        </w:tc>
      </w:tr>
      <w:tr w:rsidR="001C0D24" w:rsidRPr="00F85B97" w14:paraId="4A163884" w14:textId="77777777" w:rsidTr="00A72821">
        <w:trPr>
          <w:trHeight w:val="226"/>
        </w:trPr>
        <w:tc>
          <w:tcPr>
            <w:tcW w:w="1838" w:type="dxa"/>
            <w:noWrap/>
            <w:hideMark/>
          </w:tcPr>
          <w:p w14:paraId="38A2F08D" w14:textId="77777777" w:rsidR="001C0D24" w:rsidRPr="00D857A6" w:rsidRDefault="001C0D24" w:rsidP="001C0D24">
            <w:pPr>
              <w:pStyle w:val="Tabele"/>
              <w:rPr>
                <w:color w:val="auto"/>
              </w:rPr>
            </w:pPr>
            <w:r w:rsidRPr="00D857A6">
              <w:rPr>
                <w:color w:val="auto"/>
              </w:rPr>
              <w:t>2040</w:t>
            </w:r>
          </w:p>
        </w:tc>
        <w:tc>
          <w:tcPr>
            <w:tcW w:w="1701" w:type="dxa"/>
            <w:noWrap/>
          </w:tcPr>
          <w:p w14:paraId="5DF3345A" w14:textId="77777777" w:rsidR="001C0D24" w:rsidRPr="00D857A6" w:rsidRDefault="001C0D24" w:rsidP="001C0D24">
            <w:pPr>
              <w:pStyle w:val="Tabele"/>
              <w:jc w:val="right"/>
              <w:rPr>
                <w:color w:val="auto"/>
              </w:rPr>
            </w:pPr>
            <w:r w:rsidRPr="00D857A6">
              <w:rPr>
                <w:rFonts w:cs="Arial"/>
                <w:color w:val="auto"/>
                <w:szCs w:val="16"/>
              </w:rPr>
              <w:t>11</w:t>
            </w:r>
          </w:p>
        </w:tc>
        <w:tc>
          <w:tcPr>
            <w:tcW w:w="1843" w:type="dxa"/>
            <w:noWrap/>
          </w:tcPr>
          <w:p w14:paraId="562C4672" w14:textId="77777777" w:rsidR="001C0D24" w:rsidRPr="00D857A6" w:rsidRDefault="001C0D24" w:rsidP="001C0D24">
            <w:pPr>
              <w:pStyle w:val="Tabele"/>
              <w:jc w:val="right"/>
              <w:rPr>
                <w:color w:val="auto"/>
              </w:rPr>
            </w:pPr>
            <w:r w:rsidRPr="00D857A6">
              <w:rPr>
                <w:rFonts w:cs="Arial"/>
                <w:color w:val="auto"/>
                <w:szCs w:val="16"/>
              </w:rPr>
              <w:t>557</w:t>
            </w:r>
          </w:p>
        </w:tc>
        <w:tc>
          <w:tcPr>
            <w:tcW w:w="1701" w:type="dxa"/>
            <w:noWrap/>
          </w:tcPr>
          <w:p w14:paraId="7B9776E0" w14:textId="77777777" w:rsidR="001C0D24" w:rsidRPr="00D857A6" w:rsidRDefault="001C0D24" w:rsidP="001C0D24">
            <w:pPr>
              <w:pStyle w:val="Tabele"/>
              <w:jc w:val="right"/>
              <w:rPr>
                <w:color w:val="auto"/>
              </w:rPr>
            </w:pPr>
            <w:r w:rsidRPr="00D857A6">
              <w:rPr>
                <w:rFonts w:cs="Arial"/>
                <w:color w:val="auto"/>
                <w:szCs w:val="16"/>
              </w:rPr>
              <w:t>1 862</w:t>
            </w:r>
          </w:p>
        </w:tc>
        <w:tc>
          <w:tcPr>
            <w:tcW w:w="1702" w:type="dxa"/>
            <w:noWrap/>
          </w:tcPr>
          <w:p w14:paraId="7CB86C0D" w14:textId="57CC2637" w:rsidR="001C0D24" w:rsidRPr="00D857A6" w:rsidRDefault="001C0D24" w:rsidP="001C0D24">
            <w:pPr>
              <w:pStyle w:val="Tabele"/>
              <w:jc w:val="right"/>
              <w:rPr>
                <w:color w:val="auto"/>
              </w:rPr>
            </w:pPr>
            <w:r>
              <w:rPr>
                <w:color w:val="000000"/>
                <w:szCs w:val="16"/>
              </w:rPr>
              <w:t>3 389</w:t>
            </w:r>
          </w:p>
        </w:tc>
      </w:tr>
    </w:tbl>
    <w:p w14:paraId="7B67D9AE" w14:textId="7A4D5BD6" w:rsidR="005C4144" w:rsidRDefault="005C4144" w:rsidP="00D857A6">
      <w:pPr>
        <w:pStyle w:val="Legenda"/>
      </w:pPr>
      <w:r w:rsidRPr="00C94F26">
        <w:t>Źródło: Opracowanie własne ARE S</w:t>
      </w:r>
      <w:r>
        <w:t>.</w:t>
      </w:r>
      <w:r w:rsidRPr="00C94F26">
        <w:t>A</w:t>
      </w:r>
      <w:r>
        <w:t>.</w:t>
      </w:r>
      <w:r w:rsidRPr="00C94F26">
        <w:t xml:space="preserve"> (STEAM-PL, MESSAGE-PL)</w:t>
      </w:r>
    </w:p>
    <w:p w14:paraId="38C59FF3" w14:textId="047709FA" w:rsidR="005C4144" w:rsidRPr="00F56070" w:rsidRDefault="005C4144" w:rsidP="005C4144">
      <w:r w:rsidRPr="00F56070">
        <w:t xml:space="preserve">W </w:t>
      </w:r>
      <w:r w:rsidR="0082645D">
        <w:t>poniższych tabelach</w:t>
      </w:r>
      <w:r w:rsidR="00FE5688">
        <w:t xml:space="preserve"> </w:t>
      </w:r>
      <w:r w:rsidR="00FE5688" w:rsidRPr="00F56070">
        <w:t>zaprez</w:t>
      </w:r>
      <w:r w:rsidR="00FE5688">
        <w:t>entowano projekcje wykorzystania</w:t>
      </w:r>
      <w:r w:rsidR="00FE5688" w:rsidRPr="00F56070">
        <w:t xml:space="preserve"> OZE w </w:t>
      </w:r>
      <w:r w:rsidR="008D5DBB">
        <w:t xml:space="preserve">budynkach </w:t>
      </w:r>
      <w:r w:rsidR="0082645D">
        <w:t xml:space="preserve">i </w:t>
      </w:r>
      <w:r w:rsidR="00FE5688" w:rsidRPr="00F56070">
        <w:t>przemyśle w</w:t>
      </w:r>
      <w:r w:rsidR="00C7033C">
        <w:t> </w:t>
      </w:r>
      <w:r w:rsidR="00FE5688" w:rsidRPr="00F56070">
        <w:t>podziale na źródła oraz projekcje udziału w zużyciu energii ogółem. Z danych tych wynika wzrost udziału OZE w budynka</w:t>
      </w:r>
      <w:r w:rsidR="00FE5688">
        <w:t>ch z ok. 25% w 2020 r. do ok. 49</w:t>
      </w:r>
      <w:r w:rsidR="00FE5688" w:rsidRPr="00F56070">
        <w:t>% w 2030 r. i następ</w:t>
      </w:r>
      <w:r w:rsidR="00FE5688">
        <w:t xml:space="preserve">nie </w:t>
      </w:r>
      <w:r w:rsidR="003A57AA" w:rsidRPr="003A57AA">
        <w:t>ok.87</w:t>
      </w:r>
      <w:r w:rsidR="00FE5688" w:rsidRPr="003A57AA">
        <w:t xml:space="preserve">% </w:t>
      </w:r>
      <w:r w:rsidR="00FE5688" w:rsidRPr="00203B4E">
        <w:t>w 20</w:t>
      </w:r>
      <w:r w:rsidR="00DE44E6" w:rsidRPr="00203B4E">
        <w:t>4</w:t>
      </w:r>
      <w:r w:rsidR="00FE5688" w:rsidRPr="00203B4E">
        <w:t>0 r.</w:t>
      </w:r>
      <w:r w:rsidR="00FE5688" w:rsidRPr="00F56070">
        <w:t xml:space="preserve"> </w:t>
      </w:r>
      <w:r w:rsidR="00FE5688">
        <w:t xml:space="preserve">Z kolei w przemyśle udział OZE wzrasta z poziomu ok. 12% w 2020 r. do prawie 24% w 2030 i </w:t>
      </w:r>
      <w:r w:rsidR="00203B4E" w:rsidRPr="00203B4E">
        <w:t>ponad 42</w:t>
      </w:r>
      <w:r w:rsidR="00FE5688" w:rsidRPr="00203B4E">
        <w:t>% w</w:t>
      </w:r>
      <w:r w:rsidR="00C7033C">
        <w:t> </w:t>
      </w:r>
      <w:r w:rsidR="00FE5688" w:rsidRPr="00203B4E">
        <w:t>20</w:t>
      </w:r>
      <w:r w:rsidR="00DE44E6" w:rsidRPr="00203B4E">
        <w:t>4</w:t>
      </w:r>
      <w:r w:rsidR="00FE5688" w:rsidRPr="00203B4E">
        <w:t>0</w:t>
      </w:r>
      <w:r w:rsidR="003762C9">
        <w:t xml:space="preserve"> </w:t>
      </w:r>
      <w:r w:rsidR="00FE5688" w:rsidRPr="004A74F4">
        <w:t>r.</w:t>
      </w:r>
      <w:r w:rsidR="00486F2C" w:rsidRPr="004A74F4">
        <w:t xml:space="preserve"> </w:t>
      </w:r>
      <w:r w:rsidR="002915FE" w:rsidRPr="004A74F4">
        <w:t>W horyzoncie najbliższych dwóch dekad</w:t>
      </w:r>
      <w:r w:rsidR="00A54BA2" w:rsidRPr="004A74F4">
        <w:t xml:space="preserve"> biome</w:t>
      </w:r>
      <w:r w:rsidR="00371FEC" w:rsidRPr="004A74F4">
        <w:t xml:space="preserve">tan </w:t>
      </w:r>
      <w:r w:rsidR="0009620F" w:rsidRPr="004A74F4">
        <w:t xml:space="preserve">wprowadzany do sieci gazowych </w:t>
      </w:r>
      <w:r w:rsidR="00371FEC" w:rsidRPr="004A74F4">
        <w:t xml:space="preserve">będzie </w:t>
      </w:r>
      <w:r w:rsidR="002C14D2" w:rsidRPr="004A74F4">
        <w:t xml:space="preserve">silnie </w:t>
      </w:r>
      <w:r w:rsidR="00D17EA1" w:rsidRPr="004A74F4">
        <w:t xml:space="preserve">zyskiwał na znaczeniu </w:t>
      </w:r>
      <w:r w:rsidR="002C14D2" w:rsidRPr="004A74F4">
        <w:t>w przemyśle</w:t>
      </w:r>
      <w:r w:rsidR="0009620F" w:rsidRPr="004A74F4">
        <w:t>,</w:t>
      </w:r>
      <w:r w:rsidR="00871C78" w:rsidRPr="004A74F4">
        <w:t xml:space="preserve"> uzupełnian</w:t>
      </w:r>
      <w:r w:rsidR="002C14D2" w:rsidRPr="004A74F4">
        <w:t>y</w:t>
      </w:r>
      <w:r w:rsidR="00871C78" w:rsidRPr="004A74F4">
        <w:t xml:space="preserve"> </w:t>
      </w:r>
      <w:r w:rsidR="00434786" w:rsidRPr="004A74F4">
        <w:t>stopniowo</w:t>
      </w:r>
      <w:r w:rsidR="00871C78" w:rsidRPr="004A74F4">
        <w:t xml:space="preserve"> </w:t>
      </w:r>
      <w:r w:rsidR="0048601B" w:rsidRPr="004A74F4">
        <w:t>pr</w:t>
      </w:r>
      <w:r w:rsidR="00EB2442" w:rsidRPr="004A74F4">
        <w:t xml:space="preserve">zez </w:t>
      </w:r>
      <w:r w:rsidR="004841C2" w:rsidRPr="004A74F4">
        <w:t>wod</w:t>
      </w:r>
      <w:r w:rsidR="00EB2442" w:rsidRPr="004A74F4">
        <w:t>ór</w:t>
      </w:r>
      <w:r w:rsidR="004841C2" w:rsidRPr="004A74F4">
        <w:t xml:space="preserve">. </w:t>
      </w:r>
      <w:r w:rsidR="00434786" w:rsidRPr="004A74F4">
        <w:t>N</w:t>
      </w:r>
      <w:r w:rsidR="004841C2" w:rsidRPr="004A74F4">
        <w:t>atomiast</w:t>
      </w:r>
      <w:r w:rsidR="00434786" w:rsidRPr="004A74F4">
        <w:t xml:space="preserve"> biogaz</w:t>
      </w:r>
      <w:r w:rsidR="004841C2" w:rsidRPr="004A74F4">
        <w:t xml:space="preserve"> będzie źródłem </w:t>
      </w:r>
      <w:r w:rsidR="004A74F4" w:rsidRPr="004A74F4">
        <w:t xml:space="preserve">paliwa gazowego dla przemysłu wykorzystywanym </w:t>
      </w:r>
      <w:r w:rsidR="00500DE2" w:rsidRPr="004A74F4">
        <w:t>lokaln</w:t>
      </w:r>
      <w:r w:rsidR="004A74F4" w:rsidRPr="004A74F4">
        <w:t>ie</w:t>
      </w:r>
      <w:r w:rsidR="00500DE2" w:rsidRPr="004A74F4">
        <w:t>.</w:t>
      </w:r>
    </w:p>
    <w:p w14:paraId="59C5FB3C" w14:textId="3AE4110E" w:rsidR="00C920AF" w:rsidRDefault="005C4144" w:rsidP="00133152">
      <w:pPr>
        <w:pStyle w:val="Legenda"/>
      </w:pPr>
      <w:bookmarkStart w:id="251" w:name="_Ref167820119"/>
      <w:bookmarkStart w:id="252" w:name="_Toc171587187"/>
      <w:bookmarkStart w:id="253" w:name="_Toc174710971"/>
      <w:bookmarkStart w:id="254" w:name="_Toc202966974"/>
      <w:r>
        <w:t xml:space="preserve">Tabela </w:t>
      </w:r>
      <w:bookmarkEnd w:id="251"/>
      <w:bookmarkEnd w:id="252"/>
      <w:bookmarkEnd w:id="253"/>
      <w:r w:rsidR="00133152">
        <w:fldChar w:fldCharType="begin"/>
      </w:r>
      <w:r w:rsidR="00133152">
        <w:instrText xml:space="preserve"> STYLEREF 1 \s </w:instrText>
      </w:r>
      <w:r w:rsidR="00133152">
        <w:fldChar w:fldCharType="separate"/>
      </w:r>
      <w:r w:rsidR="00F27D6F">
        <w:rPr>
          <w:noProof/>
        </w:rPr>
        <w:t>1</w:t>
      </w:r>
      <w:r w:rsidR="00133152">
        <w:fldChar w:fldCharType="end"/>
      </w:r>
      <w:r w:rsidR="00133152">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29</w:t>
      </w:r>
      <w:r w:rsidR="00653D9A">
        <w:rPr>
          <w:noProof/>
        </w:rPr>
        <w:fldChar w:fldCharType="end"/>
      </w:r>
      <w:r>
        <w:t xml:space="preserve"> </w:t>
      </w:r>
      <w:r w:rsidR="00C920AF" w:rsidRPr="00FC3272">
        <w:t>OZE w budynkach [ktoe]</w:t>
      </w:r>
      <w:bookmarkEnd w:id="254"/>
    </w:p>
    <w:tbl>
      <w:tblPr>
        <w:tblStyle w:val="KPEiK"/>
        <w:tblW w:w="5000" w:type="pct"/>
        <w:tblLook w:val="04A0" w:firstRow="1" w:lastRow="0" w:firstColumn="1" w:lastColumn="0" w:noHBand="0" w:noVBand="1"/>
      </w:tblPr>
      <w:tblGrid>
        <w:gridCol w:w="4914"/>
        <w:gridCol w:w="868"/>
        <w:gridCol w:w="781"/>
        <w:gridCol w:w="823"/>
        <w:gridCol w:w="838"/>
        <w:gridCol w:w="838"/>
      </w:tblGrid>
      <w:tr w:rsidR="007F0D2B" w:rsidRPr="00FC3272" w14:paraId="59EAE2D0" w14:textId="77777777" w:rsidTr="002A5D74">
        <w:trPr>
          <w:cnfStyle w:val="100000000000" w:firstRow="1" w:lastRow="0" w:firstColumn="0" w:lastColumn="0" w:oddVBand="0" w:evenVBand="0" w:oddHBand="0" w:evenHBand="0" w:firstRowFirstColumn="0" w:firstRowLastColumn="0" w:lastRowFirstColumn="0" w:lastRowLastColumn="0"/>
          <w:trHeight w:val="211"/>
          <w:tblHeader/>
        </w:trPr>
        <w:tc>
          <w:tcPr>
            <w:tcW w:w="4914" w:type="dxa"/>
            <w:noWrap/>
            <w:hideMark/>
          </w:tcPr>
          <w:p w14:paraId="1B442210" w14:textId="77777777" w:rsidR="00C920AF" w:rsidRPr="00FC3272" w:rsidRDefault="00C920AF">
            <w:pPr>
              <w:pStyle w:val="Tabele"/>
              <w:jc w:val="center"/>
              <w:rPr>
                <w:lang w:eastAsia="pl-PL"/>
              </w:rPr>
            </w:pPr>
          </w:p>
        </w:tc>
        <w:tc>
          <w:tcPr>
            <w:tcW w:w="868" w:type="dxa"/>
            <w:tcBorders>
              <w:bottom w:val="single" w:sz="4" w:space="0" w:color="808080"/>
            </w:tcBorders>
            <w:noWrap/>
            <w:hideMark/>
          </w:tcPr>
          <w:p w14:paraId="1FDB7D8E" w14:textId="77777777" w:rsidR="00C920AF" w:rsidRPr="00FC3272" w:rsidRDefault="00C920AF">
            <w:pPr>
              <w:pStyle w:val="Tabele"/>
              <w:jc w:val="center"/>
              <w:rPr>
                <w:bCs/>
                <w:lang w:eastAsia="pl-PL"/>
              </w:rPr>
            </w:pPr>
            <w:r w:rsidRPr="00FC3272">
              <w:rPr>
                <w:bCs/>
                <w:lang w:eastAsia="pl-PL"/>
              </w:rPr>
              <w:t>2020</w:t>
            </w:r>
          </w:p>
        </w:tc>
        <w:tc>
          <w:tcPr>
            <w:tcW w:w="781" w:type="dxa"/>
            <w:noWrap/>
            <w:hideMark/>
          </w:tcPr>
          <w:p w14:paraId="426C7DD6" w14:textId="77777777" w:rsidR="00C920AF" w:rsidRPr="00FC3272" w:rsidRDefault="00C920AF">
            <w:pPr>
              <w:pStyle w:val="Tabele"/>
              <w:jc w:val="center"/>
              <w:rPr>
                <w:bCs/>
                <w:lang w:eastAsia="pl-PL"/>
              </w:rPr>
            </w:pPr>
            <w:r w:rsidRPr="00FC3272">
              <w:rPr>
                <w:bCs/>
                <w:lang w:eastAsia="pl-PL"/>
              </w:rPr>
              <w:t>2025</w:t>
            </w:r>
          </w:p>
        </w:tc>
        <w:tc>
          <w:tcPr>
            <w:tcW w:w="823" w:type="dxa"/>
            <w:noWrap/>
            <w:hideMark/>
          </w:tcPr>
          <w:p w14:paraId="57245EFF" w14:textId="77777777" w:rsidR="00C920AF" w:rsidRPr="00FC3272" w:rsidRDefault="00C920AF">
            <w:pPr>
              <w:pStyle w:val="Tabele"/>
              <w:jc w:val="center"/>
              <w:rPr>
                <w:bCs/>
                <w:lang w:eastAsia="pl-PL"/>
              </w:rPr>
            </w:pPr>
            <w:r w:rsidRPr="00FC3272">
              <w:rPr>
                <w:bCs/>
                <w:lang w:eastAsia="pl-PL"/>
              </w:rPr>
              <w:t>2030</w:t>
            </w:r>
          </w:p>
        </w:tc>
        <w:tc>
          <w:tcPr>
            <w:tcW w:w="838" w:type="dxa"/>
            <w:noWrap/>
            <w:hideMark/>
          </w:tcPr>
          <w:p w14:paraId="295D37D3" w14:textId="77777777" w:rsidR="00C920AF" w:rsidRPr="00FC3272" w:rsidRDefault="00C920AF">
            <w:pPr>
              <w:pStyle w:val="Tabele"/>
              <w:jc w:val="center"/>
              <w:rPr>
                <w:bCs/>
                <w:lang w:eastAsia="pl-PL"/>
              </w:rPr>
            </w:pPr>
            <w:r w:rsidRPr="00FC3272">
              <w:rPr>
                <w:bCs/>
                <w:lang w:eastAsia="pl-PL"/>
              </w:rPr>
              <w:t>2035</w:t>
            </w:r>
          </w:p>
        </w:tc>
        <w:tc>
          <w:tcPr>
            <w:tcW w:w="838" w:type="dxa"/>
            <w:noWrap/>
            <w:hideMark/>
          </w:tcPr>
          <w:p w14:paraId="783375A9" w14:textId="77777777" w:rsidR="00C920AF" w:rsidRPr="00FC3272" w:rsidRDefault="00C920AF">
            <w:pPr>
              <w:pStyle w:val="Tabele"/>
              <w:jc w:val="center"/>
              <w:rPr>
                <w:bCs/>
                <w:lang w:eastAsia="pl-PL"/>
              </w:rPr>
            </w:pPr>
            <w:r w:rsidRPr="00FC3272">
              <w:rPr>
                <w:bCs/>
                <w:lang w:eastAsia="pl-PL"/>
              </w:rPr>
              <w:t>2040</w:t>
            </w:r>
          </w:p>
        </w:tc>
      </w:tr>
      <w:tr w:rsidR="001022FD" w:rsidRPr="00FC3272" w14:paraId="6D91965A" w14:textId="77777777" w:rsidTr="00BB3EE6">
        <w:trPr>
          <w:trHeight w:val="211"/>
        </w:trPr>
        <w:tc>
          <w:tcPr>
            <w:tcW w:w="4914" w:type="dxa"/>
            <w:noWrap/>
            <w:hideMark/>
          </w:tcPr>
          <w:p w14:paraId="230C1A29" w14:textId="77777777" w:rsidR="00C920AF" w:rsidRPr="00C920AF" w:rsidRDefault="00C920AF">
            <w:pPr>
              <w:pStyle w:val="Tabele"/>
              <w:rPr>
                <w:color w:val="auto"/>
                <w:lang w:eastAsia="pl-PL"/>
              </w:rPr>
            </w:pPr>
            <w:r w:rsidRPr="00C920AF">
              <w:rPr>
                <w:color w:val="auto"/>
                <w:lang w:eastAsia="pl-PL"/>
              </w:rPr>
              <w:t>Energia elektryczna (PV)</w:t>
            </w:r>
          </w:p>
        </w:tc>
        <w:tc>
          <w:tcPr>
            <w:tcW w:w="868" w:type="dxa"/>
            <w:shd w:val="clear" w:color="auto" w:fill="E2EFD9" w:themeFill="accent6" w:themeFillTint="33"/>
            <w:noWrap/>
            <w:vAlign w:val="bottom"/>
            <w:hideMark/>
          </w:tcPr>
          <w:p w14:paraId="22544D25" w14:textId="77777777" w:rsidR="00C920AF" w:rsidRPr="00C920AF" w:rsidRDefault="00C920AF">
            <w:pPr>
              <w:pStyle w:val="Tabele"/>
              <w:jc w:val="right"/>
              <w:rPr>
                <w:color w:val="auto"/>
                <w:lang w:eastAsia="pl-PL"/>
              </w:rPr>
            </w:pPr>
            <w:r w:rsidRPr="00C920AF">
              <w:rPr>
                <w:rFonts w:ascii="Arial" w:hAnsi="Arial" w:cs="Arial"/>
                <w:color w:val="auto"/>
                <w:szCs w:val="20"/>
              </w:rPr>
              <w:t>852</w:t>
            </w:r>
          </w:p>
        </w:tc>
        <w:tc>
          <w:tcPr>
            <w:tcW w:w="781" w:type="dxa"/>
            <w:noWrap/>
            <w:hideMark/>
          </w:tcPr>
          <w:p w14:paraId="17204B67" w14:textId="77777777" w:rsidR="00C920AF" w:rsidRPr="00C920AF" w:rsidRDefault="00C920AF">
            <w:pPr>
              <w:pStyle w:val="Tabele"/>
              <w:jc w:val="right"/>
              <w:rPr>
                <w:color w:val="auto"/>
                <w:lang w:eastAsia="pl-PL"/>
              </w:rPr>
            </w:pPr>
            <w:r w:rsidRPr="00C920AF">
              <w:rPr>
                <w:rFonts w:cs="Arial"/>
                <w:color w:val="auto"/>
                <w:szCs w:val="16"/>
              </w:rPr>
              <w:t>1 110</w:t>
            </w:r>
          </w:p>
        </w:tc>
        <w:tc>
          <w:tcPr>
            <w:tcW w:w="823" w:type="dxa"/>
            <w:noWrap/>
            <w:hideMark/>
          </w:tcPr>
          <w:p w14:paraId="4CF9626B" w14:textId="77777777" w:rsidR="00C920AF" w:rsidRPr="00C920AF" w:rsidRDefault="00C920AF">
            <w:pPr>
              <w:pStyle w:val="Tabele"/>
              <w:jc w:val="right"/>
              <w:rPr>
                <w:color w:val="auto"/>
                <w:lang w:eastAsia="pl-PL"/>
              </w:rPr>
            </w:pPr>
            <w:r w:rsidRPr="00C920AF">
              <w:rPr>
                <w:rFonts w:cs="Arial"/>
                <w:color w:val="auto"/>
                <w:szCs w:val="16"/>
              </w:rPr>
              <w:t>1 471</w:t>
            </w:r>
          </w:p>
        </w:tc>
        <w:tc>
          <w:tcPr>
            <w:tcW w:w="838" w:type="dxa"/>
            <w:noWrap/>
            <w:hideMark/>
          </w:tcPr>
          <w:p w14:paraId="16417EF6" w14:textId="77777777" w:rsidR="00C920AF" w:rsidRPr="00C920AF" w:rsidRDefault="00C920AF">
            <w:pPr>
              <w:pStyle w:val="Tabele"/>
              <w:jc w:val="right"/>
              <w:rPr>
                <w:color w:val="auto"/>
                <w:lang w:eastAsia="pl-PL"/>
              </w:rPr>
            </w:pPr>
            <w:r w:rsidRPr="00C920AF">
              <w:rPr>
                <w:rFonts w:cs="Arial"/>
                <w:color w:val="auto"/>
                <w:szCs w:val="16"/>
              </w:rPr>
              <w:t>1 811</w:t>
            </w:r>
          </w:p>
        </w:tc>
        <w:tc>
          <w:tcPr>
            <w:tcW w:w="838" w:type="dxa"/>
            <w:noWrap/>
            <w:hideMark/>
          </w:tcPr>
          <w:p w14:paraId="69B05FE8" w14:textId="77777777" w:rsidR="00C920AF" w:rsidRPr="00C920AF" w:rsidRDefault="00C920AF">
            <w:pPr>
              <w:pStyle w:val="Tabele"/>
              <w:jc w:val="right"/>
              <w:rPr>
                <w:color w:val="auto"/>
                <w:lang w:eastAsia="pl-PL"/>
              </w:rPr>
            </w:pPr>
            <w:r w:rsidRPr="00C920AF">
              <w:rPr>
                <w:rFonts w:cs="Arial"/>
                <w:color w:val="auto"/>
                <w:szCs w:val="16"/>
              </w:rPr>
              <w:t>2 075</w:t>
            </w:r>
          </w:p>
        </w:tc>
      </w:tr>
      <w:tr w:rsidR="001022FD" w:rsidRPr="00FC3272" w14:paraId="5C037E33" w14:textId="77777777" w:rsidTr="00BB3EE6">
        <w:trPr>
          <w:trHeight w:val="211"/>
        </w:trPr>
        <w:tc>
          <w:tcPr>
            <w:tcW w:w="4914" w:type="dxa"/>
            <w:noWrap/>
            <w:hideMark/>
          </w:tcPr>
          <w:p w14:paraId="0541E8B2" w14:textId="77777777" w:rsidR="00C920AF" w:rsidRPr="00C920AF" w:rsidRDefault="00C920AF">
            <w:pPr>
              <w:pStyle w:val="Tabele"/>
              <w:rPr>
                <w:color w:val="auto"/>
                <w:lang w:eastAsia="pl-PL"/>
              </w:rPr>
            </w:pPr>
            <w:r w:rsidRPr="00C920AF">
              <w:rPr>
                <w:color w:val="auto"/>
                <w:lang w:eastAsia="pl-PL"/>
              </w:rPr>
              <w:t>Energia elektryczna z sieci (OZE)</w:t>
            </w:r>
          </w:p>
        </w:tc>
        <w:tc>
          <w:tcPr>
            <w:tcW w:w="868" w:type="dxa"/>
            <w:shd w:val="clear" w:color="auto" w:fill="E2EFD9" w:themeFill="accent6" w:themeFillTint="33"/>
            <w:noWrap/>
            <w:vAlign w:val="bottom"/>
            <w:hideMark/>
          </w:tcPr>
          <w:p w14:paraId="4C889AA7" w14:textId="77777777" w:rsidR="00C920AF" w:rsidRPr="00C920AF" w:rsidRDefault="00C920AF">
            <w:pPr>
              <w:pStyle w:val="Tabele"/>
              <w:jc w:val="right"/>
              <w:rPr>
                <w:color w:val="auto"/>
                <w:lang w:eastAsia="pl-PL"/>
              </w:rPr>
            </w:pPr>
            <w:r w:rsidRPr="00C920AF">
              <w:rPr>
                <w:rFonts w:ascii="Arial" w:hAnsi="Arial" w:cs="Arial"/>
                <w:color w:val="auto"/>
                <w:szCs w:val="20"/>
              </w:rPr>
              <w:t>745</w:t>
            </w:r>
          </w:p>
        </w:tc>
        <w:tc>
          <w:tcPr>
            <w:tcW w:w="781" w:type="dxa"/>
            <w:noWrap/>
            <w:hideMark/>
          </w:tcPr>
          <w:p w14:paraId="2FA1D608" w14:textId="77777777" w:rsidR="00C920AF" w:rsidRPr="00C920AF" w:rsidRDefault="00C920AF">
            <w:pPr>
              <w:pStyle w:val="Tabele"/>
              <w:jc w:val="right"/>
              <w:rPr>
                <w:color w:val="auto"/>
                <w:lang w:eastAsia="pl-PL"/>
              </w:rPr>
            </w:pPr>
            <w:r w:rsidRPr="00C920AF">
              <w:rPr>
                <w:rFonts w:cs="Arial"/>
                <w:color w:val="auto"/>
                <w:szCs w:val="16"/>
              </w:rPr>
              <w:t>756</w:t>
            </w:r>
          </w:p>
        </w:tc>
        <w:tc>
          <w:tcPr>
            <w:tcW w:w="823" w:type="dxa"/>
            <w:noWrap/>
            <w:hideMark/>
          </w:tcPr>
          <w:p w14:paraId="6E9CB0D1" w14:textId="77777777" w:rsidR="00C920AF" w:rsidRPr="00C920AF" w:rsidRDefault="00C920AF">
            <w:pPr>
              <w:pStyle w:val="Tabele"/>
              <w:jc w:val="right"/>
              <w:rPr>
                <w:color w:val="auto"/>
                <w:lang w:eastAsia="pl-PL"/>
              </w:rPr>
            </w:pPr>
            <w:r w:rsidRPr="00C920AF">
              <w:rPr>
                <w:rFonts w:cs="Arial"/>
                <w:color w:val="auto"/>
                <w:szCs w:val="16"/>
              </w:rPr>
              <w:t>1 365</w:t>
            </w:r>
          </w:p>
        </w:tc>
        <w:tc>
          <w:tcPr>
            <w:tcW w:w="838" w:type="dxa"/>
            <w:noWrap/>
            <w:hideMark/>
          </w:tcPr>
          <w:p w14:paraId="0C383FCF" w14:textId="77777777" w:rsidR="00C920AF" w:rsidRPr="00C920AF" w:rsidRDefault="00C920AF">
            <w:pPr>
              <w:pStyle w:val="Tabele"/>
              <w:jc w:val="right"/>
              <w:rPr>
                <w:color w:val="auto"/>
                <w:lang w:eastAsia="pl-PL"/>
              </w:rPr>
            </w:pPr>
            <w:r w:rsidRPr="00C920AF">
              <w:rPr>
                <w:rFonts w:cs="Arial"/>
                <w:color w:val="auto"/>
                <w:szCs w:val="16"/>
              </w:rPr>
              <w:t>2 276</w:t>
            </w:r>
          </w:p>
        </w:tc>
        <w:tc>
          <w:tcPr>
            <w:tcW w:w="838" w:type="dxa"/>
            <w:noWrap/>
            <w:hideMark/>
          </w:tcPr>
          <w:p w14:paraId="64F4A1AB" w14:textId="77777777" w:rsidR="00C920AF" w:rsidRPr="00C920AF" w:rsidRDefault="00C920AF">
            <w:pPr>
              <w:pStyle w:val="Tabele"/>
              <w:jc w:val="right"/>
              <w:rPr>
                <w:color w:val="auto"/>
                <w:lang w:eastAsia="pl-PL"/>
              </w:rPr>
            </w:pPr>
            <w:r w:rsidRPr="00C920AF">
              <w:rPr>
                <w:rFonts w:cs="Arial"/>
                <w:color w:val="auto"/>
                <w:szCs w:val="16"/>
              </w:rPr>
              <w:t>2 894</w:t>
            </w:r>
          </w:p>
        </w:tc>
      </w:tr>
      <w:tr w:rsidR="001022FD" w:rsidRPr="00FC3272" w14:paraId="6E01C166" w14:textId="77777777" w:rsidTr="00BB3EE6">
        <w:trPr>
          <w:trHeight w:val="211"/>
        </w:trPr>
        <w:tc>
          <w:tcPr>
            <w:tcW w:w="4914" w:type="dxa"/>
            <w:noWrap/>
            <w:hideMark/>
          </w:tcPr>
          <w:p w14:paraId="0D0D4F76" w14:textId="77777777" w:rsidR="00C920AF" w:rsidRPr="00C920AF" w:rsidRDefault="00C920AF">
            <w:pPr>
              <w:pStyle w:val="Tabele"/>
              <w:rPr>
                <w:color w:val="auto"/>
                <w:lang w:eastAsia="pl-PL"/>
              </w:rPr>
            </w:pPr>
            <w:r w:rsidRPr="00C920AF">
              <w:rPr>
                <w:color w:val="auto"/>
                <w:lang w:eastAsia="pl-PL"/>
              </w:rPr>
              <w:t>Ciepło z sieci (OZE)</w:t>
            </w:r>
          </w:p>
        </w:tc>
        <w:tc>
          <w:tcPr>
            <w:tcW w:w="868" w:type="dxa"/>
            <w:shd w:val="clear" w:color="auto" w:fill="E2EFD9" w:themeFill="accent6" w:themeFillTint="33"/>
            <w:noWrap/>
            <w:vAlign w:val="bottom"/>
            <w:hideMark/>
          </w:tcPr>
          <w:p w14:paraId="52AE08AE" w14:textId="77777777" w:rsidR="00C920AF" w:rsidRPr="00C920AF" w:rsidRDefault="00C920AF">
            <w:pPr>
              <w:pStyle w:val="Tabele"/>
              <w:jc w:val="right"/>
              <w:rPr>
                <w:color w:val="auto"/>
                <w:lang w:eastAsia="pl-PL"/>
              </w:rPr>
            </w:pPr>
            <w:r w:rsidRPr="00C920AF">
              <w:rPr>
                <w:rFonts w:ascii="Arial" w:hAnsi="Arial" w:cs="Arial"/>
                <w:color w:val="auto"/>
                <w:szCs w:val="20"/>
              </w:rPr>
              <w:t>392</w:t>
            </w:r>
          </w:p>
        </w:tc>
        <w:tc>
          <w:tcPr>
            <w:tcW w:w="781" w:type="dxa"/>
            <w:noWrap/>
            <w:hideMark/>
          </w:tcPr>
          <w:p w14:paraId="798FD87E" w14:textId="77777777" w:rsidR="00C920AF" w:rsidRPr="00C920AF" w:rsidRDefault="00C920AF">
            <w:pPr>
              <w:pStyle w:val="Tabele"/>
              <w:jc w:val="right"/>
              <w:rPr>
                <w:color w:val="auto"/>
                <w:lang w:eastAsia="pl-PL"/>
              </w:rPr>
            </w:pPr>
            <w:r w:rsidRPr="00C920AF">
              <w:rPr>
                <w:rFonts w:cs="Arial"/>
                <w:color w:val="auto"/>
                <w:szCs w:val="16"/>
              </w:rPr>
              <w:t>380</w:t>
            </w:r>
          </w:p>
        </w:tc>
        <w:tc>
          <w:tcPr>
            <w:tcW w:w="823" w:type="dxa"/>
            <w:noWrap/>
            <w:hideMark/>
          </w:tcPr>
          <w:p w14:paraId="1E715F73" w14:textId="77777777" w:rsidR="00C920AF" w:rsidRPr="00C920AF" w:rsidRDefault="00C920AF">
            <w:pPr>
              <w:pStyle w:val="Tabele"/>
              <w:jc w:val="right"/>
              <w:rPr>
                <w:color w:val="auto"/>
                <w:lang w:eastAsia="pl-PL"/>
              </w:rPr>
            </w:pPr>
            <w:r w:rsidRPr="00C920AF">
              <w:rPr>
                <w:rFonts w:cs="Arial"/>
                <w:color w:val="auto"/>
                <w:szCs w:val="16"/>
              </w:rPr>
              <w:t>515</w:t>
            </w:r>
          </w:p>
        </w:tc>
        <w:tc>
          <w:tcPr>
            <w:tcW w:w="838" w:type="dxa"/>
            <w:noWrap/>
            <w:hideMark/>
          </w:tcPr>
          <w:p w14:paraId="7E67740C" w14:textId="77777777" w:rsidR="00C920AF" w:rsidRPr="00C920AF" w:rsidRDefault="00C920AF">
            <w:pPr>
              <w:pStyle w:val="Tabele"/>
              <w:jc w:val="right"/>
              <w:rPr>
                <w:color w:val="auto"/>
                <w:lang w:eastAsia="pl-PL"/>
              </w:rPr>
            </w:pPr>
            <w:r w:rsidRPr="00C920AF">
              <w:rPr>
                <w:rFonts w:cs="Arial"/>
                <w:color w:val="auto"/>
                <w:szCs w:val="16"/>
              </w:rPr>
              <w:t>832</w:t>
            </w:r>
          </w:p>
        </w:tc>
        <w:tc>
          <w:tcPr>
            <w:tcW w:w="838" w:type="dxa"/>
            <w:noWrap/>
            <w:hideMark/>
          </w:tcPr>
          <w:p w14:paraId="61DBF62E" w14:textId="77777777" w:rsidR="00C920AF" w:rsidRPr="00C920AF" w:rsidRDefault="00C920AF">
            <w:pPr>
              <w:pStyle w:val="Tabele"/>
              <w:jc w:val="right"/>
              <w:rPr>
                <w:color w:val="auto"/>
                <w:lang w:eastAsia="pl-PL"/>
              </w:rPr>
            </w:pPr>
            <w:r w:rsidRPr="00C920AF">
              <w:rPr>
                <w:rFonts w:cs="Arial"/>
                <w:color w:val="auto"/>
                <w:szCs w:val="16"/>
              </w:rPr>
              <w:t>1 560</w:t>
            </w:r>
          </w:p>
        </w:tc>
      </w:tr>
      <w:tr w:rsidR="001022FD" w:rsidRPr="00FC3272" w14:paraId="47DAF1FE" w14:textId="77777777" w:rsidTr="00BB3EE6">
        <w:trPr>
          <w:trHeight w:val="211"/>
        </w:trPr>
        <w:tc>
          <w:tcPr>
            <w:tcW w:w="4914" w:type="dxa"/>
            <w:noWrap/>
            <w:hideMark/>
          </w:tcPr>
          <w:p w14:paraId="54655D57" w14:textId="77777777" w:rsidR="00C920AF" w:rsidRPr="00C920AF" w:rsidRDefault="00C920AF">
            <w:pPr>
              <w:pStyle w:val="Tabele"/>
              <w:rPr>
                <w:color w:val="auto"/>
                <w:lang w:eastAsia="pl-PL"/>
              </w:rPr>
            </w:pPr>
            <w:r w:rsidRPr="00C920AF">
              <w:rPr>
                <w:color w:val="auto"/>
                <w:lang w:eastAsia="pl-PL"/>
              </w:rPr>
              <w:t>Geotermalna</w:t>
            </w:r>
          </w:p>
        </w:tc>
        <w:tc>
          <w:tcPr>
            <w:tcW w:w="868" w:type="dxa"/>
            <w:shd w:val="clear" w:color="auto" w:fill="E2EFD9" w:themeFill="accent6" w:themeFillTint="33"/>
            <w:noWrap/>
            <w:vAlign w:val="bottom"/>
            <w:hideMark/>
          </w:tcPr>
          <w:p w14:paraId="4FBAB30A" w14:textId="77777777" w:rsidR="00C920AF" w:rsidRPr="00C920AF" w:rsidRDefault="00C920AF">
            <w:pPr>
              <w:pStyle w:val="Tabele"/>
              <w:jc w:val="right"/>
              <w:rPr>
                <w:color w:val="auto"/>
                <w:lang w:eastAsia="pl-PL"/>
              </w:rPr>
            </w:pPr>
            <w:r w:rsidRPr="00C920AF">
              <w:rPr>
                <w:rFonts w:ascii="Arial" w:hAnsi="Arial" w:cs="Arial"/>
                <w:color w:val="auto"/>
                <w:szCs w:val="20"/>
              </w:rPr>
              <w:t>45</w:t>
            </w:r>
          </w:p>
        </w:tc>
        <w:tc>
          <w:tcPr>
            <w:tcW w:w="781" w:type="dxa"/>
            <w:noWrap/>
            <w:hideMark/>
          </w:tcPr>
          <w:p w14:paraId="487357B4" w14:textId="77777777" w:rsidR="00C920AF" w:rsidRPr="00C920AF" w:rsidRDefault="00C920AF">
            <w:pPr>
              <w:pStyle w:val="Tabele"/>
              <w:jc w:val="right"/>
              <w:rPr>
                <w:color w:val="auto"/>
                <w:lang w:eastAsia="pl-PL"/>
              </w:rPr>
            </w:pPr>
            <w:r w:rsidRPr="00C920AF">
              <w:rPr>
                <w:rFonts w:cs="Arial"/>
                <w:color w:val="auto"/>
                <w:szCs w:val="16"/>
              </w:rPr>
              <w:t>78</w:t>
            </w:r>
          </w:p>
        </w:tc>
        <w:tc>
          <w:tcPr>
            <w:tcW w:w="823" w:type="dxa"/>
            <w:noWrap/>
            <w:hideMark/>
          </w:tcPr>
          <w:p w14:paraId="0BF882C3" w14:textId="77777777" w:rsidR="00C920AF" w:rsidRPr="00C920AF" w:rsidRDefault="00C920AF">
            <w:pPr>
              <w:pStyle w:val="Tabele"/>
              <w:jc w:val="right"/>
              <w:rPr>
                <w:color w:val="auto"/>
                <w:lang w:eastAsia="pl-PL"/>
              </w:rPr>
            </w:pPr>
            <w:r w:rsidRPr="00C920AF">
              <w:rPr>
                <w:rFonts w:cs="Arial"/>
                <w:color w:val="auto"/>
                <w:szCs w:val="16"/>
              </w:rPr>
              <w:t>97</w:t>
            </w:r>
          </w:p>
        </w:tc>
        <w:tc>
          <w:tcPr>
            <w:tcW w:w="838" w:type="dxa"/>
            <w:noWrap/>
            <w:hideMark/>
          </w:tcPr>
          <w:p w14:paraId="57BD3BAB" w14:textId="77777777" w:rsidR="00C920AF" w:rsidRPr="00C920AF" w:rsidRDefault="00C920AF">
            <w:pPr>
              <w:pStyle w:val="Tabele"/>
              <w:jc w:val="right"/>
              <w:rPr>
                <w:color w:val="auto"/>
                <w:lang w:eastAsia="pl-PL"/>
              </w:rPr>
            </w:pPr>
            <w:r w:rsidRPr="00C920AF">
              <w:rPr>
                <w:rFonts w:cs="Arial"/>
                <w:color w:val="auto"/>
                <w:szCs w:val="16"/>
              </w:rPr>
              <w:t>153</w:t>
            </w:r>
          </w:p>
        </w:tc>
        <w:tc>
          <w:tcPr>
            <w:tcW w:w="838" w:type="dxa"/>
            <w:noWrap/>
            <w:hideMark/>
          </w:tcPr>
          <w:p w14:paraId="11A6FE3E" w14:textId="77777777" w:rsidR="00C920AF" w:rsidRPr="00C920AF" w:rsidRDefault="00C920AF">
            <w:pPr>
              <w:pStyle w:val="Tabele"/>
              <w:jc w:val="right"/>
              <w:rPr>
                <w:color w:val="auto"/>
                <w:lang w:eastAsia="pl-PL"/>
              </w:rPr>
            </w:pPr>
            <w:r w:rsidRPr="00C920AF">
              <w:rPr>
                <w:rFonts w:cs="Arial"/>
                <w:color w:val="auto"/>
                <w:szCs w:val="16"/>
              </w:rPr>
              <w:t>204</w:t>
            </w:r>
          </w:p>
        </w:tc>
      </w:tr>
      <w:tr w:rsidR="001022FD" w:rsidRPr="00FC3272" w14:paraId="47B06327" w14:textId="77777777" w:rsidTr="00BB3EE6">
        <w:trPr>
          <w:trHeight w:val="211"/>
        </w:trPr>
        <w:tc>
          <w:tcPr>
            <w:tcW w:w="4914" w:type="dxa"/>
            <w:noWrap/>
            <w:hideMark/>
          </w:tcPr>
          <w:p w14:paraId="35826654" w14:textId="77777777" w:rsidR="00C920AF" w:rsidRPr="00C920AF" w:rsidRDefault="00C920AF">
            <w:pPr>
              <w:pStyle w:val="Tabele"/>
              <w:rPr>
                <w:color w:val="auto"/>
                <w:lang w:eastAsia="pl-PL"/>
              </w:rPr>
            </w:pPr>
            <w:r w:rsidRPr="00C920AF">
              <w:rPr>
                <w:color w:val="auto"/>
                <w:lang w:eastAsia="pl-PL"/>
              </w:rPr>
              <w:t>Słońce</w:t>
            </w:r>
          </w:p>
        </w:tc>
        <w:tc>
          <w:tcPr>
            <w:tcW w:w="868" w:type="dxa"/>
            <w:shd w:val="clear" w:color="auto" w:fill="E2EFD9" w:themeFill="accent6" w:themeFillTint="33"/>
            <w:noWrap/>
            <w:hideMark/>
          </w:tcPr>
          <w:p w14:paraId="669C822D" w14:textId="77777777" w:rsidR="00C920AF" w:rsidRPr="00C920AF" w:rsidRDefault="00C920AF">
            <w:pPr>
              <w:pStyle w:val="Tabele"/>
              <w:jc w:val="right"/>
              <w:rPr>
                <w:color w:val="auto"/>
                <w:lang w:eastAsia="pl-PL"/>
              </w:rPr>
            </w:pPr>
            <w:r w:rsidRPr="00C920AF">
              <w:rPr>
                <w:rFonts w:ascii="Arial" w:hAnsi="Arial" w:cs="Arial"/>
                <w:color w:val="auto"/>
                <w:szCs w:val="20"/>
              </w:rPr>
              <w:t>260</w:t>
            </w:r>
          </w:p>
        </w:tc>
        <w:tc>
          <w:tcPr>
            <w:tcW w:w="781" w:type="dxa"/>
            <w:noWrap/>
            <w:hideMark/>
          </w:tcPr>
          <w:p w14:paraId="1D3AD423" w14:textId="77777777" w:rsidR="00C920AF" w:rsidRPr="00C920AF" w:rsidRDefault="00C920AF">
            <w:pPr>
              <w:pStyle w:val="Tabele"/>
              <w:jc w:val="right"/>
              <w:rPr>
                <w:color w:val="auto"/>
                <w:lang w:eastAsia="pl-PL"/>
              </w:rPr>
            </w:pPr>
            <w:r w:rsidRPr="00C920AF">
              <w:rPr>
                <w:rFonts w:cs="Arial"/>
                <w:color w:val="auto"/>
                <w:szCs w:val="16"/>
              </w:rPr>
              <w:t>260</w:t>
            </w:r>
          </w:p>
        </w:tc>
        <w:tc>
          <w:tcPr>
            <w:tcW w:w="823" w:type="dxa"/>
            <w:noWrap/>
            <w:hideMark/>
          </w:tcPr>
          <w:p w14:paraId="74E909BE" w14:textId="77777777" w:rsidR="00C920AF" w:rsidRPr="00C920AF" w:rsidRDefault="00C920AF">
            <w:pPr>
              <w:pStyle w:val="Tabele"/>
              <w:jc w:val="right"/>
              <w:rPr>
                <w:color w:val="auto"/>
                <w:lang w:eastAsia="pl-PL"/>
              </w:rPr>
            </w:pPr>
            <w:r w:rsidRPr="00C920AF">
              <w:rPr>
                <w:rFonts w:cs="Arial"/>
                <w:color w:val="auto"/>
                <w:szCs w:val="16"/>
              </w:rPr>
              <w:t>406</w:t>
            </w:r>
          </w:p>
        </w:tc>
        <w:tc>
          <w:tcPr>
            <w:tcW w:w="838" w:type="dxa"/>
            <w:noWrap/>
            <w:hideMark/>
          </w:tcPr>
          <w:p w14:paraId="2B27C5B8" w14:textId="77777777" w:rsidR="00C920AF" w:rsidRPr="00C920AF" w:rsidRDefault="00C920AF">
            <w:pPr>
              <w:pStyle w:val="Tabele"/>
              <w:jc w:val="right"/>
              <w:rPr>
                <w:color w:val="auto"/>
                <w:lang w:eastAsia="pl-PL"/>
              </w:rPr>
            </w:pPr>
            <w:r w:rsidRPr="00C920AF">
              <w:rPr>
                <w:rFonts w:cs="Arial"/>
                <w:color w:val="auto"/>
                <w:szCs w:val="16"/>
              </w:rPr>
              <w:t>468</w:t>
            </w:r>
          </w:p>
        </w:tc>
        <w:tc>
          <w:tcPr>
            <w:tcW w:w="838" w:type="dxa"/>
            <w:noWrap/>
            <w:hideMark/>
          </w:tcPr>
          <w:p w14:paraId="2FD8FBE3" w14:textId="77777777" w:rsidR="00C920AF" w:rsidRPr="00C920AF" w:rsidRDefault="00C920AF">
            <w:pPr>
              <w:pStyle w:val="Tabele"/>
              <w:jc w:val="right"/>
              <w:rPr>
                <w:color w:val="auto"/>
                <w:lang w:eastAsia="pl-PL"/>
              </w:rPr>
            </w:pPr>
            <w:r w:rsidRPr="00C920AF">
              <w:rPr>
                <w:rFonts w:cs="Arial"/>
                <w:color w:val="auto"/>
                <w:szCs w:val="16"/>
              </w:rPr>
              <w:t>461</w:t>
            </w:r>
          </w:p>
        </w:tc>
      </w:tr>
      <w:tr w:rsidR="001022FD" w:rsidRPr="00FC3272" w14:paraId="1A1D57AB" w14:textId="77777777" w:rsidTr="00BB3EE6">
        <w:trPr>
          <w:trHeight w:val="211"/>
        </w:trPr>
        <w:tc>
          <w:tcPr>
            <w:tcW w:w="4914" w:type="dxa"/>
            <w:noWrap/>
            <w:hideMark/>
          </w:tcPr>
          <w:p w14:paraId="54D8A2B6" w14:textId="77777777" w:rsidR="00C920AF" w:rsidRPr="00C920AF" w:rsidRDefault="00C920AF">
            <w:pPr>
              <w:pStyle w:val="Tabele"/>
              <w:rPr>
                <w:color w:val="auto"/>
                <w:lang w:eastAsia="pl-PL"/>
              </w:rPr>
            </w:pPr>
            <w:r w:rsidRPr="00C920AF">
              <w:rPr>
                <w:color w:val="auto"/>
                <w:lang w:eastAsia="pl-PL"/>
              </w:rPr>
              <w:t xml:space="preserve">Biomasa </w:t>
            </w:r>
          </w:p>
        </w:tc>
        <w:tc>
          <w:tcPr>
            <w:tcW w:w="868" w:type="dxa"/>
            <w:shd w:val="clear" w:color="auto" w:fill="E2EFD9" w:themeFill="accent6" w:themeFillTint="33"/>
            <w:noWrap/>
            <w:vAlign w:val="bottom"/>
            <w:hideMark/>
          </w:tcPr>
          <w:p w14:paraId="15E70E44" w14:textId="77777777" w:rsidR="00C920AF" w:rsidRPr="00C920AF" w:rsidRDefault="00C920AF">
            <w:pPr>
              <w:pStyle w:val="Tabele"/>
              <w:jc w:val="right"/>
              <w:rPr>
                <w:color w:val="auto"/>
                <w:lang w:eastAsia="pl-PL"/>
              </w:rPr>
            </w:pPr>
            <w:r w:rsidRPr="00C920AF">
              <w:rPr>
                <w:rFonts w:ascii="Arial" w:hAnsi="Arial" w:cs="Arial"/>
                <w:color w:val="auto"/>
                <w:szCs w:val="20"/>
              </w:rPr>
              <w:t>3 885</w:t>
            </w:r>
          </w:p>
        </w:tc>
        <w:tc>
          <w:tcPr>
            <w:tcW w:w="781" w:type="dxa"/>
            <w:noWrap/>
            <w:hideMark/>
          </w:tcPr>
          <w:p w14:paraId="5C1AFAA1" w14:textId="77777777" w:rsidR="00C920AF" w:rsidRPr="00C920AF" w:rsidRDefault="00C920AF">
            <w:pPr>
              <w:pStyle w:val="Tabele"/>
              <w:jc w:val="right"/>
              <w:rPr>
                <w:color w:val="auto"/>
                <w:lang w:eastAsia="pl-PL"/>
              </w:rPr>
            </w:pPr>
            <w:r w:rsidRPr="00C920AF">
              <w:rPr>
                <w:rFonts w:cs="Arial"/>
                <w:color w:val="auto"/>
                <w:szCs w:val="16"/>
              </w:rPr>
              <w:t>3 662</w:t>
            </w:r>
          </w:p>
        </w:tc>
        <w:tc>
          <w:tcPr>
            <w:tcW w:w="823" w:type="dxa"/>
            <w:noWrap/>
            <w:hideMark/>
          </w:tcPr>
          <w:p w14:paraId="120DC79C" w14:textId="77777777" w:rsidR="00C920AF" w:rsidRPr="00C920AF" w:rsidRDefault="00C920AF">
            <w:pPr>
              <w:pStyle w:val="Tabele"/>
              <w:jc w:val="right"/>
              <w:rPr>
                <w:color w:val="auto"/>
                <w:lang w:eastAsia="pl-PL"/>
              </w:rPr>
            </w:pPr>
            <w:r w:rsidRPr="00C920AF">
              <w:rPr>
                <w:rFonts w:cs="Arial"/>
                <w:color w:val="auto"/>
                <w:szCs w:val="16"/>
              </w:rPr>
              <w:t>3 551</w:t>
            </w:r>
          </w:p>
        </w:tc>
        <w:tc>
          <w:tcPr>
            <w:tcW w:w="838" w:type="dxa"/>
            <w:noWrap/>
            <w:hideMark/>
          </w:tcPr>
          <w:p w14:paraId="35AF6C56" w14:textId="77777777" w:rsidR="00C920AF" w:rsidRPr="00C920AF" w:rsidRDefault="00C920AF">
            <w:pPr>
              <w:pStyle w:val="Tabele"/>
              <w:jc w:val="right"/>
              <w:rPr>
                <w:color w:val="auto"/>
                <w:lang w:eastAsia="pl-PL"/>
              </w:rPr>
            </w:pPr>
            <w:r w:rsidRPr="00C920AF">
              <w:rPr>
                <w:rFonts w:cs="Arial"/>
                <w:color w:val="auto"/>
                <w:szCs w:val="16"/>
              </w:rPr>
              <w:t>3 083</w:t>
            </w:r>
          </w:p>
        </w:tc>
        <w:tc>
          <w:tcPr>
            <w:tcW w:w="838" w:type="dxa"/>
            <w:noWrap/>
            <w:hideMark/>
          </w:tcPr>
          <w:p w14:paraId="25DBEFB8" w14:textId="77777777" w:rsidR="00C920AF" w:rsidRPr="00C920AF" w:rsidRDefault="00C920AF">
            <w:pPr>
              <w:pStyle w:val="Tabele"/>
              <w:jc w:val="right"/>
              <w:rPr>
                <w:color w:val="auto"/>
                <w:lang w:eastAsia="pl-PL"/>
              </w:rPr>
            </w:pPr>
            <w:r w:rsidRPr="00C920AF">
              <w:rPr>
                <w:rFonts w:cs="Arial"/>
                <w:color w:val="auto"/>
                <w:szCs w:val="16"/>
              </w:rPr>
              <w:t>2 669</w:t>
            </w:r>
          </w:p>
        </w:tc>
      </w:tr>
      <w:tr w:rsidR="001022FD" w:rsidRPr="00FC3272" w14:paraId="597F20E7" w14:textId="77777777" w:rsidTr="00BB3EE6">
        <w:trPr>
          <w:trHeight w:val="211"/>
        </w:trPr>
        <w:tc>
          <w:tcPr>
            <w:tcW w:w="4914" w:type="dxa"/>
            <w:noWrap/>
          </w:tcPr>
          <w:p w14:paraId="72B8FE2E" w14:textId="4B4699D0" w:rsidR="00C920AF" w:rsidRPr="00C920AF" w:rsidRDefault="00C920AF">
            <w:pPr>
              <w:pStyle w:val="Tabele"/>
              <w:rPr>
                <w:color w:val="auto"/>
                <w:lang w:eastAsia="pl-PL"/>
              </w:rPr>
            </w:pPr>
            <w:r w:rsidRPr="00C920AF">
              <w:rPr>
                <w:color w:val="auto"/>
                <w:lang w:eastAsia="pl-PL"/>
              </w:rPr>
              <w:t>Biometan</w:t>
            </w:r>
            <w:r w:rsidR="00E04C74" w:rsidDel="00E04C74">
              <w:rPr>
                <w:color w:val="auto"/>
                <w:lang w:eastAsia="pl-PL"/>
              </w:rPr>
              <w:t xml:space="preserve"> </w:t>
            </w:r>
          </w:p>
        </w:tc>
        <w:tc>
          <w:tcPr>
            <w:tcW w:w="868" w:type="dxa"/>
            <w:shd w:val="clear" w:color="auto" w:fill="E2EFD9" w:themeFill="accent6" w:themeFillTint="33"/>
            <w:noWrap/>
            <w:vAlign w:val="bottom"/>
          </w:tcPr>
          <w:p w14:paraId="3DFC1A5B" w14:textId="77777777" w:rsidR="00C920AF" w:rsidRPr="00C920AF" w:rsidRDefault="00C920AF">
            <w:pPr>
              <w:pStyle w:val="Tabele"/>
              <w:jc w:val="right"/>
              <w:rPr>
                <w:color w:val="auto"/>
                <w:lang w:eastAsia="pl-PL"/>
              </w:rPr>
            </w:pPr>
            <w:r w:rsidRPr="00C920AF">
              <w:rPr>
                <w:rFonts w:ascii="Arial" w:hAnsi="Arial" w:cs="Arial"/>
                <w:color w:val="auto"/>
                <w:szCs w:val="20"/>
              </w:rPr>
              <w:t>97</w:t>
            </w:r>
          </w:p>
        </w:tc>
        <w:tc>
          <w:tcPr>
            <w:tcW w:w="781" w:type="dxa"/>
            <w:noWrap/>
          </w:tcPr>
          <w:p w14:paraId="0B8BE16A" w14:textId="77777777" w:rsidR="00C920AF" w:rsidRPr="00C920AF" w:rsidRDefault="00C920AF">
            <w:pPr>
              <w:pStyle w:val="Tabele"/>
              <w:jc w:val="right"/>
              <w:rPr>
                <w:rFonts w:cs="Arial"/>
                <w:color w:val="auto"/>
                <w:szCs w:val="16"/>
              </w:rPr>
            </w:pPr>
            <w:r w:rsidRPr="00C920AF">
              <w:rPr>
                <w:rFonts w:cs="Arial"/>
                <w:color w:val="auto"/>
                <w:szCs w:val="16"/>
              </w:rPr>
              <w:t>20</w:t>
            </w:r>
          </w:p>
        </w:tc>
        <w:tc>
          <w:tcPr>
            <w:tcW w:w="823" w:type="dxa"/>
            <w:noWrap/>
          </w:tcPr>
          <w:p w14:paraId="10535682" w14:textId="77777777" w:rsidR="00C920AF" w:rsidRPr="00C920AF" w:rsidRDefault="00C920AF">
            <w:pPr>
              <w:pStyle w:val="Tabele"/>
              <w:jc w:val="right"/>
              <w:rPr>
                <w:rFonts w:cs="Arial"/>
                <w:color w:val="auto"/>
                <w:szCs w:val="16"/>
              </w:rPr>
            </w:pPr>
            <w:r w:rsidRPr="00C920AF">
              <w:rPr>
                <w:rFonts w:cs="Arial"/>
                <w:color w:val="auto"/>
                <w:szCs w:val="16"/>
              </w:rPr>
              <w:t>245</w:t>
            </w:r>
          </w:p>
        </w:tc>
        <w:tc>
          <w:tcPr>
            <w:tcW w:w="838" w:type="dxa"/>
            <w:noWrap/>
          </w:tcPr>
          <w:p w14:paraId="682A7923" w14:textId="77777777" w:rsidR="00C920AF" w:rsidRPr="00C920AF" w:rsidRDefault="00C920AF">
            <w:pPr>
              <w:pStyle w:val="Tabele"/>
              <w:jc w:val="right"/>
              <w:rPr>
                <w:rFonts w:cs="Arial"/>
                <w:color w:val="auto"/>
                <w:szCs w:val="16"/>
              </w:rPr>
            </w:pPr>
            <w:r w:rsidRPr="00C920AF">
              <w:rPr>
                <w:rFonts w:cs="Arial"/>
                <w:color w:val="auto"/>
                <w:szCs w:val="16"/>
              </w:rPr>
              <w:t>616</w:t>
            </w:r>
          </w:p>
        </w:tc>
        <w:tc>
          <w:tcPr>
            <w:tcW w:w="838" w:type="dxa"/>
            <w:noWrap/>
          </w:tcPr>
          <w:p w14:paraId="40763198" w14:textId="77777777" w:rsidR="00C920AF" w:rsidRPr="00C920AF" w:rsidRDefault="00C920AF">
            <w:pPr>
              <w:pStyle w:val="Tabele"/>
              <w:jc w:val="right"/>
              <w:rPr>
                <w:rFonts w:cs="Arial"/>
                <w:color w:val="auto"/>
                <w:szCs w:val="16"/>
              </w:rPr>
            </w:pPr>
            <w:r w:rsidRPr="00C920AF">
              <w:rPr>
                <w:rFonts w:cs="Arial"/>
                <w:color w:val="auto"/>
                <w:szCs w:val="16"/>
              </w:rPr>
              <w:t>666</w:t>
            </w:r>
          </w:p>
        </w:tc>
      </w:tr>
      <w:tr w:rsidR="001022FD" w:rsidRPr="00FC3272" w14:paraId="0E721D8F" w14:textId="77777777" w:rsidTr="00BB3EE6">
        <w:trPr>
          <w:trHeight w:val="211"/>
        </w:trPr>
        <w:tc>
          <w:tcPr>
            <w:tcW w:w="4914" w:type="dxa"/>
            <w:noWrap/>
            <w:hideMark/>
          </w:tcPr>
          <w:p w14:paraId="7D1E2A1C" w14:textId="77777777" w:rsidR="00C920AF" w:rsidRPr="00C920AF" w:rsidRDefault="00C920AF">
            <w:pPr>
              <w:pStyle w:val="Tabele"/>
              <w:rPr>
                <w:color w:val="auto"/>
                <w:lang w:eastAsia="pl-PL"/>
              </w:rPr>
            </w:pPr>
            <w:r w:rsidRPr="00C920AF">
              <w:rPr>
                <w:color w:val="auto"/>
                <w:lang w:eastAsia="pl-PL"/>
              </w:rPr>
              <w:t>Pompy ciepła</w:t>
            </w:r>
          </w:p>
        </w:tc>
        <w:tc>
          <w:tcPr>
            <w:tcW w:w="868" w:type="dxa"/>
            <w:shd w:val="clear" w:color="auto" w:fill="E2EFD9" w:themeFill="accent6" w:themeFillTint="33"/>
            <w:noWrap/>
            <w:vAlign w:val="bottom"/>
            <w:hideMark/>
          </w:tcPr>
          <w:p w14:paraId="09427F78" w14:textId="77777777" w:rsidR="00C920AF" w:rsidRPr="00C920AF" w:rsidRDefault="00C920AF">
            <w:pPr>
              <w:pStyle w:val="Tabele"/>
              <w:jc w:val="right"/>
              <w:rPr>
                <w:color w:val="auto"/>
                <w:lang w:eastAsia="pl-PL"/>
              </w:rPr>
            </w:pPr>
            <w:r w:rsidRPr="00C920AF">
              <w:rPr>
                <w:rFonts w:ascii="Arial" w:hAnsi="Arial" w:cs="Arial"/>
                <w:color w:val="auto"/>
                <w:szCs w:val="20"/>
              </w:rPr>
              <w:t>1 169</w:t>
            </w:r>
          </w:p>
        </w:tc>
        <w:tc>
          <w:tcPr>
            <w:tcW w:w="781" w:type="dxa"/>
            <w:noWrap/>
            <w:hideMark/>
          </w:tcPr>
          <w:p w14:paraId="5720C57B" w14:textId="77777777" w:rsidR="00C920AF" w:rsidRPr="00C920AF" w:rsidRDefault="00C920AF">
            <w:pPr>
              <w:pStyle w:val="Tabele"/>
              <w:jc w:val="right"/>
              <w:rPr>
                <w:color w:val="auto"/>
                <w:lang w:eastAsia="pl-PL"/>
              </w:rPr>
            </w:pPr>
            <w:r w:rsidRPr="00C920AF">
              <w:rPr>
                <w:rFonts w:cs="Arial"/>
                <w:color w:val="auto"/>
                <w:szCs w:val="16"/>
              </w:rPr>
              <w:t>1 246</w:t>
            </w:r>
          </w:p>
        </w:tc>
        <w:tc>
          <w:tcPr>
            <w:tcW w:w="823" w:type="dxa"/>
            <w:noWrap/>
            <w:hideMark/>
          </w:tcPr>
          <w:p w14:paraId="1F44E3F1" w14:textId="77777777" w:rsidR="00C920AF" w:rsidRPr="00C920AF" w:rsidRDefault="00C920AF">
            <w:pPr>
              <w:pStyle w:val="Tabele"/>
              <w:jc w:val="right"/>
              <w:rPr>
                <w:color w:val="auto"/>
                <w:lang w:eastAsia="pl-PL"/>
              </w:rPr>
            </w:pPr>
            <w:r w:rsidRPr="00C920AF">
              <w:rPr>
                <w:rFonts w:cs="Arial"/>
                <w:color w:val="auto"/>
                <w:szCs w:val="16"/>
              </w:rPr>
              <w:t>1 753</w:t>
            </w:r>
          </w:p>
        </w:tc>
        <w:tc>
          <w:tcPr>
            <w:tcW w:w="838" w:type="dxa"/>
            <w:noWrap/>
            <w:hideMark/>
          </w:tcPr>
          <w:p w14:paraId="30E94960" w14:textId="77777777" w:rsidR="00C920AF" w:rsidRPr="00C920AF" w:rsidRDefault="00C920AF">
            <w:pPr>
              <w:pStyle w:val="Tabele"/>
              <w:jc w:val="right"/>
              <w:rPr>
                <w:color w:val="auto"/>
                <w:lang w:eastAsia="pl-PL"/>
              </w:rPr>
            </w:pPr>
            <w:r w:rsidRPr="00C920AF">
              <w:rPr>
                <w:rFonts w:cs="Arial"/>
                <w:color w:val="auto"/>
                <w:szCs w:val="16"/>
              </w:rPr>
              <w:t>2 637</w:t>
            </w:r>
          </w:p>
        </w:tc>
        <w:tc>
          <w:tcPr>
            <w:tcW w:w="838" w:type="dxa"/>
            <w:noWrap/>
            <w:hideMark/>
          </w:tcPr>
          <w:p w14:paraId="00B0C3E4" w14:textId="77777777" w:rsidR="00C920AF" w:rsidRPr="00C920AF" w:rsidRDefault="00C920AF">
            <w:pPr>
              <w:pStyle w:val="Tabele"/>
              <w:jc w:val="right"/>
              <w:rPr>
                <w:color w:val="auto"/>
                <w:lang w:eastAsia="pl-PL"/>
              </w:rPr>
            </w:pPr>
            <w:r w:rsidRPr="00C920AF">
              <w:rPr>
                <w:rFonts w:cs="Arial"/>
                <w:color w:val="auto"/>
                <w:szCs w:val="16"/>
              </w:rPr>
              <w:t>3 389</w:t>
            </w:r>
          </w:p>
        </w:tc>
      </w:tr>
      <w:tr w:rsidR="001022FD" w:rsidRPr="00FC3272" w14:paraId="5C48E537" w14:textId="77777777" w:rsidTr="00BB3EE6">
        <w:trPr>
          <w:trHeight w:val="211"/>
        </w:trPr>
        <w:tc>
          <w:tcPr>
            <w:tcW w:w="4914" w:type="dxa"/>
            <w:noWrap/>
            <w:hideMark/>
          </w:tcPr>
          <w:p w14:paraId="6CA8A26C" w14:textId="77777777" w:rsidR="00C920AF" w:rsidRPr="00C920AF" w:rsidRDefault="00C920AF">
            <w:pPr>
              <w:pStyle w:val="Tabele"/>
              <w:rPr>
                <w:b/>
                <w:bCs/>
                <w:color w:val="auto"/>
                <w:lang w:eastAsia="pl-PL"/>
              </w:rPr>
            </w:pPr>
            <w:r w:rsidRPr="00C920AF">
              <w:rPr>
                <w:b/>
                <w:bCs/>
                <w:color w:val="auto"/>
                <w:lang w:eastAsia="pl-PL"/>
              </w:rPr>
              <w:t>Produkcja z OZE ogółem</w:t>
            </w:r>
          </w:p>
        </w:tc>
        <w:tc>
          <w:tcPr>
            <w:tcW w:w="868" w:type="dxa"/>
            <w:shd w:val="clear" w:color="auto" w:fill="E2EFD9" w:themeFill="accent6" w:themeFillTint="33"/>
            <w:noWrap/>
            <w:hideMark/>
          </w:tcPr>
          <w:p w14:paraId="1C6BEFAA" w14:textId="77777777" w:rsidR="00C920AF" w:rsidRPr="00C920AF" w:rsidRDefault="00C920AF">
            <w:pPr>
              <w:pStyle w:val="Tabele"/>
              <w:jc w:val="right"/>
              <w:rPr>
                <w:b/>
                <w:bCs/>
                <w:color w:val="auto"/>
                <w:lang w:eastAsia="pl-PL"/>
              </w:rPr>
            </w:pPr>
            <w:r w:rsidRPr="00C920AF">
              <w:rPr>
                <w:b/>
                <w:bCs/>
                <w:color w:val="auto"/>
                <w:lang w:eastAsia="pl-PL"/>
              </w:rPr>
              <w:t>5 837</w:t>
            </w:r>
          </w:p>
        </w:tc>
        <w:tc>
          <w:tcPr>
            <w:tcW w:w="781" w:type="dxa"/>
            <w:noWrap/>
            <w:hideMark/>
          </w:tcPr>
          <w:p w14:paraId="73D60BEB" w14:textId="77777777" w:rsidR="00C920AF" w:rsidRPr="00C920AF" w:rsidRDefault="00C920AF">
            <w:pPr>
              <w:pStyle w:val="Tabele"/>
              <w:jc w:val="right"/>
              <w:rPr>
                <w:b/>
                <w:bCs/>
                <w:color w:val="auto"/>
                <w:lang w:eastAsia="pl-PL"/>
              </w:rPr>
            </w:pPr>
            <w:r w:rsidRPr="00C920AF">
              <w:rPr>
                <w:rFonts w:cs="Arial"/>
                <w:b/>
                <w:bCs/>
                <w:color w:val="auto"/>
                <w:szCs w:val="16"/>
              </w:rPr>
              <w:t>7 511</w:t>
            </w:r>
          </w:p>
        </w:tc>
        <w:tc>
          <w:tcPr>
            <w:tcW w:w="823" w:type="dxa"/>
            <w:noWrap/>
            <w:hideMark/>
          </w:tcPr>
          <w:p w14:paraId="75943B4A" w14:textId="77777777" w:rsidR="00C920AF" w:rsidRPr="00C920AF" w:rsidRDefault="00C920AF">
            <w:pPr>
              <w:pStyle w:val="Tabele"/>
              <w:jc w:val="right"/>
              <w:rPr>
                <w:b/>
                <w:bCs/>
                <w:color w:val="auto"/>
                <w:lang w:eastAsia="pl-PL"/>
              </w:rPr>
            </w:pPr>
            <w:r w:rsidRPr="00C920AF">
              <w:rPr>
                <w:rFonts w:cs="Arial"/>
                <w:b/>
                <w:bCs/>
                <w:color w:val="auto"/>
                <w:szCs w:val="16"/>
              </w:rPr>
              <w:t>9 403</w:t>
            </w:r>
          </w:p>
        </w:tc>
        <w:tc>
          <w:tcPr>
            <w:tcW w:w="838" w:type="dxa"/>
            <w:noWrap/>
            <w:hideMark/>
          </w:tcPr>
          <w:p w14:paraId="52B38F13" w14:textId="77777777" w:rsidR="00C920AF" w:rsidRPr="00C920AF" w:rsidRDefault="00C920AF">
            <w:pPr>
              <w:pStyle w:val="Tabele"/>
              <w:jc w:val="right"/>
              <w:rPr>
                <w:b/>
                <w:bCs/>
                <w:color w:val="auto"/>
                <w:lang w:eastAsia="pl-PL"/>
              </w:rPr>
            </w:pPr>
            <w:r w:rsidRPr="00C920AF">
              <w:rPr>
                <w:rFonts w:cs="Arial"/>
                <w:b/>
                <w:bCs/>
                <w:color w:val="auto"/>
                <w:szCs w:val="16"/>
              </w:rPr>
              <w:t>11 878</w:t>
            </w:r>
          </w:p>
        </w:tc>
        <w:tc>
          <w:tcPr>
            <w:tcW w:w="838" w:type="dxa"/>
            <w:noWrap/>
            <w:hideMark/>
          </w:tcPr>
          <w:p w14:paraId="4D84BC38" w14:textId="77777777" w:rsidR="00C920AF" w:rsidRPr="00C920AF" w:rsidRDefault="00C920AF">
            <w:pPr>
              <w:pStyle w:val="Tabele"/>
              <w:jc w:val="right"/>
              <w:rPr>
                <w:b/>
                <w:bCs/>
                <w:color w:val="auto"/>
                <w:lang w:eastAsia="pl-PL"/>
              </w:rPr>
            </w:pPr>
            <w:r w:rsidRPr="00C920AF">
              <w:rPr>
                <w:rFonts w:cs="Arial"/>
                <w:b/>
                <w:bCs/>
                <w:color w:val="auto"/>
                <w:szCs w:val="16"/>
              </w:rPr>
              <w:t>13 917</w:t>
            </w:r>
          </w:p>
        </w:tc>
      </w:tr>
      <w:tr w:rsidR="001022FD" w:rsidRPr="00FC3272" w14:paraId="3ECBCC3D" w14:textId="77777777" w:rsidTr="00BB3EE6">
        <w:trPr>
          <w:trHeight w:val="211"/>
        </w:trPr>
        <w:tc>
          <w:tcPr>
            <w:tcW w:w="4914" w:type="dxa"/>
            <w:noWrap/>
            <w:hideMark/>
          </w:tcPr>
          <w:p w14:paraId="738E5362" w14:textId="77777777" w:rsidR="00C920AF" w:rsidRPr="00C920AF" w:rsidRDefault="00C920AF">
            <w:pPr>
              <w:pStyle w:val="Tabele"/>
              <w:rPr>
                <w:b/>
                <w:bCs/>
                <w:color w:val="auto"/>
                <w:lang w:eastAsia="pl-PL"/>
              </w:rPr>
            </w:pPr>
            <w:r w:rsidRPr="00C920AF">
              <w:rPr>
                <w:b/>
                <w:bCs/>
                <w:color w:val="auto"/>
                <w:lang w:eastAsia="pl-PL"/>
              </w:rPr>
              <w:t>Zużycie energii ogółem</w:t>
            </w:r>
          </w:p>
        </w:tc>
        <w:tc>
          <w:tcPr>
            <w:tcW w:w="868" w:type="dxa"/>
            <w:shd w:val="clear" w:color="auto" w:fill="E2EFD9" w:themeFill="accent6" w:themeFillTint="33"/>
            <w:noWrap/>
            <w:hideMark/>
          </w:tcPr>
          <w:p w14:paraId="3621BFBA" w14:textId="77777777" w:rsidR="00C920AF" w:rsidRPr="00C920AF" w:rsidRDefault="00C920AF">
            <w:pPr>
              <w:pStyle w:val="Tabele"/>
              <w:jc w:val="right"/>
              <w:rPr>
                <w:b/>
                <w:bCs/>
                <w:color w:val="auto"/>
                <w:lang w:eastAsia="pl-PL"/>
              </w:rPr>
            </w:pPr>
            <w:r w:rsidRPr="00C920AF">
              <w:rPr>
                <w:b/>
                <w:bCs/>
                <w:color w:val="auto"/>
                <w:lang w:eastAsia="pl-PL"/>
              </w:rPr>
              <w:t>23 702</w:t>
            </w:r>
          </w:p>
        </w:tc>
        <w:tc>
          <w:tcPr>
            <w:tcW w:w="781" w:type="dxa"/>
            <w:noWrap/>
            <w:hideMark/>
          </w:tcPr>
          <w:p w14:paraId="47C5166A" w14:textId="77777777" w:rsidR="00C920AF" w:rsidRPr="00C920AF" w:rsidRDefault="00C920AF">
            <w:pPr>
              <w:pStyle w:val="Tabele"/>
              <w:jc w:val="right"/>
              <w:rPr>
                <w:b/>
                <w:bCs/>
                <w:color w:val="auto"/>
                <w:lang w:eastAsia="pl-PL"/>
              </w:rPr>
            </w:pPr>
            <w:r w:rsidRPr="00C920AF">
              <w:rPr>
                <w:rFonts w:cs="Arial"/>
                <w:b/>
                <w:bCs/>
                <w:color w:val="auto"/>
                <w:szCs w:val="16"/>
              </w:rPr>
              <w:t>21 670</w:t>
            </w:r>
          </w:p>
        </w:tc>
        <w:tc>
          <w:tcPr>
            <w:tcW w:w="823" w:type="dxa"/>
            <w:noWrap/>
            <w:hideMark/>
          </w:tcPr>
          <w:p w14:paraId="6EF9C429" w14:textId="77777777" w:rsidR="00C920AF" w:rsidRPr="00C920AF" w:rsidRDefault="00C920AF">
            <w:pPr>
              <w:pStyle w:val="Tabele"/>
              <w:jc w:val="right"/>
              <w:rPr>
                <w:b/>
                <w:bCs/>
                <w:color w:val="auto"/>
                <w:lang w:eastAsia="pl-PL"/>
              </w:rPr>
            </w:pPr>
            <w:r w:rsidRPr="00C920AF">
              <w:rPr>
                <w:rFonts w:cs="Arial"/>
                <w:b/>
                <w:bCs/>
                <w:color w:val="auto"/>
                <w:szCs w:val="16"/>
              </w:rPr>
              <w:t>19 108</w:t>
            </w:r>
          </w:p>
        </w:tc>
        <w:tc>
          <w:tcPr>
            <w:tcW w:w="838" w:type="dxa"/>
            <w:noWrap/>
            <w:hideMark/>
          </w:tcPr>
          <w:p w14:paraId="7EE7490F" w14:textId="77777777" w:rsidR="00C920AF" w:rsidRPr="00C920AF" w:rsidRDefault="00C920AF">
            <w:pPr>
              <w:pStyle w:val="Tabele"/>
              <w:jc w:val="right"/>
              <w:rPr>
                <w:b/>
                <w:bCs/>
                <w:color w:val="auto"/>
                <w:lang w:eastAsia="pl-PL"/>
              </w:rPr>
            </w:pPr>
            <w:r w:rsidRPr="00C920AF">
              <w:rPr>
                <w:rFonts w:cs="Arial"/>
                <w:b/>
                <w:bCs/>
                <w:color w:val="auto"/>
                <w:szCs w:val="16"/>
              </w:rPr>
              <w:t>16 881</w:t>
            </w:r>
          </w:p>
        </w:tc>
        <w:tc>
          <w:tcPr>
            <w:tcW w:w="838" w:type="dxa"/>
            <w:noWrap/>
            <w:hideMark/>
          </w:tcPr>
          <w:p w14:paraId="09EAC182" w14:textId="77777777" w:rsidR="00C920AF" w:rsidRPr="00C920AF" w:rsidRDefault="00C920AF">
            <w:pPr>
              <w:pStyle w:val="Tabele"/>
              <w:jc w:val="right"/>
              <w:rPr>
                <w:b/>
                <w:bCs/>
                <w:color w:val="auto"/>
                <w:lang w:eastAsia="pl-PL"/>
              </w:rPr>
            </w:pPr>
            <w:r w:rsidRPr="00C920AF">
              <w:rPr>
                <w:rFonts w:cs="Arial"/>
                <w:b/>
                <w:bCs/>
                <w:color w:val="auto"/>
                <w:szCs w:val="16"/>
              </w:rPr>
              <w:t>16 023</w:t>
            </w:r>
          </w:p>
        </w:tc>
      </w:tr>
      <w:tr w:rsidR="001022FD" w:rsidRPr="00FC3272" w14:paraId="4C8F6C62" w14:textId="77777777" w:rsidTr="00BB3EE6">
        <w:trPr>
          <w:trHeight w:val="211"/>
        </w:trPr>
        <w:tc>
          <w:tcPr>
            <w:tcW w:w="4914" w:type="dxa"/>
            <w:noWrap/>
            <w:hideMark/>
          </w:tcPr>
          <w:p w14:paraId="2B6706BF" w14:textId="77777777" w:rsidR="00C920AF" w:rsidRPr="00C920AF" w:rsidRDefault="00C920AF">
            <w:pPr>
              <w:pStyle w:val="Tabele"/>
              <w:rPr>
                <w:b/>
                <w:bCs/>
                <w:color w:val="auto"/>
                <w:lang w:eastAsia="pl-PL"/>
              </w:rPr>
            </w:pPr>
            <w:r w:rsidRPr="00C920AF">
              <w:rPr>
                <w:b/>
                <w:bCs/>
                <w:color w:val="auto"/>
                <w:lang w:eastAsia="pl-PL"/>
              </w:rPr>
              <w:t>Udział OZE [%]</w:t>
            </w:r>
          </w:p>
        </w:tc>
        <w:tc>
          <w:tcPr>
            <w:tcW w:w="868" w:type="dxa"/>
            <w:shd w:val="clear" w:color="auto" w:fill="E2EFD9" w:themeFill="accent6" w:themeFillTint="33"/>
            <w:noWrap/>
            <w:hideMark/>
          </w:tcPr>
          <w:p w14:paraId="2A7A84E9" w14:textId="77777777" w:rsidR="00C920AF" w:rsidRPr="00C920AF" w:rsidRDefault="00C920AF">
            <w:pPr>
              <w:pStyle w:val="Tabele"/>
              <w:jc w:val="right"/>
              <w:rPr>
                <w:b/>
                <w:bCs/>
                <w:color w:val="auto"/>
                <w:lang w:eastAsia="pl-PL"/>
              </w:rPr>
            </w:pPr>
            <w:r w:rsidRPr="00C920AF">
              <w:rPr>
                <w:b/>
                <w:bCs/>
                <w:color w:val="auto"/>
                <w:lang w:eastAsia="pl-PL"/>
              </w:rPr>
              <w:t>24,6%</w:t>
            </w:r>
          </w:p>
        </w:tc>
        <w:tc>
          <w:tcPr>
            <w:tcW w:w="781" w:type="dxa"/>
            <w:noWrap/>
            <w:hideMark/>
          </w:tcPr>
          <w:p w14:paraId="3949A8F9" w14:textId="77777777" w:rsidR="00C920AF" w:rsidRPr="00C920AF" w:rsidRDefault="00C920AF">
            <w:pPr>
              <w:pStyle w:val="Tabele"/>
              <w:jc w:val="right"/>
              <w:rPr>
                <w:b/>
                <w:bCs/>
                <w:color w:val="auto"/>
                <w:lang w:eastAsia="pl-PL"/>
              </w:rPr>
            </w:pPr>
            <w:r w:rsidRPr="00C920AF">
              <w:rPr>
                <w:rFonts w:cs="Arial"/>
                <w:b/>
                <w:bCs/>
                <w:color w:val="auto"/>
                <w:szCs w:val="16"/>
              </w:rPr>
              <w:t>34,7%</w:t>
            </w:r>
          </w:p>
        </w:tc>
        <w:tc>
          <w:tcPr>
            <w:tcW w:w="823" w:type="dxa"/>
            <w:noWrap/>
            <w:hideMark/>
          </w:tcPr>
          <w:p w14:paraId="59E4397D" w14:textId="77777777" w:rsidR="00C920AF" w:rsidRPr="00C920AF" w:rsidRDefault="00C920AF">
            <w:pPr>
              <w:pStyle w:val="Tabele"/>
              <w:jc w:val="right"/>
              <w:rPr>
                <w:b/>
                <w:bCs/>
                <w:color w:val="auto"/>
                <w:lang w:eastAsia="pl-PL"/>
              </w:rPr>
            </w:pPr>
            <w:r w:rsidRPr="00C920AF">
              <w:rPr>
                <w:rFonts w:cs="Arial"/>
                <w:b/>
                <w:bCs/>
                <w:color w:val="auto"/>
                <w:szCs w:val="16"/>
              </w:rPr>
              <w:t>49,2%</w:t>
            </w:r>
          </w:p>
        </w:tc>
        <w:tc>
          <w:tcPr>
            <w:tcW w:w="838" w:type="dxa"/>
            <w:noWrap/>
            <w:hideMark/>
          </w:tcPr>
          <w:p w14:paraId="237E52DE" w14:textId="77777777" w:rsidR="00C920AF" w:rsidRPr="00C920AF" w:rsidRDefault="00C920AF">
            <w:pPr>
              <w:pStyle w:val="Tabele"/>
              <w:jc w:val="right"/>
              <w:rPr>
                <w:b/>
                <w:bCs/>
                <w:color w:val="auto"/>
                <w:lang w:eastAsia="pl-PL"/>
              </w:rPr>
            </w:pPr>
            <w:r w:rsidRPr="00C920AF">
              <w:rPr>
                <w:rFonts w:cs="Arial"/>
                <w:b/>
                <w:bCs/>
                <w:color w:val="auto"/>
                <w:szCs w:val="16"/>
              </w:rPr>
              <w:t>70,4%</w:t>
            </w:r>
          </w:p>
        </w:tc>
        <w:tc>
          <w:tcPr>
            <w:tcW w:w="838" w:type="dxa"/>
            <w:noWrap/>
            <w:hideMark/>
          </w:tcPr>
          <w:p w14:paraId="403DDC0D" w14:textId="77777777" w:rsidR="00C920AF" w:rsidRPr="00C920AF" w:rsidRDefault="00C920AF">
            <w:pPr>
              <w:pStyle w:val="Tabele"/>
              <w:jc w:val="right"/>
              <w:rPr>
                <w:b/>
                <w:bCs/>
                <w:color w:val="auto"/>
                <w:lang w:eastAsia="pl-PL"/>
              </w:rPr>
            </w:pPr>
            <w:r w:rsidRPr="00C920AF">
              <w:rPr>
                <w:rFonts w:cs="Arial"/>
                <w:b/>
                <w:bCs/>
                <w:color w:val="auto"/>
                <w:szCs w:val="16"/>
              </w:rPr>
              <w:t>86,9%</w:t>
            </w:r>
          </w:p>
        </w:tc>
      </w:tr>
    </w:tbl>
    <w:p w14:paraId="37ACB328" w14:textId="5D88249D" w:rsidR="005C4144" w:rsidRDefault="005C4144" w:rsidP="005C4144"/>
    <w:p w14:paraId="2BF0C229" w14:textId="3CD8E20E" w:rsidR="005C4144" w:rsidRDefault="005C4144" w:rsidP="00770607">
      <w:pPr>
        <w:pStyle w:val="Legenda"/>
        <w:keepNext/>
        <w:spacing w:before="0"/>
      </w:pPr>
      <w:bookmarkStart w:id="255" w:name="_Ref167820142"/>
      <w:bookmarkStart w:id="256" w:name="_Toc171587188"/>
      <w:bookmarkStart w:id="257" w:name="_Toc174710972"/>
      <w:bookmarkStart w:id="258" w:name="_Toc202966975"/>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1</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30</w:t>
      </w:r>
      <w:r w:rsidR="00653D9A">
        <w:rPr>
          <w:noProof/>
        </w:rPr>
        <w:fldChar w:fldCharType="end"/>
      </w:r>
      <w:bookmarkEnd w:id="255"/>
      <w:r>
        <w:t xml:space="preserve">. </w:t>
      </w:r>
      <w:r w:rsidRPr="00FC3272">
        <w:t>OZE</w:t>
      </w:r>
      <w:r w:rsidR="00924C75">
        <w:t>*</w:t>
      </w:r>
      <w:r w:rsidRPr="00FC3272">
        <w:t xml:space="preserve"> w przemyśle [ktoe]</w:t>
      </w:r>
      <w:bookmarkEnd w:id="256"/>
      <w:bookmarkEnd w:id="257"/>
      <w:bookmarkEnd w:id="258"/>
    </w:p>
    <w:tbl>
      <w:tblPr>
        <w:tblStyle w:val="KPEiK"/>
        <w:tblW w:w="5000" w:type="pct"/>
        <w:tblLayout w:type="fixed"/>
        <w:tblLook w:val="04A0" w:firstRow="1" w:lastRow="0" w:firstColumn="1" w:lastColumn="0" w:noHBand="0" w:noVBand="1"/>
      </w:tblPr>
      <w:tblGrid>
        <w:gridCol w:w="4163"/>
        <w:gridCol w:w="979"/>
        <w:gridCol w:w="980"/>
        <w:gridCol w:w="980"/>
        <w:gridCol w:w="980"/>
        <w:gridCol w:w="980"/>
      </w:tblGrid>
      <w:tr w:rsidR="00FB51B0" w:rsidRPr="00FC3272" w14:paraId="31A51F66" w14:textId="77777777" w:rsidTr="003C6E1F">
        <w:trPr>
          <w:cnfStyle w:val="100000000000" w:firstRow="1" w:lastRow="0" w:firstColumn="0" w:lastColumn="0" w:oddVBand="0" w:evenVBand="0" w:oddHBand="0" w:evenHBand="0" w:firstRowFirstColumn="0" w:firstRowLastColumn="0" w:lastRowFirstColumn="0" w:lastRowLastColumn="0"/>
          <w:trHeight w:val="214"/>
          <w:tblHeader/>
        </w:trPr>
        <w:tc>
          <w:tcPr>
            <w:tcW w:w="4163" w:type="dxa"/>
            <w:noWrap/>
            <w:hideMark/>
          </w:tcPr>
          <w:p w14:paraId="4E555F42" w14:textId="77777777" w:rsidR="00636DCA" w:rsidRPr="00FC3272" w:rsidRDefault="00636DCA">
            <w:pPr>
              <w:pStyle w:val="Tabele"/>
              <w:rPr>
                <w:lang w:eastAsia="pl-PL"/>
              </w:rPr>
            </w:pPr>
            <w:bookmarkStart w:id="259" w:name="_Toc171587316"/>
            <w:bookmarkStart w:id="260" w:name="_Toc174710890"/>
            <w:r w:rsidRPr="00FC3272">
              <w:rPr>
                <w:lang w:eastAsia="pl-PL"/>
              </w:rPr>
              <w:t> </w:t>
            </w:r>
          </w:p>
        </w:tc>
        <w:tc>
          <w:tcPr>
            <w:tcW w:w="979" w:type="dxa"/>
            <w:tcBorders>
              <w:bottom w:val="single" w:sz="4" w:space="0" w:color="808080"/>
            </w:tcBorders>
            <w:noWrap/>
            <w:hideMark/>
          </w:tcPr>
          <w:p w14:paraId="3C3441F1" w14:textId="77777777" w:rsidR="00636DCA" w:rsidRPr="00FC3272" w:rsidRDefault="00636DCA" w:rsidP="003C6E1F">
            <w:pPr>
              <w:pStyle w:val="Tabele"/>
              <w:jc w:val="center"/>
              <w:rPr>
                <w:bCs/>
                <w:lang w:eastAsia="pl-PL"/>
              </w:rPr>
            </w:pPr>
            <w:r w:rsidRPr="00FC3272">
              <w:rPr>
                <w:bCs/>
                <w:lang w:eastAsia="pl-PL"/>
              </w:rPr>
              <w:t>2020</w:t>
            </w:r>
          </w:p>
        </w:tc>
        <w:tc>
          <w:tcPr>
            <w:tcW w:w="980" w:type="dxa"/>
            <w:noWrap/>
            <w:hideMark/>
          </w:tcPr>
          <w:p w14:paraId="3BD281A9" w14:textId="77777777" w:rsidR="00636DCA" w:rsidRPr="00FC3272" w:rsidRDefault="00636DCA" w:rsidP="003C6E1F">
            <w:pPr>
              <w:pStyle w:val="Tabele"/>
              <w:jc w:val="center"/>
              <w:rPr>
                <w:bCs/>
                <w:lang w:eastAsia="pl-PL"/>
              </w:rPr>
            </w:pPr>
            <w:r w:rsidRPr="00FC3272">
              <w:rPr>
                <w:bCs/>
                <w:lang w:eastAsia="pl-PL"/>
              </w:rPr>
              <w:t>2025</w:t>
            </w:r>
          </w:p>
        </w:tc>
        <w:tc>
          <w:tcPr>
            <w:tcW w:w="980" w:type="dxa"/>
            <w:noWrap/>
            <w:hideMark/>
          </w:tcPr>
          <w:p w14:paraId="15C4F256" w14:textId="77777777" w:rsidR="00636DCA" w:rsidRPr="00FC3272" w:rsidRDefault="00636DCA" w:rsidP="003C6E1F">
            <w:pPr>
              <w:pStyle w:val="Tabele"/>
              <w:jc w:val="center"/>
              <w:rPr>
                <w:bCs/>
                <w:lang w:eastAsia="pl-PL"/>
              </w:rPr>
            </w:pPr>
            <w:r w:rsidRPr="00FC3272">
              <w:rPr>
                <w:bCs/>
                <w:lang w:eastAsia="pl-PL"/>
              </w:rPr>
              <w:t>2030</w:t>
            </w:r>
          </w:p>
        </w:tc>
        <w:tc>
          <w:tcPr>
            <w:tcW w:w="980" w:type="dxa"/>
            <w:noWrap/>
            <w:hideMark/>
          </w:tcPr>
          <w:p w14:paraId="3F917AB9" w14:textId="77777777" w:rsidR="00636DCA" w:rsidRPr="00FC3272" w:rsidRDefault="00636DCA" w:rsidP="003C6E1F">
            <w:pPr>
              <w:pStyle w:val="Tabele"/>
              <w:jc w:val="center"/>
              <w:rPr>
                <w:bCs/>
                <w:lang w:eastAsia="pl-PL"/>
              </w:rPr>
            </w:pPr>
            <w:r w:rsidRPr="00FC3272">
              <w:rPr>
                <w:bCs/>
                <w:lang w:eastAsia="pl-PL"/>
              </w:rPr>
              <w:t>2035</w:t>
            </w:r>
          </w:p>
        </w:tc>
        <w:tc>
          <w:tcPr>
            <w:tcW w:w="980" w:type="dxa"/>
            <w:noWrap/>
            <w:hideMark/>
          </w:tcPr>
          <w:p w14:paraId="4B1DEEDC" w14:textId="77777777" w:rsidR="00636DCA" w:rsidRPr="00FC3272" w:rsidRDefault="00636DCA" w:rsidP="003C6E1F">
            <w:pPr>
              <w:pStyle w:val="Tabele"/>
              <w:jc w:val="center"/>
              <w:rPr>
                <w:bCs/>
                <w:lang w:eastAsia="pl-PL"/>
              </w:rPr>
            </w:pPr>
            <w:r w:rsidRPr="00FC3272">
              <w:rPr>
                <w:bCs/>
                <w:lang w:eastAsia="pl-PL"/>
              </w:rPr>
              <w:t>2040</w:t>
            </w:r>
          </w:p>
        </w:tc>
      </w:tr>
      <w:tr w:rsidR="007F0D2B" w:rsidRPr="00FC3272" w14:paraId="45CC5DA9" w14:textId="77777777" w:rsidTr="003C6E1F">
        <w:trPr>
          <w:trHeight w:val="214"/>
        </w:trPr>
        <w:tc>
          <w:tcPr>
            <w:tcW w:w="4163" w:type="dxa"/>
            <w:noWrap/>
            <w:hideMark/>
          </w:tcPr>
          <w:p w14:paraId="26B256E9" w14:textId="77777777" w:rsidR="00636DCA" w:rsidRPr="00DF21BD" w:rsidRDefault="00636DCA">
            <w:pPr>
              <w:pStyle w:val="Tabele"/>
              <w:rPr>
                <w:color w:val="auto"/>
                <w:lang w:eastAsia="pl-PL"/>
              </w:rPr>
            </w:pPr>
            <w:r w:rsidRPr="00DF21BD">
              <w:rPr>
                <w:color w:val="auto"/>
                <w:lang w:eastAsia="pl-PL"/>
              </w:rPr>
              <w:t>Odpady odnawialne</w:t>
            </w:r>
          </w:p>
        </w:tc>
        <w:tc>
          <w:tcPr>
            <w:tcW w:w="979" w:type="dxa"/>
            <w:shd w:val="clear" w:color="auto" w:fill="E2EFD9" w:themeFill="accent6" w:themeFillTint="33"/>
            <w:noWrap/>
            <w:hideMark/>
          </w:tcPr>
          <w:p w14:paraId="22BCEDBB" w14:textId="77777777" w:rsidR="00636DCA" w:rsidRPr="00DF21BD" w:rsidRDefault="00636DCA">
            <w:pPr>
              <w:pStyle w:val="Tabele"/>
              <w:jc w:val="right"/>
              <w:rPr>
                <w:color w:val="auto"/>
                <w:lang w:eastAsia="pl-PL"/>
              </w:rPr>
            </w:pPr>
            <w:r w:rsidRPr="00DF21BD">
              <w:rPr>
                <w:color w:val="auto"/>
                <w:lang w:eastAsia="pl-PL"/>
              </w:rPr>
              <w:t>90</w:t>
            </w:r>
          </w:p>
        </w:tc>
        <w:tc>
          <w:tcPr>
            <w:tcW w:w="980" w:type="dxa"/>
            <w:noWrap/>
            <w:hideMark/>
          </w:tcPr>
          <w:p w14:paraId="44F8E48B" w14:textId="77777777" w:rsidR="00636DCA" w:rsidRPr="00DF21BD" w:rsidRDefault="00636DCA">
            <w:pPr>
              <w:pStyle w:val="Tabele"/>
              <w:jc w:val="right"/>
              <w:rPr>
                <w:color w:val="auto"/>
                <w:lang w:eastAsia="pl-PL"/>
              </w:rPr>
            </w:pPr>
            <w:r w:rsidRPr="00DF21BD">
              <w:rPr>
                <w:rFonts w:cs="Arial"/>
                <w:color w:val="auto"/>
                <w:szCs w:val="16"/>
              </w:rPr>
              <w:t>102</w:t>
            </w:r>
          </w:p>
        </w:tc>
        <w:tc>
          <w:tcPr>
            <w:tcW w:w="980" w:type="dxa"/>
            <w:noWrap/>
            <w:hideMark/>
          </w:tcPr>
          <w:p w14:paraId="1B647886" w14:textId="77777777" w:rsidR="00636DCA" w:rsidRPr="00DF21BD" w:rsidRDefault="00636DCA">
            <w:pPr>
              <w:pStyle w:val="Tabele"/>
              <w:jc w:val="right"/>
              <w:rPr>
                <w:color w:val="auto"/>
                <w:lang w:eastAsia="pl-PL"/>
              </w:rPr>
            </w:pPr>
            <w:r w:rsidRPr="00DF21BD">
              <w:rPr>
                <w:rFonts w:cs="Arial"/>
                <w:color w:val="auto"/>
                <w:szCs w:val="16"/>
              </w:rPr>
              <w:t>112</w:t>
            </w:r>
          </w:p>
        </w:tc>
        <w:tc>
          <w:tcPr>
            <w:tcW w:w="980" w:type="dxa"/>
            <w:noWrap/>
            <w:hideMark/>
          </w:tcPr>
          <w:p w14:paraId="78705FDA" w14:textId="77777777" w:rsidR="00636DCA" w:rsidRPr="00DF21BD" w:rsidRDefault="00636DCA">
            <w:pPr>
              <w:pStyle w:val="Tabele"/>
              <w:jc w:val="right"/>
              <w:rPr>
                <w:color w:val="auto"/>
                <w:lang w:eastAsia="pl-PL"/>
              </w:rPr>
            </w:pPr>
            <w:r w:rsidRPr="00DF21BD">
              <w:rPr>
                <w:rFonts w:cs="Arial"/>
                <w:color w:val="auto"/>
                <w:szCs w:val="16"/>
              </w:rPr>
              <w:t>123</w:t>
            </w:r>
          </w:p>
        </w:tc>
        <w:tc>
          <w:tcPr>
            <w:tcW w:w="980" w:type="dxa"/>
            <w:noWrap/>
            <w:hideMark/>
          </w:tcPr>
          <w:p w14:paraId="0A1A30B9" w14:textId="77777777" w:rsidR="00636DCA" w:rsidRPr="00DF21BD" w:rsidRDefault="00636DCA">
            <w:pPr>
              <w:pStyle w:val="Tabele"/>
              <w:jc w:val="right"/>
              <w:rPr>
                <w:color w:val="auto"/>
                <w:lang w:eastAsia="pl-PL"/>
              </w:rPr>
            </w:pPr>
            <w:r w:rsidRPr="00DF21BD">
              <w:rPr>
                <w:rFonts w:cs="Arial"/>
                <w:color w:val="auto"/>
                <w:szCs w:val="16"/>
              </w:rPr>
              <w:t>137</w:t>
            </w:r>
          </w:p>
        </w:tc>
      </w:tr>
      <w:tr w:rsidR="007F0D2B" w:rsidRPr="00FC3272" w14:paraId="79C3B92B" w14:textId="77777777" w:rsidTr="003C6E1F">
        <w:trPr>
          <w:trHeight w:val="214"/>
        </w:trPr>
        <w:tc>
          <w:tcPr>
            <w:tcW w:w="4163" w:type="dxa"/>
            <w:noWrap/>
            <w:hideMark/>
          </w:tcPr>
          <w:p w14:paraId="4C4B1CE8" w14:textId="77777777" w:rsidR="00636DCA" w:rsidRPr="00DF21BD" w:rsidRDefault="00636DCA">
            <w:pPr>
              <w:pStyle w:val="Tabele"/>
              <w:rPr>
                <w:color w:val="auto"/>
                <w:lang w:eastAsia="pl-PL"/>
              </w:rPr>
            </w:pPr>
            <w:r w:rsidRPr="00DF21BD">
              <w:rPr>
                <w:color w:val="auto"/>
                <w:lang w:eastAsia="pl-PL"/>
              </w:rPr>
              <w:t>Słońce</w:t>
            </w:r>
          </w:p>
        </w:tc>
        <w:tc>
          <w:tcPr>
            <w:tcW w:w="979" w:type="dxa"/>
            <w:shd w:val="clear" w:color="auto" w:fill="E2EFD9" w:themeFill="accent6" w:themeFillTint="33"/>
            <w:noWrap/>
            <w:hideMark/>
          </w:tcPr>
          <w:p w14:paraId="78A0D1E9" w14:textId="77777777" w:rsidR="00636DCA" w:rsidRPr="00DF21BD" w:rsidRDefault="00636DCA">
            <w:pPr>
              <w:pStyle w:val="Tabele"/>
              <w:jc w:val="right"/>
              <w:rPr>
                <w:color w:val="auto"/>
                <w:lang w:eastAsia="pl-PL"/>
              </w:rPr>
            </w:pPr>
            <w:r w:rsidRPr="00DF21BD">
              <w:rPr>
                <w:color w:val="auto"/>
                <w:lang w:eastAsia="pl-PL"/>
              </w:rPr>
              <w:t>8</w:t>
            </w:r>
          </w:p>
        </w:tc>
        <w:tc>
          <w:tcPr>
            <w:tcW w:w="980" w:type="dxa"/>
            <w:noWrap/>
            <w:hideMark/>
          </w:tcPr>
          <w:p w14:paraId="4CA1CB7C" w14:textId="77777777" w:rsidR="00636DCA" w:rsidRPr="00DF21BD" w:rsidRDefault="00636DCA">
            <w:pPr>
              <w:pStyle w:val="Tabele"/>
              <w:jc w:val="right"/>
              <w:rPr>
                <w:color w:val="auto"/>
                <w:lang w:eastAsia="pl-PL"/>
              </w:rPr>
            </w:pPr>
            <w:r w:rsidRPr="00DF21BD">
              <w:rPr>
                <w:rFonts w:cs="Arial"/>
                <w:color w:val="auto"/>
                <w:szCs w:val="16"/>
              </w:rPr>
              <w:t>72</w:t>
            </w:r>
          </w:p>
        </w:tc>
        <w:tc>
          <w:tcPr>
            <w:tcW w:w="980" w:type="dxa"/>
            <w:noWrap/>
            <w:hideMark/>
          </w:tcPr>
          <w:p w14:paraId="760826FD" w14:textId="77777777" w:rsidR="00636DCA" w:rsidRPr="00DF21BD" w:rsidRDefault="00636DCA">
            <w:pPr>
              <w:pStyle w:val="Tabele"/>
              <w:jc w:val="right"/>
              <w:rPr>
                <w:color w:val="auto"/>
                <w:lang w:eastAsia="pl-PL"/>
              </w:rPr>
            </w:pPr>
            <w:r w:rsidRPr="00DF21BD">
              <w:rPr>
                <w:rFonts w:cs="Arial"/>
                <w:color w:val="auto"/>
                <w:szCs w:val="16"/>
              </w:rPr>
              <w:t>170</w:t>
            </w:r>
          </w:p>
        </w:tc>
        <w:tc>
          <w:tcPr>
            <w:tcW w:w="980" w:type="dxa"/>
            <w:noWrap/>
            <w:hideMark/>
          </w:tcPr>
          <w:p w14:paraId="31CCBB09" w14:textId="77777777" w:rsidR="00636DCA" w:rsidRPr="00DF21BD" w:rsidRDefault="00636DCA">
            <w:pPr>
              <w:pStyle w:val="Tabele"/>
              <w:jc w:val="right"/>
              <w:rPr>
                <w:color w:val="auto"/>
                <w:lang w:eastAsia="pl-PL"/>
              </w:rPr>
            </w:pPr>
            <w:r w:rsidRPr="00DF21BD">
              <w:rPr>
                <w:rFonts w:cs="Arial"/>
                <w:color w:val="auto"/>
                <w:szCs w:val="16"/>
              </w:rPr>
              <w:t>312</w:t>
            </w:r>
          </w:p>
        </w:tc>
        <w:tc>
          <w:tcPr>
            <w:tcW w:w="980" w:type="dxa"/>
            <w:noWrap/>
            <w:hideMark/>
          </w:tcPr>
          <w:p w14:paraId="16301D51" w14:textId="77777777" w:rsidR="00636DCA" w:rsidRPr="00DF21BD" w:rsidRDefault="00636DCA">
            <w:pPr>
              <w:pStyle w:val="Tabele"/>
              <w:jc w:val="right"/>
              <w:rPr>
                <w:color w:val="auto"/>
                <w:lang w:eastAsia="pl-PL"/>
              </w:rPr>
            </w:pPr>
            <w:r w:rsidRPr="00DF21BD">
              <w:rPr>
                <w:rFonts w:cs="Arial"/>
                <w:color w:val="auto"/>
                <w:szCs w:val="16"/>
              </w:rPr>
              <w:t>503</w:t>
            </w:r>
          </w:p>
        </w:tc>
      </w:tr>
      <w:tr w:rsidR="007F0D2B" w:rsidRPr="00FC3272" w14:paraId="3A7DB4E2" w14:textId="77777777" w:rsidTr="003C6E1F">
        <w:trPr>
          <w:trHeight w:val="214"/>
        </w:trPr>
        <w:tc>
          <w:tcPr>
            <w:tcW w:w="4163" w:type="dxa"/>
            <w:noWrap/>
            <w:hideMark/>
          </w:tcPr>
          <w:p w14:paraId="64A393F1" w14:textId="77777777" w:rsidR="00636DCA" w:rsidRPr="00DF21BD" w:rsidRDefault="00636DCA">
            <w:pPr>
              <w:pStyle w:val="Tabele"/>
              <w:rPr>
                <w:color w:val="auto"/>
                <w:lang w:eastAsia="pl-PL"/>
              </w:rPr>
            </w:pPr>
            <w:r w:rsidRPr="00DF21BD">
              <w:rPr>
                <w:color w:val="auto"/>
                <w:lang w:eastAsia="pl-PL"/>
              </w:rPr>
              <w:t xml:space="preserve">Biomasa </w:t>
            </w:r>
          </w:p>
        </w:tc>
        <w:tc>
          <w:tcPr>
            <w:tcW w:w="979" w:type="dxa"/>
            <w:shd w:val="clear" w:color="auto" w:fill="E2EFD9" w:themeFill="accent6" w:themeFillTint="33"/>
            <w:noWrap/>
            <w:hideMark/>
          </w:tcPr>
          <w:p w14:paraId="726F5EFD" w14:textId="77777777" w:rsidR="00636DCA" w:rsidRPr="00DF21BD" w:rsidRDefault="00636DCA">
            <w:pPr>
              <w:pStyle w:val="Tabele"/>
              <w:jc w:val="right"/>
              <w:rPr>
                <w:color w:val="auto"/>
                <w:lang w:eastAsia="pl-PL"/>
              </w:rPr>
            </w:pPr>
            <w:r w:rsidRPr="00DF21BD">
              <w:rPr>
                <w:color w:val="auto"/>
                <w:lang w:eastAsia="pl-PL"/>
              </w:rPr>
              <w:t>1 807</w:t>
            </w:r>
          </w:p>
        </w:tc>
        <w:tc>
          <w:tcPr>
            <w:tcW w:w="980" w:type="dxa"/>
            <w:noWrap/>
            <w:hideMark/>
          </w:tcPr>
          <w:p w14:paraId="359BF2F7" w14:textId="77777777" w:rsidR="00636DCA" w:rsidRPr="00DF21BD" w:rsidRDefault="00636DCA">
            <w:pPr>
              <w:pStyle w:val="Tabele"/>
              <w:jc w:val="right"/>
              <w:rPr>
                <w:color w:val="auto"/>
                <w:lang w:eastAsia="pl-PL"/>
              </w:rPr>
            </w:pPr>
            <w:r w:rsidRPr="00DF21BD">
              <w:rPr>
                <w:rFonts w:cs="Arial"/>
                <w:color w:val="auto"/>
                <w:szCs w:val="16"/>
              </w:rPr>
              <w:t>2 301</w:t>
            </w:r>
          </w:p>
        </w:tc>
        <w:tc>
          <w:tcPr>
            <w:tcW w:w="980" w:type="dxa"/>
            <w:noWrap/>
            <w:hideMark/>
          </w:tcPr>
          <w:p w14:paraId="3AC4CCAA" w14:textId="77777777" w:rsidR="00636DCA" w:rsidRPr="00DF21BD" w:rsidRDefault="00636DCA">
            <w:pPr>
              <w:pStyle w:val="Tabele"/>
              <w:jc w:val="right"/>
              <w:rPr>
                <w:color w:val="auto"/>
                <w:lang w:eastAsia="pl-PL"/>
              </w:rPr>
            </w:pPr>
            <w:r w:rsidRPr="00DF21BD">
              <w:rPr>
                <w:rFonts w:cs="Arial"/>
                <w:color w:val="auto"/>
                <w:szCs w:val="16"/>
              </w:rPr>
              <w:t>2 195</w:t>
            </w:r>
          </w:p>
        </w:tc>
        <w:tc>
          <w:tcPr>
            <w:tcW w:w="980" w:type="dxa"/>
            <w:noWrap/>
            <w:hideMark/>
          </w:tcPr>
          <w:p w14:paraId="2AEC74EB" w14:textId="77777777" w:rsidR="00636DCA" w:rsidRPr="00DF21BD" w:rsidRDefault="00636DCA">
            <w:pPr>
              <w:pStyle w:val="Tabele"/>
              <w:jc w:val="right"/>
              <w:rPr>
                <w:color w:val="auto"/>
                <w:lang w:eastAsia="pl-PL"/>
              </w:rPr>
            </w:pPr>
            <w:r w:rsidRPr="00DF21BD">
              <w:rPr>
                <w:rFonts w:cs="Arial"/>
                <w:color w:val="auto"/>
                <w:szCs w:val="16"/>
              </w:rPr>
              <w:t>2 152</w:t>
            </w:r>
          </w:p>
        </w:tc>
        <w:tc>
          <w:tcPr>
            <w:tcW w:w="980" w:type="dxa"/>
            <w:noWrap/>
            <w:hideMark/>
          </w:tcPr>
          <w:p w14:paraId="4C4E2912" w14:textId="77777777" w:rsidR="00636DCA" w:rsidRPr="00DF21BD" w:rsidRDefault="00636DCA">
            <w:pPr>
              <w:pStyle w:val="Tabele"/>
              <w:jc w:val="right"/>
              <w:rPr>
                <w:color w:val="auto"/>
                <w:lang w:eastAsia="pl-PL"/>
              </w:rPr>
            </w:pPr>
            <w:r w:rsidRPr="00DF21BD">
              <w:rPr>
                <w:rFonts w:cs="Arial"/>
                <w:color w:val="auto"/>
                <w:szCs w:val="16"/>
              </w:rPr>
              <w:t>2 171</w:t>
            </w:r>
          </w:p>
        </w:tc>
      </w:tr>
      <w:tr w:rsidR="007F0D2B" w:rsidRPr="00FC3272" w14:paraId="1000523F" w14:textId="77777777" w:rsidTr="003C6E1F">
        <w:trPr>
          <w:trHeight w:val="214"/>
        </w:trPr>
        <w:tc>
          <w:tcPr>
            <w:tcW w:w="4163" w:type="dxa"/>
            <w:noWrap/>
            <w:hideMark/>
          </w:tcPr>
          <w:p w14:paraId="03910FF5" w14:textId="685710A5" w:rsidR="00636DCA" w:rsidRPr="00DF21BD" w:rsidRDefault="00636DCA">
            <w:pPr>
              <w:pStyle w:val="Tabele"/>
              <w:rPr>
                <w:color w:val="auto"/>
                <w:lang w:eastAsia="pl-PL"/>
              </w:rPr>
            </w:pPr>
            <w:r w:rsidRPr="00DF21BD">
              <w:rPr>
                <w:color w:val="auto"/>
                <w:lang w:eastAsia="pl-PL"/>
              </w:rPr>
              <w:t>Biometan</w:t>
            </w:r>
            <w:r w:rsidR="002005B8">
              <w:rPr>
                <w:color w:val="auto"/>
                <w:lang w:eastAsia="pl-PL"/>
              </w:rPr>
              <w:t>/biogaz/wodór</w:t>
            </w:r>
          </w:p>
        </w:tc>
        <w:tc>
          <w:tcPr>
            <w:tcW w:w="979" w:type="dxa"/>
            <w:shd w:val="clear" w:color="auto" w:fill="E2EFD9" w:themeFill="accent6" w:themeFillTint="33"/>
            <w:noWrap/>
            <w:hideMark/>
          </w:tcPr>
          <w:p w14:paraId="6F1DD2EA" w14:textId="47379FDD" w:rsidR="00636DCA" w:rsidRPr="00DF21BD" w:rsidRDefault="002005B8">
            <w:pPr>
              <w:pStyle w:val="Tabele"/>
              <w:jc w:val="right"/>
              <w:rPr>
                <w:color w:val="auto"/>
                <w:lang w:eastAsia="pl-PL"/>
              </w:rPr>
            </w:pPr>
            <w:r>
              <w:rPr>
                <w:color w:val="auto"/>
                <w:lang w:eastAsia="pl-PL"/>
              </w:rPr>
              <w:t>23</w:t>
            </w:r>
          </w:p>
        </w:tc>
        <w:tc>
          <w:tcPr>
            <w:tcW w:w="980" w:type="dxa"/>
            <w:noWrap/>
            <w:hideMark/>
          </w:tcPr>
          <w:p w14:paraId="66313B97" w14:textId="218B6F23" w:rsidR="00636DCA" w:rsidRPr="00DF21BD" w:rsidRDefault="002005B8">
            <w:pPr>
              <w:pStyle w:val="Tabele"/>
              <w:jc w:val="right"/>
              <w:rPr>
                <w:color w:val="auto"/>
                <w:lang w:eastAsia="pl-PL"/>
              </w:rPr>
            </w:pPr>
            <w:r>
              <w:rPr>
                <w:rFonts w:cs="Arial"/>
                <w:color w:val="auto"/>
                <w:szCs w:val="16"/>
              </w:rPr>
              <w:t>34</w:t>
            </w:r>
          </w:p>
        </w:tc>
        <w:tc>
          <w:tcPr>
            <w:tcW w:w="980" w:type="dxa"/>
            <w:noWrap/>
            <w:hideMark/>
          </w:tcPr>
          <w:p w14:paraId="09C7EEF1" w14:textId="175DF7AA" w:rsidR="00636DCA" w:rsidRPr="00DF21BD" w:rsidRDefault="00B125F8">
            <w:pPr>
              <w:pStyle w:val="Tabele"/>
              <w:jc w:val="right"/>
              <w:rPr>
                <w:color w:val="auto"/>
                <w:lang w:eastAsia="pl-PL"/>
              </w:rPr>
            </w:pPr>
            <w:r>
              <w:rPr>
                <w:rFonts w:cs="Arial"/>
                <w:color w:val="auto"/>
                <w:szCs w:val="16"/>
              </w:rPr>
              <w:t>9</w:t>
            </w:r>
            <w:r w:rsidR="00BF78ED">
              <w:rPr>
                <w:rFonts w:cs="Arial"/>
                <w:color w:val="auto"/>
                <w:szCs w:val="16"/>
              </w:rPr>
              <w:t>61</w:t>
            </w:r>
          </w:p>
        </w:tc>
        <w:tc>
          <w:tcPr>
            <w:tcW w:w="980" w:type="dxa"/>
            <w:noWrap/>
            <w:hideMark/>
          </w:tcPr>
          <w:p w14:paraId="56265A48" w14:textId="404DBB81" w:rsidR="00636DCA" w:rsidRPr="00DF21BD" w:rsidRDefault="00636DCA">
            <w:pPr>
              <w:pStyle w:val="Tabele"/>
              <w:jc w:val="right"/>
              <w:rPr>
                <w:color w:val="auto"/>
                <w:lang w:eastAsia="pl-PL"/>
              </w:rPr>
            </w:pPr>
            <w:r w:rsidRPr="00DF21BD">
              <w:rPr>
                <w:rFonts w:cs="Arial"/>
                <w:color w:val="auto"/>
                <w:szCs w:val="16"/>
              </w:rPr>
              <w:t xml:space="preserve">1 </w:t>
            </w:r>
            <w:r w:rsidR="00EC0B94">
              <w:rPr>
                <w:rFonts w:cs="Arial"/>
                <w:color w:val="auto"/>
                <w:szCs w:val="16"/>
              </w:rPr>
              <w:t>905</w:t>
            </w:r>
          </w:p>
        </w:tc>
        <w:tc>
          <w:tcPr>
            <w:tcW w:w="980" w:type="dxa"/>
            <w:noWrap/>
            <w:hideMark/>
          </w:tcPr>
          <w:p w14:paraId="186267FB" w14:textId="7BA21F4A" w:rsidR="00636DCA" w:rsidRPr="00DF21BD" w:rsidRDefault="00636DCA">
            <w:pPr>
              <w:pStyle w:val="Tabele"/>
              <w:jc w:val="right"/>
              <w:rPr>
                <w:color w:val="auto"/>
                <w:lang w:eastAsia="pl-PL"/>
              </w:rPr>
            </w:pPr>
            <w:r w:rsidRPr="00DF21BD">
              <w:rPr>
                <w:rFonts w:cs="Arial"/>
                <w:color w:val="auto"/>
                <w:szCs w:val="16"/>
              </w:rPr>
              <w:t xml:space="preserve">2 </w:t>
            </w:r>
            <w:r w:rsidR="00AA43F4">
              <w:rPr>
                <w:rFonts w:cs="Arial"/>
                <w:color w:val="auto"/>
                <w:szCs w:val="16"/>
              </w:rPr>
              <w:t>9</w:t>
            </w:r>
            <w:r w:rsidR="00223C3D">
              <w:rPr>
                <w:rFonts w:cs="Arial"/>
                <w:color w:val="auto"/>
                <w:szCs w:val="16"/>
              </w:rPr>
              <w:t>7</w:t>
            </w:r>
            <w:r w:rsidR="00AA43F4">
              <w:rPr>
                <w:rFonts w:cs="Arial"/>
                <w:color w:val="auto"/>
                <w:szCs w:val="16"/>
              </w:rPr>
              <w:t>5</w:t>
            </w:r>
          </w:p>
        </w:tc>
      </w:tr>
      <w:tr w:rsidR="007F0D2B" w:rsidRPr="00FC3272" w14:paraId="2EDFCAE7" w14:textId="77777777" w:rsidTr="003C6E1F">
        <w:trPr>
          <w:trHeight w:val="214"/>
        </w:trPr>
        <w:tc>
          <w:tcPr>
            <w:tcW w:w="4163" w:type="dxa"/>
            <w:noWrap/>
            <w:hideMark/>
          </w:tcPr>
          <w:p w14:paraId="60CD4C5B" w14:textId="77777777" w:rsidR="00636DCA" w:rsidRPr="00DF21BD" w:rsidRDefault="00636DCA">
            <w:pPr>
              <w:pStyle w:val="Tabele"/>
              <w:rPr>
                <w:b/>
                <w:color w:val="auto"/>
                <w:lang w:eastAsia="pl-PL"/>
              </w:rPr>
            </w:pPr>
            <w:r w:rsidRPr="00DF21BD">
              <w:rPr>
                <w:b/>
                <w:color w:val="auto"/>
                <w:lang w:eastAsia="pl-PL"/>
              </w:rPr>
              <w:t>Produkcja z OZE ogółem</w:t>
            </w:r>
          </w:p>
        </w:tc>
        <w:tc>
          <w:tcPr>
            <w:tcW w:w="979" w:type="dxa"/>
            <w:shd w:val="clear" w:color="auto" w:fill="E2EFD9" w:themeFill="accent6" w:themeFillTint="33"/>
            <w:noWrap/>
            <w:hideMark/>
          </w:tcPr>
          <w:p w14:paraId="3EF73778" w14:textId="77777777" w:rsidR="00636DCA" w:rsidRPr="00DF21BD" w:rsidRDefault="00636DCA">
            <w:pPr>
              <w:pStyle w:val="Tabele"/>
              <w:jc w:val="right"/>
              <w:rPr>
                <w:b/>
                <w:color w:val="auto"/>
                <w:lang w:eastAsia="pl-PL"/>
              </w:rPr>
            </w:pPr>
            <w:r w:rsidRPr="00DF21BD">
              <w:rPr>
                <w:b/>
                <w:color w:val="auto"/>
                <w:lang w:eastAsia="pl-PL"/>
              </w:rPr>
              <w:t>1 928</w:t>
            </w:r>
          </w:p>
        </w:tc>
        <w:tc>
          <w:tcPr>
            <w:tcW w:w="980" w:type="dxa"/>
            <w:noWrap/>
            <w:hideMark/>
          </w:tcPr>
          <w:p w14:paraId="2D17CC77" w14:textId="77777777" w:rsidR="00636DCA" w:rsidRPr="00DF21BD" w:rsidRDefault="00636DCA">
            <w:pPr>
              <w:pStyle w:val="Tabele"/>
              <w:jc w:val="right"/>
              <w:rPr>
                <w:b/>
                <w:color w:val="auto"/>
                <w:lang w:eastAsia="pl-PL"/>
              </w:rPr>
            </w:pPr>
            <w:r w:rsidRPr="00DF21BD">
              <w:rPr>
                <w:rFonts w:cs="Arial"/>
                <w:b/>
                <w:color w:val="auto"/>
                <w:szCs w:val="16"/>
              </w:rPr>
              <w:t>2 509</w:t>
            </w:r>
          </w:p>
        </w:tc>
        <w:tc>
          <w:tcPr>
            <w:tcW w:w="980" w:type="dxa"/>
            <w:noWrap/>
            <w:hideMark/>
          </w:tcPr>
          <w:p w14:paraId="050BAADB" w14:textId="77777777" w:rsidR="00636DCA" w:rsidRPr="00DF21BD" w:rsidRDefault="00636DCA">
            <w:pPr>
              <w:pStyle w:val="Tabele"/>
              <w:jc w:val="right"/>
              <w:rPr>
                <w:b/>
                <w:color w:val="auto"/>
                <w:lang w:eastAsia="pl-PL"/>
              </w:rPr>
            </w:pPr>
            <w:r w:rsidRPr="00DF21BD">
              <w:rPr>
                <w:rFonts w:cs="Arial"/>
                <w:b/>
                <w:color w:val="auto"/>
                <w:szCs w:val="16"/>
              </w:rPr>
              <w:t>3 438</w:t>
            </w:r>
          </w:p>
        </w:tc>
        <w:tc>
          <w:tcPr>
            <w:tcW w:w="980" w:type="dxa"/>
            <w:noWrap/>
            <w:hideMark/>
          </w:tcPr>
          <w:p w14:paraId="2BA63AD3" w14:textId="77777777" w:rsidR="00636DCA" w:rsidRPr="00DF21BD" w:rsidRDefault="00636DCA">
            <w:pPr>
              <w:pStyle w:val="Tabele"/>
              <w:jc w:val="right"/>
              <w:rPr>
                <w:b/>
                <w:color w:val="auto"/>
                <w:lang w:eastAsia="pl-PL"/>
              </w:rPr>
            </w:pPr>
            <w:r w:rsidRPr="00DF21BD">
              <w:rPr>
                <w:rFonts w:cs="Arial"/>
                <w:b/>
                <w:color w:val="auto"/>
                <w:szCs w:val="16"/>
              </w:rPr>
              <w:t>4 492</w:t>
            </w:r>
          </w:p>
        </w:tc>
        <w:tc>
          <w:tcPr>
            <w:tcW w:w="980" w:type="dxa"/>
            <w:noWrap/>
            <w:hideMark/>
          </w:tcPr>
          <w:p w14:paraId="232B6B06" w14:textId="77777777" w:rsidR="00636DCA" w:rsidRPr="00DF21BD" w:rsidRDefault="00636DCA">
            <w:pPr>
              <w:pStyle w:val="Tabele"/>
              <w:jc w:val="right"/>
              <w:rPr>
                <w:b/>
                <w:color w:val="auto"/>
                <w:lang w:eastAsia="pl-PL"/>
              </w:rPr>
            </w:pPr>
            <w:r w:rsidRPr="00DF21BD">
              <w:rPr>
                <w:rFonts w:cs="Arial"/>
                <w:b/>
                <w:color w:val="auto"/>
                <w:szCs w:val="16"/>
              </w:rPr>
              <w:t>5 786</w:t>
            </w:r>
          </w:p>
        </w:tc>
      </w:tr>
      <w:tr w:rsidR="007F0D2B" w:rsidRPr="00FC3272" w14:paraId="11EF4BBE" w14:textId="77777777" w:rsidTr="003C6E1F">
        <w:trPr>
          <w:trHeight w:val="214"/>
        </w:trPr>
        <w:tc>
          <w:tcPr>
            <w:tcW w:w="4163" w:type="dxa"/>
            <w:noWrap/>
            <w:hideMark/>
          </w:tcPr>
          <w:p w14:paraId="5A77BA96" w14:textId="77777777" w:rsidR="00636DCA" w:rsidRPr="00DF21BD" w:rsidRDefault="00636DCA">
            <w:pPr>
              <w:pStyle w:val="Tabele"/>
              <w:rPr>
                <w:b/>
                <w:color w:val="auto"/>
                <w:lang w:eastAsia="pl-PL"/>
              </w:rPr>
            </w:pPr>
            <w:r w:rsidRPr="00DF21BD">
              <w:rPr>
                <w:b/>
                <w:color w:val="auto"/>
                <w:lang w:eastAsia="pl-PL"/>
              </w:rPr>
              <w:t>Zużycie energii ogółem</w:t>
            </w:r>
          </w:p>
        </w:tc>
        <w:tc>
          <w:tcPr>
            <w:tcW w:w="979" w:type="dxa"/>
            <w:shd w:val="clear" w:color="auto" w:fill="E2EFD9" w:themeFill="accent6" w:themeFillTint="33"/>
            <w:noWrap/>
            <w:hideMark/>
          </w:tcPr>
          <w:p w14:paraId="3E3DEEF3" w14:textId="77777777" w:rsidR="00636DCA" w:rsidRPr="00DF21BD" w:rsidRDefault="00636DCA">
            <w:pPr>
              <w:pStyle w:val="Tabele"/>
              <w:jc w:val="right"/>
              <w:rPr>
                <w:b/>
                <w:color w:val="auto"/>
                <w:lang w:eastAsia="pl-PL"/>
              </w:rPr>
            </w:pPr>
            <w:r w:rsidRPr="00DF21BD">
              <w:rPr>
                <w:b/>
                <w:color w:val="auto"/>
                <w:lang w:eastAsia="pl-PL"/>
              </w:rPr>
              <w:t>15 921</w:t>
            </w:r>
          </w:p>
        </w:tc>
        <w:tc>
          <w:tcPr>
            <w:tcW w:w="980" w:type="dxa"/>
            <w:noWrap/>
            <w:hideMark/>
          </w:tcPr>
          <w:p w14:paraId="6904ADAD" w14:textId="77777777" w:rsidR="00636DCA" w:rsidRPr="00DF21BD" w:rsidRDefault="00636DCA">
            <w:pPr>
              <w:pStyle w:val="Tabele"/>
              <w:jc w:val="right"/>
              <w:rPr>
                <w:b/>
                <w:color w:val="auto"/>
                <w:lang w:eastAsia="pl-PL"/>
              </w:rPr>
            </w:pPr>
            <w:r w:rsidRPr="00DF21BD">
              <w:rPr>
                <w:rFonts w:cs="Arial"/>
                <w:b/>
                <w:color w:val="auto"/>
                <w:szCs w:val="16"/>
              </w:rPr>
              <w:t>15 536</w:t>
            </w:r>
          </w:p>
        </w:tc>
        <w:tc>
          <w:tcPr>
            <w:tcW w:w="980" w:type="dxa"/>
            <w:noWrap/>
            <w:hideMark/>
          </w:tcPr>
          <w:p w14:paraId="7387B809" w14:textId="77777777" w:rsidR="00636DCA" w:rsidRPr="00DF21BD" w:rsidRDefault="00636DCA">
            <w:pPr>
              <w:pStyle w:val="Tabele"/>
              <w:jc w:val="right"/>
              <w:rPr>
                <w:b/>
                <w:color w:val="auto"/>
                <w:lang w:eastAsia="pl-PL"/>
              </w:rPr>
            </w:pPr>
            <w:r w:rsidRPr="00DF21BD">
              <w:rPr>
                <w:rFonts w:cs="Arial"/>
                <w:b/>
                <w:color w:val="auto"/>
                <w:szCs w:val="16"/>
              </w:rPr>
              <w:t>14 528</w:t>
            </w:r>
          </w:p>
        </w:tc>
        <w:tc>
          <w:tcPr>
            <w:tcW w:w="980" w:type="dxa"/>
            <w:noWrap/>
            <w:hideMark/>
          </w:tcPr>
          <w:p w14:paraId="38AC2A94" w14:textId="77777777" w:rsidR="00636DCA" w:rsidRPr="00DF21BD" w:rsidRDefault="00636DCA">
            <w:pPr>
              <w:pStyle w:val="Tabele"/>
              <w:jc w:val="right"/>
              <w:rPr>
                <w:b/>
                <w:color w:val="auto"/>
                <w:lang w:eastAsia="pl-PL"/>
              </w:rPr>
            </w:pPr>
            <w:r w:rsidRPr="00DF21BD">
              <w:rPr>
                <w:rFonts w:cs="Arial"/>
                <w:b/>
                <w:color w:val="auto"/>
                <w:szCs w:val="16"/>
              </w:rPr>
              <w:t>14 116</w:t>
            </w:r>
          </w:p>
        </w:tc>
        <w:tc>
          <w:tcPr>
            <w:tcW w:w="980" w:type="dxa"/>
            <w:noWrap/>
            <w:hideMark/>
          </w:tcPr>
          <w:p w14:paraId="3FEA4C9A" w14:textId="77777777" w:rsidR="00636DCA" w:rsidRPr="00DF21BD" w:rsidRDefault="00636DCA">
            <w:pPr>
              <w:pStyle w:val="Tabele"/>
              <w:jc w:val="right"/>
              <w:rPr>
                <w:b/>
                <w:color w:val="auto"/>
                <w:lang w:eastAsia="pl-PL"/>
              </w:rPr>
            </w:pPr>
            <w:r w:rsidRPr="00DF21BD">
              <w:rPr>
                <w:rFonts w:cs="Arial"/>
                <w:b/>
                <w:color w:val="auto"/>
                <w:szCs w:val="16"/>
              </w:rPr>
              <w:t>13 706</w:t>
            </w:r>
          </w:p>
        </w:tc>
      </w:tr>
      <w:tr w:rsidR="007F0D2B" w:rsidRPr="00FC3272" w14:paraId="7DA91F9E" w14:textId="77777777" w:rsidTr="003C6E1F">
        <w:trPr>
          <w:trHeight w:val="214"/>
        </w:trPr>
        <w:tc>
          <w:tcPr>
            <w:tcW w:w="4163" w:type="dxa"/>
            <w:noWrap/>
            <w:hideMark/>
          </w:tcPr>
          <w:p w14:paraId="24396A01" w14:textId="77777777" w:rsidR="00636DCA" w:rsidRPr="00DF21BD" w:rsidRDefault="00636DCA">
            <w:pPr>
              <w:pStyle w:val="Tabele"/>
              <w:rPr>
                <w:b/>
                <w:color w:val="auto"/>
                <w:lang w:eastAsia="pl-PL"/>
              </w:rPr>
            </w:pPr>
            <w:r w:rsidRPr="00DF21BD">
              <w:rPr>
                <w:b/>
                <w:color w:val="auto"/>
                <w:lang w:eastAsia="pl-PL"/>
              </w:rPr>
              <w:t>Udział OZE [%]</w:t>
            </w:r>
          </w:p>
        </w:tc>
        <w:tc>
          <w:tcPr>
            <w:tcW w:w="979" w:type="dxa"/>
            <w:shd w:val="clear" w:color="auto" w:fill="E2EFD9" w:themeFill="accent6" w:themeFillTint="33"/>
            <w:noWrap/>
            <w:hideMark/>
          </w:tcPr>
          <w:p w14:paraId="49A461C2" w14:textId="77777777" w:rsidR="00636DCA" w:rsidRPr="00DF21BD" w:rsidRDefault="00636DCA">
            <w:pPr>
              <w:pStyle w:val="Tabele"/>
              <w:jc w:val="right"/>
              <w:rPr>
                <w:b/>
                <w:color w:val="auto"/>
                <w:lang w:eastAsia="pl-PL"/>
              </w:rPr>
            </w:pPr>
            <w:r w:rsidRPr="00DF21BD">
              <w:rPr>
                <w:b/>
                <w:color w:val="auto"/>
                <w:lang w:eastAsia="pl-PL"/>
              </w:rPr>
              <w:t>12,1%</w:t>
            </w:r>
          </w:p>
        </w:tc>
        <w:tc>
          <w:tcPr>
            <w:tcW w:w="980" w:type="dxa"/>
            <w:noWrap/>
            <w:hideMark/>
          </w:tcPr>
          <w:p w14:paraId="42472E90" w14:textId="77777777" w:rsidR="00636DCA" w:rsidRPr="00DF21BD" w:rsidRDefault="00636DCA">
            <w:pPr>
              <w:pStyle w:val="Tabele"/>
              <w:jc w:val="right"/>
              <w:rPr>
                <w:b/>
                <w:color w:val="auto"/>
                <w:lang w:eastAsia="pl-PL"/>
              </w:rPr>
            </w:pPr>
            <w:r w:rsidRPr="00DF21BD">
              <w:rPr>
                <w:rFonts w:cs="Arial"/>
                <w:b/>
                <w:color w:val="auto"/>
                <w:szCs w:val="16"/>
              </w:rPr>
              <w:t>16,2%</w:t>
            </w:r>
          </w:p>
        </w:tc>
        <w:tc>
          <w:tcPr>
            <w:tcW w:w="980" w:type="dxa"/>
            <w:noWrap/>
            <w:hideMark/>
          </w:tcPr>
          <w:p w14:paraId="3FD2110C" w14:textId="77777777" w:rsidR="00636DCA" w:rsidRPr="00DF21BD" w:rsidRDefault="00636DCA">
            <w:pPr>
              <w:pStyle w:val="Tabele"/>
              <w:jc w:val="right"/>
              <w:rPr>
                <w:b/>
                <w:color w:val="auto"/>
                <w:lang w:eastAsia="pl-PL"/>
              </w:rPr>
            </w:pPr>
            <w:r w:rsidRPr="00DF21BD">
              <w:rPr>
                <w:rFonts w:cs="Arial"/>
                <w:b/>
                <w:color w:val="auto"/>
                <w:szCs w:val="16"/>
              </w:rPr>
              <w:t>23,7%</w:t>
            </w:r>
          </w:p>
        </w:tc>
        <w:tc>
          <w:tcPr>
            <w:tcW w:w="980" w:type="dxa"/>
            <w:noWrap/>
            <w:hideMark/>
          </w:tcPr>
          <w:p w14:paraId="78E4BED1" w14:textId="77777777" w:rsidR="00636DCA" w:rsidRPr="00DF21BD" w:rsidRDefault="00636DCA">
            <w:pPr>
              <w:pStyle w:val="Tabele"/>
              <w:jc w:val="right"/>
              <w:rPr>
                <w:b/>
                <w:color w:val="auto"/>
                <w:lang w:eastAsia="pl-PL"/>
              </w:rPr>
            </w:pPr>
            <w:r w:rsidRPr="00DF21BD">
              <w:rPr>
                <w:rFonts w:cs="Arial"/>
                <w:b/>
                <w:color w:val="auto"/>
                <w:szCs w:val="16"/>
              </w:rPr>
              <w:t>31,8%</w:t>
            </w:r>
          </w:p>
        </w:tc>
        <w:tc>
          <w:tcPr>
            <w:tcW w:w="980" w:type="dxa"/>
            <w:noWrap/>
            <w:hideMark/>
          </w:tcPr>
          <w:p w14:paraId="7A79405F" w14:textId="77777777" w:rsidR="00636DCA" w:rsidRPr="00DF21BD" w:rsidRDefault="00636DCA">
            <w:pPr>
              <w:pStyle w:val="Tabele"/>
              <w:jc w:val="right"/>
              <w:rPr>
                <w:b/>
                <w:color w:val="auto"/>
                <w:lang w:eastAsia="pl-PL"/>
              </w:rPr>
            </w:pPr>
            <w:r w:rsidRPr="00DF21BD">
              <w:rPr>
                <w:rFonts w:cs="Arial"/>
                <w:b/>
                <w:color w:val="auto"/>
                <w:szCs w:val="16"/>
              </w:rPr>
              <w:t>42,2%</w:t>
            </w:r>
          </w:p>
        </w:tc>
      </w:tr>
    </w:tbl>
    <w:p w14:paraId="797D5984" w14:textId="20447C62" w:rsidR="00867488" w:rsidRDefault="00867488" w:rsidP="00DF66B3">
      <w:pPr>
        <w:pStyle w:val="Legenda"/>
        <w:spacing w:before="0"/>
      </w:pPr>
      <w:r>
        <w:t xml:space="preserve">* </w:t>
      </w:r>
      <w:r w:rsidR="0076540C">
        <w:t>Ze względu na ograniczenia modelowe</w:t>
      </w:r>
      <w:r w:rsidR="007C0C0D">
        <w:t xml:space="preserve"> elektrownie wiatrowe są modelowane </w:t>
      </w:r>
      <w:r w:rsidR="0097274E">
        <w:t>w</w:t>
      </w:r>
      <w:r w:rsidR="007C0C0D">
        <w:t xml:space="preserve"> </w:t>
      </w:r>
      <w:r w:rsidR="00541C01">
        <w:t>sektor</w:t>
      </w:r>
      <w:r w:rsidR="0097274E">
        <w:t>ze</w:t>
      </w:r>
      <w:r w:rsidR="00541C01">
        <w:t xml:space="preserve"> elektroenergetycznym</w:t>
      </w:r>
      <w:r w:rsidR="00180851">
        <w:t xml:space="preserve">, zatem </w:t>
      </w:r>
      <w:r w:rsidR="00541C01">
        <w:t>nie</w:t>
      </w:r>
      <w:r w:rsidR="00180851">
        <w:t> </w:t>
      </w:r>
      <w:r w:rsidR="00541C01">
        <w:t xml:space="preserve">wyodrębniono ww. pozycji </w:t>
      </w:r>
      <w:r w:rsidR="00DF66B3">
        <w:t>oddzielnie w sektorze przemysłu</w:t>
      </w:r>
    </w:p>
    <w:p w14:paraId="33BF3055" w14:textId="52FE1BCD" w:rsidR="005C4144" w:rsidRPr="00DC1A13" w:rsidRDefault="005C4144" w:rsidP="00473EF1">
      <w:pPr>
        <w:pStyle w:val="Nagwek1"/>
      </w:pPr>
      <w:bookmarkStart w:id="261" w:name="_Toc202966883"/>
      <w:r>
        <w:t>Wymiar „efektywność energetyczna”</w:t>
      </w:r>
      <w:bookmarkEnd w:id="259"/>
      <w:bookmarkEnd w:id="260"/>
      <w:bookmarkEnd w:id="261"/>
    </w:p>
    <w:p w14:paraId="01B053DC" w14:textId="6F5DE99A" w:rsidR="007A637F" w:rsidRDefault="007A637F" w:rsidP="0096172C">
      <w:pPr>
        <w:spacing w:after="240"/>
      </w:pPr>
      <w:r>
        <w:t xml:space="preserve">W latach 2012–2022 roczne skumulowane tempo wzrostu efektywności energetycznej wyniosło 0,9%. Energochłonność pierwotna PKB obniżała się w tym okresie o średnio 2,6% rocznie, a energochłonność finalna PKB o 2,4%. </w:t>
      </w:r>
      <w:r w:rsidRPr="00FB5A4D">
        <w:t>Najszybsze tempo poprawy efektywności energetycznej odnotowano w przemyśle (o 1,9%)</w:t>
      </w:r>
      <w:r>
        <w:t>.</w:t>
      </w:r>
      <w:r w:rsidRPr="00453D0F">
        <w:t xml:space="preserve"> </w:t>
      </w:r>
      <w:r>
        <w:t>Całkowite zużycie energii pierwotnej wzrosło w latach 2012–2022 z 92,8 Mtoe do 98,5 Mtoe (skumulowany roczny wskaźnik wzrostu</w:t>
      </w:r>
      <w:r w:rsidR="0094449E">
        <w:t xml:space="preserve"> wyniósł</w:t>
      </w:r>
      <w:r>
        <w:t xml:space="preserve"> – 0,6%). Natomiast finalne zużycie energii wzrosło w analizowanym okresie z 64,4 do 72,4 Mtoe (skumulowany roczny wskaźnik wzrostu</w:t>
      </w:r>
      <w:r w:rsidR="000121AB">
        <w:t xml:space="preserve"> wyniósł</w:t>
      </w:r>
      <w:r>
        <w:t xml:space="preserve"> – 1,2%). Zarówno zużycie całkowite, jak i finalne osiągnęło najwyższą wartość w 2018 r. (było to odpowiednio 104,1 Mtoe oraz 74,9 Mtoe).</w:t>
      </w:r>
    </w:p>
    <w:p w14:paraId="5475F2D9" w14:textId="23E0BA92" w:rsidR="005C4144" w:rsidRDefault="003B151D" w:rsidP="005C4144">
      <w:r>
        <w:rPr>
          <w:noProof/>
          <w:lang w:eastAsia="pl-PL"/>
        </w:rPr>
        <w:drawing>
          <wp:inline distT="0" distB="0" distL="0" distR="0" wp14:anchorId="661EB1E8" wp14:editId="2B54C570">
            <wp:extent cx="5760720" cy="2997835"/>
            <wp:effectExtent l="0" t="0" r="0" b="0"/>
            <wp:docPr id="48799850" name="Wykres 48799850">
              <a:extLst xmlns:a="http://schemas.openxmlformats.org/drawingml/2006/main">
                <a:ext uri="{FF2B5EF4-FFF2-40B4-BE49-F238E27FC236}">
                  <a16:creationId xmlns:a16="http://schemas.microsoft.com/office/drawing/2014/main" id="{00000000-0008-0000-3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BF242AD" w14:textId="312492DE" w:rsidR="005C4144" w:rsidRDefault="005C4144" w:rsidP="005C4144">
      <w:pPr>
        <w:pStyle w:val="Legenda"/>
      </w:pPr>
      <w:bookmarkStart w:id="262" w:name="_Toc171587266"/>
      <w:bookmarkStart w:id="263" w:name="_Toc174711033"/>
      <w:bookmarkStart w:id="264" w:name="_Toc202967042"/>
      <w:r>
        <w:t xml:space="preserve">Rysunek </w:t>
      </w:r>
      <w:r>
        <w:rPr>
          <w:noProof/>
        </w:rPr>
        <w:fldChar w:fldCharType="begin"/>
      </w:r>
      <w:r>
        <w:rPr>
          <w:noProof/>
        </w:rPr>
        <w:instrText xml:space="preserve"> STYLEREF 1 \s </w:instrText>
      </w:r>
      <w:r>
        <w:rPr>
          <w:noProof/>
        </w:rPr>
        <w:fldChar w:fldCharType="separate"/>
      </w:r>
      <w:r w:rsidR="00F27D6F">
        <w:rPr>
          <w:noProof/>
        </w:rPr>
        <w:t>2</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1</w:t>
      </w:r>
      <w:r>
        <w:rPr>
          <w:noProof/>
        </w:rPr>
        <w:fldChar w:fldCharType="end"/>
      </w:r>
      <w:r>
        <w:t xml:space="preserve">. </w:t>
      </w:r>
      <w:r w:rsidRPr="002244EE">
        <w:t>Zużycie energii pierwotnej</w:t>
      </w:r>
      <w:r>
        <w:t xml:space="preserve"> i </w:t>
      </w:r>
      <w:r w:rsidRPr="002244EE">
        <w:t>finalnej ogółem</w:t>
      </w:r>
      <w:r>
        <w:t xml:space="preserve"> w </w:t>
      </w:r>
      <w:r w:rsidRPr="002244EE">
        <w:t>latach 2011-2021</w:t>
      </w:r>
      <w:r>
        <w:rPr>
          <w:rStyle w:val="Odwoanieprzypisudolnego"/>
        </w:rPr>
        <w:footnoteReference w:id="12"/>
      </w:r>
      <w:bookmarkEnd w:id="262"/>
      <w:bookmarkEnd w:id="263"/>
      <w:bookmarkEnd w:id="264"/>
    </w:p>
    <w:p w14:paraId="3A26C01D" w14:textId="65C665DA" w:rsidR="0030070D" w:rsidRDefault="0030070D" w:rsidP="0030070D">
      <w:r w:rsidRPr="00E15284">
        <w:t>W 2022 r., w odniesieniu do 2012 r., energochłonność pierwotna PKB obniżyła się o 23,5%, a</w:t>
      </w:r>
      <w:r w:rsidR="00C7033C">
        <w:t> </w:t>
      </w:r>
      <w:r w:rsidRPr="00E15284">
        <w:t>energochłonność finalna o 21,9%. Po uwzględnieniu k</w:t>
      </w:r>
      <w:r>
        <w:t>orekty klimatycznej tempo popra</w:t>
      </w:r>
      <w:r w:rsidRPr="00E15284">
        <w:t>wy wskaźnika energochłonności pierwotnej PKB było nieznacznie wyższe i wynosiło 22,1%, natomiast dla energochłonności finalnej PK</w:t>
      </w:r>
      <w:r>
        <w:t>B było niższe i wynosiło 19,6%</w:t>
      </w:r>
      <w:r>
        <w:rPr>
          <w:rStyle w:val="Odwoanieprzypisudolnego"/>
        </w:rPr>
        <w:footnoteReference w:customMarkFollows="1" w:id="13"/>
        <w:t>32</w:t>
      </w:r>
      <w:r w:rsidRPr="002D205C">
        <w:t>.</w:t>
      </w:r>
    </w:p>
    <w:p w14:paraId="7A5528D1" w14:textId="16E723D4" w:rsidR="00C66C90" w:rsidRPr="00B3655F" w:rsidRDefault="00C66C90" w:rsidP="00352AD5">
      <w:pPr>
        <w:pStyle w:val="Nagwek2"/>
      </w:pPr>
      <w:bookmarkStart w:id="265" w:name="_Toc202966884"/>
      <w:r w:rsidRPr="00B3655F">
        <w:t>Zużycie energii pierwotnej i finalnej</w:t>
      </w:r>
      <w:bookmarkEnd w:id="265"/>
      <w:r w:rsidRPr="00B3655F">
        <w:t xml:space="preserve"> </w:t>
      </w:r>
    </w:p>
    <w:p w14:paraId="2EE7B23A" w14:textId="0173E724" w:rsidR="00EF05D9" w:rsidRDefault="005C4144" w:rsidP="00FD3534">
      <w:r>
        <w:t>W tabeli (</w:t>
      </w:r>
      <w:r w:rsidR="006D6460">
        <w:fldChar w:fldCharType="begin"/>
      </w:r>
      <w:r w:rsidR="006D6460">
        <w:instrText xml:space="preserve"> REF _Ref195775308 \h </w:instrText>
      </w:r>
      <w:r w:rsidR="006D6460">
        <w:fldChar w:fldCharType="separate"/>
      </w:r>
      <w:r w:rsidR="00F27D6F">
        <w:t xml:space="preserve">Tabela </w:t>
      </w:r>
      <w:r w:rsidR="00F27D6F">
        <w:rPr>
          <w:noProof/>
        </w:rPr>
        <w:t>2</w:t>
      </w:r>
      <w:r w:rsidR="00F27D6F">
        <w:t>.</w:t>
      </w:r>
      <w:r w:rsidR="00F27D6F">
        <w:rPr>
          <w:noProof/>
        </w:rPr>
        <w:t>1</w:t>
      </w:r>
      <w:r w:rsidR="006D6460">
        <w:fldChar w:fldCharType="end"/>
      </w:r>
      <w:r>
        <w:t>) i na rysunku (</w:t>
      </w:r>
      <w:r>
        <w:fldChar w:fldCharType="begin"/>
      </w:r>
      <w:r>
        <w:instrText xml:space="preserve"> REF _Ref160533676 \h </w:instrText>
      </w:r>
      <w:r>
        <w:fldChar w:fldCharType="separate"/>
      </w:r>
      <w:r w:rsidR="00F27D6F">
        <w:t xml:space="preserve">Rysunek </w:t>
      </w:r>
      <w:r w:rsidR="00F27D6F">
        <w:rPr>
          <w:noProof/>
        </w:rPr>
        <w:t>2</w:t>
      </w:r>
      <w:r w:rsidR="00F27D6F">
        <w:t>.</w:t>
      </w:r>
      <w:r w:rsidR="00F27D6F">
        <w:rPr>
          <w:noProof/>
        </w:rPr>
        <w:t>2</w:t>
      </w:r>
      <w:r>
        <w:fldChar w:fldCharType="end"/>
      </w:r>
      <w:r>
        <w:t xml:space="preserve">) </w:t>
      </w:r>
      <w:bookmarkStart w:id="266" w:name="_Ref156555244"/>
      <w:r w:rsidR="00FD3534">
        <w:t>przed</w:t>
      </w:r>
      <w:r w:rsidR="00FD3534" w:rsidRPr="00F85B97">
        <w:t>stawiono historyczne</w:t>
      </w:r>
      <w:r w:rsidR="00FD3534">
        <w:t xml:space="preserve"> i </w:t>
      </w:r>
      <w:r w:rsidR="00FD3534" w:rsidRPr="00F85B97">
        <w:t>prognozowane zużycie energii pierwotnej</w:t>
      </w:r>
      <w:r w:rsidR="00FD3534">
        <w:t xml:space="preserve"> i </w:t>
      </w:r>
      <w:r w:rsidR="00FD3534" w:rsidRPr="00F85B97">
        <w:t>finalnej</w:t>
      </w:r>
      <w:r w:rsidR="00FD3534">
        <w:t xml:space="preserve"> (z uwzględnieniem zużycia nieenergetycznego) w </w:t>
      </w:r>
      <w:r w:rsidR="00FD3534" w:rsidRPr="00F85B97">
        <w:t>kraju</w:t>
      </w:r>
      <w:r w:rsidR="00FD3534">
        <w:t xml:space="preserve"> dla scenariusza WAM</w:t>
      </w:r>
      <w:r w:rsidR="00FD3534" w:rsidRPr="00F85B97">
        <w:t>.</w:t>
      </w:r>
      <w:r w:rsidR="00FD3534">
        <w:t xml:space="preserve"> Z </w:t>
      </w:r>
      <w:r w:rsidR="00FD3534" w:rsidRPr="00F85B97">
        <w:t xml:space="preserve">uzyskanych danych wynika </w:t>
      </w:r>
      <w:r w:rsidR="00FD3534">
        <w:t>spadek</w:t>
      </w:r>
      <w:r w:rsidR="00FD3534" w:rsidRPr="00F85B97">
        <w:t xml:space="preserve"> zapotrzebowania na energię pierwotną</w:t>
      </w:r>
      <w:r w:rsidR="00FD3534">
        <w:t xml:space="preserve"> w </w:t>
      </w:r>
      <w:r w:rsidR="00FD3534" w:rsidRPr="00F85B97">
        <w:t>kraju</w:t>
      </w:r>
      <w:r w:rsidR="00FD3534">
        <w:t xml:space="preserve"> w latach 2020-2030 z poziomu 103,3</w:t>
      </w:r>
      <w:r w:rsidR="00FD3534" w:rsidRPr="00F85B97">
        <w:t xml:space="preserve"> Mtoe do </w:t>
      </w:r>
      <w:r w:rsidR="00FD3534">
        <w:t>87,3 Mtoe w 2030 r. i </w:t>
      </w:r>
      <w:r w:rsidR="00FD3534" w:rsidRPr="00F85B97">
        <w:t xml:space="preserve">następnie </w:t>
      </w:r>
      <w:r w:rsidR="00FD3534">
        <w:t>dalszy stopniowy spadek w kolejnych okresach. W konsekwencji, zapotrzebowanie na energię pierwotną spada do</w:t>
      </w:r>
      <w:r w:rsidR="00FD3534" w:rsidRPr="00F85B97">
        <w:t xml:space="preserve"> </w:t>
      </w:r>
      <w:r w:rsidR="00FD3534">
        <w:t>77,3</w:t>
      </w:r>
      <w:r w:rsidR="00FD3534" w:rsidRPr="00F85B97">
        <w:t xml:space="preserve"> Mtoe</w:t>
      </w:r>
      <w:r w:rsidR="00FD3534">
        <w:t xml:space="preserve"> w </w:t>
      </w:r>
      <w:r w:rsidR="00FD3534" w:rsidRPr="00F85B97">
        <w:t>2040</w:t>
      </w:r>
      <w:r w:rsidR="00FD3534">
        <w:t> r. F</w:t>
      </w:r>
      <w:r w:rsidR="00FD3534" w:rsidRPr="00F85B97">
        <w:t xml:space="preserve">inalne zużycie energii </w:t>
      </w:r>
      <w:r w:rsidR="00FD3534">
        <w:t>spada w </w:t>
      </w:r>
      <w:r w:rsidR="00FD3534" w:rsidRPr="00F85B97">
        <w:t>r</w:t>
      </w:r>
      <w:r w:rsidR="00FD3534">
        <w:t xml:space="preserve">ozpatrywanym okresie z poziomu 77,1 Mtoe do 69,7 Mtoe w 2030 r. i następnie do </w:t>
      </w:r>
      <w:r w:rsidR="0040641A">
        <w:t>62,1</w:t>
      </w:r>
      <w:r w:rsidR="00FD3534" w:rsidRPr="00F85B97">
        <w:t xml:space="preserve"> Mtoe</w:t>
      </w:r>
      <w:r w:rsidR="00FD3534">
        <w:t xml:space="preserve"> w </w:t>
      </w:r>
      <w:r w:rsidR="00FD3534" w:rsidRPr="00F85B97">
        <w:t>2040</w:t>
      </w:r>
      <w:r w:rsidR="00FD3534">
        <w:t> r.</w:t>
      </w:r>
      <w:r w:rsidR="00FD3534" w:rsidRPr="00F85B97">
        <w:t xml:space="preserve"> </w:t>
      </w:r>
      <w:r w:rsidR="00FD3534" w:rsidRPr="007E7090">
        <w:t>Z punktu widzenia celów wyznaczonych w zakresie redukcji zużycia energii pierwotnej i finalnej istotniejszy jest wskaźnik oznaczony w tabeli jako zużycie energii pierwotnej i finalnej (Europa 2020-2030).</w:t>
      </w:r>
      <w:r w:rsidR="00FD3534">
        <w:t xml:space="preserve"> </w:t>
      </w:r>
    </w:p>
    <w:p w14:paraId="28E6AEC8" w14:textId="50925A91" w:rsidR="00FD3534" w:rsidRDefault="00FD3534" w:rsidP="00FD3534">
      <w:r>
        <w:t xml:space="preserve">Zgodnie z zaprezentowanymi danymi wynikowymi, </w:t>
      </w:r>
      <w:r w:rsidR="00AE28E9" w:rsidRPr="00747C92">
        <w:rPr>
          <w:b/>
          <w:bCs/>
        </w:rPr>
        <w:t>w 2030</w:t>
      </w:r>
      <w:r w:rsidR="00FB3843">
        <w:rPr>
          <w:b/>
          <w:bCs/>
        </w:rPr>
        <w:t xml:space="preserve"> </w:t>
      </w:r>
      <w:r w:rsidR="00747C92" w:rsidRPr="00747C92">
        <w:rPr>
          <w:b/>
          <w:bCs/>
        </w:rPr>
        <w:t>r.</w:t>
      </w:r>
      <w:r w:rsidR="00AE28E9" w:rsidRPr="00747C92">
        <w:rPr>
          <w:b/>
          <w:bCs/>
        </w:rPr>
        <w:t xml:space="preserve"> </w:t>
      </w:r>
      <w:r w:rsidRPr="00747C92">
        <w:rPr>
          <w:b/>
          <w:bCs/>
        </w:rPr>
        <w:t>zużycie</w:t>
      </w:r>
      <w:r w:rsidRPr="00982753">
        <w:rPr>
          <w:b/>
        </w:rPr>
        <w:t xml:space="preserve"> energii pierwotnej ulega redukcji o</w:t>
      </w:r>
      <w:r w:rsidR="00C7033C">
        <w:rPr>
          <w:b/>
        </w:rPr>
        <w:t> </w:t>
      </w:r>
      <w:r w:rsidRPr="00982753">
        <w:rPr>
          <w:b/>
        </w:rPr>
        <w:t>14,7% w porównaniu ze scenariuszem referencyjnym PRIMES 2020</w:t>
      </w:r>
      <w:r w:rsidRPr="00DF5B44">
        <w:t>.</w:t>
      </w:r>
      <w:r>
        <w:t xml:space="preserve"> Wynik ten mieści się nieznacznie powyżej celu wyznaczonego w dyrektywie EED (wynoszącego dla Polski 14,2% +/- 2,5%). </w:t>
      </w:r>
      <w:r w:rsidRPr="00C061A1">
        <w:rPr>
          <w:b/>
        </w:rPr>
        <w:t>W odniesieniu do zużycia energii finalnej, uzyskana redukcja w porównaniu ze scenariuszem referencyjnym PRIMES 2020 wynosi 4,6%</w:t>
      </w:r>
      <w:r>
        <w:t>. Wymagany w dyrektywie EED cel dla Polski wynosi 12,8% +/-2,5%. Cel ten plasuje się zatem poniżej wyznaczonego dla Polski poziomu. Biorąc pod uwagę obecne zużycie energii finalnej i</w:t>
      </w:r>
      <w:r w:rsidR="00C7033C">
        <w:t> </w:t>
      </w:r>
      <w:r>
        <w:t xml:space="preserve">stopień rozwoju gospodarczego kraju, osiągnięcie tak głębokich redukcji, w tak krótkim czasie jest prawdopodobnie niemożliwe, pomimo intensyfikacji działań w tym zakresie. Proste oszczędności zostały już </w:t>
      </w:r>
      <w:r w:rsidR="00747EE0">
        <w:t>wcześniej</w:t>
      </w:r>
      <w:r>
        <w:t xml:space="preserve"> wykorzystane, a pozyskanie kolejnych będzie procesem żmudnym, czasochłonnym i przede wszystkim kapitałochłonnym. Niemniej jednak administracja rządowa będzie podejmowała szereg inicjatyw, aby podnosić efektywność energetyczną we wszystkich sektorach gospodarki narodowej, w</w:t>
      </w:r>
      <w:r w:rsidR="00C7033C">
        <w:t> </w:t>
      </w:r>
      <w:r>
        <w:t xml:space="preserve">celu osiągnięcia możliwie najwyższych oszczędności zgodnie z zasadą „efektywność energetyczna przede wszystkim”. Obszar ten stanowi </w:t>
      </w:r>
      <w:r w:rsidR="00D04A00">
        <w:t>jeden z kluczowych</w:t>
      </w:r>
      <w:r>
        <w:t xml:space="preserve"> priorytet</w:t>
      </w:r>
      <w:r w:rsidR="00C5096B">
        <w:t>ów</w:t>
      </w:r>
      <w:r>
        <w:t xml:space="preserve"> KPEiK </w:t>
      </w:r>
      <w:r w:rsidR="007F4CF8">
        <w:t>oraz polityk</w:t>
      </w:r>
      <w:r w:rsidR="007B34E0">
        <w:t>i</w:t>
      </w:r>
      <w:r>
        <w:t xml:space="preserve"> rządu. </w:t>
      </w:r>
    </w:p>
    <w:p w14:paraId="34CC04AD" w14:textId="19A9417F" w:rsidR="00FD3534" w:rsidRDefault="00FD3534" w:rsidP="00FD3534">
      <w:r>
        <w:t xml:space="preserve">W scenariuszu WAM założono cały szereg dodatkowych działań zmierzających do osiągniecia </w:t>
      </w:r>
      <w:r w:rsidR="00085E2D">
        <w:t xml:space="preserve">celów </w:t>
      </w:r>
      <w:r>
        <w:t>w</w:t>
      </w:r>
      <w:r w:rsidR="00C7033C">
        <w:t> </w:t>
      </w:r>
      <w:r>
        <w:t xml:space="preserve">zakresie </w:t>
      </w:r>
      <w:r w:rsidR="00085E2D">
        <w:t xml:space="preserve">zmniejszenia zużycia </w:t>
      </w:r>
      <w:r>
        <w:t>energii finalnej i pierwotnej, począwszy od zwiększenia zakresu termomodernizacji budynków (zarówno wielorodzinnych i jednorodzinnych w mieście i na wsi, jak i usługowych) zgodnie z projektem KPRB</w:t>
      </w:r>
      <w:r>
        <w:rPr>
          <w:rStyle w:val="Odwoanieprzypisudolnego"/>
        </w:rPr>
        <w:footnoteReference w:id="14"/>
      </w:r>
      <w:r>
        <w:t>. Założono przyspieszenie procesu cyfryzacji i zaawansowanej optymalizacji instalacji grzewczych w gospodarstwach domowych oraz budynkach usługowych. Rozwiązania te otwierają nowe możliwości oszczędności i są zgodne z wymogami unijnymi (art.8 EPBD), podkreślającymi znaczenie systemów technicznych budynków dla zwiększenia ich efektywności energetycznej. Obecnie, jedynie 47% gosp</w:t>
      </w:r>
      <w:r w:rsidR="009B5D20">
        <w:t>odarstw</w:t>
      </w:r>
      <w:r>
        <w:t xml:space="preserve"> domowych ma termostaty grzejnikowe dla podstawowej kontroli temperatury, tylko 3% wykorzystuje zaawansowane termostaty do regulacji w różnych pomieszczeniach, odbiorcy ciepła systemowego tylko w 14% rozliczają zużycie energii na podstawie rzeczywistych pomiarów, 37% używa przybliżonych metod, głównie podzielników ciepła, a 47% stosuje inne metody, najczęściej oparte na powierzchni mieszkania. </w:t>
      </w:r>
    </w:p>
    <w:p w14:paraId="11DC2868" w14:textId="77777777" w:rsidR="00FD3534" w:rsidRDefault="00FD3534" w:rsidP="00FD3534">
      <w:r>
        <w:t xml:space="preserve">Wśród działań mających na celu obniżenie energochłonności budynków znalazły się: </w:t>
      </w:r>
    </w:p>
    <w:p w14:paraId="4606E32A" w14:textId="77777777" w:rsidR="00FD3534" w:rsidRDefault="00FD3534" w:rsidP="00FD3534">
      <w:pPr>
        <w:pStyle w:val="Akapitzlist"/>
        <w:numPr>
          <w:ilvl w:val="0"/>
          <w:numId w:val="20"/>
        </w:numPr>
      </w:pPr>
      <w:r>
        <w:t>odpowiednie wymiarowanie systemów grzewczych, takich jak dobór pomp obiegowych i cyrkulacyjnych;</w:t>
      </w:r>
    </w:p>
    <w:p w14:paraId="1145A3BE" w14:textId="77777777" w:rsidR="00FD3534" w:rsidRDefault="00FD3534" w:rsidP="00FD3534">
      <w:pPr>
        <w:pStyle w:val="Akapitzlist"/>
        <w:numPr>
          <w:ilvl w:val="0"/>
          <w:numId w:val="20"/>
        </w:numPr>
      </w:pPr>
      <w:r>
        <w:t xml:space="preserve">prawidłowa instalacja systemów grzewczych, co może być realizowane poprzez lepszą izolację instalacji wewnętrznej ciepłej wody użytkowej (CWU) oraz centralnego ogrzewania (CO); </w:t>
      </w:r>
    </w:p>
    <w:p w14:paraId="4117C46A" w14:textId="553B24B9" w:rsidR="00704B7F" w:rsidRDefault="00704B7F" w:rsidP="00FD3534">
      <w:pPr>
        <w:pStyle w:val="Akapitzlist"/>
        <w:numPr>
          <w:ilvl w:val="0"/>
          <w:numId w:val="20"/>
        </w:numPr>
      </w:pPr>
      <w:r w:rsidRPr="00704B7F">
        <w:t>instalowanie wentylacji mechanicznej z odzyskiem ciepła</w:t>
      </w:r>
      <w:r>
        <w:t xml:space="preserve"> (</w:t>
      </w:r>
      <w:r w:rsidRPr="00704B7F">
        <w:t>systemów rekuperacji</w:t>
      </w:r>
      <w:r>
        <w:t>)</w:t>
      </w:r>
      <w:r w:rsidRPr="00704B7F">
        <w:t xml:space="preserve"> w budynkach jedno i wielorodzinnych</w:t>
      </w:r>
    </w:p>
    <w:p w14:paraId="37A76F90" w14:textId="77777777" w:rsidR="00FD3534" w:rsidRDefault="00FD3534" w:rsidP="00FD3534">
      <w:pPr>
        <w:pStyle w:val="Akapitzlist"/>
        <w:numPr>
          <w:ilvl w:val="0"/>
          <w:numId w:val="20"/>
        </w:numPr>
      </w:pPr>
      <w:r>
        <w:t>regulacja systemu grzewczego, w tym regulacja krzywej grzewczej, obniżenie temperatury w nocy oraz montaż termostatycznych zaworów grzejnikowych;</w:t>
      </w:r>
    </w:p>
    <w:p w14:paraId="2D6FC25A" w14:textId="54C2964C" w:rsidR="00FD3534" w:rsidRDefault="00FD3534" w:rsidP="00FD3534">
      <w:pPr>
        <w:pStyle w:val="Akapitzlist"/>
        <w:numPr>
          <w:ilvl w:val="0"/>
          <w:numId w:val="20"/>
        </w:numPr>
      </w:pPr>
      <w:r>
        <w:t>kontrola systemu technicznego, przez wdrożenie zaawansowanego systemu zarządzania energią (BACS).</w:t>
      </w:r>
    </w:p>
    <w:p w14:paraId="337FC4C6" w14:textId="77777777" w:rsidR="00FD3534" w:rsidRDefault="00FD3534" w:rsidP="00FD3534">
      <w:r>
        <w:t>Założono, że co najmniej 50% polskich gospodarstw domowych w wyniku wspomnianych powyżej działań, obniży swoje zużycie energii o 10%.</w:t>
      </w:r>
    </w:p>
    <w:p w14:paraId="47AC9DBF" w14:textId="77777777" w:rsidR="00FD3534" w:rsidRDefault="00FD3534" w:rsidP="00FD3534">
      <w:r>
        <w:t>Kluczowymi działaniami w tym obszarze są przede wszystkim:</w:t>
      </w:r>
    </w:p>
    <w:p w14:paraId="442C7C9B" w14:textId="77777777" w:rsidR="00FD3534" w:rsidRDefault="00FD3534" w:rsidP="00FD3534">
      <w:pPr>
        <w:pStyle w:val="Akapitzlist"/>
        <w:numPr>
          <w:ilvl w:val="0"/>
          <w:numId w:val="20"/>
        </w:numPr>
      </w:pPr>
      <w:r>
        <w:t>instalacja inteligentnych termostatów, umożliwiających precyzyjne zarządzanie temperaturą w domu;</w:t>
      </w:r>
    </w:p>
    <w:p w14:paraId="79B52670" w14:textId="77777777" w:rsidR="00FD3534" w:rsidRDefault="00FD3534" w:rsidP="00FD3534">
      <w:pPr>
        <w:pStyle w:val="Akapitzlist"/>
        <w:numPr>
          <w:ilvl w:val="0"/>
          <w:numId w:val="20"/>
        </w:numPr>
      </w:pPr>
      <w:r>
        <w:t>wprowadzenie zaprogramowanej redukcji temperatury nocnej, co przyczyni się do dodatkowych oszczędności;</w:t>
      </w:r>
    </w:p>
    <w:p w14:paraId="3590989D" w14:textId="77777777" w:rsidR="00FD3534" w:rsidRDefault="00FD3534" w:rsidP="00FD3534">
      <w:pPr>
        <w:pStyle w:val="Akapitzlist"/>
        <w:numPr>
          <w:ilvl w:val="0"/>
          <w:numId w:val="20"/>
        </w:numPr>
      </w:pPr>
      <w:r>
        <w:t>dostosowanie ustawień systemów grzewczych w nowych instalacjach, w tym regulacja krzywej grzewczej.</w:t>
      </w:r>
    </w:p>
    <w:p w14:paraId="13DCF614" w14:textId="4182B232" w:rsidR="00DD6368" w:rsidRDefault="00DD6368" w:rsidP="00FD3534">
      <w:pPr>
        <w:pStyle w:val="Akapitzlist"/>
        <w:numPr>
          <w:ilvl w:val="0"/>
          <w:numId w:val="20"/>
        </w:numPr>
      </w:pPr>
      <w:r w:rsidRPr="00DD6368">
        <w:t>stosowanie wentylacji mechanicznej z odzyskiem ciepła - rekuperacji</w:t>
      </w:r>
    </w:p>
    <w:p w14:paraId="073B97AE" w14:textId="49748E24" w:rsidR="00FD3534" w:rsidRDefault="00FD3534" w:rsidP="00FD3534">
      <w:r>
        <w:t xml:space="preserve">Założono, że wdrożenie tych działań przyniesie łączne zmniejszenie zużycia energii na poziomie </w:t>
      </w:r>
      <w:r>
        <w:rPr>
          <w:b/>
        </w:rPr>
        <w:t>0,65 </w:t>
      </w:r>
      <w:r w:rsidRPr="00252F96">
        <w:rPr>
          <w:b/>
        </w:rPr>
        <w:t xml:space="preserve">Mtoe do 2030 </w:t>
      </w:r>
      <w:r w:rsidR="00BE2ED8">
        <w:rPr>
          <w:b/>
        </w:rPr>
        <w:t>r.</w:t>
      </w:r>
    </w:p>
    <w:p w14:paraId="0E365680" w14:textId="67C38453" w:rsidR="00FD3534" w:rsidRPr="00CA415F" w:rsidRDefault="00FD3534" w:rsidP="00FD3534">
      <w:r>
        <w:t>Założeniem dla sektora budynków niemieszkalnych jest, że do 2030 r. 15% takich obiektów wdroży zaawansowane systemy zarządzania budynkami, (co odpowiada 3% rocznie, począwszy od 202</w:t>
      </w:r>
      <w:r w:rsidR="00BE2ED8">
        <w:t>5 r.</w:t>
      </w:r>
      <w:r>
        <w:t xml:space="preserve">). Takie systemy umożliwią osiągnięcie znaczących oszczędności energetycznych poprzez inteligentne zarządzanie zużyciem ciepła. Dodatkowe efekty oszczędnościowe w porównaniu ze scenariuszem WEM założono również w termomodernizacji budynków użyteczności publicznej i w budynkach </w:t>
      </w:r>
      <w:r w:rsidRPr="00B24873">
        <w:t>niekomercyjnych.</w:t>
      </w:r>
      <w:r w:rsidR="00CA415F">
        <w:t xml:space="preserve"> </w:t>
      </w:r>
      <w:r w:rsidRPr="00B24873">
        <w:t xml:space="preserve">W tym obszarze założono </w:t>
      </w:r>
      <w:r w:rsidR="00D90558">
        <w:t>ok.</w:t>
      </w:r>
      <w:r w:rsidRPr="00B24873">
        <w:t xml:space="preserve"> </w:t>
      </w:r>
      <w:r w:rsidRPr="00B24873">
        <w:rPr>
          <w:b/>
        </w:rPr>
        <w:t>0,53 Mtoe oszczędności w perspektywie 2030 r.</w:t>
      </w:r>
    </w:p>
    <w:p w14:paraId="55A134BB" w14:textId="77777777" w:rsidR="00FD3534" w:rsidRDefault="00FD3534" w:rsidP="00FD3534">
      <w:pPr>
        <w:spacing w:after="0"/>
      </w:pPr>
    </w:p>
    <w:p w14:paraId="7E2BB160" w14:textId="3223810C" w:rsidR="00FD3534" w:rsidRDefault="00FD3534" w:rsidP="00FD3534">
      <w:r>
        <w:t>Należy zintensyfikować działania mające na celu poprawę dostępności i jakości informacji dotyczących efektywności energetycznej. Zobowiązanie dostawców energii do dołączania do rachunków porównawczych analiz zużycia wraz z praktycznymi wskazówkami dotyczącymi oszczędności może stanowić ważny krok w kierunku zwiększenia świadomości energetycznej. Informacje te powinny być prezentowane w sposób przystępny, umożliwiając odbiorcom łatwe zrozumienie ich własnego zużycia w kontekście regionalnych średnich oraz identyfikację potencjalnych obszarów oszczędności.</w:t>
      </w:r>
    </w:p>
    <w:p w14:paraId="52797BCA" w14:textId="37D546A7" w:rsidR="00485974" w:rsidRDefault="00FD3534" w:rsidP="00F758BD">
      <w:pPr>
        <w:spacing w:after="0"/>
      </w:pPr>
      <w:r>
        <w:t xml:space="preserve">W przemyśle założono wygenerowanie </w:t>
      </w:r>
      <w:r w:rsidRPr="00F76C4E">
        <w:rPr>
          <w:b/>
        </w:rPr>
        <w:t xml:space="preserve">dodatkowych oszczędności na poziomie ok. </w:t>
      </w:r>
      <w:r>
        <w:rPr>
          <w:b/>
        </w:rPr>
        <w:t>0,88</w:t>
      </w:r>
      <w:r w:rsidRPr="00F76C4E">
        <w:rPr>
          <w:b/>
        </w:rPr>
        <w:t xml:space="preserve"> Mtoe</w:t>
      </w:r>
      <w:r>
        <w:t xml:space="preserve"> w napędach elektrycznych oraz modernizacji źródeł ciepła wysoko- i niskotemperaturowego.</w:t>
      </w:r>
      <w:r w:rsidRPr="00A62596">
        <w:t xml:space="preserve"> Optymalizacja pracy maszyn oraz uzyskanie jak najwyższej efektywności energetycznej i eksploatacyjnej silników elektrycznych pozwala uzyskać wielostronne korzyści zarówno w budżecie każdego przedsiębiorstwa, jak i w skali globalnej: oszczędności bezpośrednie (mniejsze zużycie energii elektrycznej), oszczędności pośrednie (dłuższy czas użytkowania, mniejsza awaryjność, mniejsze koszty serwisu, redukcja kosztów przestojów) i</w:t>
      </w:r>
      <w:r>
        <w:t xml:space="preserve"> ochrona</w:t>
      </w:r>
      <w:r w:rsidRPr="00A62596">
        <w:t xml:space="preserve"> środowiska naturalnego (zmniejszenie emisji CO₂). Z</w:t>
      </w:r>
      <w:r>
        <w:t> analiz eksperckich</w:t>
      </w:r>
      <w:r w:rsidRPr="00A62596">
        <w:t xml:space="preserve"> wynika, że w przemysłowych układach napędowych najczęściej stosowane są silniki asynchroniczne średniej mocy (definiowanej jako moc od 7 kW do 1 MW). Większość z nich to silniki indukcyjne klatkowe. To w ich optymalizacji kryją się wspomniane rezerwy i potencjalne oszczędności</w:t>
      </w:r>
      <w:r w:rsidR="005C4144" w:rsidRPr="00A62596">
        <w:t>.</w:t>
      </w:r>
      <w:bookmarkStart w:id="267" w:name="_Ref167820227"/>
      <w:bookmarkStart w:id="268" w:name="_Ref169815804"/>
      <w:bookmarkStart w:id="269" w:name="_Toc171587189"/>
    </w:p>
    <w:p w14:paraId="15756A6A" w14:textId="679C238F" w:rsidR="005C4144" w:rsidRPr="00290FB8" w:rsidRDefault="005C4144" w:rsidP="005C4144">
      <w:pPr>
        <w:pStyle w:val="Legenda"/>
      </w:pPr>
      <w:bookmarkStart w:id="270" w:name="_Ref195775308"/>
      <w:bookmarkStart w:id="271" w:name="_Toc174710973"/>
      <w:bookmarkStart w:id="272" w:name="_Toc202966976"/>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w:t>
      </w:r>
      <w:r w:rsidR="00653D9A">
        <w:rPr>
          <w:noProof/>
        </w:rPr>
        <w:fldChar w:fldCharType="end"/>
      </w:r>
      <w:bookmarkEnd w:id="266"/>
      <w:bookmarkEnd w:id="267"/>
      <w:bookmarkEnd w:id="268"/>
      <w:bookmarkEnd w:id="270"/>
      <w:r>
        <w:t xml:space="preserve">. </w:t>
      </w:r>
      <w:r w:rsidRPr="00290FB8">
        <w:t>Zużycie energii pierwotnej</w:t>
      </w:r>
      <w:r>
        <w:t xml:space="preserve"> i </w:t>
      </w:r>
      <w:r w:rsidRPr="00290FB8">
        <w:t>finalnej ogółem [ktoe]</w:t>
      </w:r>
      <w:bookmarkEnd w:id="269"/>
      <w:bookmarkEnd w:id="271"/>
      <w:bookmarkEnd w:id="272"/>
    </w:p>
    <w:tbl>
      <w:tblPr>
        <w:tblStyle w:val="KPEiK"/>
        <w:tblW w:w="5000" w:type="pct"/>
        <w:tblLayout w:type="fixed"/>
        <w:tblLook w:val="04A0" w:firstRow="1" w:lastRow="0" w:firstColumn="1" w:lastColumn="0" w:noHBand="0" w:noVBand="1"/>
      </w:tblPr>
      <w:tblGrid>
        <w:gridCol w:w="1862"/>
        <w:gridCol w:w="900"/>
        <w:gridCol w:w="901"/>
        <w:gridCol w:w="901"/>
        <w:gridCol w:w="899"/>
        <w:gridCol w:w="900"/>
        <w:gridCol w:w="900"/>
        <w:gridCol w:w="899"/>
        <w:gridCol w:w="900"/>
      </w:tblGrid>
      <w:tr w:rsidR="0054694F" w:rsidRPr="00956024" w14:paraId="738F6402" w14:textId="77777777" w:rsidTr="0054694F">
        <w:trPr>
          <w:cnfStyle w:val="100000000000" w:firstRow="1" w:lastRow="0" w:firstColumn="0" w:lastColumn="0" w:oddVBand="0" w:evenVBand="0" w:oddHBand="0" w:evenHBand="0" w:firstRowFirstColumn="0" w:firstRowLastColumn="0" w:lastRowFirstColumn="0" w:lastRowLastColumn="0"/>
          <w:trHeight w:val="227"/>
          <w:tblHeader/>
        </w:trPr>
        <w:tc>
          <w:tcPr>
            <w:tcW w:w="1904" w:type="dxa"/>
            <w:noWrap/>
            <w:hideMark/>
          </w:tcPr>
          <w:p w14:paraId="6952BF94" w14:textId="77777777" w:rsidR="0054694F" w:rsidRPr="00956024" w:rsidRDefault="0054694F">
            <w:pPr>
              <w:pStyle w:val="Tabele"/>
              <w:jc w:val="center"/>
            </w:pPr>
          </w:p>
        </w:tc>
        <w:tc>
          <w:tcPr>
            <w:tcW w:w="918" w:type="dxa"/>
            <w:hideMark/>
          </w:tcPr>
          <w:p w14:paraId="268C86C8" w14:textId="77777777" w:rsidR="0054694F" w:rsidRPr="00956024" w:rsidRDefault="0054694F">
            <w:pPr>
              <w:pStyle w:val="Tabele"/>
              <w:jc w:val="center"/>
              <w:rPr>
                <w:bCs/>
              </w:rPr>
            </w:pPr>
            <w:r w:rsidRPr="00956024">
              <w:rPr>
                <w:bCs/>
              </w:rPr>
              <w:t>2005</w:t>
            </w:r>
          </w:p>
        </w:tc>
        <w:tc>
          <w:tcPr>
            <w:tcW w:w="919" w:type="dxa"/>
            <w:hideMark/>
          </w:tcPr>
          <w:p w14:paraId="781B5D5A" w14:textId="77777777" w:rsidR="0054694F" w:rsidRPr="00956024" w:rsidRDefault="0054694F">
            <w:pPr>
              <w:pStyle w:val="Tabele"/>
              <w:jc w:val="center"/>
              <w:rPr>
                <w:bCs/>
              </w:rPr>
            </w:pPr>
            <w:r w:rsidRPr="00956024">
              <w:rPr>
                <w:bCs/>
              </w:rPr>
              <w:t>2010</w:t>
            </w:r>
          </w:p>
        </w:tc>
        <w:tc>
          <w:tcPr>
            <w:tcW w:w="919" w:type="dxa"/>
            <w:hideMark/>
          </w:tcPr>
          <w:p w14:paraId="4CD93676" w14:textId="77777777" w:rsidR="0054694F" w:rsidRPr="00956024" w:rsidRDefault="0054694F">
            <w:pPr>
              <w:pStyle w:val="Tabele"/>
              <w:jc w:val="center"/>
              <w:rPr>
                <w:bCs/>
              </w:rPr>
            </w:pPr>
            <w:r w:rsidRPr="00956024">
              <w:rPr>
                <w:bCs/>
              </w:rPr>
              <w:t>2015</w:t>
            </w:r>
          </w:p>
        </w:tc>
        <w:tc>
          <w:tcPr>
            <w:tcW w:w="918" w:type="dxa"/>
            <w:hideMark/>
          </w:tcPr>
          <w:p w14:paraId="440B34F1" w14:textId="77777777" w:rsidR="0054694F" w:rsidRPr="00956024" w:rsidRDefault="0054694F">
            <w:pPr>
              <w:pStyle w:val="Tabele"/>
              <w:jc w:val="center"/>
              <w:rPr>
                <w:bCs/>
              </w:rPr>
            </w:pPr>
            <w:r w:rsidRPr="00956024">
              <w:rPr>
                <w:bCs/>
              </w:rPr>
              <w:t>2020</w:t>
            </w:r>
          </w:p>
        </w:tc>
        <w:tc>
          <w:tcPr>
            <w:tcW w:w="919" w:type="dxa"/>
            <w:hideMark/>
          </w:tcPr>
          <w:p w14:paraId="7CFAE6DA" w14:textId="77777777" w:rsidR="0054694F" w:rsidRPr="00956024" w:rsidRDefault="0054694F">
            <w:pPr>
              <w:pStyle w:val="Tabele"/>
              <w:jc w:val="center"/>
              <w:rPr>
                <w:bCs/>
              </w:rPr>
            </w:pPr>
            <w:r w:rsidRPr="00956024">
              <w:rPr>
                <w:bCs/>
              </w:rPr>
              <w:t>2025</w:t>
            </w:r>
          </w:p>
        </w:tc>
        <w:tc>
          <w:tcPr>
            <w:tcW w:w="919" w:type="dxa"/>
            <w:hideMark/>
          </w:tcPr>
          <w:p w14:paraId="40772937" w14:textId="77777777" w:rsidR="0054694F" w:rsidRPr="00956024" w:rsidRDefault="0054694F">
            <w:pPr>
              <w:pStyle w:val="Tabele"/>
              <w:jc w:val="center"/>
              <w:rPr>
                <w:bCs/>
              </w:rPr>
            </w:pPr>
            <w:r w:rsidRPr="00956024">
              <w:rPr>
                <w:bCs/>
              </w:rPr>
              <w:t>2030</w:t>
            </w:r>
          </w:p>
        </w:tc>
        <w:tc>
          <w:tcPr>
            <w:tcW w:w="918" w:type="dxa"/>
            <w:hideMark/>
          </w:tcPr>
          <w:p w14:paraId="3674EBBD" w14:textId="77777777" w:rsidR="0054694F" w:rsidRPr="00956024" w:rsidRDefault="0054694F">
            <w:pPr>
              <w:pStyle w:val="Tabele"/>
              <w:jc w:val="center"/>
              <w:rPr>
                <w:bCs/>
              </w:rPr>
            </w:pPr>
            <w:r w:rsidRPr="00956024">
              <w:rPr>
                <w:bCs/>
              </w:rPr>
              <w:t>2035</w:t>
            </w:r>
          </w:p>
        </w:tc>
        <w:tc>
          <w:tcPr>
            <w:tcW w:w="919" w:type="dxa"/>
          </w:tcPr>
          <w:p w14:paraId="3E847373" w14:textId="77777777" w:rsidR="0054694F" w:rsidRPr="00956024" w:rsidRDefault="0054694F">
            <w:pPr>
              <w:pStyle w:val="Tabele"/>
              <w:jc w:val="center"/>
              <w:rPr>
                <w:bCs/>
              </w:rPr>
            </w:pPr>
            <w:r>
              <w:rPr>
                <w:bCs/>
              </w:rPr>
              <w:t>2040</w:t>
            </w:r>
          </w:p>
        </w:tc>
      </w:tr>
      <w:tr w:rsidR="0054694F" w:rsidRPr="00956024" w14:paraId="37E78518" w14:textId="77777777" w:rsidTr="0054694F">
        <w:trPr>
          <w:trHeight w:val="227"/>
        </w:trPr>
        <w:tc>
          <w:tcPr>
            <w:tcW w:w="1904" w:type="dxa"/>
            <w:vAlign w:val="top"/>
            <w:hideMark/>
          </w:tcPr>
          <w:p w14:paraId="5EFCA4C0" w14:textId="77777777" w:rsidR="0054694F" w:rsidRPr="0054694F" w:rsidRDefault="0054694F">
            <w:pPr>
              <w:pStyle w:val="Tabele"/>
              <w:rPr>
                <w:color w:val="auto"/>
              </w:rPr>
            </w:pPr>
            <w:r w:rsidRPr="0054694F">
              <w:rPr>
                <w:color w:val="auto"/>
              </w:rPr>
              <w:t>Zużycie energii pierwotnej*</w:t>
            </w:r>
          </w:p>
        </w:tc>
        <w:tc>
          <w:tcPr>
            <w:tcW w:w="918" w:type="dxa"/>
            <w:shd w:val="clear" w:color="auto" w:fill="C5E0B3"/>
            <w:noWrap/>
            <w:hideMark/>
          </w:tcPr>
          <w:p w14:paraId="1D4935B1" w14:textId="77777777" w:rsidR="0054694F" w:rsidRPr="0054694F" w:rsidRDefault="0054694F">
            <w:pPr>
              <w:pStyle w:val="Tabele"/>
              <w:jc w:val="right"/>
              <w:rPr>
                <w:color w:val="auto"/>
              </w:rPr>
            </w:pPr>
            <w:r w:rsidRPr="0054694F">
              <w:rPr>
                <w:color w:val="auto"/>
              </w:rPr>
              <w:t>92 905</w:t>
            </w:r>
          </w:p>
        </w:tc>
        <w:tc>
          <w:tcPr>
            <w:tcW w:w="919" w:type="dxa"/>
            <w:shd w:val="clear" w:color="auto" w:fill="C5E0B3"/>
            <w:noWrap/>
            <w:hideMark/>
          </w:tcPr>
          <w:p w14:paraId="1C9D75E9" w14:textId="77777777" w:rsidR="0054694F" w:rsidRPr="0054694F" w:rsidRDefault="0054694F">
            <w:pPr>
              <w:pStyle w:val="Tabele"/>
              <w:jc w:val="right"/>
              <w:rPr>
                <w:color w:val="auto"/>
              </w:rPr>
            </w:pPr>
            <w:r w:rsidRPr="0054694F">
              <w:rPr>
                <w:color w:val="auto"/>
              </w:rPr>
              <w:t>101 819</w:t>
            </w:r>
          </w:p>
        </w:tc>
        <w:tc>
          <w:tcPr>
            <w:tcW w:w="919" w:type="dxa"/>
            <w:shd w:val="clear" w:color="auto" w:fill="C5E0B3"/>
            <w:noWrap/>
            <w:hideMark/>
          </w:tcPr>
          <w:p w14:paraId="5FC11E5F" w14:textId="77777777" w:rsidR="0054694F" w:rsidRPr="0054694F" w:rsidRDefault="0054694F">
            <w:pPr>
              <w:pStyle w:val="Tabele"/>
              <w:jc w:val="right"/>
              <w:rPr>
                <w:color w:val="auto"/>
              </w:rPr>
            </w:pPr>
            <w:r w:rsidRPr="0054694F">
              <w:rPr>
                <w:color w:val="auto"/>
              </w:rPr>
              <w:t>96 061</w:t>
            </w:r>
          </w:p>
        </w:tc>
        <w:tc>
          <w:tcPr>
            <w:tcW w:w="918" w:type="dxa"/>
            <w:shd w:val="clear" w:color="auto" w:fill="C5E0B3"/>
            <w:noWrap/>
            <w:hideMark/>
          </w:tcPr>
          <w:p w14:paraId="0EB6FB3B" w14:textId="77777777" w:rsidR="0054694F" w:rsidRPr="0054694F" w:rsidRDefault="0054694F">
            <w:pPr>
              <w:pStyle w:val="Tabele"/>
              <w:jc w:val="right"/>
              <w:rPr>
                <w:color w:val="auto"/>
              </w:rPr>
            </w:pPr>
            <w:r w:rsidRPr="0054694F">
              <w:rPr>
                <w:color w:val="auto"/>
              </w:rPr>
              <w:t>103 280</w:t>
            </w:r>
          </w:p>
        </w:tc>
        <w:tc>
          <w:tcPr>
            <w:tcW w:w="919" w:type="dxa"/>
            <w:noWrap/>
            <w:hideMark/>
          </w:tcPr>
          <w:p w14:paraId="1CD0BC4F" w14:textId="77777777" w:rsidR="0054694F" w:rsidRPr="0054694F" w:rsidRDefault="0054694F">
            <w:pPr>
              <w:pStyle w:val="Tabele"/>
              <w:jc w:val="right"/>
              <w:rPr>
                <w:color w:val="auto"/>
              </w:rPr>
            </w:pPr>
            <w:r w:rsidRPr="0054694F">
              <w:rPr>
                <w:rFonts w:cs="Arial"/>
                <w:color w:val="auto"/>
                <w:szCs w:val="16"/>
              </w:rPr>
              <w:t>99 300</w:t>
            </w:r>
          </w:p>
        </w:tc>
        <w:tc>
          <w:tcPr>
            <w:tcW w:w="919" w:type="dxa"/>
            <w:noWrap/>
            <w:hideMark/>
          </w:tcPr>
          <w:p w14:paraId="0ED4ED2E" w14:textId="77777777" w:rsidR="0054694F" w:rsidRPr="0054694F" w:rsidRDefault="0054694F">
            <w:pPr>
              <w:pStyle w:val="Tabele"/>
              <w:jc w:val="right"/>
              <w:rPr>
                <w:color w:val="auto"/>
              </w:rPr>
            </w:pPr>
            <w:r w:rsidRPr="0054694F">
              <w:rPr>
                <w:rFonts w:cs="Arial"/>
                <w:color w:val="auto"/>
                <w:szCs w:val="16"/>
              </w:rPr>
              <w:t>87 276</w:t>
            </w:r>
          </w:p>
        </w:tc>
        <w:tc>
          <w:tcPr>
            <w:tcW w:w="918" w:type="dxa"/>
            <w:noWrap/>
            <w:hideMark/>
          </w:tcPr>
          <w:p w14:paraId="199BC652" w14:textId="77777777" w:rsidR="0054694F" w:rsidRPr="0054694F" w:rsidRDefault="0054694F">
            <w:pPr>
              <w:pStyle w:val="Tabele"/>
              <w:jc w:val="right"/>
              <w:rPr>
                <w:color w:val="auto"/>
              </w:rPr>
            </w:pPr>
            <w:r w:rsidRPr="0054694F">
              <w:rPr>
                <w:rFonts w:cs="Arial"/>
                <w:color w:val="auto"/>
                <w:szCs w:val="16"/>
              </w:rPr>
              <w:t>77 840</w:t>
            </w:r>
          </w:p>
        </w:tc>
        <w:tc>
          <w:tcPr>
            <w:tcW w:w="919" w:type="dxa"/>
          </w:tcPr>
          <w:p w14:paraId="0813EBA5" w14:textId="77777777" w:rsidR="0054694F" w:rsidRPr="0054694F" w:rsidRDefault="0054694F">
            <w:pPr>
              <w:pStyle w:val="Tabele"/>
              <w:jc w:val="right"/>
              <w:rPr>
                <w:color w:val="auto"/>
              </w:rPr>
            </w:pPr>
            <w:r w:rsidRPr="0054694F">
              <w:rPr>
                <w:rFonts w:cs="Arial"/>
                <w:color w:val="auto"/>
                <w:szCs w:val="16"/>
              </w:rPr>
              <w:t>77 264</w:t>
            </w:r>
          </w:p>
        </w:tc>
      </w:tr>
      <w:tr w:rsidR="0054694F" w:rsidRPr="00956024" w14:paraId="66ECE8BF" w14:textId="77777777" w:rsidTr="0054694F">
        <w:trPr>
          <w:trHeight w:val="227"/>
        </w:trPr>
        <w:tc>
          <w:tcPr>
            <w:tcW w:w="1904" w:type="dxa"/>
            <w:vAlign w:val="top"/>
          </w:tcPr>
          <w:p w14:paraId="47E9B1CD" w14:textId="77777777" w:rsidR="0054694F" w:rsidRPr="0054694F" w:rsidRDefault="0054694F">
            <w:pPr>
              <w:pStyle w:val="Tabele"/>
              <w:rPr>
                <w:color w:val="auto"/>
              </w:rPr>
            </w:pPr>
            <w:r w:rsidRPr="0054694F">
              <w:rPr>
                <w:color w:val="auto"/>
              </w:rPr>
              <w:t>Zużycie energii pierwotnej</w:t>
            </w:r>
          </w:p>
        </w:tc>
        <w:tc>
          <w:tcPr>
            <w:tcW w:w="918" w:type="dxa"/>
            <w:shd w:val="clear" w:color="auto" w:fill="C5E0B3"/>
            <w:noWrap/>
          </w:tcPr>
          <w:p w14:paraId="6B56D545" w14:textId="77777777" w:rsidR="0054694F" w:rsidRPr="0054694F" w:rsidRDefault="0054694F">
            <w:pPr>
              <w:pStyle w:val="Tabele"/>
              <w:jc w:val="right"/>
              <w:rPr>
                <w:color w:val="auto"/>
              </w:rPr>
            </w:pPr>
            <w:r w:rsidRPr="0054694F">
              <w:rPr>
                <w:color w:val="auto"/>
              </w:rPr>
              <w:t>92 582</w:t>
            </w:r>
          </w:p>
        </w:tc>
        <w:tc>
          <w:tcPr>
            <w:tcW w:w="919" w:type="dxa"/>
            <w:shd w:val="clear" w:color="auto" w:fill="C5E0B3"/>
            <w:noWrap/>
          </w:tcPr>
          <w:p w14:paraId="7D40A310" w14:textId="77777777" w:rsidR="0054694F" w:rsidRPr="0054694F" w:rsidRDefault="0054694F">
            <w:pPr>
              <w:pStyle w:val="Tabele"/>
              <w:jc w:val="right"/>
              <w:rPr>
                <w:color w:val="auto"/>
              </w:rPr>
            </w:pPr>
            <w:r w:rsidRPr="0054694F">
              <w:rPr>
                <w:color w:val="auto"/>
              </w:rPr>
              <w:t>101 604</w:t>
            </w:r>
          </w:p>
        </w:tc>
        <w:tc>
          <w:tcPr>
            <w:tcW w:w="919" w:type="dxa"/>
            <w:shd w:val="clear" w:color="auto" w:fill="C5E0B3"/>
            <w:noWrap/>
          </w:tcPr>
          <w:p w14:paraId="33BC8557" w14:textId="77777777" w:rsidR="0054694F" w:rsidRPr="0054694F" w:rsidRDefault="0054694F">
            <w:pPr>
              <w:pStyle w:val="Tabele"/>
              <w:jc w:val="right"/>
              <w:rPr>
                <w:color w:val="auto"/>
              </w:rPr>
            </w:pPr>
            <w:r w:rsidRPr="0054694F">
              <w:rPr>
                <w:color w:val="auto"/>
              </w:rPr>
              <w:t>95 868</w:t>
            </w:r>
          </w:p>
        </w:tc>
        <w:tc>
          <w:tcPr>
            <w:tcW w:w="918" w:type="dxa"/>
            <w:shd w:val="clear" w:color="auto" w:fill="C5E0B3"/>
            <w:noWrap/>
          </w:tcPr>
          <w:p w14:paraId="62541D11" w14:textId="77777777" w:rsidR="0054694F" w:rsidRPr="0054694F" w:rsidRDefault="0054694F">
            <w:pPr>
              <w:pStyle w:val="Tabele"/>
              <w:jc w:val="right"/>
              <w:rPr>
                <w:color w:val="auto"/>
              </w:rPr>
            </w:pPr>
            <w:r w:rsidRPr="0054694F">
              <w:rPr>
                <w:color w:val="auto"/>
              </w:rPr>
              <w:t>102 979</w:t>
            </w:r>
          </w:p>
        </w:tc>
        <w:tc>
          <w:tcPr>
            <w:tcW w:w="919" w:type="dxa"/>
            <w:noWrap/>
          </w:tcPr>
          <w:p w14:paraId="4FEBF36F" w14:textId="77777777" w:rsidR="0054694F" w:rsidRPr="0054694F" w:rsidRDefault="0054694F">
            <w:pPr>
              <w:pStyle w:val="Tabele"/>
              <w:jc w:val="right"/>
              <w:rPr>
                <w:color w:val="auto"/>
              </w:rPr>
            </w:pPr>
            <w:r w:rsidRPr="0054694F">
              <w:rPr>
                <w:rFonts w:cs="Arial"/>
                <w:color w:val="auto"/>
                <w:szCs w:val="16"/>
              </w:rPr>
              <w:t>98 912</w:t>
            </w:r>
          </w:p>
        </w:tc>
        <w:tc>
          <w:tcPr>
            <w:tcW w:w="919" w:type="dxa"/>
            <w:noWrap/>
          </w:tcPr>
          <w:p w14:paraId="29E6D67F" w14:textId="77777777" w:rsidR="0054694F" w:rsidRPr="0054694F" w:rsidRDefault="0054694F">
            <w:pPr>
              <w:pStyle w:val="Tabele"/>
              <w:jc w:val="right"/>
              <w:rPr>
                <w:color w:val="auto"/>
              </w:rPr>
            </w:pPr>
            <w:r w:rsidRPr="0054694F">
              <w:rPr>
                <w:rFonts w:cs="Arial"/>
                <w:color w:val="auto"/>
                <w:szCs w:val="16"/>
              </w:rPr>
              <w:t>86 836</w:t>
            </w:r>
          </w:p>
        </w:tc>
        <w:tc>
          <w:tcPr>
            <w:tcW w:w="918" w:type="dxa"/>
            <w:noWrap/>
          </w:tcPr>
          <w:p w14:paraId="17BF9291" w14:textId="77777777" w:rsidR="0054694F" w:rsidRPr="0054694F" w:rsidRDefault="0054694F">
            <w:pPr>
              <w:pStyle w:val="Tabele"/>
              <w:jc w:val="right"/>
              <w:rPr>
                <w:color w:val="auto"/>
              </w:rPr>
            </w:pPr>
            <w:r w:rsidRPr="0054694F">
              <w:rPr>
                <w:rFonts w:cs="Arial"/>
                <w:color w:val="auto"/>
                <w:szCs w:val="16"/>
              </w:rPr>
              <w:t>77 375</w:t>
            </w:r>
          </w:p>
        </w:tc>
        <w:tc>
          <w:tcPr>
            <w:tcW w:w="919" w:type="dxa"/>
          </w:tcPr>
          <w:p w14:paraId="2B6682A5" w14:textId="77777777" w:rsidR="0054694F" w:rsidRPr="0054694F" w:rsidRDefault="0054694F">
            <w:pPr>
              <w:pStyle w:val="Tabele"/>
              <w:jc w:val="right"/>
              <w:rPr>
                <w:color w:val="auto"/>
              </w:rPr>
            </w:pPr>
            <w:r w:rsidRPr="0054694F">
              <w:rPr>
                <w:rFonts w:cs="Arial"/>
                <w:color w:val="auto"/>
                <w:szCs w:val="16"/>
              </w:rPr>
              <w:t>76 771</w:t>
            </w:r>
          </w:p>
        </w:tc>
      </w:tr>
      <w:tr w:rsidR="0054694F" w:rsidRPr="00956024" w14:paraId="6EDC9748" w14:textId="77777777" w:rsidTr="0054694F">
        <w:trPr>
          <w:trHeight w:val="227"/>
        </w:trPr>
        <w:tc>
          <w:tcPr>
            <w:tcW w:w="1904" w:type="dxa"/>
            <w:vAlign w:val="top"/>
          </w:tcPr>
          <w:p w14:paraId="29A9DF33" w14:textId="77777777" w:rsidR="0054694F" w:rsidRPr="0054694F" w:rsidRDefault="0054694F">
            <w:pPr>
              <w:pStyle w:val="Tabele"/>
              <w:rPr>
                <w:color w:val="auto"/>
              </w:rPr>
            </w:pPr>
            <w:r w:rsidRPr="0054694F">
              <w:rPr>
                <w:b/>
                <w:color w:val="auto"/>
              </w:rPr>
              <w:t>Zużycie energii pierwotnej (Europa 2020-2030)</w:t>
            </w:r>
          </w:p>
        </w:tc>
        <w:tc>
          <w:tcPr>
            <w:tcW w:w="918" w:type="dxa"/>
            <w:shd w:val="clear" w:color="auto" w:fill="C5E0B3"/>
            <w:noWrap/>
          </w:tcPr>
          <w:p w14:paraId="74E46C02" w14:textId="77777777" w:rsidR="0054694F" w:rsidRPr="0054694F" w:rsidRDefault="0054694F">
            <w:pPr>
              <w:pStyle w:val="Tabele"/>
              <w:jc w:val="right"/>
              <w:rPr>
                <w:color w:val="auto"/>
              </w:rPr>
            </w:pPr>
            <w:r w:rsidRPr="0054694F">
              <w:rPr>
                <w:b/>
                <w:color w:val="auto"/>
              </w:rPr>
              <w:t>87 974</w:t>
            </w:r>
          </w:p>
        </w:tc>
        <w:tc>
          <w:tcPr>
            <w:tcW w:w="919" w:type="dxa"/>
            <w:shd w:val="clear" w:color="auto" w:fill="C5E0B3"/>
            <w:noWrap/>
          </w:tcPr>
          <w:p w14:paraId="7A1089AD" w14:textId="77777777" w:rsidR="0054694F" w:rsidRPr="0054694F" w:rsidRDefault="0054694F">
            <w:pPr>
              <w:pStyle w:val="Tabele"/>
              <w:jc w:val="right"/>
              <w:rPr>
                <w:color w:val="auto"/>
              </w:rPr>
            </w:pPr>
            <w:r w:rsidRPr="0054694F">
              <w:rPr>
                <w:b/>
                <w:color w:val="auto"/>
              </w:rPr>
              <w:t>96 590</w:t>
            </w:r>
          </w:p>
        </w:tc>
        <w:tc>
          <w:tcPr>
            <w:tcW w:w="919" w:type="dxa"/>
            <w:shd w:val="clear" w:color="auto" w:fill="C5E0B3"/>
            <w:noWrap/>
          </w:tcPr>
          <w:p w14:paraId="677EA2EA" w14:textId="77777777" w:rsidR="0054694F" w:rsidRPr="0054694F" w:rsidRDefault="0054694F">
            <w:pPr>
              <w:pStyle w:val="Tabele"/>
              <w:jc w:val="right"/>
              <w:rPr>
                <w:color w:val="auto"/>
              </w:rPr>
            </w:pPr>
            <w:r w:rsidRPr="0054694F">
              <w:rPr>
                <w:b/>
                <w:color w:val="auto"/>
              </w:rPr>
              <w:t>90 075</w:t>
            </w:r>
          </w:p>
        </w:tc>
        <w:tc>
          <w:tcPr>
            <w:tcW w:w="918" w:type="dxa"/>
            <w:shd w:val="clear" w:color="auto" w:fill="C5E0B3"/>
            <w:noWrap/>
          </w:tcPr>
          <w:p w14:paraId="003CC899" w14:textId="77777777" w:rsidR="0054694F" w:rsidRPr="0054694F" w:rsidRDefault="0054694F">
            <w:pPr>
              <w:pStyle w:val="Tabele"/>
              <w:jc w:val="right"/>
              <w:rPr>
                <w:color w:val="auto"/>
              </w:rPr>
            </w:pPr>
            <w:r w:rsidRPr="0054694F">
              <w:rPr>
                <w:b/>
                <w:color w:val="auto"/>
              </w:rPr>
              <w:t>96 859</w:t>
            </w:r>
          </w:p>
        </w:tc>
        <w:tc>
          <w:tcPr>
            <w:tcW w:w="919" w:type="dxa"/>
            <w:noWrap/>
          </w:tcPr>
          <w:p w14:paraId="36E8440A" w14:textId="77777777" w:rsidR="0054694F" w:rsidRPr="0054694F" w:rsidRDefault="0054694F">
            <w:pPr>
              <w:pStyle w:val="Tabele"/>
              <w:jc w:val="right"/>
              <w:rPr>
                <w:color w:val="auto"/>
              </w:rPr>
            </w:pPr>
            <w:r w:rsidRPr="0054694F">
              <w:rPr>
                <w:rFonts w:cs="Arial"/>
                <w:b/>
                <w:bCs/>
                <w:color w:val="auto"/>
                <w:szCs w:val="16"/>
              </w:rPr>
              <w:t>92 197</w:t>
            </w:r>
          </w:p>
        </w:tc>
        <w:tc>
          <w:tcPr>
            <w:tcW w:w="919" w:type="dxa"/>
            <w:noWrap/>
          </w:tcPr>
          <w:p w14:paraId="0786FECB" w14:textId="77777777" w:rsidR="0054694F" w:rsidRPr="0054694F" w:rsidRDefault="0054694F">
            <w:pPr>
              <w:pStyle w:val="Tabele"/>
              <w:jc w:val="right"/>
              <w:rPr>
                <w:b/>
                <w:bCs/>
                <w:color w:val="auto"/>
              </w:rPr>
            </w:pPr>
            <w:r w:rsidRPr="0054694F">
              <w:rPr>
                <w:rFonts w:cs="Arial"/>
                <w:b/>
                <w:bCs/>
                <w:color w:val="auto"/>
                <w:szCs w:val="16"/>
              </w:rPr>
              <w:t>79 614</w:t>
            </w:r>
          </w:p>
        </w:tc>
        <w:tc>
          <w:tcPr>
            <w:tcW w:w="918" w:type="dxa"/>
            <w:noWrap/>
          </w:tcPr>
          <w:p w14:paraId="60E9545C" w14:textId="77777777" w:rsidR="0054694F" w:rsidRPr="0054694F" w:rsidRDefault="0054694F">
            <w:pPr>
              <w:pStyle w:val="Tabele"/>
              <w:jc w:val="right"/>
              <w:rPr>
                <w:b/>
                <w:bCs/>
                <w:color w:val="auto"/>
              </w:rPr>
            </w:pPr>
            <w:r w:rsidRPr="0054694F">
              <w:rPr>
                <w:rFonts w:cs="Arial"/>
                <w:b/>
                <w:bCs/>
                <w:color w:val="auto"/>
                <w:szCs w:val="16"/>
              </w:rPr>
              <w:t>68 988</w:t>
            </w:r>
          </w:p>
        </w:tc>
        <w:tc>
          <w:tcPr>
            <w:tcW w:w="919" w:type="dxa"/>
          </w:tcPr>
          <w:p w14:paraId="72564A79" w14:textId="77777777" w:rsidR="0054694F" w:rsidRPr="0054694F" w:rsidRDefault="0054694F">
            <w:pPr>
              <w:pStyle w:val="Tabele"/>
              <w:jc w:val="right"/>
              <w:rPr>
                <w:b/>
                <w:bCs/>
                <w:color w:val="auto"/>
              </w:rPr>
            </w:pPr>
            <w:r w:rsidRPr="0054694F">
              <w:rPr>
                <w:rFonts w:cs="Arial"/>
                <w:b/>
                <w:bCs/>
                <w:color w:val="auto"/>
                <w:szCs w:val="16"/>
              </w:rPr>
              <w:t>67 193</w:t>
            </w:r>
          </w:p>
        </w:tc>
      </w:tr>
      <w:tr w:rsidR="0054694F" w:rsidRPr="00956024" w14:paraId="2250910B" w14:textId="77777777" w:rsidTr="0054694F">
        <w:trPr>
          <w:trHeight w:val="227"/>
        </w:trPr>
        <w:tc>
          <w:tcPr>
            <w:tcW w:w="1904" w:type="dxa"/>
            <w:vAlign w:val="top"/>
            <w:hideMark/>
          </w:tcPr>
          <w:p w14:paraId="1FA498B3" w14:textId="77777777" w:rsidR="0054694F" w:rsidRPr="0054694F" w:rsidRDefault="0054694F">
            <w:pPr>
              <w:pStyle w:val="Tabele"/>
              <w:rPr>
                <w:color w:val="auto"/>
              </w:rPr>
            </w:pPr>
            <w:r w:rsidRPr="0054694F">
              <w:rPr>
                <w:color w:val="auto"/>
              </w:rPr>
              <w:t>Finalne zużycie energii*</w:t>
            </w:r>
          </w:p>
        </w:tc>
        <w:tc>
          <w:tcPr>
            <w:tcW w:w="918" w:type="dxa"/>
            <w:shd w:val="clear" w:color="auto" w:fill="C5E0B3"/>
            <w:noWrap/>
            <w:hideMark/>
          </w:tcPr>
          <w:p w14:paraId="0882C21A" w14:textId="77777777" w:rsidR="0054694F" w:rsidRPr="0054694F" w:rsidRDefault="0054694F">
            <w:pPr>
              <w:pStyle w:val="Tabele"/>
              <w:jc w:val="right"/>
              <w:rPr>
                <w:color w:val="auto"/>
              </w:rPr>
            </w:pPr>
            <w:r w:rsidRPr="0054694F">
              <w:rPr>
                <w:color w:val="auto"/>
              </w:rPr>
              <w:t>61 700</w:t>
            </w:r>
          </w:p>
        </w:tc>
        <w:tc>
          <w:tcPr>
            <w:tcW w:w="919" w:type="dxa"/>
            <w:shd w:val="clear" w:color="auto" w:fill="C5E0B3"/>
            <w:noWrap/>
            <w:hideMark/>
          </w:tcPr>
          <w:p w14:paraId="1B5D2654" w14:textId="77777777" w:rsidR="0054694F" w:rsidRPr="0054694F" w:rsidRDefault="0054694F">
            <w:pPr>
              <w:pStyle w:val="Tabele"/>
              <w:jc w:val="right"/>
              <w:rPr>
                <w:color w:val="auto"/>
              </w:rPr>
            </w:pPr>
            <w:r w:rsidRPr="0054694F">
              <w:rPr>
                <w:color w:val="auto"/>
              </w:rPr>
              <w:t>70 380</w:t>
            </w:r>
          </w:p>
        </w:tc>
        <w:tc>
          <w:tcPr>
            <w:tcW w:w="919" w:type="dxa"/>
            <w:shd w:val="clear" w:color="auto" w:fill="C5E0B3"/>
            <w:noWrap/>
            <w:hideMark/>
          </w:tcPr>
          <w:p w14:paraId="5F9437E9" w14:textId="77777777" w:rsidR="0054694F" w:rsidRPr="0054694F" w:rsidRDefault="0054694F">
            <w:pPr>
              <w:pStyle w:val="Tabele"/>
              <w:jc w:val="right"/>
              <w:rPr>
                <w:color w:val="auto"/>
              </w:rPr>
            </w:pPr>
            <w:r w:rsidRPr="0054694F">
              <w:rPr>
                <w:color w:val="auto"/>
              </w:rPr>
              <w:t>65 169</w:t>
            </w:r>
          </w:p>
        </w:tc>
        <w:tc>
          <w:tcPr>
            <w:tcW w:w="918" w:type="dxa"/>
            <w:shd w:val="clear" w:color="auto" w:fill="C5E0B3"/>
            <w:noWrap/>
            <w:hideMark/>
          </w:tcPr>
          <w:p w14:paraId="5431C5DA" w14:textId="77777777" w:rsidR="0054694F" w:rsidRPr="0054694F" w:rsidRDefault="0054694F">
            <w:pPr>
              <w:pStyle w:val="Tabele"/>
              <w:jc w:val="right"/>
              <w:rPr>
                <w:color w:val="auto"/>
              </w:rPr>
            </w:pPr>
            <w:r w:rsidRPr="0054694F">
              <w:rPr>
                <w:color w:val="auto"/>
              </w:rPr>
              <w:t>77 134</w:t>
            </w:r>
          </w:p>
        </w:tc>
        <w:tc>
          <w:tcPr>
            <w:tcW w:w="919" w:type="dxa"/>
            <w:noWrap/>
            <w:hideMark/>
          </w:tcPr>
          <w:p w14:paraId="14801EBB" w14:textId="77777777" w:rsidR="0054694F" w:rsidRPr="0054694F" w:rsidRDefault="0054694F">
            <w:pPr>
              <w:pStyle w:val="Tabele"/>
              <w:jc w:val="right"/>
              <w:rPr>
                <w:color w:val="auto"/>
              </w:rPr>
            </w:pPr>
            <w:r w:rsidRPr="0054694F">
              <w:rPr>
                <w:rFonts w:cs="Arial"/>
                <w:color w:val="auto"/>
                <w:szCs w:val="16"/>
              </w:rPr>
              <w:t>74 957</w:t>
            </w:r>
          </w:p>
        </w:tc>
        <w:tc>
          <w:tcPr>
            <w:tcW w:w="919" w:type="dxa"/>
            <w:noWrap/>
            <w:hideMark/>
          </w:tcPr>
          <w:p w14:paraId="122799F1" w14:textId="77777777" w:rsidR="0054694F" w:rsidRPr="0054694F" w:rsidRDefault="0054694F">
            <w:pPr>
              <w:pStyle w:val="Tabele"/>
              <w:jc w:val="right"/>
              <w:rPr>
                <w:color w:val="auto"/>
              </w:rPr>
            </w:pPr>
            <w:r w:rsidRPr="0054694F">
              <w:rPr>
                <w:rFonts w:cs="Arial"/>
                <w:color w:val="auto"/>
                <w:szCs w:val="16"/>
              </w:rPr>
              <w:t>69 699</w:t>
            </w:r>
          </w:p>
        </w:tc>
        <w:tc>
          <w:tcPr>
            <w:tcW w:w="918" w:type="dxa"/>
            <w:noWrap/>
            <w:hideMark/>
          </w:tcPr>
          <w:p w14:paraId="14497A43" w14:textId="77777777" w:rsidR="0054694F" w:rsidRPr="0054694F" w:rsidRDefault="0054694F">
            <w:pPr>
              <w:pStyle w:val="Tabele"/>
              <w:jc w:val="right"/>
              <w:rPr>
                <w:color w:val="auto"/>
              </w:rPr>
            </w:pPr>
            <w:r w:rsidRPr="0054694F">
              <w:rPr>
                <w:rFonts w:cs="Arial"/>
                <w:color w:val="auto"/>
                <w:szCs w:val="16"/>
              </w:rPr>
              <w:t>65 160</w:t>
            </w:r>
          </w:p>
        </w:tc>
        <w:tc>
          <w:tcPr>
            <w:tcW w:w="919" w:type="dxa"/>
          </w:tcPr>
          <w:p w14:paraId="61E4094C" w14:textId="77777777" w:rsidR="0054694F" w:rsidRPr="0054694F" w:rsidRDefault="0054694F">
            <w:pPr>
              <w:pStyle w:val="Tabele"/>
              <w:jc w:val="right"/>
              <w:rPr>
                <w:color w:val="auto"/>
              </w:rPr>
            </w:pPr>
            <w:r w:rsidRPr="0054694F">
              <w:rPr>
                <w:rFonts w:cs="Arial"/>
                <w:color w:val="auto"/>
                <w:szCs w:val="16"/>
              </w:rPr>
              <w:t>62 139</w:t>
            </w:r>
          </w:p>
        </w:tc>
      </w:tr>
      <w:tr w:rsidR="0054694F" w:rsidRPr="00956024" w14:paraId="44E15136" w14:textId="77777777" w:rsidTr="0054694F">
        <w:trPr>
          <w:trHeight w:val="227"/>
        </w:trPr>
        <w:tc>
          <w:tcPr>
            <w:tcW w:w="1904" w:type="dxa"/>
            <w:vAlign w:val="top"/>
            <w:hideMark/>
          </w:tcPr>
          <w:p w14:paraId="07D91E4E" w14:textId="77777777" w:rsidR="0054694F" w:rsidRPr="0054694F" w:rsidRDefault="0054694F">
            <w:pPr>
              <w:pStyle w:val="Tabele"/>
              <w:rPr>
                <w:color w:val="auto"/>
              </w:rPr>
            </w:pPr>
            <w:r w:rsidRPr="0054694F">
              <w:rPr>
                <w:color w:val="auto"/>
              </w:rPr>
              <w:t>Finalne zużycie energii</w:t>
            </w:r>
          </w:p>
        </w:tc>
        <w:tc>
          <w:tcPr>
            <w:tcW w:w="918" w:type="dxa"/>
            <w:shd w:val="clear" w:color="auto" w:fill="C5E0B3"/>
            <w:noWrap/>
            <w:hideMark/>
          </w:tcPr>
          <w:p w14:paraId="2F6C3881" w14:textId="77777777" w:rsidR="0054694F" w:rsidRPr="0054694F" w:rsidRDefault="0054694F">
            <w:pPr>
              <w:pStyle w:val="Tabele"/>
              <w:jc w:val="right"/>
              <w:rPr>
                <w:color w:val="auto"/>
              </w:rPr>
            </w:pPr>
            <w:r w:rsidRPr="0054694F">
              <w:rPr>
                <w:color w:val="auto"/>
              </w:rPr>
              <w:t>57 473</w:t>
            </w:r>
          </w:p>
        </w:tc>
        <w:tc>
          <w:tcPr>
            <w:tcW w:w="919" w:type="dxa"/>
            <w:shd w:val="clear" w:color="auto" w:fill="C5E0B3"/>
            <w:noWrap/>
            <w:hideMark/>
          </w:tcPr>
          <w:p w14:paraId="65C0801B" w14:textId="77777777" w:rsidR="0054694F" w:rsidRPr="0054694F" w:rsidRDefault="0054694F">
            <w:pPr>
              <w:pStyle w:val="Tabele"/>
              <w:jc w:val="right"/>
              <w:rPr>
                <w:color w:val="auto"/>
              </w:rPr>
            </w:pPr>
            <w:r w:rsidRPr="0054694F">
              <w:rPr>
                <w:color w:val="auto"/>
              </w:rPr>
              <w:t>65 250</w:t>
            </w:r>
          </w:p>
        </w:tc>
        <w:tc>
          <w:tcPr>
            <w:tcW w:w="919" w:type="dxa"/>
            <w:shd w:val="clear" w:color="auto" w:fill="C5E0B3"/>
            <w:noWrap/>
            <w:hideMark/>
          </w:tcPr>
          <w:p w14:paraId="24FF8472" w14:textId="77777777" w:rsidR="0054694F" w:rsidRPr="0054694F" w:rsidRDefault="0054694F">
            <w:pPr>
              <w:pStyle w:val="Tabele"/>
              <w:jc w:val="right"/>
              <w:rPr>
                <w:color w:val="auto"/>
              </w:rPr>
            </w:pPr>
            <w:r w:rsidRPr="0054694F">
              <w:rPr>
                <w:color w:val="auto"/>
              </w:rPr>
              <w:t>60 863</w:t>
            </w:r>
          </w:p>
        </w:tc>
        <w:tc>
          <w:tcPr>
            <w:tcW w:w="918" w:type="dxa"/>
            <w:shd w:val="clear" w:color="auto" w:fill="C5E0B3"/>
            <w:noWrap/>
            <w:hideMark/>
          </w:tcPr>
          <w:p w14:paraId="7988CDD2" w14:textId="77777777" w:rsidR="0054694F" w:rsidRPr="0054694F" w:rsidRDefault="0054694F">
            <w:pPr>
              <w:pStyle w:val="Tabele"/>
              <w:jc w:val="right"/>
              <w:rPr>
                <w:color w:val="auto"/>
              </w:rPr>
            </w:pPr>
            <w:r w:rsidRPr="0054694F">
              <w:rPr>
                <w:color w:val="auto"/>
              </w:rPr>
              <w:t>70 235</w:t>
            </w:r>
          </w:p>
        </w:tc>
        <w:tc>
          <w:tcPr>
            <w:tcW w:w="919" w:type="dxa"/>
            <w:noWrap/>
            <w:hideMark/>
          </w:tcPr>
          <w:p w14:paraId="104CEB47" w14:textId="77777777" w:rsidR="0054694F" w:rsidRPr="0054694F" w:rsidRDefault="0054694F">
            <w:pPr>
              <w:pStyle w:val="Tabele"/>
              <w:jc w:val="right"/>
              <w:rPr>
                <w:color w:val="auto"/>
              </w:rPr>
            </w:pPr>
            <w:r w:rsidRPr="0054694F">
              <w:rPr>
                <w:rFonts w:cs="Arial"/>
                <w:color w:val="auto"/>
                <w:szCs w:val="16"/>
              </w:rPr>
              <w:t>69 496</w:t>
            </w:r>
          </w:p>
        </w:tc>
        <w:tc>
          <w:tcPr>
            <w:tcW w:w="919" w:type="dxa"/>
            <w:noWrap/>
            <w:hideMark/>
          </w:tcPr>
          <w:p w14:paraId="71EAAB2D" w14:textId="77777777" w:rsidR="0054694F" w:rsidRPr="0054694F" w:rsidRDefault="0054694F">
            <w:pPr>
              <w:pStyle w:val="Tabele"/>
              <w:jc w:val="right"/>
              <w:rPr>
                <w:color w:val="auto"/>
              </w:rPr>
            </w:pPr>
            <w:r w:rsidRPr="0054694F">
              <w:rPr>
                <w:rFonts w:cs="Arial"/>
                <w:color w:val="auto"/>
                <w:szCs w:val="16"/>
              </w:rPr>
              <w:t>64 338</w:t>
            </w:r>
          </w:p>
        </w:tc>
        <w:tc>
          <w:tcPr>
            <w:tcW w:w="918" w:type="dxa"/>
            <w:noWrap/>
            <w:hideMark/>
          </w:tcPr>
          <w:p w14:paraId="52B5D9E1" w14:textId="77777777" w:rsidR="0054694F" w:rsidRPr="0054694F" w:rsidRDefault="0054694F">
            <w:pPr>
              <w:pStyle w:val="Tabele"/>
              <w:jc w:val="right"/>
              <w:rPr>
                <w:color w:val="auto"/>
              </w:rPr>
            </w:pPr>
            <w:r w:rsidRPr="0054694F">
              <w:rPr>
                <w:rFonts w:cs="Arial"/>
                <w:color w:val="auto"/>
                <w:szCs w:val="16"/>
              </w:rPr>
              <w:t>59 885</w:t>
            </w:r>
          </w:p>
        </w:tc>
        <w:tc>
          <w:tcPr>
            <w:tcW w:w="919" w:type="dxa"/>
          </w:tcPr>
          <w:p w14:paraId="25746262" w14:textId="77777777" w:rsidR="0054694F" w:rsidRPr="0054694F" w:rsidRDefault="0054694F">
            <w:pPr>
              <w:pStyle w:val="Tabele"/>
              <w:jc w:val="right"/>
              <w:rPr>
                <w:color w:val="auto"/>
              </w:rPr>
            </w:pPr>
            <w:r w:rsidRPr="0054694F">
              <w:rPr>
                <w:rFonts w:cs="Arial"/>
                <w:color w:val="auto"/>
                <w:szCs w:val="16"/>
              </w:rPr>
              <w:t>56 992</w:t>
            </w:r>
          </w:p>
        </w:tc>
      </w:tr>
      <w:tr w:rsidR="0054694F" w:rsidRPr="00956024" w14:paraId="68711C6F" w14:textId="77777777" w:rsidTr="0054694F">
        <w:trPr>
          <w:trHeight w:val="227"/>
        </w:trPr>
        <w:tc>
          <w:tcPr>
            <w:tcW w:w="1904" w:type="dxa"/>
          </w:tcPr>
          <w:p w14:paraId="12F55CD0" w14:textId="77777777" w:rsidR="0054694F" w:rsidRPr="0054694F" w:rsidRDefault="0054694F">
            <w:pPr>
              <w:pStyle w:val="Tabele"/>
              <w:rPr>
                <w:b/>
                <w:bCs/>
                <w:color w:val="auto"/>
              </w:rPr>
            </w:pPr>
            <w:r w:rsidRPr="0054694F">
              <w:rPr>
                <w:b/>
                <w:bCs/>
                <w:color w:val="auto"/>
              </w:rPr>
              <w:t>Finalne zużycie energii (Europa 2020-2021)</w:t>
            </w:r>
          </w:p>
        </w:tc>
        <w:tc>
          <w:tcPr>
            <w:tcW w:w="918" w:type="dxa"/>
            <w:shd w:val="clear" w:color="auto" w:fill="C5E0B3"/>
            <w:noWrap/>
          </w:tcPr>
          <w:p w14:paraId="69F64305" w14:textId="77777777" w:rsidR="0054694F" w:rsidRPr="0054694F" w:rsidRDefault="0054694F">
            <w:pPr>
              <w:pStyle w:val="Tabele"/>
              <w:jc w:val="right"/>
              <w:rPr>
                <w:b/>
                <w:bCs/>
                <w:color w:val="auto"/>
              </w:rPr>
            </w:pPr>
            <w:r w:rsidRPr="0054694F">
              <w:rPr>
                <w:b/>
                <w:bCs/>
                <w:color w:val="auto"/>
              </w:rPr>
              <w:t>58 487</w:t>
            </w:r>
          </w:p>
        </w:tc>
        <w:tc>
          <w:tcPr>
            <w:tcW w:w="919" w:type="dxa"/>
            <w:shd w:val="clear" w:color="auto" w:fill="C5E0B3"/>
            <w:noWrap/>
          </w:tcPr>
          <w:p w14:paraId="2775FE25" w14:textId="77777777" w:rsidR="0054694F" w:rsidRPr="0054694F" w:rsidRDefault="0054694F">
            <w:pPr>
              <w:pStyle w:val="Tabele"/>
              <w:jc w:val="right"/>
              <w:rPr>
                <w:b/>
                <w:bCs/>
                <w:color w:val="auto"/>
              </w:rPr>
            </w:pPr>
            <w:r w:rsidRPr="0054694F">
              <w:rPr>
                <w:b/>
                <w:bCs/>
                <w:color w:val="auto"/>
              </w:rPr>
              <w:t>66 283</w:t>
            </w:r>
          </w:p>
        </w:tc>
        <w:tc>
          <w:tcPr>
            <w:tcW w:w="919" w:type="dxa"/>
            <w:shd w:val="clear" w:color="auto" w:fill="C5E0B3"/>
            <w:noWrap/>
          </w:tcPr>
          <w:p w14:paraId="74A3976C" w14:textId="77777777" w:rsidR="0054694F" w:rsidRPr="0054694F" w:rsidRDefault="0054694F">
            <w:pPr>
              <w:pStyle w:val="Tabele"/>
              <w:jc w:val="right"/>
              <w:rPr>
                <w:b/>
                <w:bCs/>
                <w:color w:val="auto"/>
              </w:rPr>
            </w:pPr>
            <w:r w:rsidRPr="0054694F">
              <w:rPr>
                <w:b/>
                <w:bCs/>
                <w:color w:val="auto"/>
              </w:rPr>
              <w:t>62 299</w:t>
            </w:r>
          </w:p>
        </w:tc>
        <w:tc>
          <w:tcPr>
            <w:tcW w:w="918" w:type="dxa"/>
            <w:shd w:val="clear" w:color="auto" w:fill="C5E0B3"/>
            <w:noWrap/>
          </w:tcPr>
          <w:p w14:paraId="42F4FD19" w14:textId="77777777" w:rsidR="0054694F" w:rsidRPr="0054694F" w:rsidRDefault="0054694F">
            <w:pPr>
              <w:pStyle w:val="Tabele"/>
              <w:jc w:val="right"/>
              <w:rPr>
                <w:b/>
                <w:bCs/>
                <w:color w:val="auto"/>
              </w:rPr>
            </w:pPr>
            <w:r w:rsidRPr="0054694F">
              <w:rPr>
                <w:b/>
                <w:bCs/>
                <w:color w:val="auto"/>
              </w:rPr>
              <w:t>71 145</w:t>
            </w:r>
          </w:p>
        </w:tc>
        <w:tc>
          <w:tcPr>
            <w:tcW w:w="919" w:type="dxa"/>
            <w:noWrap/>
          </w:tcPr>
          <w:p w14:paraId="4B9E9374" w14:textId="77777777" w:rsidR="0054694F" w:rsidRPr="0054694F" w:rsidRDefault="0054694F">
            <w:pPr>
              <w:pStyle w:val="Tabele"/>
              <w:jc w:val="right"/>
              <w:rPr>
                <w:b/>
                <w:bCs/>
                <w:color w:val="auto"/>
              </w:rPr>
            </w:pPr>
            <w:r w:rsidRPr="0054694F">
              <w:rPr>
                <w:rFonts w:cs="Arial"/>
                <w:b/>
                <w:bCs/>
                <w:color w:val="auto"/>
                <w:szCs w:val="16"/>
              </w:rPr>
              <w:t>69 694</w:t>
            </w:r>
          </w:p>
        </w:tc>
        <w:tc>
          <w:tcPr>
            <w:tcW w:w="919" w:type="dxa"/>
            <w:noWrap/>
          </w:tcPr>
          <w:p w14:paraId="1D8BAE25" w14:textId="77777777" w:rsidR="0054694F" w:rsidRPr="0054694F" w:rsidRDefault="0054694F">
            <w:pPr>
              <w:pStyle w:val="Tabele"/>
              <w:jc w:val="right"/>
              <w:rPr>
                <w:b/>
                <w:bCs/>
                <w:color w:val="auto"/>
              </w:rPr>
            </w:pPr>
            <w:r w:rsidRPr="0054694F">
              <w:rPr>
                <w:rFonts w:cs="Arial"/>
                <w:b/>
                <w:bCs/>
                <w:color w:val="auto"/>
                <w:szCs w:val="16"/>
              </w:rPr>
              <w:t>64 077</w:t>
            </w:r>
          </w:p>
        </w:tc>
        <w:tc>
          <w:tcPr>
            <w:tcW w:w="918" w:type="dxa"/>
            <w:noWrap/>
          </w:tcPr>
          <w:p w14:paraId="12A49597" w14:textId="77777777" w:rsidR="0054694F" w:rsidRPr="0054694F" w:rsidRDefault="0054694F">
            <w:pPr>
              <w:pStyle w:val="Tabele"/>
              <w:jc w:val="right"/>
              <w:rPr>
                <w:b/>
                <w:bCs/>
                <w:color w:val="auto"/>
              </w:rPr>
            </w:pPr>
            <w:r w:rsidRPr="0054694F">
              <w:rPr>
                <w:rFonts w:cs="Arial"/>
                <w:b/>
                <w:bCs/>
                <w:color w:val="auto"/>
                <w:szCs w:val="16"/>
              </w:rPr>
              <w:t>58 526</w:t>
            </w:r>
          </w:p>
        </w:tc>
        <w:tc>
          <w:tcPr>
            <w:tcW w:w="919" w:type="dxa"/>
          </w:tcPr>
          <w:p w14:paraId="4F0B74A8" w14:textId="77777777" w:rsidR="0054694F" w:rsidRPr="0054694F" w:rsidRDefault="0054694F">
            <w:pPr>
              <w:pStyle w:val="Tabele"/>
              <w:jc w:val="right"/>
              <w:rPr>
                <w:b/>
                <w:bCs/>
                <w:color w:val="auto"/>
              </w:rPr>
            </w:pPr>
            <w:r w:rsidRPr="0054694F">
              <w:rPr>
                <w:rFonts w:cs="Arial"/>
                <w:b/>
                <w:bCs/>
                <w:color w:val="auto"/>
                <w:szCs w:val="16"/>
              </w:rPr>
              <w:t>54 265</w:t>
            </w:r>
          </w:p>
        </w:tc>
      </w:tr>
    </w:tbl>
    <w:p w14:paraId="16AB7E33" w14:textId="77777777" w:rsidR="005C4144" w:rsidRPr="00956024" w:rsidRDefault="005C4144" w:rsidP="005C4144">
      <w:pPr>
        <w:pStyle w:val="adnotacje"/>
      </w:pPr>
      <w:r w:rsidRPr="00956024">
        <w:t>*ze zużyciem nieenergetycznym</w:t>
      </w:r>
    </w:p>
    <w:p w14:paraId="4C153528" w14:textId="3E4FA68A" w:rsidR="005C4144" w:rsidRPr="00956024" w:rsidRDefault="005C4144" w:rsidP="0054694F">
      <w:pPr>
        <w:pStyle w:val="Legenda"/>
      </w:pPr>
      <w:r w:rsidRPr="00956024">
        <w:t>Źródło: Opracowanie własne ARE S</w:t>
      </w:r>
      <w:r>
        <w:t>.</w:t>
      </w:r>
      <w:r w:rsidRPr="00956024">
        <w:t>A</w:t>
      </w:r>
      <w:r>
        <w:t>.</w:t>
      </w:r>
      <w:r w:rsidRPr="00956024">
        <w:t xml:space="preserve"> (STEAM-PL, MESSAGE-PL</w:t>
      </w:r>
      <w:r w:rsidR="0054694F" w:rsidRPr="00956024">
        <w:t>),</w:t>
      </w:r>
      <w:r w:rsidRPr="00956024">
        <w:t xml:space="preserve"> EUROSTAT</w:t>
      </w:r>
      <w:r w:rsidR="00B1363A">
        <w:t xml:space="preserve"> </w:t>
      </w:r>
    </w:p>
    <w:p w14:paraId="64A51612" w14:textId="462A583C" w:rsidR="005C4144" w:rsidRDefault="00CC0764" w:rsidP="005C4144">
      <w:pPr>
        <w:keepNext/>
      </w:pPr>
      <w:r>
        <w:rPr>
          <w:noProof/>
          <w:lang w:eastAsia="pl-PL"/>
        </w:rPr>
        <w:drawing>
          <wp:inline distT="0" distB="0" distL="0" distR="0" wp14:anchorId="3BABEB45" wp14:editId="6E2719C0">
            <wp:extent cx="5567423" cy="3310359"/>
            <wp:effectExtent l="0" t="0" r="0" b="4445"/>
            <wp:docPr id="1179428693" name="Wykres 1">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C4CA8E0" w14:textId="0765BE99" w:rsidR="005C4144" w:rsidRPr="00290FB8" w:rsidRDefault="005C4144" w:rsidP="005C4144">
      <w:pPr>
        <w:pStyle w:val="Legenda"/>
      </w:pPr>
      <w:bookmarkStart w:id="273" w:name="_Ref160533676"/>
      <w:bookmarkStart w:id="274" w:name="_Toc171587267"/>
      <w:bookmarkStart w:id="275" w:name="_Toc174711034"/>
      <w:bookmarkStart w:id="276" w:name="_Toc202967043"/>
      <w:r>
        <w:t xml:space="preserve">Rysunek </w:t>
      </w:r>
      <w:r>
        <w:rPr>
          <w:noProof/>
        </w:rPr>
        <w:fldChar w:fldCharType="begin"/>
      </w:r>
      <w:r>
        <w:rPr>
          <w:noProof/>
        </w:rPr>
        <w:instrText xml:space="preserve"> STYLEREF 1 \s </w:instrText>
      </w:r>
      <w:r>
        <w:rPr>
          <w:noProof/>
        </w:rPr>
        <w:fldChar w:fldCharType="separate"/>
      </w:r>
      <w:r w:rsidR="00F27D6F">
        <w:rPr>
          <w:noProof/>
        </w:rPr>
        <w:t>2</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2</w:t>
      </w:r>
      <w:r>
        <w:rPr>
          <w:noProof/>
        </w:rPr>
        <w:fldChar w:fldCharType="end"/>
      </w:r>
      <w:bookmarkEnd w:id="273"/>
      <w:r>
        <w:t xml:space="preserve">. </w:t>
      </w:r>
      <w:r w:rsidRPr="00C14AC8">
        <w:t>Zużycie energii pierwotnej</w:t>
      </w:r>
      <w:r>
        <w:t xml:space="preserve"> i </w:t>
      </w:r>
      <w:r w:rsidRPr="00C14AC8">
        <w:t>finalnej ogółem</w:t>
      </w:r>
      <w:bookmarkEnd w:id="274"/>
      <w:bookmarkEnd w:id="275"/>
      <w:bookmarkEnd w:id="276"/>
    </w:p>
    <w:p w14:paraId="13F76847" w14:textId="77777777" w:rsidR="005C4144" w:rsidRPr="00DB5D89" w:rsidRDefault="005C4144" w:rsidP="00797A1F">
      <w:pPr>
        <w:pStyle w:val="Nagwek2"/>
      </w:pPr>
      <w:bookmarkStart w:id="277" w:name="_Toc171587318"/>
      <w:bookmarkStart w:id="278" w:name="_Toc174710892"/>
      <w:bookmarkStart w:id="279" w:name="_Toc202966885"/>
      <w:r>
        <w:t>Zużycie energii finalnej w podziale na sektory</w:t>
      </w:r>
      <w:bookmarkEnd w:id="277"/>
      <w:bookmarkEnd w:id="278"/>
      <w:bookmarkEnd w:id="279"/>
    </w:p>
    <w:p w14:paraId="15682989" w14:textId="00567336" w:rsidR="005C4144" w:rsidRPr="00F85B97" w:rsidRDefault="005C4144" w:rsidP="005C4144">
      <w:pPr>
        <w:spacing w:after="120"/>
      </w:pPr>
      <w:bookmarkStart w:id="280" w:name="_Ref156556782"/>
      <w:r>
        <w:t>Ścieżki zmian zapotrzebowania finalnego na energię ogółem i w podziale na sektory zaprezentowano w tabeli (</w:t>
      </w:r>
      <w:r w:rsidR="00197186">
        <w:fldChar w:fldCharType="begin"/>
      </w:r>
      <w:r w:rsidR="00197186">
        <w:instrText xml:space="preserve"> REF _Ref195871377 \h </w:instrText>
      </w:r>
      <w:r w:rsidR="00197186">
        <w:fldChar w:fldCharType="separate"/>
      </w:r>
      <w:r w:rsidR="00F27D6F">
        <w:t xml:space="preserve">Tabela </w:t>
      </w:r>
      <w:r w:rsidR="00F27D6F">
        <w:rPr>
          <w:noProof/>
        </w:rPr>
        <w:t>2</w:t>
      </w:r>
      <w:r w:rsidR="00F27D6F">
        <w:t>.</w:t>
      </w:r>
      <w:r w:rsidR="00F27D6F">
        <w:rPr>
          <w:noProof/>
        </w:rPr>
        <w:t>2</w:t>
      </w:r>
      <w:r w:rsidR="00197186">
        <w:fldChar w:fldCharType="end"/>
      </w:r>
      <w:r>
        <w:t>) oraz na rysunku (</w:t>
      </w:r>
      <w:r>
        <w:fldChar w:fldCharType="begin"/>
      </w:r>
      <w:r>
        <w:instrText xml:space="preserve"> REF _Ref158207568 \h </w:instrText>
      </w:r>
      <w:r>
        <w:fldChar w:fldCharType="separate"/>
      </w:r>
      <w:r w:rsidR="00F27D6F">
        <w:t xml:space="preserve">Rysunek </w:t>
      </w:r>
      <w:r w:rsidR="00F27D6F">
        <w:rPr>
          <w:noProof/>
        </w:rPr>
        <w:t>2</w:t>
      </w:r>
      <w:r w:rsidR="00F27D6F">
        <w:t>.</w:t>
      </w:r>
      <w:r w:rsidR="00F27D6F">
        <w:rPr>
          <w:noProof/>
        </w:rPr>
        <w:t>3</w:t>
      </w:r>
      <w:r>
        <w:fldChar w:fldCharType="end"/>
      </w:r>
      <w:r>
        <w:t xml:space="preserve">). </w:t>
      </w:r>
      <w:r w:rsidR="00167A06">
        <w:t>Zgodnie z otrzymanymi wynikami prognoz, zużycie finalne energii (bez zużycia nieenergetycznego) spada w latach 2020-2030 z poziomu 70,2 Mtoe do 64,3 Mtoe. Na koniec prognozy osiąga wartość 5</w:t>
      </w:r>
      <w:r w:rsidR="005D69C8">
        <w:t>6</w:t>
      </w:r>
      <w:r w:rsidR="00167A06">
        <w:t>,</w:t>
      </w:r>
      <w:r w:rsidR="007D3316">
        <w:t>9</w:t>
      </w:r>
      <w:r w:rsidR="00167A06">
        <w:t xml:space="preserve"> Mtoe. Przedstawiona trajektoria zakłada spadek zużycia finalnego w latach 2020-20</w:t>
      </w:r>
      <w:r w:rsidR="00742847">
        <w:t>4</w:t>
      </w:r>
      <w:r w:rsidR="00167A06">
        <w:t xml:space="preserve">0 we wszystkich sektorach gospodarki krajowej. Z dzisiejszej perspektywy, najtrudniej będzie osiągnąć jakiejkolwiek redukcje zużycia energii w ciągu najbliższych sześciu lat w sektorze transportu. Jest to sektor, który – w ślad za wzrostem gospodarczym – ciągle się rozwija. W późniejszym okresie, wraz z rozwojem nowych technologii transportowych oraz popularyzacji transportu zbiorowego jest szansa na znaczne obniżenie energochłonności transportu, ale jest to uzależnione w dużym stopniu od tempa wzrostu zamożności społeczeństwa </w:t>
      </w:r>
      <w:r w:rsidR="00167A06" w:rsidRPr="008566D8">
        <w:t>oraz prowadzonej polityki ekologicznej państwa</w:t>
      </w:r>
      <w:r w:rsidR="00167A06">
        <w:t xml:space="preserve">. </w:t>
      </w:r>
    </w:p>
    <w:p w14:paraId="580E3A05" w14:textId="7E13250C" w:rsidR="005C4144" w:rsidRDefault="005C4144" w:rsidP="005C4144">
      <w:pPr>
        <w:pStyle w:val="Legenda"/>
        <w:rPr>
          <w:iCs w:val="0"/>
        </w:rPr>
      </w:pPr>
      <w:bookmarkStart w:id="281" w:name="_Ref158371728"/>
      <w:bookmarkStart w:id="282" w:name="_Ref195871377"/>
      <w:bookmarkStart w:id="283" w:name="_Toc171587190"/>
      <w:bookmarkStart w:id="284" w:name="_Toc174710974"/>
      <w:bookmarkStart w:id="285" w:name="_Toc202966977"/>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w:t>
      </w:r>
      <w:r w:rsidR="00653D9A">
        <w:rPr>
          <w:noProof/>
        </w:rPr>
        <w:fldChar w:fldCharType="end"/>
      </w:r>
      <w:bookmarkEnd w:id="280"/>
      <w:bookmarkEnd w:id="281"/>
      <w:bookmarkEnd w:id="282"/>
      <w:r>
        <w:t xml:space="preserve">. </w:t>
      </w:r>
      <w:r w:rsidRPr="00956024">
        <w:rPr>
          <w:iCs w:val="0"/>
        </w:rPr>
        <w:t>Zużycie energii finalnej</w:t>
      </w:r>
      <w:r>
        <w:rPr>
          <w:iCs w:val="0"/>
        </w:rPr>
        <w:t xml:space="preserve"> w </w:t>
      </w:r>
      <w:r w:rsidRPr="00956024">
        <w:rPr>
          <w:iCs w:val="0"/>
        </w:rPr>
        <w:t>podziale na sektory (bez zużycia nieenergetycznego) [ktoe]</w:t>
      </w:r>
      <w:bookmarkEnd w:id="283"/>
      <w:bookmarkEnd w:id="284"/>
      <w:bookmarkEnd w:id="285"/>
    </w:p>
    <w:tbl>
      <w:tblPr>
        <w:tblStyle w:val="KPEiK"/>
        <w:tblW w:w="4972" w:type="pct"/>
        <w:tblLayout w:type="fixed"/>
        <w:tblLook w:val="04A0" w:firstRow="1" w:lastRow="0" w:firstColumn="1" w:lastColumn="0" w:noHBand="0" w:noVBand="1"/>
      </w:tblPr>
      <w:tblGrid>
        <w:gridCol w:w="2015"/>
        <w:gridCol w:w="874"/>
        <w:gridCol w:w="875"/>
        <w:gridCol w:w="874"/>
        <w:gridCol w:w="875"/>
        <w:gridCol w:w="875"/>
        <w:gridCol w:w="874"/>
        <w:gridCol w:w="875"/>
        <w:gridCol w:w="874"/>
      </w:tblGrid>
      <w:tr w:rsidR="00942CB9" w:rsidRPr="00874419" w14:paraId="2C30EC9A" w14:textId="77777777" w:rsidTr="00942CB9">
        <w:trPr>
          <w:cnfStyle w:val="100000000000" w:firstRow="1" w:lastRow="0" w:firstColumn="0" w:lastColumn="0" w:oddVBand="0" w:evenVBand="0" w:oddHBand="0" w:evenHBand="0" w:firstRowFirstColumn="0" w:firstRowLastColumn="0" w:lastRowFirstColumn="0" w:lastRowLastColumn="0"/>
          <w:trHeight w:val="226"/>
          <w:tblHeader/>
        </w:trPr>
        <w:tc>
          <w:tcPr>
            <w:tcW w:w="2016" w:type="dxa"/>
            <w:noWrap/>
            <w:hideMark/>
          </w:tcPr>
          <w:p w14:paraId="72C90C59" w14:textId="77777777" w:rsidR="00942CB9" w:rsidRPr="00874419" w:rsidRDefault="00942CB9">
            <w:pPr>
              <w:pStyle w:val="Tabele"/>
              <w:jc w:val="center"/>
            </w:pPr>
          </w:p>
        </w:tc>
        <w:tc>
          <w:tcPr>
            <w:tcW w:w="874" w:type="dxa"/>
            <w:hideMark/>
          </w:tcPr>
          <w:p w14:paraId="25EBB3BC" w14:textId="77777777" w:rsidR="00942CB9" w:rsidRPr="00874419" w:rsidRDefault="00942CB9">
            <w:pPr>
              <w:pStyle w:val="Tabele"/>
              <w:jc w:val="center"/>
              <w:rPr>
                <w:bCs/>
              </w:rPr>
            </w:pPr>
            <w:r w:rsidRPr="00874419">
              <w:rPr>
                <w:bCs/>
              </w:rPr>
              <w:t>2005</w:t>
            </w:r>
          </w:p>
        </w:tc>
        <w:tc>
          <w:tcPr>
            <w:tcW w:w="875" w:type="dxa"/>
            <w:hideMark/>
          </w:tcPr>
          <w:p w14:paraId="5E5B0172" w14:textId="77777777" w:rsidR="00942CB9" w:rsidRPr="00874419" w:rsidRDefault="00942CB9">
            <w:pPr>
              <w:pStyle w:val="Tabele"/>
              <w:jc w:val="center"/>
              <w:rPr>
                <w:bCs/>
              </w:rPr>
            </w:pPr>
            <w:r w:rsidRPr="00874419">
              <w:rPr>
                <w:bCs/>
              </w:rPr>
              <w:t>2010</w:t>
            </w:r>
          </w:p>
        </w:tc>
        <w:tc>
          <w:tcPr>
            <w:tcW w:w="874" w:type="dxa"/>
            <w:hideMark/>
          </w:tcPr>
          <w:p w14:paraId="64535D8F" w14:textId="77777777" w:rsidR="00942CB9" w:rsidRPr="00874419" w:rsidRDefault="00942CB9">
            <w:pPr>
              <w:pStyle w:val="Tabele"/>
              <w:jc w:val="center"/>
              <w:rPr>
                <w:bCs/>
              </w:rPr>
            </w:pPr>
            <w:r w:rsidRPr="00874419">
              <w:rPr>
                <w:bCs/>
              </w:rPr>
              <w:t>2015</w:t>
            </w:r>
          </w:p>
        </w:tc>
        <w:tc>
          <w:tcPr>
            <w:tcW w:w="875" w:type="dxa"/>
            <w:hideMark/>
          </w:tcPr>
          <w:p w14:paraId="6D392D69" w14:textId="77777777" w:rsidR="00942CB9" w:rsidRPr="00874419" w:rsidRDefault="00942CB9">
            <w:pPr>
              <w:pStyle w:val="Tabele"/>
              <w:jc w:val="center"/>
              <w:rPr>
                <w:bCs/>
              </w:rPr>
            </w:pPr>
            <w:r w:rsidRPr="00874419">
              <w:rPr>
                <w:bCs/>
              </w:rPr>
              <w:t>2020</w:t>
            </w:r>
          </w:p>
        </w:tc>
        <w:tc>
          <w:tcPr>
            <w:tcW w:w="875" w:type="dxa"/>
            <w:hideMark/>
          </w:tcPr>
          <w:p w14:paraId="458FF5A7" w14:textId="77777777" w:rsidR="00942CB9" w:rsidRPr="00874419" w:rsidRDefault="00942CB9">
            <w:pPr>
              <w:pStyle w:val="Tabele"/>
              <w:jc w:val="center"/>
              <w:rPr>
                <w:bCs/>
              </w:rPr>
            </w:pPr>
            <w:r w:rsidRPr="00874419">
              <w:rPr>
                <w:bCs/>
              </w:rPr>
              <w:t>2025</w:t>
            </w:r>
          </w:p>
        </w:tc>
        <w:tc>
          <w:tcPr>
            <w:tcW w:w="874" w:type="dxa"/>
            <w:hideMark/>
          </w:tcPr>
          <w:p w14:paraId="3ECFDFB6" w14:textId="77777777" w:rsidR="00942CB9" w:rsidRPr="00874419" w:rsidRDefault="00942CB9">
            <w:pPr>
              <w:pStyle w:val="Tabele"/>
              <w:jc w:val="center"/>
              <w:rPr>
                <w:bCs/>
              </w:rPr>
            </w:pPr>
            <w:r w:rsidRPr="00874419">
              <w:rPr>
                <w:bCs/>
              </w:rPr>
              <w:t>2030</w:t>
            </w:r>
          </w:p>
        </w:tc>
        <w:tc>
          <w:tcPr>
            <w:tcW w:w="875" w:type="dxa"/>
            <w:hideMark/>
          </w:tcPr>
          <w:p w14:paraId="47C60D01" w14:textId="77777777" w:rsidR="00942CB9" w:rsidRPr="00874419" w:rsidRDefault="00942CB9">
            <w:pPr>
              <w:pStyle w:val="Tabele"/>
              <w:jc w:val="center"/>
              <w:rPr>
                <w:bCs/>
              </w:rPr>
            </w:pPr>
            <w:r w:rsidRPr="00874419">
              <w:rPr>
                <w:bCs/>
              </w:rPr>
              <w:t>2035</w:t>
            </w:r>
          </w:p>
        </w:tc>
        <w:tc>
          <w:tcPr>
            <w:tcW w:w="874" w:type="dxa"/>
            <w:hideMark/>
          </w:tcPr>
          <w:p w14:paraId="13EDA892" w14:textId="77777777" w:rsidR="00942CB9" w:rsidRPr="00874419" w:rsidRDefault="00942CB9">
            <w:pPr>
              <w:pStyle w:val="Tabele"/>
              <w:jc w:val="center"/>
              <w:rPr>
                <w:bCs/>
              </w:rPr>
            </w:pPr>
            <w:r w:rsidRPr="00874419">
              <w:rPr>
                <w:bCs/>
              </w:rPr>
              <w:t>2040</w:t>
            </w:r>
          </w:p>
        </w:tc>
      </w:tr>
      <w:tr w:rsidR="00942CB9" w:rsidRPr="00874419" w14:paraId="3F59204E" w14:textId="77777777" w:rsidTr="00942CB9">
        <w:trPr>
          <w:trHeight w:val="226"/>
        </w:trPr>
        <w:tc>
          <w:tcPr>
            <w:tcW w:w="2016" w:type="dxa"/>
            <w:hideMark/>
          </w:tcPr>
          <w:p w14:paraId="6BF1AA3B" w14:textId="77777777" w:rsidR="00942CB9" w:rsidRPr="00942CB9" w:rsidRDefault="00942CB9">
            <w:pPr>
              <w:pStyle w:val="Tabele"/>
              <w:rPr>
                <w:color w:val="auto"/>
              </w:rPr>
            </w:pPr>
            <w:r w:rsidRPr="00942CB9">
              <w:rPr>
                <w:color w:val="auto"/>
              </w:rPr>
              <w:t>Przemysł</w:t>
            </w:r>
          </w:p>
        </w:tc>
        <w:tc>
          <w:tcPr>
            <w:tcW w:w="874" w:type="dxa"/>
            <w:shd w:val="clear" w:color="auto" w:fill="C5E0B3"/>
            <w:noWrap/>
            <w:vAlign w:val="top"/>
            <w:hideMark/>
          </w:tcPr>
          <w:p w14:paraId="311C94EB" w14:textId="77777777" w:rsidR="00942CB9" w:rsidRPr="00942CB9" w:rsidRDefault="00942CB9">
            <w:pPr>
              <w:pStyle w:val="Tabele"/>
              <w:jc w:val="right"/>
              <w:rPr>
                <w:color w:val="auto"/>
              </w:rPr>
            </w:pPr>
            <w:r w:rsidRPr="00942CB9">
              <w:rPr>
                <w:color w:val="auto"/>
                <w:szCs w:val="16"/>
              </w:rPr>
              <w:t>14 616</w:t>
            </w:r>
          </w:p>
        </w:tc>
        <w:tc>
          <w:tcPr>
            <w:tcW w:w="875" w:type="dxa"/>
            <w:shd w:val="clear" w:color="auto" w:fill="C5E0B3"/>
            <w:noWrap/>
            <w:vAlign w:val="top"/>
            <w:hideMark/>
          </w:tcPr>
          <w:p w14:paraId="3089BC09" w14:textId="77777777" w:rsidR="00942CB9" w:rsidRPr="00942CB9" w:rsidRDefault="00942CB9">
            <w:pPr>
              <w:pStyle w:val="Tabele"/>
              <w:jc w:val="right"/>
              <w:rPr>
                <w:color w:val="auto"/>
              </w:rPr>
            </w:pPr>
            <w:r w:rsidRPr="00942CB9">
              <w:rPr>
                <w:color w:val="auto"/>
                <w:szCs w:val="16"/>
              </w:rPr>
              <w:t>13 498</w:t>
            </w:r>
          </w:p>
        </w:tc>
        <w:tc>
          <w:tcPr>
            <w:tcW w:w="874" w:type="dxa"/>
            <w:shd w:val="clear" w:color="auto" w:fill="C5E0B3"/>
            <w:noWrap/>
            <w:vAlign w:val="top"/>
            <w:hideMark/>
          </w:tcPr>
          <w:p w14:paraId="2EFF75BE" w14:textId="77777777" w:rsidR="00942CB9" w:rsidRPr="00942CB9" w:rsidRDefault="00942CB9">
            <w:pPr>
              <w:pStyle w:val="Tabele"/>
              <w:jc w:val="right"/>
              <w:rPr>
                <w:color w:val="auto"/>
              </w:rPr>
            </w:pPr>
            <w:r w:rsidRPr="00942CB9">
              <w:rPr>
                <w:color w:val="auto"/>
                <w:szCs w:val="16"/>
              </w:rPr>
              <w:t>14 097</w:t>
            </w:r>
          </w:p>
        </w:tc>
        <w:tc>
          <w:tcPr>
            <w:tcW w:w="875" w:type="dxa"/>
            <w:shd w:val="clear" w:color="auto" w:fill="C5E0B3"/>
            <w:noWrap/>
            <w:vAlign w:val="top"/>
            <w:hideMark/>
          </w:tcPr>
          <w:p w14:paraId="1954D703" w14:textId="77777777" w:rsidR="00942CB9" w:rsidRPr="00942CB9" w:rsidRDefault="00942CB9">
            <w:pPr>
              <w:pStyle w:val="Tabele"/>
              <w:jc w:val="right"/>
              <w:rPr>
                <w:color w:val="auto"/>
              </w:rPr>
            </w:pPr>
            <w:r w:rsidRPr="00942CB9">
              <w:rPr>
                <w:color w:val="auto"/>
                <w:szCs w:val="16"/>
              </w:rPr>
              <w:t>15 921</w:t>
            </w:r>
          </w:p>
        </w:tc>
        <w:tc>
          <w:tcPr>
            <w:tcW w:w="875" w:type="dxa"/>
            <w:noWrap/>
            <w:hideMark/>
          </w:tcPr>
          <w:p w14:paraId="66C95186" w14:textId="77777777" w:rsidR="00942CB9" w:rsidRPr="00942CB9" w:rsidRDefault="00942CB9">
            <w:pPr>
              <w:pStyle w:val="Tabele"/>
              <w:jc w:val="right"/>
              <w:rPr>
                <w:color w:val="auto"/>
              </w:rPr>
            </w:pPr>
            <w:r w:rsidRPr="00942CB9">
              <w:rPr>
                <w:rFonts w:cs="Arial"/>
                <w:color w:val="auto"/>
                <w:szCs w:val="16"/>
              </w:rPr>
              <w:t>15 536</w:t>
            </w:r>
          </w:p>
        </w:tc>
        <w:tc>
          <w:tcPr>
            <w:tcW w:w="874" w:type="dxa"/>
            <w:noWrap/>
            <w:hideMark/>
          </w:tcPr>
          <w:p w14:paraId="54496DCD" w14:textId="77777777" w:rsidR="00942CB9" w:rsidRPr="00942CB9" w:rsidRDefault="00942CB9">
            <w:pPr>
              <w:pStyle w:val="Tabele"/>
              <w:jc w:val="right"/>
              <w:rPr>
                <w:color w:val="auto"/>
              </w:rPr>
            </w:pPr>
            <w:r w:rsidRPr="00942CB9">
              <w:rPr>
                <w:rFonts w:cs="Arial"/>
                <w:color w:val="auto"/>
                <w:szCs w:val="16"/>
              </w:rPr>
              <w:t>14 528</w:t>
            </w:r>
          </w:p>
        </w:tc>
        <w:tc>
          <w:tcPr>
            <w:tcW w:w="875" w:type="dxa"/>
            <w:noWrap/>
            <w:hideMark/>
          </w:tcPr>
          <w:p w14:paraId="20062F6F" w14:textId="77777777" w:rsidR="00942CB9" w:rsidRPr="00942CB9" w:rsidRDefault="00942CB9">
            <w:pPr>
              <w:pStyle w:val="Tabele"/>
              <w:jc w:val="right"/>
              <w:rPr>
                <w:color w:val="auto"/>
              </w:rPr>
            </w:pPr>
            <w:r w:rsidRPr="00942CB9">
              <w:rPr>
                <w:rFonts w:cs="Arial"/>
                <w:color w:val="auto"/>
                <w:szCs w:val="16"/>
              </w:rPr>
              <w:t>14 116</w:t>
            </w:r>
          </w:p>
        </w:tc>
        <w:tc>
          <w:tcPr>
            <w:tcW w:w="874" w:type="dxa"/>
            <w:noWrap/>
            <w:hideMark/>
          </w:tcPr>
          <w:p w14:paraId="285686A0" w14:textId="77777777" w:rsidR="00942CB9" w:rsidRPr="00942CB9" w:rsidRDefault="00942CB9">
            <w:pPr>
              <w:pStyle w:val="Tabele"/>
              <w:jc w:val="right"/>
              <w:rPr>
                <w:color w:val="auto"/>
              </w:rPr>
            </w:pPr>
            <w:r w:rsidRPr="00942CB9">
              <w:rPr>
                <w:rFonts w:cs="Arial"/>
                <w:color w:val="auto"/>
                <w:szCs w:val="16"/>
              </w:rPr>
              <w:t>13 706</w:t>
            </w:r>
          </w:p>
        </w:tc>
      </w:tr>
      <w:tr w:rsidR="00942CB9" w:rsidRPr="00874419" w14:paraId="49574D05" w14:textId="77777777" w:rsidTr="00942CB9">
        <w:trPr>
          <w:trHeight w:val="226"/>
        </w:trPr>
        <w:tc>
          <w:tcPr>
            <w:tcW w:w="2016" w:type="dxa"/>
            <w:hideMark/>
          </w:tcPr>
          <w:p w14:paraId="59392E12" w14:textId="77777777" w:rsidR="00942CB9" w:rsidRPr="00942CB9" w:rsidRDefault="00942CB9">
            <w:pPr>
              <w:pStyle w:val="Tabele"/>
              <w:rPr>
                <w:color w:val="auto"/>
              </w:rPr>
            </w:pPr>
            <w:r w:rsidRPr="00942CB9">
              <w:rPr>
                <w:color w:val="auto"/>
              </w:rPr>
              <w:t>Transport</w:t>
            </w:r>
          </w:p>
        </w:tc>
        <w:tc>
          <w:tcPr>
            <w:tcW w:w="874" w:type="dxa"/>
            <w:shd w:val="clear" w:color="auto" w:fill="C5E0B3"/>
            <w:noWrap/>
            <w:vAlign w:val="top"/>
            <w:hideMark/>
          </w:tcPr>
          <w:p w14:paraId="01A94B4C" w14:textId="77777777" w:rsidR="00942CB9" w:rsidRPr="00942CB9" w:rsidRDefault="00942CB9">
            <w:pPr>
              <w:pStyle w:val="Tabele"/>
              <w:jc w:val="right"/>
              <w:rPr>
                <w:color w:val="auto"/>
              </w:rPr>
            </w:pPr>
            <w:r w:rsidRPr="00942CB9">
              <w:rPr>
                <w:color w:val="auto"/>
                <w:szCs w:val="16"/>
              </w:rPr>
              <w:t>12 223</w:t>
            </w:r>
          </w:p>
        </w:tc>
        <w:tc>
          <w:tcPr>
            <w:tcW w:w="875" w:type="dxa"/>
            <w:shd w:val="clear" w:color="auto" w:fill="C5E0B3"/>
            <w:noWrap/>
            <w:vAlign w:val="top"/>
            <w:hideMark/>
          </w:tcPr>
          <w:p w14:paraId="56BA6585" w14:textId="77777777" w:rsidR="00942CB9" w:rsidRPr="00942CB9" w:rsidRDefault="00942CB9">
            <w:pPr>
              <w:pStyle w:val="Tabele"/>
              <w:jc w:val="right"/>
              <w:rPr>
                <w:color w:val="auto"/>
              </w:rPr>
            </w:pPr>
            <w:r w:rsidRPr="00942CB9">
              <w:rPr>
                <w:color w:val="auto"/>
                <w:szCs w:val="16"/>
              </w:rPr>
              <w:t>17 187</w:t>
            </w:r>
          </w:p>
        </w:tc>
        <w:tc>
          <w:tcPr>
            <w:tcW w:w="874" w:type="dxa"/>
            <w:shd w:val="clear" w:color="auto" w:fill="C5E0B3"/>
            <w:noWrap/>
            <w:vAlign w:val="top"/>
            <w:hideMark/>
          </w:tcPr>
          <w:p w14:paraId="47D58106" w14:textId="77777777" w:rsidR="00942CB9" w:rsidRPr="00942CB9" w:rsidRDefault="00942CB9">
            <w:pPr>
              <w:pStyle w:val="Tabele"/>
              <w:jc w:val="right"/>
              <w:rPr>
                <w:color w:val="auto"/>
              </w:rPr>
            </w:pPr>
            <w:r w:rsidRPr="00942CB9">
              <w:rPr>
                <w:color w:val="auto"/>
                <w:szCs w:val="16"/>
              </w:rPr>
              <w:t>16 561</w:t>
            </w:r>
          </w:p>
        </w:tc>
        <w:tc>
          <w:tcPr>
            <w:tcW w:w="875" w:type="dxa"/>
            <w:shd w:val="clear" w:color="auto" w:fill="C5E0B3"/>
            <w:noWrap/>
            <w:vAlign w:val="top"/>
            <w:hideMark/>
          </w:tcPr>
          <w:p w14:paraId="64C3A316" w14:textId="77777777" w:rsidR="00942CB9" w:rsidRPr="00942CB9" w:rsidRDefault="00942CB9">
            <w:pPr>
              <w:pStyle w:val="Tabele"/>
              <w:jc w:val="right"/>
              <w:rPr>
                <w:color w:val="auto"/>
              </w:rPr>
            </w:pPr>
            <w:r w:rsidRPr="00942CB9">
              <w:rPr>
                <w:color w:val="auto"/>
                <w:szCs w:val="16"/>
              </w:rPr>
              <w:t>21 779</w:t>
            </w:r>
          </w:p>
        </w:tc>
        <w:tc>
          <w:tcPr>
            <w:tcW w:w="875" w:type="dxa"/>
            <w:noWrap/>
            <w:hideMark/>
          </w:tcPr>
          <w:p w14:paraId="40547003" w14:textId="77777777" w:rsidR="00942CB9" w:rsidRPr="00942CB9" w:rsidRDefault="00942CB9">
            <w:pPr>
              <w:pStyle w:val="Tabele"/>
              <w:jc w:val="right"/>
              <w:rPr>
                <w:color w:val="auto"/>
              </w:rPr>
            </w:pPr>
            <w:r w:rsidRPr="00942CB9">
              <w:rPr>
                <w:rFonts w:cs="Arial"/>
                <w:color w:val="auto"/>
                <w:szCs w:val="16"/>
              </w:rPr>
              <w:t>23 228</w:t>
            </w:r>
          </w:p>
        </w:tc>
        <w:tc>
          <w:tcPr>
            <w:tcW w:w="874" w:type="dxa"/>
            <w:noWrap/>
            <w:hideMark/>
          </w:tcPr>
          <w:p w14:paraId="025A07F3" w14:textId="77777777" w:rsidR="00942CB9" w:rsidRPr="00942CB9" w:rsidRDefault="00942CB9">
            <w:pPr>
              <w:pStyle w:val="Tabele"/>
              <w:jc w:val="right"/>
              <w:rPr>
                <w:color w:val="auto"/>
              </w:rPr>
            </w:pPr>
            <w:r w:rsidRPr="00942CB9">
              <w:rPr>
                <w:rFonts w:cs="Arial"/>
                <w:color w:val="auto"/>
                <w:szCs w:val="16"/>
              </w:rPr>
              <w:t>21 473</w:t>
            </w:r>
          </w:p>
        </w:tc>
        <w:tc>
          <w:tcPr>
            <w:tcW w:w="875" w:type="dxa"/>
            <w:noWrap/>
            <w:hideMark/>
          </w:tcPr>
          <w:p w14:paraId="52EF951F" w14:textId="77777777" w:rsidR="00942CB9" w:rsidRPr="00942CB9" w:rsidRDefault="00942CB9">
            <w:pPr>
              <w:pStyle w:val="Tabele"/>
              <w:jc w:val="right"/>
              <w:rPr>
                <w:color w:val="auto"/>
              </w:rPr>
            </w:pPr>
            <w:r w:rsidRPr="00942CB9">
              <w:rPr>
                <w:rFonts w:cs="Arial"/>
                <w:color w:val="auto"/>
                <w:szCs w:val="16"/>
              </w:rPr>
              <w:t>19 903</w:t>
            </w:r>
          </w:p>
        </w:tc>
        <w:tc>
          <w:tcPr>
            <w:tcW w:w="874" w:type="dxa"/>
            <w:noWrap/>
            <w:hideMark/>
          </w:tcPr>
          <w:p w14:paraId="4C38A7AC" w14:textId="77777777" w:rsidR="00942CB9" w:rsidRPr="00942CB9" w:rsidRDefault="00942CB9">
            <w:pPr>
              <w:pStyle w:val="Tabele"/>
              <w:jc w:val="right"/>
              <w:rPr>
                <w:color w:val="auto"/>
              </w:rPr>
            </w:pPr>
            <w:r w:rsidRPr="00942CB9">
              <w:rPr>
                <w:rFonts w:cs="Arial"/>
                <w:color w:val="auto"/>
                <w:szCs w:val="16"/>
              </w:rPr>
              <w:t>18 362</w:t>
            </w:r>
          </w:p>
        </w:tc>
      </w:tr>
      <w:tr w:rsidR="00942CB9" w:rsidRPr="00874419" w14:paraId="79CB803C" w14:textId="77777777" w:rsidTr="00942CB9">
        <w:trPr>
          <w:trHeight w:val="226"/>
        </w:trPr>
        <w:tc>
          <w:tcPr>
            <w:tcW w:w="2016" w:type="dxa"/>
            <w:hideMark/>
          </w:tcPr>
          <w:p w14:paraId="3532A071" w14:textId="77777777" w:rsidR="00942CB9" w:rsidRPr="00942CB9" w:rsidRDefault="00942CB9">
            <w:pPr>
              <w:pStyle w:val="Tabele"/>
              <w:jc w:val="right"/>
              <w:rPr>
                <w:color w:val="auto"/>
              </w:rPr>
            </w:pPr>
            <w:r w:rsidRPr="00942CB9">
              <w:rPr>
                <w:color w:val="auto"/>
              </w:rPr>
              <w:t>w tym: pasażerski</w:t>
            </w:r>
          </w:p>
        </w:tc>
        <w:tc>
          <w:tcPr>
            <w:tcW w:w="874" w:type="dxa"/>
            <w:shd w:val="clear" w:color="auto" w:fill="C5E0B3"/>
            <w:noWrap/>
            <w:vAlign w:val="top"/>
            <w:hideMark/>
          </w:tcPr>
          <w:p w14:paraId="7241F0E8" w14:textId="77777777" w:rsidR="00942CB9" w:rsidRPr="00942CB9" w:rsidRDefault="00942CB9">
            <w:pPr>
              <w:pStyle w:val="Tabele"/>
              <w:jc w:val="right"/>
              <w:rPr>
                <w:color w:val="auto"/>
              </w:rPr>
            </w:pPr>
            <w:r w:rsidRPr="00942CB9">
              <w:rPr>
                <w:color w:val="auto"/>
                <w:szCs w:val="16"/>
              </w:rPr>
              <w:t>b.d.</w:t>
            </w:r>
          </w:p>
        </w:tc>
        <w:tc>
          <w:tcPr>
            <w:tcW w:w="875" w:type="dxa"/>
            <w:shd w:val="clear" w:color="auto" w:fill="C5E0B3"/>
            <w:noWrap/>
            <w:vAlign w:val="top"/>
            <w:hideMark/>
          </w:tcPr>
          <w:p w14:paraId="66C3D6A9" w14:textId="77777777" w:rsidR="00942CB9" w:rsidRPr="00942CB9" w:rsidRDefault="00942CB9">
            <w:pPr>
              <w:pStyle w:val="Tabele"/>
              <w:jc w:val="right"/>
              <w:rPr>
                <w:color w:val="auto"/>
              </w:rPr>
            </w:pPr>
            <w:r w:rsidRPr="00942CB9">
              <w:rPr>
                <w:color w:val="auto"/>
                <w:szCs w:val="16"/>
              </w:rPr>
              <w:t>b.d.</w:t>
            </w:r>
          </w:p>
        </w:tc>
        <w:tc>
          <w:tcPr>
            <w:tcW w:w="874" w:type="dxa"/>
            <w:shd w:val="clear" w:color="auto" w:fill="C5E0B3"/>
            <w:noWrap/>
            <w:vAlign w:val="top"/>
            <w:hideMark/>
          </w:tcPr>
          <w:p w14:paraId="020EFE45" w14:textId="77777777" w:rsidR="00942CB9" w:rsidRPr="00942CB9" w:rsidRDefault="00942CB9">
            <w:pPr>
              <w:pStyle w:val="Tabele"/>
              <w:jc w:val="right"/>
              <w:rPr>
                <w:color w:val="auto"/>
              </w:rPr>
            </w:pPr>
            <w:r w:rsidRPr="00942CB9">
              <w:rPr>
                <w:color w:val="auto"/>
                <w:szCs w:val="16"/>
              </w:rPr>
              <w:t>8 985</w:t>
            </w:r>
          </w:p>
        </w:tc>
        <w:tc>
          <w:tcPr>
            <w:tcW w:w="875" w:type="dxa"/>
            <w:shd w:val="clear" w:color="auto" w:fill="C5E0B3"/>
            <w:noWrap/>
            <w:vAlign w:val="top"/>
            <w:hideMark/>
          </w:tcPr>
          <w:p w14:paraId="143D4D9F" w14:textId="77777777" w:rsidR="00942CB9" w:rsidRPr="00942CB9" w:rsidRDefault="00942CB9">
            <w:pPr>
              <w:pStyle w:val="Tabele"/>
              <w:jc w:val="right"/>
              <w:rPr>
                <w:color w:val="auto"/>
              </w:rPr>
            </w:pPr>
            <w:r w:rsidRPr="00942CB9">
              <w:rPr>
                <w:color w:val="auto"/>
                <w:szCs w:val="16"/>
              </w:rPr>
              <w:t>11 002</w:t>
            </w:r>
          </w:p>
        </w:tc>
        <w:tc>
          <w:tcPr>
            <w:tcW w:w="875" w:type="dxa"/>
            <w:noWrap/>
            <w:hideMark/>
          </w:tcPr>
          <w:p w14:paraId="0ED79B38" w14:textId="77777777" w:rsidR="00942CB9" w:rsidRPr="00942CB9" w:rsidRDefault="00942CB9">
            <w:pPr>
              <w:pStyle w:val="Tabele"/>
              <w:jc w:val="right"/>
              <w:rPr>
                <w:color w:val="auto"/>
              </w:rPr>
            </w:pPr>
            <w:r w:rsidRPr="00942CB9">
              <w:rPr>
                <w:rFonts w:cs="Arial"/>
                <w:color w:val="auto"/>
                <w:szCs w:val="16"/>
              </w:rPr>
              <w:t>12 264</w:t>
            </w:r>
          </w:p>
        </w:tc>
        <w:tc>
          <w:tcPr>
            <w:tcW w:w="874" w:type="dxa"/>
            <w:noWrap/>
            <w:hideMark/>
          </w:tcPr>
          <w:p w14:paraId="006A5E48" w14:textId="77777777" w:rsidR="00942CB9" w:rsidRPr="00942CB9" w:rsidRDefault="00942CB9">
            <w:pPr>
              <w:pStyle w:val="Tabele"/>
              <w:jc w:val="right"/>
              <w:rPr>
                <w:color w:val="auto"/>
              </w:rPr>
            </w:pPr>
            <w:r w:rsidRPr="00942CB9">
              <w:rPr>
                <w:rFonts w:cs="Arial"/>
                <w:color w:val="auto"/>
                <w:szCs w:val="16"/>
              </w:rPr>
              <w:t>10 859</w:t>
            </w:r>
          </w:p>
        </w:tc>
        <w:tc>
          <w:tcPr>
            <w:tcW w:w="875" w:type="dxa"/>
            <w:noWrap/>
            <w:hideMark/>
          </w:tcPr>
          <w:p w14:paraId="0BAFA6B5" w14:textId="77777777" w:rsidR="00942CB9" w:rsidRPr="00942CB9" w:rsidRDefault="00942CB9">
            <w:pPr>
              <w:pStyle w:val="Tabele"/>
              <w:jc w:val="right"/>
              <w:rPr>
                <w:color w:val="auto"/>
              </w:rPr>
            </w:pPr>
            <w:r w:rsidRPr="00942CB9">
              <w:rPr>
                <w:rFonts w:cs="Arial"/>
                <w:color w:val="auto"/>
                <w:szCs w:val="16"/>
              </w:rPr>
              <w:t>10 341</w:t>
            </w:r>
          </w:p>
        </w:tc>
        <w:tc>
          <w:tcPr>
            <w:tcW w:w="874" w:type="dxa"/>
            <w:noWrap/>
            <w:hideMark/>
          </w:tcPr>
          <w:p w14:paraId="6C9B2A38" w14:textId="77777777" w:rsidR="00942CB9" w:rsidRPr="00942CB9" w:rsidRDefault="00942CB9">
            <w:pPr>
              <w:pStyle w:val="Tabele"/>
              <w:jc w:val="right"/>
              <w:rPr>
                <w:color w:val="auto"/>
              </w:rPr>
            </w:pPr>
            <w:r w:rsidRPr="00942CB9">
              <w:rPr>
                <w:rFonts w:cs="Arial"/>
                <w:color w:val="auto"/>
                <w:szCs w:val="16"/>
              </w:rPr>
              <w:t>9 756</w:t>
            </w:r>
          </w:p>
        </w:tc>
      </w:tr>
      <w:tr w:rsidR="00942CB9" w:rsidRPr="00874419" w14:paraId="36CA3B4A" w14:textId="77777777" w:rsidTr="00942CB9">
        <w:trPr>
          <w:trHeight w:val="226"/>
        </w:trPr>
        <w:tc>
          <w:tcPr>
            <w:tcW w:w="2016" w:type="dxa"/>
            <w:hideMark/>
          </w:tcPr>
          <w:p w14:paraId="0F036D38" w14:textId="77777777" w:rsidR="00942CB9" w:rsidRPr="00942CB9" w:rsidRDefault="00942CB9">
            <w:pPr>
              <w:pStyle w:val="Tabele"/>
              <w:jc w:val="right"/>
              <w:rPr>
                <w:color w:val="auto"/>
              </w:rPr>
            </w:pPr>
            <w:r w:rsidRPr="00942CB9">
              <w:rPr>
                <w:color w:val="auto"/>
              </w:rPr>
              <w:t>towarowy</w:t>
            </w:r>
          </w:p>
        </w:tc>
        <w:tc>
          <w:tcPr>
            <w:tcW w:w="874" w:type="dxa"/>
            <w:shd w:val="clear" w:color="auto" w:fill="C5E0B3"/>
            <w:noWrap/>
            <w:vAlign w:val="top"/>
            <w:hideMark/>
          </w:tcPr>
          <w:p w14:paraId="1181B4B8" w14:textId="77777777" w:rsidR="00942CB9" w:rsidRPr="00942CB9" w:rsidRDefault="00942CB9">
            <w:pPr>
              <w:pStyle w:val="Tabele"/>
              <w:jc w:val="right"/>
              <w:rPr>
                <w:color w:val="auto"/>
              </w:rPr>
            </w:pPr>
            <w:r w:rsidRPr="00942CB9">
              <w:rPr>
                <w:color w:val="auto"/>
                <w:szCs w:val="16"/>
              </w:rPr>
              <w:t>b.d.</w:t>
            </w:r>
          </w:p>
        </w:tc>
        <w:tc>
          <w:tcPr>
            <w:tcW w:w="875" w:type="dxa"/>
            <w:shd w:val="clear" w:color="auto" w:fill="C5E0B3"/>
            <w:noWrap/>
            <w:vAlign w:val="top"/>
            <w:hideMark/>
          </w:tcPr>
          <w:p w14:paraId="37FEB33D" w14:textId="77777777" w:rsidR="00942CB9" w:rsidRPr="00942CB9" w:rsidRDefault="00942CB9">
            <w:pPr>
              <w:pStyle w:val="Tabele"/>
              <w:jc w:val="right"/>
              <w:rPr>
                <w:color w:val="auto"/>
              </w:rPr>
            </w:pPr>
            <w:r w:rsidRPr="00942CB9">
              <w:rPr>
                <w:color w:val="auto"/>
                <w:szCs w:val="16"/>
              </w:rPr>
              <w:t>b.d.</w:t>
            </w:r>
          </w:p>
        </w:tc>
        <w:tc>
          <w:tcPr>
            <w:tcW w:w="874" w:type="dxa"/>
            <w:shd w:val="clear" w:color="auto" w:fill="C5E0B3"/>
            <w:noWrap/>
            <w:vAlign w:val="top"/>
            <w:hideMark/>
          </w:tcPr>
          <w:p w14:paraId="412EEE12" w14:textId="77777777" w:rsidR="00942CB9" w:rsidRPr="00942CB9" w:rsidRDefault="00942CB9">
            <w:pPr>
              <w:pStyle w:val="Tabele"/>
              <w:jc w:val="right"/>
              <w:rPr>
                <w:color w:val="auto"/>
              </w:rPr>
            </w:pPr>
            <w:r w:rsidRPr="00942CB9">
              <w:rPr>
                <w:color w:val="auto"/>
                <w:szCs w:val="16"/>
              </w:rPr>
              <w:t>7 496</w:t>
            </w:r>
          </w:p>
        </w:tc>
        <w:tc>
          <w:tcPr>
            <w:tcW w:w="875" w:type="dxa"/>
            <w:shd w:val="clear" w:color="auto" w:fill="C5E0B3"/>
            <w:noWrap/>
            <w:vAlign w:val="top"/>
            <w:hideMark/>
          </w:tcPr>
          <w:p w14:paraId="40700A3F" w14:textId="77777777" w:rsidR="00942CB9" w:rsidRPr="00942CB9" w:rsidRDefault="00942CB9">
            <w:pPr>
              <w:pStyle w:val="Tabele"/>
              <w:jc w:val="right"/>
              <w:rPr>
                <w:color w:val="auto"/>
              </w:rPr>
            </w:pPr>
            <w:r w:rsidRPr="00942CB9">
              <w:rPr>
                <w:color w:val="auto"/>
                <w:szCs w:val="16"/>
              </w:rPr>
              <w:t>10 695</w:t>
            </w:r>
          </w:p>
        </w:tc>
        <w:tc>
          <w:tcPr>
            <w:tcW w:w="875" w:type="dxa"/>
            <w:noWrap/>
            <w:hideMark/>
          </w:tcPr>
          <w:p w14:paraId="2545E755" w14:textId="77777777" w:rsidR="00942CB9" w:rsidRPr="00942CB9" w:rsidRDefault="00942CB9">
            <w:pPr>
              <w:pStyle w:val="Tabele"/>
              <w:jc w:val="right"/>
              <w:rPr>
                <w:color w:val="auto"/>
              </w:rPr>
            </w:pPr>
            <w:r w:rsidRPr="00942CB9">
              <w:rPr>
                <w:rFonts w:cs="Arial"/>
                <w:color w:val="auto"/>
                <w:szCs w:val="16"/>
              </w:rPr>
              <w:t>10 880</w:t>
            </w:r>
          </w:p>
        </w:tc>
        <w:tc>
          <w:tcPr>
            <w:tcW w:w="874" w:type="dxa"/>
            <w:noWrap/>
            <w:hideMark/>
          </w:tcPr>
          <w:p w14:paraId="05C8768F" w14:textId="77777777" w:rsidR="00942CB9" w:rsidRPr="00942CB9" w:rsidRDefault="00942CB9">
            <w:pPr>
              <w:pStyle w:val="Tabele"/>
              <w:jc w:val="right"/>
              <w:rPr>
                <w:color w:val="auto"/>
              </w:rPr>
            </w:pPr>
            <w:r w:rsidRPr="00942CB9">
              <w:rPr>
                <w:rFonts w:cs="Arial"/>
                <w:color w:val="auto"/>
                <w:szCs w:val="16"/>
              </w:rPr>
              <w:t>10 528</w:t>
            </w:r>
          </w:p>
        </w:tc>
        <w:tc>
          <w:tcPr>
            <w:tcW w:w="875" w:type="dxa"/>
            <w:noWrap/>
            <w:hideMark/>
          </w:tcPr>
          <w:p w14:paraId="7678F4C8" w14:textId="77777777" w:rsidR="00942CB9" w:rsidRPr="00942CB9" w:rsidRDefault="00942CB9">
            <w:pPr>
              <w:pStyle w:val="Tabele"/>
              <w:jc w:val="right"/>
              <w:rPr>
                <w:color w:val="auto"/>
              </w:rPr>
            </w:pPr>
            <w:r w:rsidRPr="00942CB9">
              <w:rPr>
                <w:rFonts w:cs="Arial"/>
                <w:color w:val="auto"/>
                <w:szCs w:val="16"/>
              </w:rPr>
              <w:t>9 476</w:t>
            </w:r>
          </w:p>
        </w:tc>
        <w:tc>
          <w:tcPr>
            <w:tcW w:w="874" w:type="dxa"/>
            <w:noWrap/>
            <w:hideMark/>
          </w:tcPr>
          <w:p w14:paraId="19539CA3" w14:textId="77777777" w:rsidR="00942CB9" w:rsidRPr="00942CB9" w:rsidRDefault="00942CB9">
            <w:pPr>
              <w:pStyle w:val="Tabele"/>
              <w:jc w:val="right"/>
              <w:rPr>
                <w:color w:val="auto"/>
              </w:rPr>
            </w:pPr>
            <w:r w:rsidRPr="00942CB9">
              <w:rPr>
                <w:rFonts w:cs="Arial"/>
                <w:color w:val="auto"/>
                <w:szCs w:val="16"/>
              </w:rPr>
              <w:t>8 518</w:t>
            </w:r>
          </w:p>
        </w:tc>
      </w:tr>
      <w:tr w:rsidR="00942CB9" w:rsidRPr="00874419" w14:paraId="1DD26EBD" w14:textId="77777777" w:rsidTr="00942CB9">
        <w:trPr>
          <w:trHeight w:val="226"/>
        </w:trPr>
        <w:tc>
          <w:tcPr>
            <w:tcW w:w="2016" w:type="dxa"/>
            <w:hideMark/>
          </w:tcPr>
          <w:p w14:paraId="07515C47" w14:textId="77777777" w:rsidR="00942CB9" w:rsidRPr="00942CB9" w:rsidRDefault="00942CB9">
            <w:pPr>
              <w:pStyle w:val="Tabele"/>
              <w:jc w:val="right"/>
              <w:rPr>
                <w:color w:val="auto"/>
              </w:rPr>
            </w:pPr>
            <w:r w:rsidRPr="00942CB9">
              <w:rPr>
                <w:color w:val="auto"/>
              </w:rPr>
              <w:t xml:space="preserve">pojazdy spec. </w:t>
            </w:r>
          </w:p>
        </w:tc>
        <w:tc>
          <w:tcPr>
            <w:tcW w:w="874" w:type="dxa"/>
            <w:shd w:val="clear" w:color="auto" w:fill="C5E0B3"/>
            <w:noWrap/>
            <w:vAlign w:val="top"/>
            <w:hideMark/>
          </w:tcPr>
          <w:p w14:paraId="574DD3D4" w14:textId="77777777" w:rsidR="00942CB9" w:rsidRPr="00942CB9" w:rsidRDefault="00942CB9">
            <w:pPr>
              <w:pStyle w:val="Tabele"/>
              <w:jc w:val="right"/>
              <w:rPr>
                <w:color w:val="auto"/>
              </w:rPr>
            </w:pPr>
            <w:r w:rsidRPr="00942CB9">
              <w:rPr>
                <w:color w:val="auto"/>
                <w:szCs w:val="16"/>
              </w:rPr>
              <w:t>b.d.</w:t>
            </w:r>
          </w:p>
        </w:tc>
        <w:tc>
          <w:tcPr>
            <w:tcW w:w="875" w:type="dxa"/>
            <w:shd w:val="clear" w:color="auto" w:fill="C5E0B3"/>
            <w:noWrap/>
            <w:vAlign w:val="top"/>
            <w:hideMark/>
          </w:tcPr>
          <w:p w14:paraId="5FC44328" w14:textId="77777777" w:rsidR="00942CB9" w:rsidRPr="00942CB9" w:rsidRDefault="00942CB9">
            <w:pPr>
              <w:pStyle w:val="Tabele"/>
              <w:jc w:val="right"/>
              <w:rPr>
                <w:color w:val="auto"/>
              </w:rPr>
            </w:pPr>
            <w:r w:rsidRPr="00942CB9">
              <w:rPr>
                <w:color w:val="auto"/>
                <w:szCs w:val="16"/>
              </w:rPr>
              <w:t>b.d.</w:t>
            </w:r>
          </w:p>
        </w:tc>
        <w:tc>
          <w:tcPr>
            <w:tcW w:w="874" w:type="dxa"/>
            <w:shd w:val="clear" w:color="auto" w:fill="C5E0B3"/>
            <w:noWrap/>
            <w:vAlign w:val="top"/>
            <w:hideMark/>
          </w:tcPr>
          <w:p w14:paraId="075138E4" w14:textId="77777777" w:rsidR="00942CB9" w:rsidRPr="00942CB9" w:rsidRDefault="00942CB9">
            <w:pPr>
              <w:pStyle w:val="Tabele"/>
              <w:jc w:val="right"/>
              <w:rPr>
                <w:color w:val="auto"/>
              </w:rPr>
            </w:pPr>
            <w:r w:rsidRPr="00942CB9">
              <w:rPr>
                <w:color w:val="auto"/>
                <w:szCs w:val="16"/>
              </w:rPr>
              <w:t>79</w:t>
            </w:r>
          </w:p>
        </w:tc>
        <w:tc>
          <w:tcPr>
            <w:tcW w:w="875" w:type="dxa"/>
            <w:shd w:val="clear" w:color="auto" w:fill="C5E0B3"/>
            <w:noWrap/>
            <w:vAlign w:val="top"/>
            <w:hideMark/>
          </w:tcPr>
          <w:p w14:paraId="520030C2" w14:textId="77777777" w:rsidR="00942CB9" w:rsidRPr="00942CB9" w:rsidRDefault="00942CB9">
            <w:pPr>
              <w:pStyle w:val="Tabele"/>
              <w:jc w:val="right"/>
              <w:rPr>
                <w:color w:val="auto"/>
              </w:rPr>
            </w:pPr>
            <w:r w:rsidRPr="00942CB9">
              <w:rPr>
                <w:color w:val="auto"/>
                <w:szCs w:val="16"/>
              </w:rPr>
              <w:t>82</w:t>
            </w:r>
          </w:p>
        </w:tc>
        <w:tc>
          <w:tcPr>
            <w:tcW w:w="875" w:type="dxa"/>
            <w:noWrap/>
            <w:hideMark/>
          </w:tcPr>
          <w:p w14:paraId="6C5B6993" w14:textId="77777777" w:rsidR="00942CB9" w:rsidRPr="00942CB9" w:rsidRDefault="00942CB9">
            <w:pPr>
              <w:pStyle w:val="Tabele"/>
              <w:jc w:val="right"/>
              <w:rPr>
                <w:color w:val="auto"/>
              </w:rPr>
            </w:pPr>
            <w:r w:rsidRPr="00942CB9">
              <w:rPr>
                <w:rFonts w:cs="Arial"/>
                <w:color w:val="auto"/>
                <w:szCs w:val="16"/>
              </w:rPr>
              <w:t>84</w:t>
            </w:r>
          </w:p>
        </w:tc>
        <w:tc>
          <w:tcPr>
            <w:tcW w:w="874" w:type="dxa"/>
            <w:noWrap/>
            <w:hideMark/>
          </w:tcPr>
          <w:p w14:paraId="09EE2A36" w14:textId="77777777" w:rsidR="00942CB9" w:rsidRPr="00942CB9" w:rsidRDefault="00942CB9">
            <w:pPr>
              <w:pStyle w:val="Tabele"/>
              <w:jc w:val="right"/>
              <w:rPr>
                <w:color w:val="auto"/>
              </w:rPr>
            </w:pPr>
            <w:r w:rsidRPr="00942CB9">
              <w:rPr>
                <w:rFonts w:cs="Arial"/>
                <w:color w:val="auto"/>
                <w:szCs w:val="16"/>
              </w:rPr>
              <w:t>86</w:t>
            </w:r>
          </w:p>
        </w:tc>
        <w:tc>
          <w:tcPr>
            <w:tcW w:w="875" w:type="dxa"/>
            <w:noWrap/>
            <w:hideMark/>
          </w:tcPr>
          <w:p w14:paraId="10D60C32" w14:textId="77777777" w:rsidR="00942CB9" w:rsidRPr="00942CB9" w:rsidRDefault="00942CB9">
            <w:pPr>
              <w:pStyle w:val="Tabele"/>
              <w:jc w:val="right"/>
              <w:rPr>
                <w:color w:val="auto"/>
              </w:rPr>
            </w:pPr>
            <w:r w:rsidRPr="00942CB9">
              <w:rPr>
                <w:rFonts w:cs="Arial"/>
                <w:color w:val="auto"/>
                <w:szCs w:val="16"/>
              </w:rPr>
              <w:t>87</w:t>
            </w:r>
          </w:p>
        </w:tc>
        <w:tc>
          <w:tcPr>
            <w:tcW w:w="874" w:type="dxa"/>
            <w:noWrap/>
            <w:hideMark/>
          </w:tcPr>
          <w:p w14:paraId="7E9EA4F0" w14:textId="77777777" w:rsidR="00942CB9" w:rsidRPr="00942CB9" w:rsidRDefault="00942CB9">
            <w:pPr>
              <w:pStyle w:val="Tabele"/>
              <w:jc w:val="right"/>
              <w:rPr>
                <w:color w:val="auto"/>
              </w:rPr>
            </w:pPr>
            <w:r w:rsidRPr="00942CB9">
              <w:rPr>
                <w:rFonts w:cs="Arial"/>
                <w:color w:val="auto"/>
                <w:szCs w:val="16"/>
              </w:rPr>
              <w:t>87</w:t>
            </w:r>
          </w:p>
        </w:tc>
      </w:tr>
      <w:tr w:rsidR="00942CB9" w:rsidRPr="00874419" w14:paraId="2133477F" w14:textId="77777777" w:rsidTr="00942CB9">
        <w:trPr>
          <w:trHeight w:val="226"/>
        </w:trPr>
        <w:tc>
          <w:tcPr>
            <w:tcW w:w="2016" w:type="dxa"/>
            <w:hideMark/>
          </w:tcPr>
          <w:p w14:paraId="2CEEFB3D" w14:textId="77777777" w:rsidR="00942CB9" w:rsidRPr="00942CB9" w:rsidRDefault="00942CB9">
            <w:pPr>
              <w:pStyle w:val="Tabele"/>
              <w:rPr>
                <w:color w:val="auto"/>
              </w:rPr>
            </w:pPr>
            <w:r w:rsidRPr="00942CB9">
              <w:rPr>
                <w:color w:val="auto"/>
              </w:rPr>
              <w:t>Gospodarstwa domowe</w:t>
            </w:r>
          </w:p>
        </w:tc>
        <w:tc>
          <w:tcPr>
            <w:tcW w:w="874" w:type="dxa"/>
            <w:shd w:val="clear" w:color="auto" w:fill="C5E0B3"/>
            <w:noWrap/>
            <w:vAlign w:val="top"/>
            <w:hideMark/>
          </w:tcPr>
          <w:p w14:paraId="67291DF0" w14:textId="77777777" w:rsidR="00942CB9" w:rsidRPr="00942CB9" w:rsidRDefault="00942CB9">
            <w:pPr>
              <w:pStyle w:val="Tabele"/>
              <w:jc w:val="right"/>
              <w:rPr>
                <w:color w:val="auto"/>
              </w:rPr>
            </w:pPr>
            <w:r w:rsidRPr="00942CB9">
              <w:rPr>
                <w:color w:val="auto"/>
                <w:szCs w:val="16"/>
              </w:rPr>
              <w:t>19 467</w:t>
            </w:r>
          </w:p>
        </w:tc>
        <w:tc>
          <w:tcPr>
            <w:tcW w:w="875" w:type="dxa"/>
            <w:shd w:val="clear" w:color="auto" w:fill="C5E0B3"/>
            <w:noWrap/>
            <w:vAlign w:val="top"/>
            <w:hideMark/>
          </w:tcPr>
          <w:p w14:paraId="2F6E64AB" w14:textId="77777777" w:rsidR="00942CB9" w:rsidRPr="00942CB9" w:rsidRDefault="00942CB9">
            <w:pPr>
              <w:pStyle w:val="Tabele"/>
              <w:jc w:val="right"/>
              <w:rPr>
                <w:color w:val="auto"/>
              </w:rPr>
            </w:pPr>
            <w:r w:rsidRPr="00942CB9">
              <w:rPr>
                <w:color w:val="auto"/>
                <w:szCs w:val="16"/>
              </w:rPr>
              <w:t>22 002</w:t>
            </w:r>
          </w:p>
        </w:tc>
        <w:tc>
          <w:tcPr>
            <w:tcW w:w="874" w:type="dxa"/>
            <w:shd w:val="clear" w:color="auto" w:fill="C5E0B3"/>
            <w:noWrap/>
            <w:vAlign w:val="top"/>
            <w:hideMark/>
          </w:tcPr>
          <w:p w14:paraId="3918BDDA" w14:textId="77777777" w:rsidR="00942CB9" w:rsidRPr="00942CB9" w:rsidRDefault="00942CB9">
            <w:pPr>
              <w:pStyle w:val="Tabele"/>
              <w:jc w:val="right"/>
              <w:rPr>
                <w:color w:val="auto"/>
              </w:rPr>
            </w:pPr>
            <w:r w:rsidRPr="00942CB9">
              <w:rPr>
                <w:color w:val="auto"/>
                <w:szCs w:val="16"/>
              </w:rPr>
              <w:t>19 032</w:t>
            </w:r>
          </w:p>
        </w:tc>
        <w:tc>
          <w:tcPr>
            <w:tcW w:w="875" w:type="dxa"/>
            <w:shd w:val="clear" w:color="auto" w:fill="C5E0B3"/>
            <w:noWrap/>
            <w:vAlign w:val="top"/>
            <w:hideMark/>
          </w:tcPr>
          <w:p w14:paraId="053823D9" w14:textId="77777777" w:rsidR="00942CB9" w:rsidRPr="00942CB9" w:rsidRDefault="00942CB9">
            <w:pPr>
              <w:pStyle w:val="Tabele"/>
              <w:jc w:val="right"/>
              <w:rPr>
                <w:color w:val="auto"/>
              </w:rPr>
            </w:pPr>
            <w:r w:rsidRPr="00942CB9">
              <w:rPr>
                <w:color w:val="auto"/>
                <w:szCs w:val="16"/>
              </w:rPr>
              <w:t>21 101</w:t>
            </w:r>
          </w:p>
        </w:tc>
        <w:tc>
          <w:tcPr>
            <w:tcW w:w="875" w:type="dxa"/>
            <w:noWrap/>
            <w:hideMark/>
          </w:tcPr>
          <w:p w14:paraId="55C3F287" w14:textId="77777777" w:rsidR="00942CB9" w:rsidRPr="00942CB9" w:rsidRDefault="00942CB9">
            <w:pPr>
              <w:pStyle w:val="Tabele"/>
              <w:jc w:val="right"/>
              <w:rPr>
                <w:color w:val="auto"/>
              </w:rPr>
            </w:pPr>
            <w:r w:rsidRPr="00942CB9">
              <w:rPr>
                <w:rFonts w:cs="Arial"/>
                <w:color w:val="auto"/>
                <w:szCs w:val="16"/>
              </w:rPr>
              <w:t>19 292</w:t>
            </w:r>
          </w:p>
        </w:tc>
        <w:tc>
          <w:tcPr>
            <w:tcW w:w="874" w:type="dxa"/>
            <w:noWrap/>
            <w:hideMark/>
          </w:tcPr>
          <w:p w14:paraId="593C15CF" w14:textId="77777777" w:rsidR="00942CB9" w:rsidRPr="00942CB9" w:rsidRDefault="00942CB9">
            <w:pPr>
              <w:pStyle w:val="Tabele"/>
              <w:jc w:val="right"/>
              <w:rPr>
                <w:color w:val="auto"/>
              </w:rPr>
            </w:pPr>
            <w:r w:rsidRPr="00942CB9">
              <w:rPr>
                <w:rFonts w:cs="Arial"/>
                <w:color w:val="auto"/>
                <w:szCs w:val="16"/>
              </w:rPr>
              <w:t>17 122</w:t>
            </w:r>
          </w:p>
        </w:tc>
        <w:tc>
          <w:tcPr>
            <w:tcW w:w="875" w:type="dxa"/>
            <w:noWrap/>
            <w:hideMark/>
          </w:tcPr>
          <w:p w14:paraId="711D8E32" w14:textId="77777777" w:rsidR="00942CB9" w:rsidRPr="00942CB9" w:rsidRDefault="00942CB9">
            <w:pPr>
              <w:pStyle w:val="Tabele"/>
              <w:jc w:val="right"/>
              <w:rPr>
                <w:color w:val="auto"/>
              </w:rPr>
            </w:pPr>
            <w:r w:rsidRPr="00942CB9">
              <w:rPr>
                <w:rFonts w:cs="Arial"/>
                <w:color w:val="auto"/>
                <w:szCs w:val="16"/>
              </w:rPr>
              <w:t>15 249</w:t>
            </w:r>
          </w:p>
        </w:tc>
        <w:tc>
          <w:tcPr>
            <w:tcW w:w="874" w:type="dxa"/>
            <w:noWrap/>
            <w:hideMark/>
          </w:tcPr>
          <w:p w14:paraId="15E518DD" w14:textId="77777777" w:rsidR="00942CB9" w:rsidRPr="00942CB9" w:rsidRDefault="00942CB9">
            <w:pPr>
              <w:pStyle w:val="Tabele"/>
              <w:jc w:val="right"/>
              <w:rPr>
                <w:color w:val="auto"/>
              </w:rPr>
            </w:pPr>
            <w:r w:rsidRPr="00942CB9">
              <w:rPr>
                <w:rFonts w:cs="Arial"/>
                <w:color w:val="auto"/>
                <w:szCs w:val="16"/>
              </w:rPr>
              <w:t>14 739</w:t>
            </w:r>
          </w:p>
        </w:tc>
      </w:tr>
      <w:tr w:rsidR="00942CB9" w:rsidRPr="00874419" w14:paraId="2AC04415" w14:textId="77777777" w:rsidTr="00942CB9">
        <w:trPr>
          <w:trHeight w:val="226"/>
        </w:trPr>
        <w:tc>
          <w:tcPr>
            <w:tcW w:w="2016" w:type="dxa"/>
            <w:hideMark/>
          </w:tcPr>
          <w:p w14:paraId="474A8BC8" w14:textId="77777777" w:rsidR="00942CB9" w:rsidRPr="00942CB9" w:rsidRDefault="00942CB9">
            <w:pPr>
              <w:pStyle w:val="Tabele"/>
              <w:rPr>
                <w:color w:val="auto"/>
              </w:rPr>
            </w:pPr>
            <w:r w:rsidRPr="00942CB9">
              <w:rPr>
                <w:color w:val="auto"/>
              </w:rPr>
              <w:t>Usługi</w:t>
            </w:r>
          </w:p>
        </w:tc>
        <w:tc>
          <w:tcPr>
            <w:tcW w:w="874" w:type="dxa"/>
            <w:shd w:val="clear" w:color="auto" w:fill="C5E0B3"/>
            <w:noWrap/>
            <w:vAlign w:val="top"/>
            <w:hideMark/>
          </w:tcPr>
          <w:p w14:paraId="11E15DC9" w14:textId="77777777" w:rsidR="00942CB9" w:rsidRPr="00942CB9" w:rsidRDefault="00942CB9">
            <w:pPr>
              <w:pStyle w:val="Tabele"/>
              <w:jc w:val="right"/>
              <w:rPr>
                <w:color w:val="auto"/>
              </w:rPr>
            </w:pPr>
            <w:r w:rsidRPr="00942CB9">
              <w:rPr>
                <w:color w:val="auto"/>
                <w:szCs w:val="16"/>
              </w:rPr>
              <w:t>6 730</w:t>
            </w:r>
          </w:p>
        </w:tc>
        <w:tc>
          <w:tcPr>
            <w:tcW w:w="875" w:type="dxa"/>
            <w:shd w:val="clear" w:color="auto" w:fill="C5E0B3"/>
            <w:noWrap/>
            <w:vAlign w:val="top"/>
            <w:hideMark/>
          </w:tcPr>
          <w:p w14:paraId="0DD7B19A" w14:textId="77777777" w:rsidR="00942CB9" w:rsidRPr="00942CB9" w:rsidRDefault="00942CB9">
            <w:pPr>
              <w:pStyle w:val="Tabele"/>
              <w:jc w:val="right"/>
              <w:rPr>
                <w:color w:val="auto"/>
              </w:rPr>
            </w:pPr>
            <w:r w:rsidRPr="00942CB9">
              <w:rPr>
                <w:color w:val="auto"/>
                <w:szCs w:val="16"/>
              </w:rPr>
              <w:t>8 833</w:t>
            </w:r>
          </w:p>
        </w:tc>
        <w:tc>
          <w:tcPr>
            <w:tcW w:w="874" w:type="dxa"/>
            <w:shd w:val="clear" w:color="auto" w:fill="C5E0B3"/>
            <w:noWrap/>
            <w:vAlign w:val="top"/>
            <w:hideMark/>
          </w:tcPr>
          <w:p w14:paraId="26C522A9" w14:textId="77777777" w:rsidR="00942CB9" w:rsidRPr="00942CB9" w:rsidRDefault="00942CB9">
            <w:pPr>
              <w:pStyle w:val="Tabele"/>
              <w:jc w:val="right"/>
              <w:rPr>
                <w:color w:val="auto"/>
              </w:rPr>
            </w:pPr>
            <w:r w:rsidRPr="00942CB9">
              <w:rPr>
                <w:color w:val="auto"/>
                <w:szCs w:val="16"/>
              </w:rPr>
              <w:t>7 842</w:t>
            </w:r>
          </w:p>
        </w:tc>
        <w:tc>
          <w:tcPr>
            <w:tcW w:w="875" w:type="dxa"/>
            <w:shd w:val="clear" w:color="auto" w:fill="C5E0B3"/>
            <w:noWrap/>
            <w:vAlign w:val="top"/>
            <w:hideMark/>
          </w:tcPr>
          <w:p w14:paraId="73CF6C55" w14:textId="77777777" w:rsidR="00942CB9" w:rsidRPr="00942CB9" w:rsidRDefault="00942CB9">
            <w:pPr>
              <w:pStyle w:val="Tabele"/>
              <w:jc w:val="right"/>
              <w:rPr>
                <w:color w:val="auto"/>
              </w:rPr>
            </w:pPr>
            <w:r w:rsidRPr="00942CB9">
              <w:rPr>
                <w:color w:val="auto"/>
                <w:szCs w:val="16"/>
              </w:rPr>
              <w:t>7 565</w:t>
            </w:r>
          </w:p>
        </w:tc>
        <w:tc>
          <w:tcPr>
            <w:tcW w:w="875" w:type="dxa"/>
            <w:noWrap/>
            <w:hideMark/>
          </w:tcPr>
          <w:p w14:paraId="777BE8E5" w14:textId="77777777" w:rsidR="00942CB9" w:rsidRPr="00942CB9" w:rsidRDefault="00942CB9">
            <w:pPr>
              <w:pStyle w:val="Tabele"/>
              <w:jc w:val="right"/>
              <w:rPr>
                <w:color w:val="auto"/>
              </w:rPr>
            </w:pPr>
            <w:r w:rsidRPr="00942CB9">
              <w:rPr>
                <w:rFonts w:cs="Arial"/>
                <w:color w:val="auto"/>
                <w:szCs w:val="16"/>
              </w:rPr>
              <w:t>7 799</w:t>
            </w:r>
          </w:p>
        </w:tc>
        <w:tc>
          <w:tcPr>
            <w:tcW w:w="874" w:type="dxa"/>
            <w:noWrap/>
            <w:hideMark/>
          </w:tcPr>
          <w:p w14:paraId="67A2884F" w14:textId="77777777" w:rsidR="00942CB9" w:rsidRPr="00942CB9" w:rsidRDefault="00942CB9">
            <w:pPr>
              <w:pStyle w:val="Tabele"/>
              <w:jc w:val="right"/>
              <w:rPr>
                <w:color w:val="auto"/>
              </w:rPr>
            </w:pPr>
            <w:r w:rsidRPr="00942CB9">
              <w:rPr>
                <w:rFonts w:cs="Arial"/>
                <w:color w:val="auto"/>
                <w:szCs w:val="16"/>
              </w:rPr>
              <w:t>7 746</w:t>
            </w:r>
          </w:p>
        </w:tc>
        <w:tc>
          <w:tcPr>
            <w:tcW w:w="875" w:type="dxa"/>
            <w:noWrap/>
            <w:hideMark/>
          </w:tcPr>
          <w:p w14:paraId="615426EC" w14:textId="77777777" w:rsidR="00942CB9" w:rsidRPr="00942CB9" w:rsidRDefault="00942CB9">
            <w:pPr>
              <w:pStyle w:val="Tabele"/>
              <w:jc w:val="right"/>
              <w:rPr>
                <w:color w:val="auto"/>
              </w:rPr>
            </w:pPr>
            <w:r w:rsidRPr="00942CB9">
              <w:rPr>
                <w:rFonts w:cs="Arial"/>
                <w:color w:val="auto"/>
                <w:szCs w:val="16"/>
              </w:rPr>
              <w:t>7 332</w:t>
            </w:r>
          </w:p>
        </w:tc>
        <w:tc>
          <w:tcPr>
            <w:tcW w:w="874" w:type="dxa"/>
            <w:noWrap/>
            <w:hideMark/>
          </w:tcPr>
          <w:p w14:paraId="74661EF9" w14:textId="77777777" w:rsidR="00942CB9" w:rsidRPr="00942CB9" w:rsidRDefault="00942CB9">
            <w:pPr>
              <w:pStyle w:val="Tabele"/>
              <w:jc w:val="right"/>
              <w:rPr>
                <w:color w:val="auto"/>
              </w:rPr>
            </w:pPr>
            <w:r w:rsidRPr="00942CB9">
              <w:rPr>
                <w:rFonts w:cs="Arial"/>
                <w:color w:val="auto"/>
                <w:szCs w:val="16"/>
              </w:rPr>
              <w:t>7 066</w:t>
            </w:r>
          </w:p>
        </w:tc>
      </w:tr>
      <w:tr w:rsidR="00942CB9" w:rsidRPr="00874419" w14:paraId="55029B3E" w14:textId="77777777" w:rsidTr="00942CB9">
        <w:trPr>
          <w:trHeight w:val="226"/>
        </w:trPr>
        <w:tc>
          <w:tcPr>
            <w:tcW w:w="2016" w:type="dxa"/>
            <w:hideMark/>
          </w:tcPr>
          <w:p w14:paraId="2D009CB1" w14:textId="77777777" w:rsidR="00942CB9" w:rsidRPr="00942CB9" w:rsidRDefault="00942CB9">
            <w:pPr>
              <w:pStyle w:val="Tabele"/>
              <w:rPr>
                <w:color w:val="auto"/>
              </w:rPr>
            </w:pPr>
            <w:r w:rsidRPr="00942CB9">
              <w:rPr>
                <w:color w:val="auto"/>
              </w:rPr>
              <w:t>Rolnictwo</w:t>
            </w:r>
          </w:p>
        </w:tc>
        <w:tc>
          <w:tcPr>
            <w:tcW w:w="874" w:type="dxa"/>
            <w:shd w:val="clear" w:color="auto" w:fill="C5E0B3"/>
            <w:noWrap/>
            <w:vAlign w:val="top"/>
            <w:hideMark/>
          </w:tcPr>
          <w:p w14:paraId="0B87FB96" w14:textId="77777777" w:rsidR="00942CB9" w:rsidRPr="00942CB9" w:rsidRDefault="00942CB9">
            <w:pPr>
              <w:pStyle w:val="Tabele"/>
              <w:jc w:val="right"/>
              <w:rPr>
                <w:color w:val="auto"/>
              </w:rPr>
            </w:pPr>
            <w:r w:rsidRPr="00942CB9">
              <w:rPr>
                <w:color w:val="auto"/>
                <w:szCs w:val="16"/>
              </w:rPr>
              <w:t>4 438</w:t>
            </w:r>
          </w:p>
        </w:tc>
        <w:tc>
          <w:tcPr>
            <w:tcW w:w="875" w:type="dxa"/>
            <w:shd w:val="clear" w:color="auto" w:fill="C5E0B3"/>
            <w:noWrap/>
            <w:vAlign w:val="top"/>
            <w:hideMark/>
          </w:tcPr>
          <w:p w14:paraId="7ACB4F54" w14:textId="77777777" w:rsidR="00942CB9" w:rsidRPr="00942CB9" w:rsidRDefault="00942CB9">
            <w:pPr>
              <w:pStyle w:val="Tabele"/>
              <w:jc w:val="right"/>
              <w:rPr>
                <w:color w:val="auto"/>
              </w:rPr>
            </w:pPr>
            <w:r w:rsidRPr="00942CB9">
              <w:rPr>
                <w:color w:val="auto"/>
                <w:szCs w:val="16"/>
              </w:rPr>
              <w:t>3 730</w:t>
            </w:r>
          </w:p>
        </w:tc>
        <w:tc>
          <w:tcPr>
            <w:tcW w:w="874" w:type="dxa"/>
            <w:shd w:val="clear" w:color="auto" w:fill="C5E0B3"/>
            <w:noWrap/>
            <w:vAlign w:val="top"/>
            <w:hideMark/>
          </w:tcPr>
          <w:p w14:paraId="64AF3F4D" w14:textId="77777777" w:rsidR="00942CB9" w:rsidRPr="00942CB9" w:rsidRDefault="00942CB9">
            <w:pPr>
              <w:pStyle w:val="Tabele"/>
              <w:jc w:val="right"/>
              <w:rPr>
                <w:color w:val="auto"/>
              </w:rPr>
            </w:pPr>
            <w:r w:rsidRPr="00942CB9">
              <w:rPr>
                <w:color w:val="auto"/>
                <w:szCs w:val="16"/>
              </w:rPr>
              <w:t>3 330</w:t>
            </w:r>
          </w:p>
        </w:tc>
        <w:tc>
          <w:tcPr>
            <w:tcW w:w="875" w:type="dxa"/>
            <w:shd w:val="clear" w:color="auto" w:fill="C5E0B3"/>
            <w:noWrap/>
            <w:vAlign w:val="top"/>
            <w:hideMark/>
          </w:tcPr>
          <w:p w14:paraId="321C5B7E" w14:textId="77777777" w:rsidR="00942CB9" w:rsidRPr="00942CB9" w:rsidRDefault="00942CB9">
            <w:pPr>
              <w:pStyle w:val="Tabele"/>
              <w:jc w:val="right"/>
              <w:rPr>
                <w:color w:val="auto"/>
              </w:rPr>
            </w:pPr>
            <w:r w:rsidRPr="00942CB9">
              <w:rPr>
                <w:color w:val="auto"/>
                <w:szCs w:val="16"/>
              </w:rPr>
              <w:t>3 869</w:t>
            </w:r>
          </w:p>
        </w:tc>
        <w:tc>
          <w:tcPr>
            <w:tcW w:w="875" w:type="dxa"/>
            <w:noWrap/>
            <w:hideMark/>
          </w:tcPr>
          <w:p w14:paraId="04EEC78B" w14:textId="77777777" w:rsidR="00942CB9" w:rsidRPr="00942CB9" w:rsidRDefault="00942CB9">
            <w:pPr>
              <w:pStyle w:val="Tabele"/>
              <w:jc w:val="right"/>
              <w:rPr>
                <w:color w:val="auto"/>
              </w:rPr>
            </w:pPr>
            <w:r w:rsidRPr="00942CB9">
              <w:rPr>
                <w:rFonts w:cs="Arial"/>
                <w:color w:val="auto"/>
                <w:szCs w:val="16"/>
              </w:rPr>
              <w:t>3 642</w:t>
            </w:r>
          </w:p>
        </w:tc>
        <w:tc>
          <w:tcPr>
            <w:tcW w:w="874" w:type="dxa"/>
            <w:noWrap/>
            <w:hideMark/>
          </w:tcPr>
          <w:p w14:paraId="5769E002" w14:textId="77777777" w:rsidR="00942CB9" w:rsidRPr="00942CB9" w:rsidRDefault="00942CB9">
            <w:pPr>
              <w:pStyle w:val="Tabele"/>
              <w:jc w:val="right"/>
              <w:rPr>
                <w:color w:val="auto"/>
              </w:rPr>
            </w:pPr>
            <w:r w:rsidRPr="00942CB9">
              <w:rPr>
                <w:rFonts w:cs="Arial"/>
                <w:color w:val="auto"/>
                <w:szCs w:val="16"/>
              </w:rPr>
              <w:t>3 470</w:t>
            </w:r>
          </w:p>
        </w:tc>
        <w:tc>
          <w:tcPr>
            <w:tcW w:w="875" w:type="dxa"/>
            <w:noWrap/>
            <w:hideMark/>
          </w:tcPr>
          <w:p w14:paraId="13C395A1" w14:textId="77777777" w:rsidR="00942CB9" w:rsidRPr="00942CB9" w:rsidRDefault="00942CB9">
            <w:pPr>
              <w:pStyle w:val="Tabele"/>
              <w:jc w:val="right"/>
              <w:rPr>
                <w:color w:val="auto"/>
              </w:rPr>
            </w:pPr>
            <w:r w:rsidRPr="00942CB9">
              <w:rPr>
                <w:rFonts w:cs="Arial"/>
                <w:color w:val="auto"/>
                <w:szCs w:val="16"/>
              </w:rPr>
              <w:t>3 285</w:t>
            </w:r>
          </w:p>
        </w:tc>
        <w:tc>
          <w:tcPr>
            <w:tcW w:w="874" w:type="dxa"/>
            <w:noWrap/>
            <w:hideMark/>
          </w:tcPr>
          <w:p w14:paraId="5150005A" w14:textId="77777777" w:rsidR="00942CB9" w:rsidRPr="00942CB9" w:rsidRDefault="00942CB9">
            <w:pPr>
              <w:pStyle w:val="Tabele"/>
              <w:jc w:val="right"/>
              <w:rPr>
                <w:color w:val="auto"/>
              </w:rPr>
            </w:pPr>
            <w:r w:rsidRPr="00942CB9">
              <w:rPr>
                <w:rFonts w:cs="Arial"/>
                <w:color w:val="auto"/>
                <w:szCs w:val="16"/>
              </w:rPr>
              <w:t>3 119</w:t>
            </w:r>
          </w:p>
        </w:tc>
      </w:tr>
      <w:tr w:rsidR="00942CB9" w:rsidRPr="00874419" w14:paraId="02332135" w14:textId="77777777" w:rsidTr="00942CB9">
        <w:trPr>
          <w:trHeight w:val="226"/>
        </w:trPr>
        <w:tc>
          <w:tcPr>
            <w:tcW w:w="2016" w:type="dxa"/>
            <w:hideMark/>
          </w:tcPr>
          <w:p w14:paraId="600A8D70" w14:textId="77777777" w:rsidR="00942CB9" w:rsidRPr="00942CB9" w:rsidRDefault="00942CB9">
            <w:pPr>
              <w:pStyle w:val="Tabele"/>
              <w:rPr>
                <w:b/>
                <w:color w:val="auto"/>
              </w:rPr>
            </w:pPr>
            <w:r w:rsidRPr="00942CB9">
              <w:rPr>
                <w:b/>
                <w:color w:val="auto"/>
              </w:rPr>
              <w:t>RAZEM</w:t>
            </w:r>
          </w:p>
        </w:tc>
        <w:tc>
          <w:tcPr>
            <w:tcW w:w="874" w:type="dxa"/>
            <w:shd w:val="clear" w:color="auto" w:fill="C5E0B3"/>
            <w:noWrap/>
            <w:vAlign w:val="top"/>
            <w:hideMark/>
          </w:tcPr>
          <w:p w14:paraId="0FE0DB74" w14:textId="77777777" w:rsidR="00942CB9" w:rsidRPr="00942CB9" w:rsidRDefault="00942CB9">
            <w:pPr>
              <w:pStyle w:val="Tabele"/>
              <w:jc w:val="right"/>
              <w:rPr>
                <w:b/>
                <w:color w:val="auto"/>
              </w:rPr>
            </w:pPr>
            <w:r w:rsidRPr="00942CB9">
              <w:rPr>
                <w:b/>
                <w:color w:val="auto"/>
                <w:szCs w:val="16"/>
              </w:rPr>
              <w:t>57 473</w:t>
            </w:r>
          </w:p>
        </w:tc>
        <w:tc>
          <w:tcPr>
            <w:tcW w:w="875" w:type="dxa"/>
            <w:shd w:val="clear" w:color="auto" w:fill="C5E0B3"/>
            <w:noWrap/>
            <w:vAlign w:val="top"/>
            <w:hideMark/>
          </w:tcPr>
          <w:p w14:paraId="404FBBD8" w14:textId="77777777" w:rsidR="00942CB9" w:rsidRPr="00942CB9" w:rsidRDefault="00942CB9">
            <w:pPr>
              <w:pStyle w:val="Tabele"/>
              <w:jc w:val="right"/>
              <w:rPr>
                <w:b/>
                <w:color w:val="auto"/>
              </w:rPr>
            </w:pPr>
            <w:r w:rsidRPr="00942CB9">
              <w:rPr>
                <w:b/>
                <w:color w:val="auto"/>
                <w:szCs w:val="16"/>
              </w:rPr>
              <w:t>65 250</w:t>
            </w:r>
          </w:p>
        </w:tc>
        <w:tc>
          <w:tcPr>
            <w:tcW w:w="874" w:type="dxa"/>
            <w:shd w:val="clear" w:color="auto" w:fill="C5E0B3"/>
            <w:noWrap/>
            <w:vAlign w:val="top"/>
            <w:hideMark/>
          </w:tcPr>
          <w:p w14:paraId="4DE62AFB" w14:textId="77777777" w:rsidR="00942CB9" w:rsidRPr="00942CB9" w:rsidRDefault="00942CB9">
            <w:pPr>
              <w:pStyle w:val="Tabele"/>
              <w:jc w:val="right"/>
              <w:rPr>
                <w:b/>
                <w:color w:val="auto"/>
              </w:rPr>
            </w:pPr>
            <w:r w:rsidRPr="00942CB9">
              <w:rPr>
                <w:b/>
                <w:color w:val="auto"/>
                <w:szCs w:val="16"/>
              </w:rPr>
              <w:t>60 863</w:t>
            </w:r>
          </w:p>
        </w:tc>
        <w:tc>
          <w:tcPr>
            <w:tcW w:w="875" w:type="dxa"/>
            <w:shd w:val="clear" w:color="auto" w:fill="C5E0B3"/>
            <w:noWrap/>
            <w:vAlign w:val="top"/>
            <w:hideMark/>
          </w:tcPr>
          <w:p w14:paraId="120BAD0A" w14:textId="77777777" w:rsidR="00942CB9" w:rsidRPr="00942CB9" w:rsidRDefault="00942CB9">
            <w:pPr>
              <w:pStyle w:val="Tabele"/>
              <w:jc w:val="right"/>
              <w:rPr>
                <w:b/>
                <w:color w:val="auto"/>
              </w:rPr>
            </w:pPr>
            <w:r w:rsidRPr="00942CB9">
              <w:rPr>
                <w:b/>
                <w:color w:val="auto"/>
                <w:szCs w:val="16"/>
              </w:rPr>
              <w:t>70 235</w:t>
            </w:r>
          </w:p>
        </w:tc>
        <w:tc>
          <w:tcPr>
            <w:tcW w:w="875" w:type="dxa"/>
            <w:noWrap/>
            <w:hideMark/>
          </w:tcPr>
          <w:p w14:paraId="64FA018B" w14:textId="77777777" w:rsidR="00942CB9" w:rsidRPr="00942CB9" w:rsidRDefault="00942CB9">
            <w:pPr>
              <w:pStyle w:val="Tabele"/>
              <w:jc w:val="right"/>
              <w:rPr>
                <w:b/>
                <w:color w:val="auto"/>
              </w:rPr>
            </w:pPr>
            <w:r w:rsidRPr="00942CB9">
              <w:rPr>
                <w:rFonts w:cs="Arial"/>
                <w:b/>
                <w:bCs/>
                <w:color w:val="auto"/>
                <w:szCs w:val="16"/>
              </w:rPr>
              <w:t>69 496</w:t>
            </w:r>
          </w:p>
        </w:tc>
        <w:tc>
          <w:tcPr>
            <w:tcW w:w="874" w:type="dxa"/>
            <w:noWrap/>
            <w:hideMark/>
          </w:tcPr>
          <w:p w14:paraId="661A1214" w14:textId="77777777" w:rsidR="00942CB9" w:rsidRPr="00942CB9" w:rsidRDefault="00942CB9">
            <w:pPr>
              <w:pStyle w:val="Tabele"/>
              <w:jc w:val="right"/>
              <w:rPr>
                <w:b/>
                <w:color w:val="auto"/>
              </w:rPr>
            </w:pPr>
            <w:r w:rsidRPr="00942CB9">
              <w:rPr>
                <w:rFonts w:cs="Arial"/>
                <w:b/>
                <w:bCs/>
                <w:color w:val="auto"/>
                <w:szCs w:val="16"/>
              </w:rPr>
              <w:t>64 338</w:t>
            </w:r>
          </w:p>
        </w:tc>
        <w:tc>
          <w:tcPr>
            <w:tcW w:w="875" w:type="dxa"/>
            <w:noWrap/>
            <w:hideMark/>
          </w:tcPr>
          <w:p w14:paraId="11346847" w14:textId="77777777" w:rsidR="00942CB9" w:rsidRPr="00942CB9" w:rsidRDefault="00942CB9">
            <w:pPr>
              <w:pStyle w:val="Tabele"/>
              <w:jc w:val="right"/>
              <w:rPr>
                <w:b/>
                <w:color w:val="auto"/>
              </w:rPr>
            </w:pPr>
            <w:r w:rsidRPr="00942CB9">
              <w:rPr>
                <w:rFonts w:cs="Arial"/>
                <w:b/>
                <w:bCs/>
                <w:color w:val="auto"/>
                <w:szCs w:val="16"/>
              </w:rPr>
              <w:t>59 885</w:t>
            </w:r>
          </w:p>
        </w:tc>
        <w:tc>
          <w:tcPr>
            <w:tcW w:w="874" w:type="dxa"/>
            <w:noWrap/>
            <w:hideMark/>
          </w:tcPr>
          <w:p w14:paraId="22912B8F" w14:textId="77777777" w:rsidR="00942CB9" w:rsidRPr="00942CB9" w:rsidRDefault="00942CB9">
            <w:pPr>
              <w:pStyle w:val="Tabele"/>
              <w:jc w:val="right"/>
              <w:rPr>
                <w:b/>
                <w:color w:val="auto"/>
              </w:rPr>
            </w:pPr>
            <w:r w:rsidRPr="00942CB9">
              <w:rPr>
                <w:rFonts w:cs="Arial"/>
                <w:b/>
                <w:bCs/>
                <w:color w:val="auto"/>
                <w:szCs w:val="16"/>
              </w:rPr>
              <w:t>56 992</w:t>
            </w:r>
          </w:p>
        </w:tc>
      </w:tr>
    </w:tbl>
    <w:p w14:paraId="548FC96C" w14:textId="7E8D918B" w:rsidR="005C4144" w:rsidRPr="00874419" w:rsidRDefault="005C4144" w:rsidP="00942CB9">
      <w:pPr>
        <w:pStyle w:val="Legenda"/>
      </w:pPr>
      <w:r w:rsidRPr="00874419">
        <w:t>Źródło: Opracowanie własne ARE S</w:t>
      </w:r>
      <w:r>
        <w:t>.</w:t>
      </w:r>
      <w:r w:rsidRPr="00874419">
        <w:t>A</w:t>
      </w:r>
      <w:r>
        <w:t>.</w:t>
      </w:r>
      <w:r w:rsidRPr="00874419">
        <w:t xml:space="preserve"> (STEAM-PL</w:t>
      </w:r>
      <w:r w:rsidR="00942CB9" w:rsidRPr="00874419">
        <w:t>),</w:t>
      </w:r>
      <w:r w:rsidRPr="00874419">
        <w:t xml:space="preserve"> EUROSTAT</w:t>
      </w:r>
    </w:p>
    <w:p w14:paraId="2B2F254E" w14:textId="665B1166" w:rsidR="005C4144" w:rsidRDefault="00BE5A05" w:rsidP="005C4144">
      <w:bookmarkStart w:id="286" w:name="_Ref156556807"/>
      <w:bookmarkStart w:id="287" w:name="_Ref156556799"/>
      <w:r>
        <w:rPr>
          <w:noProof/>
          <w:lang w:eastAsia="pl-PL"/>
        </w:rPr>
        <w:drawing>
          <wp:inline distT="0" distB="0" distL="0" distR="0" wp14:anchorId="6D4E0A56" wp14:editId="1B497830">
            <wp:extent cx="5760720" cy="3762375"/>
            <wp:effectExtent l="0" t="0" r="0" b="0"/>
            <wp:docPr id="1083648056" name="Wykres 1">
              <a:extLst xmlns:a="http://schemas.openxmlformats.org/drawingml/2006/main">
                <a:ext uri="{FF2B5EF4-FFF2-40B4-BE49-F238E27FC236}">
                  <a16:creationId xmlns:a16="http://schemas.microsoft.com/office/drawing/2014/main" id="{00000000-0008-0000-1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AB6EF7C" w14:textId="152A0DE3" w:rsidR="005C4144" w:rsidRPr="00956024" w:rsidRDefault="005C4144" w:rsidP="005C4144">
      <w:pPr>
        <w:pStyle w:val="Legenda"/>
      </w:pPr>
      <w:bookmarkStart w:id="288" w:name="_Ref158207568"/>
      <w:bookmarkStart w:id="289" w:name="_Toc171587268"/>
      <w:bookmarkStart w:id="290" w:name="_Toc174711035"/>
      <w:bookmarkStart w:id="291" w:name="_Toc202967044"/>
      <w:r>
        <w:t xml:space="preserve">Rysunek </w:t>
      </w:r>
      <w:r>
        <w:rPr>
          <w:noProof/>
        </w:rPr>
        <w:fldChar w:fldCharType="begin"/>
      </w:r>
      <w:r>
        <w:rPr>
          <w:noProof/>
        </w:rPr>
        <w:instrText xml:space="preserve"> STYLEREF 1 \s </w:instrText>
      </w:r>
      <w:r>
        <w:rPr>
          <w:noProof/>
        </w:rPr>
        <w:fldChar w:fldCharType="separate"/>
      </w:r>
      <w:r w:rsidR="00F27D6F">
        <w:rPr>
          <w:noProof/>
        </w:rPr>
        <w:t>2</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3</w:t>
      </w:r>
      <w:r>
        <w:rPr>
          <w:noProof/>
        </w:rPr>
        <w:fldChar w:fldCharType="end"/>
      </w:r>
      <w:bookmarkEnd w:id="286"/>
      <w:bookmarkEnd w:id="288"/>
      <w:r>
        <w:t xml:space="preserve">. </w:t>
      </w:r>
      <w:r w:rsidRPr="00956024">
        <w:rPr>
          <w:iCs w:val="0"/>
        </w:rPr>
        <w:t>Zużycie energii finalnej</w:t>
      </w:r>
      <w:r>
        <w:rPr>
          <w:iCs w:val="0"/>
        </w:rPr>
        <w:t xml:space="preserve"> w </w:t>
      </w:r>
      <w:r w:rsidRPr="00956024">
        <w:rPr>
          <w:iCs w:val="0"/>
        </w:rPr>
        <w:t>podziale na sektory (bez zużycia nieenergetycznego)</w:t>
      </w:r>
      <w:bookmarkEnd w:id="287"/>
      <w:bookmarkEnd w:id="289"/>
      <w:bookmarkEnd w:id="290"/>
      <w:bookmarkEnd w:id="291"/>
    </w:p>
    <w:p w14:paraId="670E5331" w14:textId="77777777" w:rsidR="005C4144" w:rsidRPr="00DB5D89" w:rsidRDefault="005C4144" w:rsidP="00797A1F">
      <w:pPr>
        <w:pStyle w:val="Nagwek2"/>
      </w:pPr>
      <w:bookmarkStart w:id="292" w:name="_Toc171587319"/>
      <w:bookmarkStart w:id="293" w:name="_Toc174710893"/>
      <w:bookmarkStart w:id="294" w:name="_Toc202966886"/>
      <w:r>
        <w:t>Zużycie energii finalnej w podziale na paliwa</w:t>
      </w:r>
      <w:bookmarkEnd w:id="292"/>
      <w:bookmarkEnd w:id="293"/>
      <w:bookmarkEnd w:id="294"/>
    </w:p>
    <w:p w14:paraId="1C9B5A6E" w14:textId="2F4A520A" w:rsidR="0038767D" w:rsidRPr="00F85B97" w:rsidRDefault="008E047C" w:rsidP="001A0631">
      <w:r w:rsidRPr="00F85B97">
        <w:t>W finalnym zużyciu energii następują stopniowe zmiany</w:t>
      </w:r>
      <w:r>
        <w:t xml:space="preserve"> w </w:t>
      </w:r>
      <w:r w:rsidRPr="00F85B97">
        <w:t>strukturze paliwowej</w:t>
      </w:r>
      <w:r w:rsidR="005C4144">
        <w:t xml:space="preserve"> (</w:t>
      </w:r>
      <w:r w:rsidR="001A0631">
        <w:fldChar w:fldCharType="begin"/>
      </w:r>
      <w:r w:rsidR="001A0631">
        <w:instrText xml:space="preserve"> REF _Ref200725770 \h </w:instrText>
      </w:r>
      <w:r w:rsidR="001A0631">
        <w:fldChar w:fldCharType="separate"/>
      </w:r>
      <w:r w:rsidR="00F27D6F">
        <w:t xml:space="preserve">Tabela </w:t>
      </w:r>
      <w:r w:rsidR="00F27D6F">
        <w:rPr>
          <w:noProof/>
        </w:rPr>
        <w:t>2</w:t>
      </w:r>
      <w:r w:rsidR="00F27D6F">
        <w:t>.</w:t>
      </w:r>
      <w:r w:rsidR="00F27D6F">
        <w:rPr>
          <w:noProof/>
        </w:rPr>
        <w:t>3</w:t>
      </w:r>
      <w:r w:rsidR="001A0631">
        <w:fldChar w:fldCharType="end"/>
      </w:r>
      <w:r w:rsidR="005C4144">
        <w:t xml:space="preserve">; </w:t>
      </w:r>
      <w:r w:rsidR="005C4144">
        <w:fldChar w:fldCharType="begin"/>
      </w:r>
      <w:r w:rsidR="005C4144">
        <w:instrText xml:space="preserve"> REF _Ref156557418 \h </w:instrText>
      </w:r>
      <w:r w:rsidR="005C4144">
        <w:fldChar w:fldCharType="separate"/>
      </w:r>
      <w:r w:rsidR="00F27D6F">
        <w:t xml:space="preserve">Rysunek </w:t>
      </w:r>
      <w:r w:rsidR="00F27D6F">
        <w:rPr>
          <w:noProof/>
        </w:rPr>
        <w:t>2</w:t>
      </w:r>
      <w:r w:rsidR="00F27D6F">
        <w:t>.</w:t>
      </w:r>
      <w:r w:rsidR="00F27D6F">
        <w:rPr>
          <w:noProof/>
        </w:rPr>
        <w:t>4</w:t>
      </w:r>
      <w:r w:rsidR="005C4144">
        <w:fldChar w:fldCharType="end"/>
      </w:r>
      <w:r w:rsidR="00DA2266">
        <w:t>).</w:t>
      </w:r>
      <w:r w:rsidR="0038767D" w:rsidRPr="0038767D">
        <w:t xml:space="preserve"> </w:t>
      </w:r>
      <w:r w:rsidR="0038767D" w:rsidRPr="00F85B97">
        <w:t xml:space="preserve">Znacząco spada </w:t>
      </w:r>
      <w:r w:rsidR="0038767D">
        <w:t>zużycie węgla (z 13% w 2020 r. do 5</w:t>
      </w:r>
      <w:r w:rsidR="0038767D" w:rsidRPr="00F85B97">
        <w:t>%</w:t>
      </w:r>
      <w:r w:rsidR="0038767D">
        <w:t xml:space="preserve"> w </w:t>
      </w:r>
      <w:r w:rsidR="0038767D" w:rsidRPr="00F85B97">
        <w:t>2030</w:t>
      </w:r>
      <w:r w:rsidR="0038767D">
        <w:t xml:space="preserve"> r. i </w:t>
      </w:r>
      <w:r w:rsidR="00FD2FB6">
        <w:t>do</w:t>
      </w:r>
      <w:r w:rsidR="0038767D">
        <w:t xml:space="preserve"> </w:t>
      </w:r>
      <w:r w:rsidR="00FF579F">
        <w:t>1%</w:t>
      </w:r>
      <w:r w:rsidR="0038767D">
        <w:t xml:space="preserve"> w 2040 r.). </w:t>
      </w:r>
      <w:r w:rsidR="0038767D" w:rsidRPr="00F85B97">
        <w:t>Spadek zużycia węgla kamiennego związany jest głównie</w:t>
      </w:r>
      <w:r w:rsidR="0038767D">
        <w:t xml:space="preserve"> z</w:t>
      </w:r>
      <w:r w:rsidR="0038767D" w:rsidRPr="00F85B97">
        <w:t xml:space="preserve"> procesem unowocześniania zakładów produkcyjnych (w</w:t>
      </w:r>
      <w:r w:rsidR="00C7033C">
        <w:t> </w:t>
      </w:r>
      <w:r w:rsidR="0038767D" w:rsidRPr="00F85B97">
        <w:t xml:space="preserve">sektorze przemysłu), </w:t>
      </w:r>
      <w:r w:rsidR="0038767D">
        <w:t>w dużej mierze</w:t>
      </w:r>
      <w:r w:rsidR="0038767D" w:rsidRPr="00F85B97">
        <w:t xml:space="preserve"> na skutek funkcjonowania</w:t>
      </w:r>
      <w:r w:rsidR="0038767D">
        <w:t xml:space="preserve"> systemu EU</w:t>
      </w:r>
      <w:r w:rsidR="0038767D" w:rsidRPr="00F85B97">
        <w:t xml:space="preserve"> ETS, czego konsekwencją jest przechodzenie na paliwa</w:t>
      </w:r>
      <w:r w:rsidR="0038767D">
        <w:t xml:space="preserve"> i </w:t>
      </w:r>
      <w:r w:rsidR="0038767D" w:rsidRPr="00F85B97">
        <w:t>nośniki takie jak</w:t>
      </w:r>
      <w:r w:rsidR="0038767D">
        <w:t>:</w:t>
      </w:r>
      <w:r w:rsidR="0038767D" w:rsidRPr="00F85B97">
        <w:t xml:space="preserve"> </w:t>
      </w:r>
      <w:r w:rsidR="0038767D">
        <w:t>OZE</w:t>
      </w:r>
      <w:r w:rsidR="0038767D" w:rsidRPr="00F85B97">
        <w:t xml:space="preserve"> czy energia elektryczna.</w:t>
      </w:r>
      <w:r w:rsidR="0038767D">
        <w:t xml:space="preserve"> W </w:t>
      </w:r>
      <w:r w:rsidR="0038767D" w:rsidRPr="00F85B97">
        <w:t>następnej kolejności na spadek zużycia węgla wpływać będzie również proces wymiany starych, nieefektywnych kotłów</w:t>
      </w:r>
      <w:r w:rsidR="0038767D">
        <w:t xml:space="preserve"> w </w:t>
      </w:r>
      <w:r w:rsidR="0038767D" w:rsidRPr="00F85B97">
        <w:t xml:space="preserve">gospodarstwach domowych, wspierany </w:t>
      </w:r>
      <w:r w:rsidR="0038767D">
        <w:t>z jednej strony dopłatami (np. z programu Czyste Powietrze</w:t>
      </w:r>
      <w:r w:rsidR="0038767D" w:rsidRPr="00F85B97">
        <w:t>)</w:t>
      </w:r>
      <w:r w:rsidR="0038767D">
        <w:t>, a</w:t>
      </w:r>
      <w:r w:rsidR="00C7033C">
        <w:t> </w:t>
      </w:r>
      <w:r w:rsidR="0038767D">
        <w:t>z drugiej dodatkowymi kosztami wynikającymi z funkcjonowania systemu ETS2</w:t>
      </w:r>
      <w:r w:rsidR="0038767D" w:rsidRPr="00F85B97">
        <w:t>.</w:t>
      </w:r>
      <w:r w:rsidR="0038767D" w:rsidRPr="00F85B97">
        <w:rPr>
          <w:rFonts w:ascii="Arial" w:hAnsi="Arial" w:cs="Arial"/>
          <w:color w:val="333333"/>
        </w:rPr>
        <w:t xml:space="preserve"> </w:t>
      </w:r>
      <w:r w:rsidR="0038767D">
        <w:t>Procesy te są wzmacniane, m.in. wprowadzanymi na szczeblu regionalnym uchwałami antysmogowymi, zabraniającymi stosowania kotłów na paliwa stałe.</w:t>
      </w:r>
    </w:p>
    <w:p w14:paraId="0EE8E5C0" w14:textId="57F296D3" w:rsidR="0038767D" w:rsidRPr="00F85B97" w:rsidRDefault="0038767D" w:rsidP="0038767D">
      <w:pPr>
        <w:spacing w:after="120"/>
      </w:pPr>
      <w:r w:rsidRPr="00BA36A1">
        <w:t xml:space="preserve">Istotnie wzrasta zużycie energii elektrycznej oraz energii z odnawialnych źródeł energii, co jest charakterystycznym trendem obserwowanym w gospodarkach przechodzących transformację energetyczną. </w:t>
      </w:r>
      <w:r w:rsidR="001F4FB9" w:rsidRPr="00BA36A1">
        <w:t>Zużycie gazu</w:t>
      </w:r>
      <w:r w:rsidRPr="00BA36A1">
        <w:t xml:space="preserve"> ziemn</w:t>
      </w:r>
      <w:r w:rsidR="001F4FB9" w:rsidRPr="00BA36A1">
        <w:t>ego</w:t>
      </w:r>
      <w:r w:rsidRPr="00BA36A1">
        <w:t xml:space="preserve"> wzrasta </w:t>
      </w:r>
      <w:r w:rsidR="008C1943" w:rsidRPr="00BA36A1">
        <w:t>osiągają</w:t>
      </w:r>
      <w:r w:rsidR="00E56A72" w:rsidRPr="00BA36A1">
        <w:t xml:space="preserve">c szczyt </w:t>
      </w:r>
      <w:r w:rsidRPr="00BA36A1">
        <w:t xml:space="preserve">w </w:t>
      </w:r>
      <w:r w:rsidR="00E56A72" w:rsidRPr="00BA36A1">
        <w:t>okresie</w:t>
      </w:r>
      <w:r w:rsidRPr="00BA36A1">
        <w:t xml:space="preserve"> 2025</w:t>
      </w:r>
      <w:r w:rsidR="00E56A72" w:rsidRPr="00BA36A1">
        <w:t>-2030</w:t>
      </w:r>
      <w:r w:rsidRPr="00BA36A1">
        <w:t xml:space="preserve"> r., po </w:t>
      </w:r>
      <w:r w:rsidR="00E56A72" w:rsidRPr="00BA36A1">
        <w:t>czym</w:t>
      </w:r>
      <w:r w:rsidRPr="00BA36A1">
        <w:t xml:space="preserve"> jego udział w finalnym zużyciu energii stopniowo spada, ponieważ, jako paliwo emitujące gazy cieplarniane, również jest stopniowo wypierane przez OZE. Przewidywany jest również stopniowy spadek zapotrzebowania na ciepło sieciowe. Jest on wynikiem założeń dotyczących zakrojonych na szeroką skalę działań termomodernizacyjnych oraz wzrostu wykorzystania pomp ciepła w indywidualnych systemach ogrzewania.</w:t>
      </w:r>
      <w:r w:rsidRPr="00F85B97">
        <w:t xml:space="preserve"> </w:t>
      </w:r>
    </w:p>
    <w:p w14:paraId="5BC66C86" w14:textId="77777777" w:rsidR="00016B2F" w:rsidRDefault="00016B2F">
      <w:pPr>
        <w:jc w:val="left"/>
        <w:rPr>
          <w:i/>
          <w:iCs/>
          <w:color w:val="44546A" w:themeColor="text2"/>
          <w:sz w:val="18"/>
          <w:szCs w:val="18"/>
        </w:rPr>
      </w:pPr>
      <w:bookmarkStart w:id="295" w:name="_Ref156557374"/>
      <w:bookmarkStart w:id="296" w:name="_Ref195871405"/>
      <w:bookmarkStart w:id="297" w:name="_Toc171587191"/>
      <w:bookmarkStart w:id="298" w:name="_Toc174710975"/>
      <w:r>
        <w:br w:type="page"/>
      </w:r>
    </w:p>
    <w:p w14:paraId="0389D47D" w14:textId="201E3217" w:rsidR="005C4144" w:rsidRPr="00242213" w:rsidRDefault="005C4144" w:rsidP="005C4144">
      <w:pPr>
        <w:pStyle w:val="Legenda"/>
        <w:rPr>
          <w:rFonts w:eastAsia="Calibri"/>
          <w:bCs/>
          <w:i w:val="0"/>
          <w:color w:val="000000"/>
        </w:rPr>
      </w:pPr>
      <w:bookmarkStart w:id="299" w:name="_Ref200725770"/>
      <w:bookmarkStart w:id="300" w:name="_Toc202966978"/>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3</w:t>
      </w:r>
      <w:r w:rsidR="00653D9A">
        <w:rPr>
          <w:noProof/>
        </w:rPr>
        <w:fldChar w:fldCharType="end"/>
      </w:r>
      <w:bookmarkEnd w:id="295"/>
      <w:bookmarkEnd w:id="296"/>
      <w:bookmarkEnd w:id="299"/>
      <w:r>
        <w:t xml:space="preserve">. </w:t>
      </w:r>
      <w:r w:rsidRPr="00242213">
        <w:rPr>
          <w:iCs w:val="0"/>
        </w:rPr>
        <w:t>Zużycie energii finalnej</w:t>
      </w:r>
      <w:r>
        <w:rPr>
          <w:iCs w:val="0"/>
        </w:rPr>
        <w:t xml:space="preserve"> w </w:t>
      </w:r>
      <w:r w:rsidRPr="00242213">
        <w:rPr>
          <w:iCs w:val="0"/>
        </w:rPr>
        <w:t>podziale na paliwa</w:t>
      </w:r>
      <w:r>
        <w:rPr>
          <w:iCs w:val="0"/>
        </w:rPr>
        <w:t xml:space="preserve"> i </w:t>
      </w:r>
      <w:r w:rsidRPr="00242213">
        <w:rPr>
          <w:iCs w:val="0"/>
        </w:rPr>
        <w:t>nośniki [ktoe]</w:t>
      </w:r>
      <w:bookmarkEnd w:id="297"/>
      <w:bookmarkEnd w:id="298"/>
      <w:bookmarkEnd w:id="300"/>
    </w:p>
    <w:tbl>
      <w:tblPr>
        <w:tblStyle w:val="KPEiK"/>
        <w:tblW w:w="5000" w:type="pct"/>
        <w:tblLayout w:type="fixed"/>
        <w:tblLook w:val="04A0" w:firstRow="1" w:lastRow="0" w:firstColumn="1" w:lastColumn="0" w:noHBand="0" w:noVBand="1"/>
      </w:tblPr>
      <w:tblGrid>
        <w:gridCol w:w="2024"/>
        <w:gridCol w:w="878"/>
        <w:gridCol w:w="880"/>
        <w:gridCol w:w="879"/>
        <w:gridCol w:w="881"/>
        <w:gridCol w:w="881"/>
        <w:gridCol w:w="879"/>
        <w:gridCol w:w="881"/>
        <w:gridCol w:w="879"/>
      </w:tblGrid>
      <w:tr w:rsidR="000F0F9C" w:rsidRPr="00593894" w14:paraId="4CDF420D" w14:textId="77777777" w:rsidTr="000F0F9C">
        <w:trPr>
          <w:cnfStyle w:val="100000000000" w:firstRow="1" w:lastRow="0" w:firstColumn="0" w:lastColumn="0" w:oddVBand="0" w:evenVBand="0" w:oddHBand="0" w:evenHBand="0" w:firstRowFirstColumn="0" w:firstRowLastColumn="0" w:lastRowFirstColumn="0" w:lastRowLastColumn="0"/>
          <w:trHeight w:val="226"/>
          <w:tblHeader/>
        </w:trPr>
        <w:tc>
          <w:tcPr>
            <w:tcW w:w="2054" w:type="dxa"/>
            <w:noWrap/>
            <w:hideMark/>
          </w:tcPr>
          <w:p w14:paraId="59A9780E" w14:textId="77777777" w:rsidR="000F0F9C" w:rsidRPr="00593894" w:rsidRDefault="000F0F9C">
            <w:pPr>
              <w:pStyle w:val="Tabele"/>
              <w:jc w:val="center"/>
            </w:pPr>
          </w:p>
        </w:tc>
        <w:tc>
          <w:tcPr>
            <w:tcW w:w="890" w:type="dxa"/>
            <w:hideMark/>
          </w:tcPr>
          <w:p w14:paraId="556F9736" w14:textId="77777777" w:rsidR="000F0F9C" w:rsidRPr="00593894" w:rsidRDefault="000F0F9C">
            <w:pPr>
              <w:pStyle w:val="Tabele"/>
              <w:jc w:val="center"/>
              <w:rPr>
                <w:bCs/>
              </w:rPr>
            </w:pPr>
            <w:r w:rsidRPr="00593894">
              <w:rPr>
                <w:bCs/>
              </w:rPr>
              <w:t>2005</w:t>
            </w:r>
          </w:p>
        </w:tc>
        <w:tc>
          <w:tcPr>
            <w:tcW w:w="892" w:type="dxa"/>
            <w:hideMark/>
          </w:tcPr>
          <w:p w14:paraId="3508E290" w14:textId="77777777" w:rsidR="000F0F9C" w:rsidRPr="00593894" w:rsidRDefault="000F0F9C">
            <w:pPr>
              <w:pStyle w:val="Tabele"/>
              <w:jc w:val="center"/>
              <w:rPr>
                <w:bCs/>
              </w:rPr>
            </w:pPr>
            <w:r w:rsidRPr="00593894">
              <w:rPr>
                <w:bCs/>
              </w:rPr>
              <w:t>2010</w:t>
            </w:r>
          </w:p>
        </w:tc>
        <w:tc>
          <w:tcPr>
            <w:tcW w:w="890" w:type="dxa"/>
            <w:hideMark/>
          </w:tcPr>
          <w:p w14:paraId="30E87007" w14:textId="77777777" w:rsidR="000F0F9C" w:rsidRPr="00593894" w:rsidRDefault="000F0F9C">
            <w:pPr>
              <w:pStyle w:val="Tabele"/>
              <w:jc w:val="center"/>
              <w:rPr>
                <w:bCs/>
              </w:rPr>
            </w:pPr>
            <w:r w:rsidRPr="00593894">
              <w:rPr>
                <w:bCs/>
              </w:rPr>
              <w:t>2015</w:t>
            </w:r>
          </w:p>
        </w:tc>
        <w:tc>
          <w:tcPr>
            <w:tcW w:w="892" w:type="dxa"/>
            <w:hideMark/>
          </w:tcPr>
          <w:p w14:paraId="601E7B7B" w14:textId="77777777" w:rsidR="000F0F9C" w:rsidRPr="00593894" w:rsidRDefault="000F0F9C">
            <w:pPr>
              <w:pStyle w:val="Tabele"/>
              <w:jc w:val="center"/>
              <w:rPr>
                <w:bCs/>
              </w:rPr>
            </w:pPr>
            <w:r w:rsidRPr="00593894">
              <w:rPr>
                <w:bCs/>
              </w:rPr>
              <w:t>2020</w:t>
            </w:r>
          </w:p>
        </w:tc>
        <w:tc>
          <w:tcPr>
            <w:tcW w:w="892" w:type="dxa"/>
            <w:hideMark/>
          </w:tcPr>
          <w:p w14:paraId="0C740DB4" w14:textId="77777777" w:rsidR="000F0F9C" w:rsidRPr="00593894" w:rsidRDefault="000F0F9C">
            <w:pPr>
              <w:pStyle w:val="Tabele"/>
              <w:jc w:val="center"/>
              <w:rPr>
                <w:bCs/>
              </w:rPr>
            </w:pPr>
            <w:r w:rsidRPr="00593894">
              <w:rPr>
                <w:bCs/>
              </w:rPr>
              <w:t>2025</w:t>
            </w:r>
          </w:p>
        </w:tc>
        <w:tc>
          <w:tcPr>
            <w:tcW w:w="890" w:type="dxa"/>
            <w:hideMark/>
          </w:tcPr>
          <w:p w14:paraId="5B3E7B12" w14:textId="77777777" w:rsidR="000F0F9C" w:rsidRPr="00593894" w:rsidRDefault="000F0F9C">
            <w:pPr>
              <w:pStyle w:val="Tabele"/>
              <w:jc w:val="center"/>
              <w:rPr>
                <w:bCs/>
              </w:rPr>
            </w:pPr>
            <w:r w:rsidRPr="00593894">
              <w:rPr>
                <w:bCs/>
              </w:rPr>
              <w:t>2030</w:t>
            </w:r>
          </w:p>
        </w:tc>
        <w:tc>
          <w:tcPr>
            <w:tcW w:w="892" w:type="dxa"/>
            <w:hideMark/>
          </w:tcPr>
          <w:p w14:paraId="070442BA" w14:textId="77777777" w:rsidR="000F0F9C" w:rsidRPr="00593894" w:rsidRDefault="000F0F9C">
            <w:pPr>
              <w:pStyle w:val="Tabele"/>
              <w:jc w:val="center"/>
              <w:rPr>
                <w:bCs/>
              </w:rPr>
            </w:pPr>
            <w:r w:rsidRPr="00593894">
              <w:rPr>
                <w:bCs/>
              </w:rPr>
              <w:t>2035</w:t>
            </w:r>
          </w:p>
        </w:tc>
        <w:tc>
          <w:tcPr>
            <w:tcW w:w="890" w:type="dxa"/>
            <w:hideMark/>
          </w:tcPr>
          <w:p w14:paraId="49807D3C" w14:textId="77777777" w:rsidR="000F0F9C" w:rsidRPr="00593894" w:rsidRDefault="000F0F9C">
            <w:pPr>
              <w:pStyle w:val="Tabele"/>
              <w:jc w:val="center"/>
              <w:rPr>
                <w:bCs/>
              </w:rPr>
            </w:pPr>
            <w:r w:rsidRPr="00593894">
              <w:rPr>
                <w:bCs/>
              </w:rPr>
              <w:t>2040</w:t>
            </w:r>
          </w:p>
        </w:tc>
      </w:tr>
      <w:tr w:rsidR="000F0F9C" w:rsidRPr="00593894" w14:paraId="0851C77C" w14:textId="77777777" w:rsidTr="0D29C4E5">
        <w:trPr>
          <w:trHeight w:val="226"/>
        </w:trPr>
        <w:tc>
          <w:tcPr>
            <w:tcW w:w="2054" w:type="dxa"/>
            <w:hideMark/>
          </w:tcPr>
          <w:p w14:paraId="2BF5C6A3" w14:textId="77777777" w:rsidR="000F0F9C" w:rsidRPr="000F0F9C" w:rsidRDefault="000F0F9C">
            <w:pPr>
              <w:pStyle w:val="Tabele"/>
              <w:rPr>
                <w:color w:val="auto"/>
              </w:rPr>
            </w:pPr>
            <w:r w:rsidRPr="000F0F9C">
              <w:rPr>
                <w:color w:val="auto"/>
                <w:szCs w:val="16"/>
              </w:rPr>
              <w:t>Energia elektryczna</w:t>
            </w:r>
          </w:p>
        </w:tc>
        <w:tc>
          <w:tcPr>
            <w:tcW w:w="890" w:type="dxa"/>
            <w:shd w:val="clear" w:color="auto" w:fill="C5E0B3" w:themeFill="accent6" w:themeFillTint="66"/>
            <w:noWrap/>
            <w:hideMark/>
          </w:tcPr>
          <w:p w14:paraId="0ED233DC" w14:textId="77777777" w:rsidR="000F0F9C" w:rsidRPr="000F0F9C" w:rsidRDefault="000F0F9C">
            <w:pPr>
              <w:pStyle w:val="Tabele"/>
              <w:jc w:val="right"/>
              <w:rPr>
                <w:color w:val="auto"/>
              </w:rPr>
            </w:pPr>
            <w:r w:rsidRPr="000F0F9C">
              <w:rPr>
                <w:color w:val="auto"/>
                <w:szCs w:val="16"/>
              </w:rPr>
              <w:t>9 028</w:t>
            </w:r>
          </w:p>
        </w:tc>
        <w:tc>
          <w:tcPr>
            <w:tcW w:w="892" w:type="dxa"/>
            <w:shd w:val="clear" w:color="auto" w:fill="C5E0B3" w:themeFill="accent6" w:themeFillTint="66"/>
            <w:noWrap/>
            <w:hideMark/>
          </w:tcPr>
          <w:p w14:paraId="311C2DD4" w14:textId="77777777" w:rsidR="000F0F9C" w:rsidRPr="000F0F9C" w:rsidRDefault="000F0F9C">
            <w:pPr>
              <w:pStyle w:val="Tabele"/>
              <w:jc w:val="right"/>
              <w:rPr>
                <w:color w:val="auto"/>
              </w:rPr>
            </w:pPr>
            <w:r w:rsidRPr="000F0F9C">
              <w:rPr>
                <w:color w:val="auto"/>
                <w:szCs w:val="16"/>
              </w:rPr>
              <w:t>10 206</w:t>
            </w:r>
          </w:p>
        </w:tc>
        <w:tc>
          <w:tcPr>
            <w:tcW w:w="890" w:type="dxa"/>
            <w:shd w:val="clear" w:color="auto" w:fill="C5E0B3" w:themeFill="accent6" w:themeFillTint="66"/>
            <w:noWrap/>
            <w:hideMark/>
          </w:tcPr>
          <w:p w14:paraId="2116EC9E" w14:textId="77777777" w:rsidR="000F0F9C" w:rsidRPr="000F0F9C" w:rsidRDefault="000F0F9C">
            <w:pPr>
              <w:pStyle w:val="Tabele"/>
              <w:jc w:val="right"/>
              <w:rPr>
                <w:color w:val="auto"/>
              </w:rPr>
            </w:pPr>
            <w:r w:rsidRPr="000F0F9C">
              <w:rPr>
                <w:color w:val="auto"/>
                <w:szCs w:val="16"/>
              </w:rPr>
              <w:t>10 990</w:t>
            </w:r>
          </w:p>
        </w:tc>
        <w:tc>
          <w:tcPr>
            <w:tcW w:w="892" w:type="dxa"/>
            <w:shd w:val="clear" w:color="auto" w:fill="C5E0B3" w:themeFill="accent6" w:themeFillTint="66"/>
            <w:noWrap/>
            <w:hideMark/>
          </w:tcPr>
          <w:p w14:paraId="078031A2" w14:textId="77777777" w:rsidR="000F0F9C" w:rsidRPr="000F0F9C" w:rsidRDefault="000F0F9C">
            <w:pPr>
              <w:pStyle w:val="Tabele"/>
              <w:jc w:val="right"/>
              <w:rPr>
                <w:color w:val="auto"/>
              </w:rPr>
            </w:pPr>
            <w:r w:rsidRPr="000F0F9C">
              <w:rPr>
                <w:color w:val="auto"/>
                <w:szCs w:val="16"/>
              </w:rPr>
              <w:t>11 806</w:t>
            </w:r>
          </w:p>
        </w:tc>
        <w:tc>
          <w:tcPr>
            <w:tcW w:w="892" w:type="dxa"/>
            <w:noWrap/>
            <w:hideMark/>
          </w:tcPr>
          <w:p w14:paraId="5BFCCB39" w14:textId="77777777" w:rsidR="000F0F9C" w:rsidRPr="000F0F9C" w:rsidRDefault="000F0F9C">
            <w:pPr>
              <w:pStyle w:val="Tabele"/>
              <w:jc w:val="right"/>
              <w:rPr>
                <w:color w:val="auto"/>
              </w:rPr>
            </w:pPr>
            <w:r w:rsidRPr="000F0F9C">
              <w:rPr>
                <w:color w:val="auto"/>
              </w:rPr>
              <w:t>12 477</w:t>
            </w:r>
          </w:p>
        </w:tc>
        <w:tc>
          <w:tcPr>
            <w:tcW w:w="890" w:type="dxa"/>
            <w:noWrap/>
            <w:hideMark/>
          </w:tcPr>
          <w:p w14:paraId="0C0D2C77" w14:textId="77777777" w:rsidR="000F0F9C" w:rsidRPr="000F0F9C" w:rsidRDefault="000F0F9C">
            <w:pPr>
              <w:pStyle w:val="Tabele"/>
              <w:jc w:val="right"/>
              <w:rPr>
                <w:color w:val="auto"/>
              </w:rPr>
            </w:pPr>
            <w:r w:rsidRPr="000F0F9C">
              <w:rPr>
                <w:color w:val="auto"/>
              </w:rPr>
              <w:t>13 117</w:t>
            </w:r>
          </w:p>
        </w:tc>
        <w:tc>
          <w:tcPr>
            <w:tcW w:w="892" w:type="dxa"/>
            <w:noWrap/>
            <w:hideMark/>
          </w:tcPr>
          <w:p w14:paraId="706F9424" w14:textId="77777777" w:rsidR="000F0F9C" w:rsidRPr="000F0F9C" w:rsidRDefault="000F0F9C">
            <w:pPr>
              <w:pStyle w:val="Tabele"/>
              <w:jc w:val="right"/>
              <w:rPr>
                <w:color w:val="auto"/>
              </w:rPr>
            </w:pPr>
            <w:r w:rsidRPr="000F0F9C">
              <w:rPr>
                <w:color w:val="auto"/>
              </w:rPr>
              <w:t>14 116</w:t>
            </w:r>
          </w:p>
        </w:tc>
        <w:tc>
          <w:tcPr>
            <w:tcW w:w="890" w:type="dxa"/>
            <w:noWrap/>
            <w:hideMark/>
          </w:tcPr>
          <w:p w14:paraId="03930ACA" w14:textId="77777777" w:rsidR="000F0F9C" w:rsidRPr="000F0F9C" w:rsidRDefault="000F0F9C">
            <w:pPr>
              <w:pStyle w:val="Tabele"/>
              <w:jc w:val="right"/>
              <w:rPr>
                <w:color w:val="auto"/>
              </w:rPr>
            </w:pPr>
            <w:r w:rsidRPr="000F0F9C">
              <w:rPr>
                <w:color w:val="auto"/>
              </w:rPr>
              <w:t>15 265</w:t>
            </w:r>
          </w:p>
        </w:tc>
      </w:tr>
      <w:tr w:rsidR="000F0F9C" w:rsidRPr="00593894" w14:paraId="0E2DCF5D" w14:textId="77777777" w:rsidTr="0D29C4E5">
        <w:trPr>
          <w:trHeight w:val="226"/>
        </w:trPr>
        <w:tc>
          <w:tcPr>
            <w:tcW w:w="2054" w:type="dxa"/>
            <w:hideMark/>
          </w:tcPr>
          <w:p w14:paraId="445E934C" w14:textId="77777777" w:rsidR="000F0F9C" w:rsidRPr="000F0F9C" w:rsidRDefault="000F0F9C">
            <w:pPr>
              <w:pStyle w:val="Tabele"/>
              <w:rPr>
                <w:color w:val="auto"/>
              </w:rPr>
            </w:pPr>
            <w:r w:rsidRPr="000F0F9C">
              <w:rPr>
                <w:color w:val="auto"/>
                <w:szCs w:val="16"/>
              </w:rPr>
              <w:t>Ciepło sieciowe</w:t>
            </w:r>
          </w:p>
        </w:tc>
        <w:tc>
          <w:tcPr>
            <w:tcW w:w="890" w:type="dxa"/>
            <w:shd w:val="clear" w:color="auto" w:fill="C5E0B3" w:themeFill="accent6" w:themeFillTint="66"/>
            <w:noWrap/>
            <w:hideMark/>
          </w:tcPr>
          <w:p w14:paraId="7B45ADBC" w14:textId="77777777" w:rsidR="000F0F9C" w:rsidRPr="000F0F9C" w:rsidRDefault="000F0F9C">
            <w:pPr>
              <w:pStyle w:val="Tabele"/>
              <w:jc w:val="right"/>
              <w:rPr>
                <w:color w:val="auto"/>
              </w:rPr>
            </w:pPr>
            <w:r w:rsidRPr="000F0F9C">
              <w:rPr>
                <w:color w:val="auto"/>
                <w:szCs w:val="16"/>
              </w:rPr>
              <w:t>6 634</w:t>
            </w:r>
          </w:p>
        </w:tc>
        <w:tc>
          <w:tcPr>
            <w:tcW w:w="892" w:type="dxa"/>
            <w:shd w:val="clear" w:color="auto" w:fill="C5E0B3" w:themeFill="accent6" w:themeFillTint="66"/>
            <w:noWrap/>
            <w:hideMark/>
          </w:tcPr>
          <w:p w14:paraId="3B27116A" w14:textId="77777777" w:rsidR="000F0F9C" w:rsidRPr="000F0F9C" w:rsidRDefault="000F0F9C">
            <w:pPr>
              <w:pStyle w:val="Tabele"/>
              <w:jc w:val="right"/>
              <w:rPr>
                <w:color w:val="auto"/>
              </w:rPr>
            </w:pPr>
            <w:r w:rsidRPr="000F0F9C">
              <w:rPr>
                <w:color w:val="auto"/>
                <w:szCs w:val="16"/>
              </w:rPr>
              <w:t>6 547</w:t>
            </w:r>
          </w:p>
        </w:tc>
        <w:tc>
          <w:tcPr>
            <w:tcW w:w="890" w:type="dxa"/>
            <w:shd w:val="clear" w:color="auto" w:fill="C5E0B3" w:themeFill="accent6" w:themeFillTint="66"/>
            <w:noWrap/>
            <w:hideMark/>
          </w:tcPr>
          <w:p w14:paraId="64D3DCC2" w14:textId="77777777" w:rsidR="000F0F9C" w:rsidRPr="000F0F9C" w:rsidRDefault="000F0F9C">
            <w:pPr>
              <w:pStyle w:val="Tabele"/>
              <w:jc w:val="right"/>
              <w:rPr>
                <w:color w:val="auto"/>
              </w:rPr>
            </w:pPr>
            <w:r w:rsidRPr="000F0F9C">
              <w:rPr>
                <w:color w:val="auto"/>
                <w:szCs w:val="16"/>
              </w:rPr>
              <w:t>5 462</w:t>
            </w:r>
          </w:p>
        </w:tc>
        <w:tc>
          <w:tcPr>
            <w:tcW w:w="892" w:type="dxa"/>
            <w:shd w:val="clear" w:color="auto" w:fill="C5E0B3" w:themeFill="accent6" w:themeFillTint="66"/>
            <w:noWrap/>
            <w:hideMark/>
          </w:tcPr>
          <w:p w14:paraId="2EC8E2BB" w14:textId="77777777" w:rsidR="000F0F9C" w:rsidRPr="000F0F9C" w:rsidRDefault="000F0F9C">
            <w:pPr>
              <w:pStyle w:val="Tabele"/>
              <w:jc w:val="right"/>
              <w:rPr>
                <w:color w:val="auto"/>
              </w:rPr>
            </w:pPr>
            <w:r w:rsidRPr="000F0F9C">
              <w:rPr>
                <w:color w:val="auto"/>
                <w:szCs w:val="16"/>
              </w:rPr>
              <w:t>5 603</w:t>
            </w:r>
          </w:p>
        </w:tc>
        <w:tc>
          <w:tcPr>
            <w:tcW w:w="892" w:type="dxa"/>
            <w:noWrap/>
            <w:hideMark/>
          </w:tcPr>
          <w:p w14:paraId="6BAEFB1E" w14:textId="77777777" w:rsidR="000F0F9C" w:rsidRPr="000F0F9C" w:rsidRDefault="000F0F9C">
            <w:pPr>
              <w:pStyle w:val="Tabele"/>
              <w:jc w:val="right"/>
              <w:rPr>
                <w:color w:val="auto"/>
              </w:rPr>
            </w:pPr>
            <w:r w:rsidRPr="000F0F9C">
              <w:rPr>
                <w:color w:val="auto"/>
              </w:rPr>
              <w:t>5 258</w:t>
            </w:r>
          </w:p>
        </w:tc>
        <w:tc>
          <w:tcPr>
            <w:tcW w:w="890" w:type="dxa"/>
            <w:noWrap/>
            <w:hideMark/>
          </w:tcPr>
          <w:p w14:paraId="32E4B046" w14:textId="77777777" w:rsidR="000F0F9C" w:rsidRPr="000F0F9C" w:rsidRDefault="000F0F9C">
            <w:pPr>
              <w:pStyle w:val="Tabele"/>
              <w:jc w:val="right"/>
              <w:rPr>
                <w:color w:val="auto"/>
              </w:rPr>
            </w:pPr>
            <w:r w:rsidRPr="000F0F9C">
              <w:rPr>
                <w:color w:val="auto"/>
              </w:rPr>
              <w:t>4 623</w:t>
            </w:r>
          </w:p>
        </w:tc>
        <w:tc>
          <w:tcPr>
            <w:tcW w:w="892" w:type="dxa"/>
            <w:noWrap/>
            <w:hideMark/>
          </w:tcPr>
          <w:p w14:paraId="0A4B495F" w14:textId="77777777" w:rsidR="000F0F9C" w:rsidRPr="000F0F9C" w:rsidRDefault="000F0F9C">
            <w:pPr>
              <w:pStyle w:val="Tabele"/>
              <w:jc w:val="right"/>
              <w:rPr>
                <w:color w:val="auto"/>
              </w:rPr>
            </w:pPr>
            <w:r w:rsidRPr="000F0F9C">
              <w:rPr>
                <w:color w:val="auto"/>
              </w:rPr>
              <w:t>3 956</w:t>
            </w:r>
          </w:p>
        </w:tc>
        <w:tc>
          <w:tcPr>
            <w:tcW w:w="890" w:type="dxa"/>
            <w:noWrap/>
            <w:hideMark/>
          </w:tcPr>
          <w:p w14:paraId="054A701F" w14:textId="77777777" w:rsidR="000F0F9C" w:rsidRPr="000F0F9C" w:rsidRDefault="000F0F9C">
            <w:pPr>
              <w:pStyle w:val="Tabele"/>
              <w:jc w:val="right"/>
              <w:rPr>
                <w:color w:val="auto"/>
              </w:rPr>
            </w:pPr>
            <w:r w:rsidRPr="000F0F9C">
              <w:rPr>
                <w:color w:val="auto"/>
              </w:rPr>
              <w:t>3 850</w:t>
            </w:r>
          </w:p>
        </w:tc>
      </w:tr>
      <w:tr w:rsidR="000F0F9C" w:rsidRPr="00593894" w14:paraId="0BBFD870" w14:textId="77777777" w:rsidTr="0D29C4E5">
        <w:trPr>
          <w:trHeight w:val="226"/>
        </w:trPr>
        <w:tc>
          <w:tcPr>
            <w:tcW w:w="2054" w:type="dxa"/>
            <w:hideMark/>
          </w:tcPr>
          <w:p w14:paraId="0E78ED44" w14:textId="77777777" w:rsidR="000F0F9C" w:rsidRPr="000F0F9C" w:rsidRDefault="000F0F9C">
            <w:pPr>
              <w:pStyle w:val="Tabele"/>
              <w:rPr>
                <w:color w:val="auto"/>
              </w:rPr>
            </w:pPr>
            <w:r w:rsidRPr="000F0F9C">
              <w:rPr>
                <w:color w:val="auto"/>
                <w:szCs w:val="16"/>
              </w:rPr>
              <w:t>Węgiel</w:t>
            </w:r>
          </w:p>
        </w:tc>
        <w:tc>
          <w:tcPr>
            <w:tcW w:w="890" w:type="dxa"/>
            <w:shd w:val="clear" w:color="auto" w:fill="C5E0B3" w:themeFill="accent6" w:themeFillTint="66"/>
            <w:noWrap/>
            <w:hideMark/>
          </w:tcPr>
          <w:p w14:paraId="5033124F" w14:textId="77777777" w:rsidR="000F0F9C" w:rsidRPr="000F0F9C" w:rsidRDefault="000F0F9C">
            <w:pPr>
              <w:pStyle w:val="Tabele"/>
              <w:jc w:val="right"/>
              <w:rPr>
                <w:color w:val="auto"/>
              </w:rPr>
            </w:pPr>
            <w:r w:rsidRPr="000F0F9C">
              <w:rPr>
                <w:color w:val="auto"/>
                <w:szCs w:val="16"/>
              </w:rPr>
              <w:t>12 340</w:t>
            </w:r>
          </w:p>
        </w:tc>
        <w:tc>
          <w:tcPr>
            <w:tcW w:w="892" w:type="dxa"/>
            <w:shd w:val="clear" w:color="auto" w:fill="C5E0B3" w:themeFill="accent6" w:themeFillTint="66"/>
            <w:noWrap/>
            <w:hideMark/>
          </w:tcPr>
          <w:p w14:paraId="52523AE9" w14:textId="77777777" w:rsidR="000F0F9C" w:rsidRPr="000F0F9C" w:rsidRDefault="000F0F9C">
            <w:pPr>
              <w:pStyle w:val="Tabele"/>
              <w:jc w:val="right"/>
              <w:rPr>
                <w:color w:val="auto"/>
              </w:rPr>
            </w:pPr>
            <w:r w:rsidRPr="000F0F9C">
              <w:rPr>
                <w:color w:val="auto"/>
                <w:szCs w:val="16"/>
              </w:rPr>
              <w:t>13 733</w:t>
            </w:r>
          </w:p>
        </w:tc>
        <w:tc>
          <w:tcPr>
            <w:tcW w:w="890" w:type="dxa"/>
            <w:shd w:val="clear" w:color="auto" w:fill="C5E0B3" w:themeFill="accent6" w:themeFillTint="66"/>
            <w:noWrap/>
            <w:hideMark/>
          </w:tcPr>
          <w:p w14:paraId="37AAF129" w14:textId="77777777" w:rsidR="000F0F9C" w:rsidRPr="000F0F9C" w:rsidRDefault="000F0F9C">
            <w:pPr>
              <w:pStyle w:val="Tabele"/>
              <w:jc w:val="right"/>
              <w:rPr>
                <w:color w:val="auto"/>
              </w:rPr>
            </w:pPr>
            <w:r w:rsidRPr="000F0F9C">
              <w:rPr>
                <w:color w:val="auto"/>
                <w:szCs w:val="16"/>
              </w:rPr>
              <w:t>11 218</w:t>
            </w:r>
          </w:p>
        </w:tc>
        <w:tc>
          <w:tcPr>
            <w:tcW w:w="892" w:type="dxa"/>
            <w:shd w:val="clear" w:color="auto" w:fill="C5E0B3" w:themeFill="accent6" w:themeFillTint="66"/>
            <w:noWrap/>
            <w:hideMark/>
          </w:tcPr>
          <w:p w14:paraId="33F276AE" w14:textId="77777777" w:rsidR="000F0F9C" w:rsidRPr="000F0F9C" w:rsidRDefault="000F0F9C">
            <w:pPr>
              <w:pStyle w:val="Tabele"/>
              <w:jc w:val="right"/>
              <w:rPr>
                <w:color w:val="auto"/>
              </w:rPr>
            </w:pPr>
            <w:r w:rsidRPr="000F0F9C">
              <w:rPr>
                <w:color w:val="auto"/>
                <w:szCs w:val="16"/>
              </w:rPr>
              <w:t>9 335</w:t>
            </w:r>
          </w:p>
        </w:tc>
        <w:tc>
          <w:tcPr>
            <w:tcW w:w="892" w:type="dxa"/>
            <w:noWrap/>
            <w:hideMark/>
          </w:tcPr>
          <w:p w14:paraId="77BFC14E" w14:textId="77777777" w:rsidR="000F0F9C" w:rsidRPr="000F0F9C" w:rsidRDefault="000F0F9C">
            <w:pPr>
              <w:pStyle w:val="Tabele"/>
              <w:jc w:val="right"/>
              <w:rPr>
                <w:color w:val="auto"/>
              </w:rPr>
            </w:pPr>
            <w:r w:rsidRPr="000F0F9C">
              <w:rPr>
                <w:color w:val="auto"/>
              </w:rPr>
              <w:t>6 114</w:t>
            </w:r>
          </w:p>
        </w:tc>
        <w:tc>
          <w:tcPr>
            <w:tcW w:w="890" w:type="dxa"/>
            <w:noWrap/>
            <w:hideMark/>
          </w:tcPr>
          <w:p w14:paraId="1267D436" w14:textId="77777777" w:rsidR="000F0F9C" w:rsidRPr="000F0F9C" w:rsidRDefault="000F0F9C">
            <w:pPr>
              <w:pStyle w:val="Tabele"/>
              <w:jc w:val="right"/>
              <w:rPr>
                <w:color w:val="auto"/>
              </w:rPr>
            </w:pPr>
            <w:r w:rsidRPr="000F0F9C">
              <w:rPr>
                <w:color w:val="auto"/>
              </w:rPr>
              <w:t>3 095</w:t>
            </w:r>
          </w:p>
        </w:tc>
        <w:tc>
          <w:tcPr>
            <w:tcW w:w="892" w:type="dxa"/>
            <w:noWrap/>
            <w:hideMark/>
          </w:tcPr>
          <w:p w14:paraId="3444CD4C" w14:textId="77777777" w:rsidR="000F0F9C" w:rsidRPr="000F0F9C" w:rsidRDefault="000F0F9C">
            <w:pPr>
              <w:pStyle w:val="Tabele"/>
              <w:jc w:val="right"/>
              <w:rPr>
                <w:color w:val="auto"/>
              </w:rPr>
            </w:pPr>
            <w:r w:rsidRPr="000F0F9C">
              <w:rPr>
                <w:color w:val="auto"/>
              </w:rPr>
              <w:t>1 482</w:t>
            </w:r>
          </w:p>
        </w:tc>
        <w:tc>
          <w:tcPr>
            <w:tcW w:w="890" w:type="dxa"/>
            <w:noWrap/>
            <w:hideMark/>
          </w:tcPr>
          <w:p w14:paraId="4E84A07E" w14:textId="77777777" w:rsidR="000F0F9C" w:rsidRPr="000F0F9C" w:rsidRDefault="000F0F9C">
            <w:pPr>
              <w:pStyle w:val="Tabele"/>
              <w:jc w:val="right"/>
              <w:rPr>
                <w:color w:val="auto"/>
              </w:rPr>
            </w:pPr>
            <w:r w:rsidRPr="000F0F9C">
              <w:rPr>
                <w:color w:val="auto"/>
              </w:rPr>
              <w:t>580</w:t>
            </w:r>
          </w:p>
        </w:tc>
      </w:tr>
      <w:tr w:rsidR="000F0F9C" w:rsidRPr="00593894" w14:paraId="5F7AF0DC" w14:textId="77777777" w:rsidTr="0D29C4E5">
        <w:trPr>
          <w:trHeight w:val="226"/>
        </w:trPr>
        <w:tc>
          <w:tcPr>
            <w:tcW w:w="2054" w:type="dxa"/>
            <w:hideMark/>
          </w:tcPr>
          <w:p w14:paraId="59DF0878" w14:textId="77777777" w:rsidR="000F0F9C" w:rsidRPr="000F0F9C" w:rsidRDefault="000F0F9C">
            <w:pPr>
              <w:pStyle w:val="Tabele"/>
              <w:rPr>
                <w:color w:val="auto"/>
              </w:rPr>
            </w:pPr>
            <w:r w:rsidRPr="000F0F9C">
              <w:rPr>
                <w:color w:val="auto"/>
                <w:szCs w:val="16"/>
              </w:rPr>
              <w:t>Produkty naftowe</w:t>
            </w:r>
          </w:p>
        </w:tc>
        <w:tc>
          <w:tcPr>
            <w:tcW w:w="890" w:type="dxa"/>
            <w:shd w:val="clear" w:color="auto" w:fill="C5E0B3" w:themeFill="accent6" w:themeFillTint="66"/>
            <w:noWrap/>
            <w:hideMark/>
          </w:tcPr>
          <w:p w14:paraId="5C54BDE2" w14:textId="77777777" w:rsidR="000F0F9C" w:rsidRPr="000F0F9C" w:rsidRDefault="000F0F9C">
            <w:pPr>
              <w:pStyle w:val="Tabele"/>
              <w:jc w:val="right"/>
              <w:rPr>
                <w:color w:val="auto"/>
              </w:rPr>
            </w:pPr>
            <w:r w:rsidRPr="000F0F9C">
              <w:rPr>
                <w:color w:val="auto"/>
                <w:szCs w:val="16"/>
              </w:rPr>
              <w:t>17 563</w:t>
            </w:r>
          </w:p>
        </w:tc>
        <w:tc>
          <w:tcPr>
            <w:tcW w:w="892" w:type="dxa"/>
            <w:shd w:val="clear" w:color="auto" w:fill="C5E0B3" w:themeFill="accent6" w:themeFillTint="66"/>
            <w:noWrap/>
            <w:hideMark/>
          </w:tcPr>
          <w:p w14:paraId="3A055C39" w14:textId="77777777" w:rsidR="000F0F9C" w:rsidRPr="000F0F9C" w:rsidRDefault="000F0F9C">
            <w:pPr>
              <w:pStyle w:val="Tabele"/>
              <w:jc w:val="right"/>
              <w:rPr>
                <w:color w:val="auto"/>
              </w:rPr>
            </w:pPr>
            <w:r w:rsidRPr="000F0F9C">
              <w:rPr>
                <w:color w:val="auto"/>
                <w:szCs w:val="16"/>
              </w:rPr>
              <w:t>20 213</w:t>
            </w:r>
          </w:p>
        </w:tc>
        <w:tc>
          <w:tcPr>
            <w:tcW w:w="890" w:type="dxa"/>
            <w:shd w:val="clear" w:color="auto" w:fill="C5E0B3" w:themeFill="accent6" w:themeFillTint="66"/>
            <w:noWrap/>
            <w:hideMark/>
          </w:tcPr>
          <w:p w14:paraId="7AAFB75E" w14:textId="77777777" w:rsidR="000F0F9C" w:rsidRPr="000F0F9C" w:rsidRDefault="000F0F9C">
            <w:pPr>
              <w:pStyle w:val="Tabele"/>
              <w:jc w:val="right"/>
              <w:rPr>
                <w:color w:val="auto"/>
              </w:rPr>
            </w:pPr>
            <w:r w:rsidRPr="000F0F9C">
              <w:rPr>
                <w:color w:val="auto"/>
                <w:szCs w:val="16"/>
              </w:rPr>
              <w:t>18 647</w:t>
            </w:r>
          </w:p>
        </w:tc>
        <w:tc>
          <w:tcPr>
            <w:tcW w:w="892" w:type="dxa"/>
            <w:shd w:val="clear" w:color="auto" w:fill="C5E0B3" w:themeFill="accent6" w:themeFillTint="66"/>
            <w:noWrap/>
            <w:hideMark/>
          </w:tcPr>
          <w:p w14:paraId="421A87FC" w14:textId="77777777" w:rsidR="000F0F9C" w:rsidRPr="000F0F9C" w:rsidRDefault="000F0F9C">
            <w:pPr>
              <w:pStyle w:val="Tabele"/>
              <w:jc w:val="right"/>
              <w:rPr>
                <w:color w:val="auto"/>
              </w:rPr>
            </w:pPr>
            <w:r w:rsidRPr="000F0F9C">
              <w:rPr>
                <w:color w:val="auto"/>
                <w:szCs w:val="16"/>
              </w:rPr>
              <w:t>24 384</w:t>
            </w:r>
          </w:p>
        </w:tc>
        <w:tc>
          <w:tcPr>
            <w:tcW w:w="892" w:type="dxa"/>
            <w:noWrap/>
            <w:hideMark/>
          </w:tcPr>
          <w:p w14:paraId="0EDFABB0" w14:textId="77777777" w:rsidR="000F0F9C" w:rsidRPr="000F0F9C" w:rsidRDefault="000F0F9C">
            <w:pPr>
              <w:pStyle w:val="Tabele"/>
              <w:jc w:val="right"/>
              <w:rPr>
                <w:color w:val="auto"/>
              </w:rPr>
            </w:pPr>
            <w:r w:rsidRPr="000F0F9C">
              <w:rPr>
                <w:color w:val="auto"/>
              </w:rPr>
              <w:t>24 438</w:t>
            </w:r>
          </w:p>
        </w:tc>
        <w:tc>
          <w:tcPr>
            <w:tcW w:w="890" w:type="dxa"/>
            <w:noWrap/>
            <w:hideMark/>
          </w:tcPr>
          <w:p w14:paraId="35CA29F3" w14:textId="77777777" w:rsidR="000F0F9C" w:rsidRPr="000F0F9C" w:rsidRDefault="000F0F9C">
            <w:pPr>
              <w:pStyle w:val="Tabele"/>
              <w:jc w:val="right"/>
              <w:rPr>
                <w:color w:val="auto"/>
              </w:rPr>
            </w:pPr>
            <w:r w:rsidRPr="000F0F9C">
              <w:rPr>
                <w:color w:val="auto"/>
              </w:rPr>
              <w:t>21 783</w:t>
            </w:r>
          </w:p>
        </w:tc>
        <w:tc>
          <w:tcPr>
            <w:tcW w:w="892" w:type="dxa"/>
            <w:noWrap/>
            <w:hideMark/>
          </w:tcPr>
          <w:p w14:paraId="27B80CCC" w14:textId="77777777" w:rsidR="000F0F9C" w:rsidRPr="000F0F9C" w:rsidRDefault="000F0F9C">
            <w:pPr>
              <w:pStyle w:val="Tabele"/>
              <w:jc w:val="right"/>
              <w:rPr>
                <w:color w:val="auto"/>
              </w:rPr>
            </w:pPr>
            <w:r w:rsidRPr="000F0F9C">
              <w:rPr>
                <w:color w:val="auto"/>
              </w:rPr>
              <w:t>19 426</w:t>
            </w:r>
          </w:p>
        </w:tc>
        <w:tc>
          <w:tcPr>
            <w:tcW w:w="890" w:type="dxa"/>
            <w:noWrap/>
            <w:hideMark/>
          </w:tcPr>
          <w:p w14:paraId="5ACFA674" w14:textId="77777777" w:rsidR="000F0F9C" w:rsidRPr="000F0F9C" w:rsidRDefault="000F0F9C">
            <w:pPr>
              <w:pStyle w:val="Tabele"/>
              <w:jc w:val="right"/>
              <w:rPr>
                <w:color w:val="auto"/>
              </w:rPr>
            </w:pPr>
            <w:r w:rsidRPr="000F0F9C">
              <w:rPr>
                <w:color w:val="auto"/>
              </w:rPr>
              <w:t>16 712</w:t>
            </w:r>
          </w:p>
        </w:tc>
      </w:tr>
      <w:tr w:rsidR="000F0F9C" w:rsidRPr="00593894" w14:paraId="7D9AF81B" w14:textId="77777777" w:rsidTr="0D29C4E5">
        <w:trPr>
          <w:trHeight w:val="226"/>
        </w:trPr>
        <w:tc>
          <w:tcPr>
            <w:tcW w:w="2054" w:type="dxa"/>
            <w:hideMark/>
          </w:tcPr>
          <w:p w14:paraId="0A7702E3" w14:textId="77777777" w:rsidR="000F0F9C" w:rsidRPr="000F0F9C" w:rsidRDefault="000F0F9C">
            <w:pPr>
              <w:pStyle w:val="Tabele"/>
              <w:rPr>
                <w:color w:val="auto"/>
              </w:rPr>
            </w:pPr>
            <w:r w:rsidRPr="000F0F9C">
              <w:rPr>
                <w:color w:val="auto"/>
                <w:szCs w:val="16"/>
              </w:rPr>
              <w:t>Gaz ziemny</w:t>
            </w:r>
          </w:p>
        </w:tc>
        <w:tc>
          <w:tcPr>
            <w:tcW w:w="890" w:type="dxa"/>
            <w:shd w:val="clear" w:color="auto" w:fill="C5E0B3" w:themeFill="accent6" w:themeFillTint="66"/>
            <w:noWrap/>
            <w:hideMark/>
          </w:tcPr>
          <w:p w14:paraId="12B68593" w14:textId="77777777" w:rsidR="000F0F9C" w:rsidRPr="000F0F9C" w:rsidRDefault="000F0F9C">
            <w:pPr>
              <w:pStyle w:val="Tabele"/>
              <w:jc w:val="right"/>
              <w:rPr>
                <w:color w:val="auto"/>
              </w:rPr>
            </w:pPr>
            <w:r w:rsidRPr="000F0F9C">
              <w:rPr>
                <w:color w:val="auto"/>
                <w:szCs w:val="16"/>
              </w:rPr>
              <w:t>7 917</w:t>
            </w:r>
          </w:p>
        </w:tc>
        <w:tc>
          <w:tcPr>
            <w:tcW w:w="892" w:type="dxa"/>
            <w:shd w:val="clear" w:color="auto" w:fill="C5E0B3" w:themeFill="accent6" w:themeFillTint="66"/>
            <w:noWrap/>
            <w:hideMark/>
          </w:tcPr>
          <w:p w14:paraId="7F2F1A56" w14:textId="77777777" w:rsidR="000F0F9C" w:rsidRPr="000F0F9C" w:rsidRDefault="000F0F9C">
            <w:pPr>
              <w:pStyle w:val="Tabele"/>
              <w:jc w:val="right"/>
              <w:rPr>
                <w:color w:val="auto"/>
              </w:rPr>
            </w:pPr>
            <w:r w:rsidRPr="000F0F9C">
              <w:rPr>
                <w:color w:val="auto"/>
                <w:szCs w:val="16"/>
              </w:rPr>
              <w:t>8 884</w:t>
            </w:r>
          </w:p>
        </w:tc>
        <w:tc>
          <w:tcPr>
            <w:tcW w:w="890" w:type="dxa"/>
            <w:shd w:val="clear" w:color="auto" w:fill="C5E0B3" w:themeFill="accent6" w:themeFillTint="66"/>
            <w:noWrap/>
            <w:hideMark/>
          </w:tcPr>
          <w:p w14:paraId="4D124F73" w14:textId="77777777" w:rsidR="000F0F9C" w:rsidRPr="000F0F9C" w:rsidRDefault="000F0F9C">
            <w:pPr>
              <w:pStyle w:val="Tabele"/>
              <w:jc w:val="right"/>
              <w:rPr>
                <w:color w:val="auto"/>
              </w:rPr>
            </w:pPr>
            <w:r w:rsidRPr="000F0F9C">
              <w:rPr>
                <w:color w:val="auto"/>
                <w:szCs w:val="16"/>
              </w:rPr>
              <w:t>8 490</w:t>
            </w:r>
          </w:p>
        </w:tc>
        <w:tc>
          <w:tcPr>
            <w:tcW w:w="892" w:type="dxa"/>
            <w:shd w:val="clear" w:color="auto" w:fill="C5E0B3" w:themeFill="accent6" w:themeFillTint="66"/>
            <w:noWrap/>
            <w:hideMark/>
          </w:tcPr>
          <w:p w14:paraId="527ED282" w14:textId="77777777" w:rsidR="000F0F9C" w:rsidRPr="000F0F9C" w:rsidRDefault="000F0F9C">
            <w:pPr>
              <w:pStyle w:val="Tabele"/>
              <w:jc w:val="right"/>
              <w:rPr>
                <w:color w:val="auto"/>
              </w:rPr>
            </w:pPr>
            <w:r w:rsidRPr="000F0F9C">
              <w:rPr>
                <w:color w:val="auto"/>
                <w:szCs w:val="16"/>
              </w:rPr>
              <w:t>9 236</w:t>
            </w:r>
          </w:p>
        </w:tc>
        <w:tc>
          <w:tcPr>
            <w:tcW w:w="892" w:type="dxa"/>
            <w:noWrap/>
            <w:hideMark/>
          </w:tcPr>
          <w:p w14:paraId="665E95FF" w14:textId="77777777" w:rsidR="000F0F9C" w:rsidRPr="000F0F9C" w:rsidRDefault="000F0F9C">
            <w:pPr>
              <w:pStyle w:val="Tabele"/>
              <w:jc w:val="right"/>
              <w:rPr>
                <w:color w:val="auto"/>
              </w:rPr>
            </w:pPr>
            <w:r w:rsidRPr="000F0F9C">
              <w:rPr>
                <w:color w:val="auto"/>
              </w:rPr>
              <w:t>10 221</w:t>
            </w:r>
          </w:p>
        </w:tc>
        <w:tc>
          <w:tcPr>
            <w:tcW w:w="890" w:type="dxa"/>
            <w:noWrap/>
            <w:hideMark/>
          </w:tcPr>
          <w:p w14:paraId="55AD507F" w14:textId="77777777" w:rsidR="000F0F9C" w:rsidRPr="000F0F9C" w:rsidRDefault="000F0F9C">
            <w:pPr>
              <w:pStyle w:val="Tabele"/>
              <w:jc w:val="right"/>
              <w:rPr>
                <w:color w:val="auto"/>
              </w:rPr>
            </w:pPr>
            <w:r w:rsidRPr="000F0F9C">
              <w:rPr>
                <w:color w:val="auto"/>
              </w:rPr>
              <w:t>8 815</w:t>
            </w:r>
          </w:p>
        </w:tc>
        <w:tc>
          <w:tcPr>
            <w:tcW w:w="892" w:type="dxa"/>
            <w:noWrap/>
            <w:hideMark/>
          </w:tcPr>
          <w:p w14:paraId="74F5F173" w14:textId="77777777" w:rsidR="000F0F9C" w:rsidRPr="000F0F9C" w:rsidRDefault="000F0F9C">
            <w:pPr>
              <w:pStyle w:val="Tabele"/>
              <w:jc w:val="right"/>
              <w:rPr>
                <w:color w:val="auto"/>
              </w:rPr>
            </w:pPr>
            <w:r w:rsidRPr="000F0F9C">
              <w:rPr>
                <w:color w:val="auto"/>
              </w:rPr>
              <w:t>6 242</w:t>
            </w:r>
          </w:p>
        </w:tc>
        <w:tc>
          <w:tcPr>
            <w:tcW w:w="890" w:type="dxa"/>
            <w:noWrap/>
            <w:hideMark/>
          </w:tcPr>
          <w:p w14:paraId="1A3CB666" w14:textId="77777777" w:rsidR="000F0F9C" w:rsidRPr="000F0F9C" w:rsidRDefault="000F0F9C">
            <w:pPr>
              <w:pStyle w:val="Tabele"/>
              <w:jc w:val="right"/>
              <w:rPr>
                <w:color w:val="auto"/>
              </w:rPr>
            </w:pPr>
            <w:r w:rsidRPr="000F0F9C">
              <w:rPr>
                <w:color w:val="auto"/>
              </w:rPr>
              <w:t>4 399</w:t>
            </w:r>
          </w:p>
        </w:tc>
      </w:tr>
      <w:tr w:rsidR="000F0F9C" w:rsidRPr="00593894" w14:paraId="304411A7" w14:textId="77777777" w:rsidTr="0D29C4E5">
        <w:trPr>
          <w:trHeight w:val="226"/>
        </w:trPr>
        <w:tc>
          <w:tcPr>
            <w:tcW w:w="2054" w:type="dxa"/>
            <w:hideMark/>
          </w:tcPr>
          <w:p w14:paraId="3D2D0D4F" w14:textId="77777777" w:rsidR="000F0F9C" w:rsidRPr="000F0F9C" w:rsidRDefault="000F0F9C">
            <w:pPr>
              <w:pStyle w:val="Tabele"/>
              <w:rPr>
                <w:color w:val="auto"/>
              </w:rPr>
            </w:pPr>
            <w:r w:rsidRPr="000F0F9C">
              <w:rPr>
                <w:color w:val="auto"/>
                <w:szCs w:val="16"/>
              </w:rPr>
              <w:t>Biogaz</w:t>
            </w:r>
          </w:p>
        </w:tc>
        <w:tc>
          <w:tcPr>
            <w:tcW w:w="890" w:type="dxa"/>
            <w:shd w:val="clear" w:color="auto" w:fill="C5E0B3" w:themeFill="accent6" w:themeFillTint="66"/>
            <w:noWrap/>
            <w:hideMark/>
          </w:tcPr>
          <w:p w14:paraId="04645FF4" w14:textId="77777777" w:rsidR="000F0F9C" w:rsidRPr="000F0F9C" w:rsidRDefault="000F0F9C">
            <w:pPr>
              <w:pStyle w:val="Tabele"/>
              <w:jc w:val="right"/>
              <w:rPr>
                <w:color w:val="auto"/>
              </w:rPr>
            </w:pPr>
            <w:r w:rsidRPr="000F0F9C">
              <w:rPr>
                <w:color w:val="auto"/>
                <w:szCs w:val="16"/>
              </w:rPr>
              <w:t>40</w:t>
            </w:r>
          </w:p>
        </w:tc>
        <w:tc>
          <w:tcPr>
            <w:tcW w:w="892" w:type="dxa"/>
            <w:shd w:val="clear" w:color="auto" w:fill="C5E0B3" w:themeFill="accent6" w:themeFillTint="66"/>
            <w:noWrap/>
            <w:hideMark/>
          </w:tcPr>
          <w:p w14:paraId="19C1B55C" w14:textId="77777777" w:rsidR="000F0F9C" w:rsidRPr="000F0F9C" w:rsidRDefault="000F0F9C">
            <w:pPr>
              <w:pStyle w:val="Tabele"/>
              <w:jc w:val="right"/>
              <w:rPr>
                <w:color w:val="auto"/>
              </w:rPr>
            </w:pPr>
            <w:r w:rsidRPr="000F0F9C">
              <w:rPr>
                <w:color w:val="auto"/>
                <w:szCs w:val="16"/>
              </w:rPr>
              <w:t>48</w:t>
            </w:r>
          </w:p>
        </w:tc>
        <w:tc>
          <w:tcPr>
            <w:tcW w:w="890" w:type="dxa"/>
            <w:shd w:val="clear" w:color="auto" w:fill="C5E0B3" w:themeFill="accent6" w:themeFillTint="66"/>
            <w:noWrap/>
            <w:hideMark/>
          </w:tcPr>
          <w:p w14:paraId="37575A39" w14:textId="77777777" w:rsidR="000F0F9C" w:rsidRPr="000F0F9C" w:rsidRDefault="000F0F9C">
            <w:pPr>
              <w:pStyle w:val="Tabele"/>
              <w:jc w:val="right"/>
              <w:rPr>
                <w:color w:val="auto"/>
              </w:rPr>
            </w:pPr>
            <w:r w:rsidRPr="000F0F9C">
              <w:rPr>
                <w:color w:val="auto"/>
                <w:szCs w:val="16"/>
              </w:rPr>
              <w:t>78</w:t>
            </w:r>
          </w:p>
        </w:tc>
        <w:tc>
          <w:tcPr>
            <w:tcW w:w="892" w:type="dxa"/>
            <w:shd w:val="clear" w:color="auto" w:fill="C5E0B3" w:themeFill="accent6" w:themeFillTint="66"/>
            <w:noWrap/>
            <w:hideMark/>
          </w:tcPr>
          <w:p w14:paraId="2D2D0158" w14:textId="77777777" w:rsidR="000F0F9C" w:rsidRPr="000F0F9C" w:rsidRDefault="000F0F9C">
            <w:pPr>
              <w:pStyle w:val="Tabele"/>
              <w:jc w:val="right"/>
              <w:rPr>
                <w:color w:val="auto"/>
              </w:rPr>
            </w:pPr>
            <w:r w:rsidRPr="000F0F9C">
              <w:rPr>
                <w:color w:val="auto"/>
                <w:szCs w:val="16"/>
              </w:rPr>
              <w:t>92</w:t>
            </w:r>
          </w:p>
        </w:tc>
        <w:tc>
          <w:tcPr>
            <w:tcW w:w="892" w:type="dxa"/>
            <w:noWrap/>
            <w:hideMark/>
          </w:tcPr>
          <w:p w14:paraId="32994F22" w14:textId="77777777" w:rsidR="000F0F9C" w:rsidRPr="000F0F9C" w:rsidRDefault="000F0F9C">
            <w:pPr>
              <w:pStyle w:val="Tabele"/>
              <w:jc w:val="right"/>
              <w:rPr>
                <w:color w:val="auto"/>
              </w:rPr>
            </w:pPr>
            <w:r w:rsidRPr="000F0F9C">
              <w:rPr>
                <w:color w:val="auto"/>
              </w:rPr>
              <w:t>131</w:t>
            </w:r>
          </w:p>
        </w:tc>
        <w:tc>
          <w:tcPr>
            <w:tcW w:w="890" w:type="dxa"/>
            <w:noWrap/>
            <w:hideMark/>
          </w:tcPr>
          <w:p w14:paraId="3E7D8DBD" w14:textId="77777777" w:rsidR="000F0F9C" w:rsidRPr="000F0F9C" w:rsidRDefault="000F0F9C">
            <w:pPr>
              <w:pStyle w:val="Tabele"/>
              <w:jc w:val="right"/>
              <w:rPr>
                <w:color w:val="auto"/>
              </w:rPr>
            </w:pPr>
            <w:r w:rsidRPr="000F0F9C">
              <w:rPr>
                <w:color w:val="auto"/>
              </w:rPr>
              <w:t>165</w:t>
            </w:r>
          </w:p>
        </w:tc>
        <w:tc>
          <w:tcPr>
            <w:tcW w:w="892" w:type="dxa"/>
            <w:noWrap/>
            <w:hideMark/>
          </w:tcPr>
          <w:p w14:paraId="71B362F3" w14:textId="77777777" w:rsidR="000F0F9C" w:rsidRPr="000F0F9C" w:rsidRDefault="000F0F9C">
            <w:pPr>
              <w:pStyle w:val="Tabele"/>
              <w:jc w:val="right"/>
              <w:rPr>
                <w:color w:val="auto"/>
              </w:rPr>
            </w:pPr>
            <w:r w:rsidRPr="000F0F9C">
              <w:rPr>
                <w:color w:val="auto"/>
              </w:rPr>
              <w:t>201</w:t>
            </w:r>
          </w:p>
        </w:tc>
        <w:tc>
          <w:tcPr>
            <w:tcW w:w="890" w:type="dxa"/>
            <w:noWrap/>
            <w:hideMark/>
          </w:tcPr>
          <w:p w14:paraId="09E7F593" w14:textId="77777777" w:rsidR="000F0F9C" w:rsidRPr="000F0F9C" w:rsidRDefault="000F0F9C">
            <w:pPr>
              <w:pStyle w:val="Tabele"/>
              <w:jc w:val="right"/>
              <w:rPr>
                <w:color w:val="auto"/>
              </w:rPr>
            </w:pPr>
            <w:r w:rsidRPr="000F0F9C">
              <w:rPr>
                <w:color w:val="auto"/>
              </w:rPr>
              <w:t>237</w:t>
            </w:r>
          </w:p>
        </w:tc>
      </w:tr>
      <w:tr w:rsidR="000F0F9C" w:rsidRPr="00593894" w14:paraId="244413FC" w14:textId="77777777" w:rsidTr="0D29C4E5">
        <w:trPr>
          <w:trHeight w:val="226"/>
        </w:trPr>
        <w:tc>
          <w:tcPr>
            <w:tcW w:w="2054" w:type="dxa"/>
            <w:hideMark/>
          </w:tcPr>
          <w:p w14:paraId="3E6609C3" w14:textId="77777777" w:rsidR="000F0F9C" w:rsidRPr="000F0F9C" w:rsidRDefault="000F0F9C">
            <w:pPr>
              <w:pStyle w:val="Tabele"/>
              <w:rPr>
                <w:color w:val="auto"/>
              </w:rPr>
            </w:pPr>
            <w:r w:rsidRPr="000F0F9C">
              <w:rPr>
                <w:color w:val="auto"/>
                <w:szCs w:val="16"/>
              </w:rPr>
              <w:t>Biomasa stała</w:t>
            </w:r>
          </w:p>
        </w:tc>
        <w:tc>
          <w:tcPr>
            <w:tcW w:w="890" w:type="dxa"/>
            <w:shd w:val="clear" w:color="auto" w:fill="C5E0B3" w:themeFill="accent6" w:themeFillTint="66"/>
            <w:noWrap/>
            <w:hideMark/>
          </w:tcPr>
          <w:p w14:paraId="6B914C5D" w14:textId="77777777" w:rsidR="000F0F9C" w:rsidRPr="000F0F9C" w:rsidRDefault="000F0F9C">
            <w:pPr>
              <w:pStyle w:val="Tabele"/>
              <w:jc w:val="right"/>
              <w:rPr>
                <w:color w:val="auto"/>
              </w:rPr>
            </w:pPr>
            <w:r w:rsidRPr="000F0F9C">
              <w:rPr>
                <w:color w:val="auto"/>
                <w:szCs w:val="16"/>
              </w:rPr>
              <w:t>3 755</w:t>
            </w:r>
          </w:p>
        </w:tc>
        <w:tc>
          <w:tcPr>
            <w:tcW w:w="892" w:type="dxa"/>
            <w:shd w:val="clear" w:color="auto" w:fill="C5E0B3" w:themeFill="accent6" w:themeFillTint="66"/>
            <w:noWrap/>
            <w:hideMark/>
          </w:tcPr>
          <w:p w14:paraId="402B7369" w14:textId="77777777" w:rsidR="000F0F9C" w:rsidRPr="000F0F9C" w:rsidRDefault="000F0F9C">
            <w:pPr>
              <w:pStyle w:val="Tabele"/>
              <w:jc w:val="right"/>
              <w:rPr>
                <w:color w:val="auto"/>
              </w:rPr>
            </w:pPr>
            <w:r w:rsidRPr="000F0F9C">
              <w:rPr>
                <w:color w:val="auto"/>
                <w:szCs w:val="16"/>
              </w:rPr>
              <w:t>4 306</w:t>
            </w:r>
          </w:p>
        </w:tc>
        <w:tc>
          <w:tcPr>
            <w:tcW w:w="890" w:type="dxa"/>
            <w:shd w:val="clear" w:color="auto" w:fill="C5E0B3" w:themeFill="accent6" w:themeFillTint="66"/>
            <w:noWrap/>
            <w:hideMark/>
          </w:tcPr>
          <w:p w14:paraId="5DF76513" w14:textId="77777777" w:rsidR="000F0F9C" w:rsidRPr="000F0F9C" w:rsidRDefault="000F0F9C">
            <w:pPr>
              <w:pStyle w:val="Tabele"/>
              <w:jc w:val="right"/>
              <w:rPr>
                <w:color w:val="auto"/>
              </w:rPr>
            </w:pPr>
            <w:r w:rsidRPr="000F0F9C">
              <w:rPr>
                <w:color w:val="auto"/>
                <w:szCs w:val="16"/>
              </w:rPr>
              <w:t>4 639</w:t>
            </w:r>
          </w:p>
        </w:tc>
        <w:tc>
          <w:tcPr>
            <w:tcW w:w="892" w:type="dxa"/>
            <w:shd w:val="clear" w:color="auto" w:fill="C5E0B3" w:themeFill="accent6" w:themeFillTint="66"/>
            <w:noWrap/>
            <w:hideMark/>
          </w:tcPr>
          <w:p w14:paraId="76ED7340" w14:textId="77777777" w:rsidR="000F0F9C" w:rsidRPr="000F0F9C" w:rsidRDefault="000F0F9C">
            <w:pPr>
              <w:pStyle w:val="Tabele"/>
              <w:jc w:val="right"/>
              <w:rPr>
                <w:color w:val="auto"/>
              </w:rPr>
            </w:pPr>
            <w:r w:rsidRPr="000F0F9C">
              <w:rPr>
                <w:color w:val="auto"/>
                <w:szCs w:val="16"/>
              </w:rPr>
              <w:t>7 447</w:t>
            </w:r>
          </w:p>
        </w:tc>
        <w:tc>
          <w:tcPr>
            <w:tcW w:w="892" w:type="dxa"/>
            <w:noWrap/>
            <w:hideMark/>
          </w:tcPr>
          <w:p w14:paraId="0E6B46EE" w14:textId="77777777" w:rsidR="000F0F9C" w:rsidRPr="000F0F9C" w:rsidRDefault="000F0F9C">
            <w:pPr>
              <w:pStyle w:val="Tabele"/>
              <w:jc w:val="right"/>
              <w:rPr>
                <w:color w:val="auto"/>
              </w:rPr>
            </w:pPr>
            <w:r w:rsidRPr="000F0F9C">
              <w:rPr>
                <w:color w:val="auto"/>
              </w:rPr>
              <w:t>6 597</w:t>
            </w:r>
          </w:p>
        </w:tc>
        <w:tc>
          <w:tcPr>
            <w:tcW w:w="890" w:type="dxa"/>
            <w:noWrap/>
            <w:hideMark/>
          </w:tcPr>
          <w:p w14:paraId="448CC27F" w14:textId="77777777" w:rsidR="000F0F9C" w:rsidRPr="000F0F9C" w:rsidRDefault="000F0F9C">
            <w:pPr>
              <w:pStyle w:val="Tabele"/>
              <w:jc w:val="right"/>
              <w:rPr>
                <w:color w:val="auto"/>
              </w:rPr>
            </w:pPr>
            <w:r w:rsidRPr="000F0F9C">
              <w:rPr>
                <w:color w:val="auto"/>
              </w:rPr>
              <w:t>6 476</w:t>
            </w:r>
          </w:p>
        </w:tc>
        <w:tc>
          <w:tcPr>
            <w:tcW w:w="892" w:type="dxa"/>
            <w:noWrap/>
            <w:hideMark/>
          </w:tcPr>
          <w:p w14:paraId="670E5827" w14:textId="77777777" w:rsidR="000F0F9C" w:rsidRPr="000F0F9C" w:rsidRDefault="000F0F9C">
            <w:pPr>
              <w:pStyle w:val="Tabele"/>
              <w:jc w:val="right"/>
              <w:rPr>
                <w:color w:val="auto"/>
              </w:rPr>
            </w:pPr>
            <w:r w:rsidRPr="000F0F9C">
              <w:rPr>
                <w:color w:val="auto"/>
              </w:rPr>
              <w:t>5 952</w:t>
            </w:r>
          </w:p>
        </w:tc>
        <w:tc>
          <w:tcPr>
            <w:tcW w:w="890" w:type="dxa"/>
            <w:noWrap/>
            <w:hideMark/>
          </w:tcPr>
          <w:p w14:paraId="2C58BE17" w14:textId="77777777" w:rsidR="000F0F9C" w:rsidRPr="000F0F9C" w:rsidRDefault="000F0F9C">
            <w:pPr>
              <w:pStyle w:val="Tabele"/>
              <w:jc w:val="right"/>
              <w:rPr>
                <w:color w:val="auto"/>
              </w:rPr>
            </w:pPr>
            <w:r w:rsidRPr="000F0F9C">
              <w:rPr>
                <w:color w:val="auto"/>
              </w:rPr>
              <w:t>5 486</w:t>
            </w:r>
          </w:p>
        </w:tc>
      </w:tr>
      <w:tr w:rsidR="000F0F9C" w:rsidRPr="00593894" w14:paraId="260F171C" w14:textId="77777777" w:rsidTr="0D29C4E5">
        <w:trPr>
          <w:trHeight w:val="226"/>
        </w:trPr>
        <w:tc>
          <w:tcPr>
            <w:tcW w:w="2054" w:type="dxa"/>
            <w:hideMark/>
          </w:tcPr>
          <w:p w14:paraId="62BF5F38" w14:textId="77777777" w:rsidR="000F0F9C" w:rsidRPr="000F0F9C" w:rsidRDefault="000F0F9C">
            <w:pPr>
              <w:pStyle w:val="Tabele"/>
              <w:rPr>
                <w:color w:val="auto"/>
              </w:rPr>
            </w:pPr>
            <w:r w:rsidRPr="000F0F9C">
              <w:rPr>
                <w:color w:val="auto"/>
                <w:szCs w:val="16"/>
              </w:rPr>
              <w:t>Biopaliwa</w:t>
            </w:r>
          </w:p>
        </w:tc>
        <w:tc>
          <w:tcPr>
            <w:tcW w:w="890" w:type="dxa"/>
            <w:shd w:val="clear" w:color="auto" w:fill="C5E0B3" w:themeFill="accent6" w:themeFillTint="66"/>
            <w:noWrap/>
            <w:hideMark/>
          </w:tcPr>
          <w:p w14:paraId="62B4DBC8" w14:textId="77777777" w:rsidR="000F0F9C" w:rsidRPr="000F0F9C" w:rsidRDefault="000F0F9C">
            <w:pPr>
              <w:pStyle w:val="Tabele"/>
              <w:jc w:val="right"/>
              <w:rPr>
                <w:color w:val="auto"/>
              </w:rPr>
            </w:pPr>
            <w:r w:rsidRPr="000F0F9C">
              <w:rPr>
                <w:color w:val="auto"/>
                <w:szCs w:val="16"/>
              </w:rPr>
              <w:t>47</w:t>
            </w:r>
          </w:p>
        </w:tc>
        <w:tc>
          <w:tcPr>
            <w:tcW w:w="892" w:type="dxa"/>
            <w:shd w:val="clear" w:color="auto" w:fill="C5E0B3" w:themeFill="accent6" w:themeFillTint="66"/>
            <w:noWrap/>
            <w:hideMark/>
          </w:tcPr>
          <w:p w14:paraId="4F606BD6" w14:textId="77777777" w:rsidR="000F0F9C" w:rsidRPr="000F0F9C" w:rsidRDefault="000F0F9C">
            <w:pPr>
              <w:pStyle w:val="Tabele"/>
              <w:jc w:val="right"/>
              <w:rPr>
                <w:color w:val="auto"/>
              </w:rPr>
            </w:pPr>
            <w:r w:rsidRPr="000F0F9C">
              <w:rPr>
                <w:color w:val="auto"/>
                <w:szCs w:val="16"/>
              </w:rPr>
              <w:t>867</w:t>
            </w:r>
          </w:p>
        </w:tc>
        <w:tc>
          <w:tcPr>
            <w:tcW w:w="890" w:type="dxa"/>
            <w:shd w:val="clear" w:color="auto" w:fill="C5E0B3" w:themeFill="accent6" w:themeFillTint="66"/>
            <w:noWrap/>
            <w:hideMark/>
          </w:tcPr>
          <w:p w14:paraId="4115C4F6" w14:textId="77777777" w:rsidR="000F0F9C" w:rsidRPr="000F0F9C" w:rsidRDefault="000F0F9C">
            <w:pPr>
              <w:pStyle w:val="Tabele"/>
              <w:jc w:val="right"/>
              <w:rPr>
                <w:color w:val="auto"/>
              </w:rPr>
            </w:pPr>
            <w:r w:rsidRPr="000F0F9C">
              <w:rPr>
                <w:color w:val="auto"/>
                <w:szCs w:val="16"/>
              </w:rPr>
              <w:t>653</w:t>
            </w:r>
          </w:p>
        </w:tc>
        <w:tc>
          <w:tcPr>
            <w:tcW w:w="892" w:type="dxa"/>
            <w:shd w:val="clear" w:color="auto" w:fill="C5E0B3" w:themeFill="accent6" w:themeFillTint="66"/>
            <w:noWrap/>
            <w:hideMark/>
          </w:tcPr>
          <w:p w14:paraId="7B31F17F" w14:textId="77777777" w:rsidR="000F0F9C" w:rsidRPr="000F0F9C" w:rsidRDefault="000F0F9C">
            <w:pPr>
              <w:pStyle w:val="Tabele"/>
              <w:jc w:val="right"/>
              <w:rPr>
                <w:color w:val="auto"/>
              </w:rPr>
            </w:pPr>
            <w:r w:rsidRPr="000F0F9C">
              <w:rPr>
                <w:color w:val="auto"/>
                <w:szCs w:val="16"/>
              </w:rPr>
              <w:t>1 040</w:t>
            </w:r>
          </w:p>
        </w:tc>
        <w:tc>
          <w:tcPr>
            <w:tcW w:w="892" w:type="dxa"/>
            <w:noWrap/>
            <w:hideMark/>
          </w:tcPr>
          <w:p w14:paraId="460A9710" w14:textId="77777777" w:rsidR="000F0F9C" w:rsidRPr="000F0F9C" w:rsidRDefault="000F0F9C">
            <w:pPr>
              <w:pStyle w:val="Tabele"/>
              <w:jc w:val="right"/>
              <w:rPr>
                <w:color w:val="auto"/>
              </w:rPr>
            </w:pPr>
            <w:r w:rsidRPr="000F0F9C">
              <w:rPr>
                <w:color w:val="auto"/>
              </w:rPr>
              <w:t>1763</w:t>
            </w:r>
          </w:p>
        </w:tc>
        <w:tc>
          <w:tcPr>
            <w:tcW w:w="890" w:type="dxa"/>
            <w:noWrap/>
            <w:hideMark/>
          </w:tcPr>
          <w:p w14:paraId="1F521974" w14:textId="77777777" w:rsidR="000F0F9C" w:rsidRPr="000F0F9C" w:rsidRDefault="000F0F9C">
            <w:pPr>
              <w:pStyle w:val="Tabele"/>
              <w:jc w:val="right"/>
              <w:rPr>
                <w:color w:val="auto"/>
              </w:rPr>
            </w:pPr>
            <w:r w:rsidRPr="000F0F9C">
              <w:rPr>
                <w:color w:val="auto"/>
              </w:rPr>
              <w:t>1799</w:t>
            </w:r>
          </w:p>
        </w:tc>
        <w:tc>
          <w:tcPr>
            <w:tcW w:w="892" w:type="dxa"/>
            <w:noWrap/>
            <w:hideMark/>
          </w:tcPr>
          <w:p w14:paraId="2BA74C69" w14:textId="77777777" w:rsidR="000F0F9C" w:rsidRPr="000F0F9C" w:rsidRDefault="000F0F9C">
            <w:pPr>
              <w:pStyle w:val="Tabele"/>
              <w:jc w:val="right"/>
              <w:rPr>
                <w:color w:val="auto"/>
              </w:rPr>
            </w:pPr>
            <w:r w:rsidRPr="000F0F9C">
              <w:rPr>
                <w:color w:val="auto"/>
              </w:rPr>
              <w:t>1742</w:t>
            </w:r>
          </w:p>
        </w:tc>
        <w:tc>
          <w:tcPr>
            <w:tcW w:w="890" w:type="dxa"/>
            <w:noWrap/>
            <w:hideMark/>
          </w:tcPr>
          <w:p w14:paraId="4C2B26BE" w14:textId="77777777" w:rsidR="000F0F9C" w:rsidRPr="000F0F9C" w:rsidRDefault="000F0F9C">
            <w:pPr>
              <w:pStyle w:val="Tabele"/>
              <w:jc w:val="right"/>
              <w:rPr>
                <w:color w:val="auto"/>
              </w:rPr>
            </w:pPr>
            <w:r w:rsidRPr="000F0F9C">
              <w:rPr>
                <w:color w:val="auto"/>
              </w:rPr>
              <w:t>1689</w:t>
            </w:r>
          </w:p>
        </w:tc>
      </w:tr>
      <w:tr w:rsidR="000F0F9C" w:rsidRPr="00593894" w14:paraId="1523AD2F" w14:textId="77777777" w:rsidTr="0D29C4E5">
        <w:trPr>
          <w:trHeight w:val="226"/>
        </w:trPr>
        <w:tc>
          <w:tcPr>
            <w:tcW w:w="2054" w:type="dxa"/>
            <w:hideMark/>
          </w:tcPr>
          <w:p w14:paraId="2BF65016" w14:textId="77777777" w:rsidR="000F0F9C" w:rsidRPr="000F0F9C" w:rsidRDefault="000F0F9C">
            <w:pPr>
              <w:pStyle w:val="Tabele"/>
              <w:rPr>
                <w:color w:val="auto"/>
              </w:rPr>
            </w:pPr>
            <w:r w:rsidRPr="000F0F9C">
              <w:rPr>
                <w:color w:val="auto"/>
                <w:szCs w:val="16"/>
              </w:rPr>
              <w:t>Odpady komunalne i przemysłowe</w:t>
            </w:r>
          </w:p>
        </w:tc>
        <w:tc>
          <w:tcPr>
            <w:tcW w:w="890" w:type="dxa"/>
            <w:shd w:val="clear" w:color="auto" w:fill="C5E0B3" w:themeFill="accent6" w:themeFillTint="66"/>
            <w:noWrap/>
            <w:hideMark/>
          </w:tcPr>
          <w:p w14:paraId="236B1756" w14:textId="77777777" w:rsidR="000F0F9C" w:rsidRPr="000F0F9C" w:rsidRDefault="000F0F9C">
            <w:pPr>
              <w:pStyle w:val="Tabele"/>
              <w:jc w:val="right"/>
              <w:rPr>
                <w:color w:val="auto"/>
              </w:rPr>
            </w:pPr>
            <w:r w:rsidRPr="000F0F9C">
              <w:rPr>
                <w:color w:val="auto"/>
                <w:szCs w:val="16"/>
              </w:rPr>
              <w:t>136</w:t>
            </w:r>
          </w:p>
        </w:tc>
        <w:tc>
          <w:tcPr>
            <w:tcW w:w="892" w:type="dxa"/>
            <w:shd w:val="clear" w:color="auto" w:fill="C5E0B3" w:themeFill="accent6" w:themeFillTint="66"/>
            <w:noWrap/>
            <w:hideMark/>
          </w:tcPr>
          <w:p w14:paraId="5E6B12AF" w14:textId="77777777" w:rsidR="000F0F9C" w:rsidRPr="000F0F9C" w:rsidRDefault="000F0F9C">
            <w:pPr>
              <w:pStyle w:val="Tabele"/>
              <w:jc w:val="right"/>
              <w:rPr>
                <w:color w:val="auto"/>
              </w:rPr>
            </w:pPr>
            <w:r w:rsidRPr="000F0F9C">
              <w:rPr>
                <w:color w:val="auto"/>
                <w:szCs w:val="16"/>
              </w:rPr>
              <w:t>378</w:t>
            </w:r>
          </w:p>
        </w:tc>
        <w:tc>
          <w:tcPr>
            <w:tcW w:w="890" w:type="dxa"/>
            <w:shd w:val="clear" w:color="auto" w:fill="C5E0B3" w:themeFill="accent6" w:themeFillTint="66"/>
            <w:noWrap/>
            <w:hideMark/>
          </w:tcPr>
          <w:p w14:paraId="4CB8B89D" w14:textId="77777777" w:rsidR="000F0F9C" w:rsidRPr="000F0F9C" w:rsidRDefault="000F0F9C">
            <w:pPr>
              <w:pStyle w:val="Tabele"/>
              <w:jc w:val="right"/>
              <w:rPr>
                <w:color w:val="auto"/>
              </w:rPr>
            </w:pPr>
            <w:r w:rsidRPr="000F0F9C">
              <w:rPr>
                <w:color w:val="auto"/>
                <w:szCs w:val="16"/>
              </w:rPr>
              <w:t>486</w:t>
            </w:r>
          </w:p>
        </w:tc>
        <w:tc>
          <w:tcPr>
            <w:tcW w:w="892" w:type="dxa"/>
            <w:shd w:val="clear" w:color="auto" w:fill="C5E0B3" w:themeFill="accent6" w:themeFillTint="66"/>
            <w:noWrap/>
            <w:hideMark/>
          </w:tcPr>
          <w:p w14:paraId="658F2E3B" w14:textId="77777777" w:rsidR="000F0F9C" w:rsidRPr="000F0F9C" w:rsidRDefault="000F0F9C">
            <w:pPr>
              <w:pStyle w:val="Tabele"/>
              <w:jc w:val="right"/>
              <w:rPr>
                <w:color w:val="auto"/>
              </w:rPr>
            </w:pPr>
            <w:r w:rsidRPr="000F0F9C">
              <w:rPr>
                <w:color w:val="auto"/>
                <w:szCs w:val="16"/>
              </w:rPr>
              <w:t>889</w:t>
            </w:r>
          </w:p>
        </w:tc>
        <w:tc>
          <w:tcPr>
            <w:tcW w:w="892" w:type="dxa"/>
            <w:noWrap/>
            <w:hideMark/>
          </w:tcPr>
          <w:p w14:paraId="40ED8D69" w14:textId="77777777" w:rsidR="000F0F9C" w:rsidRPr="000F0F9C" w:rsidRDefault="000F0F9C">
            <w:pPr>
              <w:pStyle w:val="Tabele"/>
              <w:jc w:val="right"/>
              <w:rPr>
                <w:color w:val="auto"/>
              </w:rPr>
            </w:pPr>
            <w:r w:rsidRPr="000F0F9C">
              <w:rPr>
                <w:color w:val="auto"/>
              </w:rPr>
              <w:t>894</w:t>
            </w:r>
          </w:p>
        </w:tc>
        <w:tc>
          <w:tcPr>
            <w:tcW w:w="890" w:type="dxa"/>
            <w:noWrap/>
            <w:hideMark/>
          </w:tcPr>
          <w:p w14:paraId="7456D846" w14:textId="77777777" w:rsidR="000F0F9C" w:rsidRPr="000F0F9C" w:rsidRDefault="000F0F9C">
            <w:pPr>
              <w:pStyle w:val="Tabele"/>
              <w:jc w:val="right"/>
              <w:rPr>
                <w:color w:val="auto"/>
              </w:rPr>
            </w:pPr>
            <w:r w:rsidRPr="000F0F9C">
              <w:rPr>
                <w:color w:val="auto"/>
              </w:rPr>
              <w:t>915</w:t>
            </w:r>
          </w:p>
        </w:tc>
        <w:tc>
          <w:tcPr>
            <w:tcW w:w="892" w:type="dxa"/>
            <w:noWrap/>
            <w:hideMark/>
          </w:tcPr>
          <w:p w14:paraId="42B3DB2F" w14:textId="77777777" w:rsidR="000F0F9C" w:rsidRPr="000F0F9C" w:rsidRDefault="000F0F9C">
            <w:pPr>
              <w:pStyle w:val="Tabele"/>
              <w:jc w:val="right"/>
              <w:rPr>
                <w:color w:val="auto"/>
              </w:rPr>
            </w:pPr>
            <w:r w:rsidRPr="000F0F9C">
              <w:rPr>
                <w:color w:val="auto"/>
              </w:rPr>
              <w:t>933</w:t>
            </w:r>
          </w:p>
        </w:tc>
        <w:tc>
          <w:tcPr>
            <w:tcW w:w="890" w:type="dxa"/>
            <w:noWrap/>
            <w:hideMark/>
          </w:tcPr>
          <w:p w14:paraId="08EC6754" w14:textId="77777777" w:rsidR="000F0F9C" w:rsidRPr="000F0F9C" w:rsidRDefault="000F0F9C">
            <w:pPr>
              <w:pStyle w:val="Tabele"/>
              <w:jc w:val="right"/>
              <w:rPr>
                <w:color w:val="auto"/>
              </w:rPr>
            </w:pPr>
            <w:r w:rsidRPr="000F0F9C">
              <w:rPr>
                <w:color w:val="auto"/>
              </w:rPr>
              <w:t>954</w:t>
            </w:r>
          </w:p>
        </w:tc>
      </w:tr>
      <w:tr w:rsidR="000F0F9C" w:rsidRPr="00593894" w14:paraId="5FF45406" w14:textId="77777777" w:rsidTr="0D29C4E5">
        <w:trPr>
          <w:trHeight w:val="226"/>
        </w:trPr>
        <w:tc>
          <w:tcPr>
            <w:tcW w:w="2054" w:type="dxa"/>
            <w:hideMark/>
          </w:tcPr>
          <w:p w14:paraId="14B7A09F" w14:textId="77777777" w:rsidR="000F0F9C" w:rsidRPr="000F0F9C" w:rsidRDefault="000F0F9C">
            <w:pPr>
              <w:pStyle w:val="Tabele"/>
              <w:rPr>
                <w:color w:val="auto"/>
              </w:rPr>
            </w:pPr>
            <w:r w:rsidRPr="000F0F9C">
              <w:rPr>
                <w:color w:val="auto"/>
                <w:szCs w:val="16"/>
              </w:rPr>
              <w:t>Kolektory słoneczne, pompy ciepła, geotermalne</w:t>
            </w:r>
          </w:p>
        </w:tc>
        <w:tc>
          <w:tcPr>
            <w:tcW w:w="890" w:type="dxa"/>
            <w:shd w:val="clear" w:color="auto" w:fill="C5E0B3" w:themeFill="accent6" w:themeFillTint="66"/>
            <w:noWrap/>
            <w:hideMark/>
          </w:tcPr>
          <w:p w14:paraId="63999E3F" w14:textId="77777777" w:rsidR="000F0F9C" w:rsidRPr="000F0F9C" w:rsidRDefault="000F0F9C">
            <w:pPr>
              <w:pStyle w:val="Tabele"/>
              <w:jc w:val="right"/>
              <w:rPr>
                <w:color w:val="auto"/>
              </w:rPr>
            </w:pPr>
            <w:r w:rsidRPr="000F0F9C">
              <w:rPr>
                <w:color w:val="auto"/>
                <w:szCs w:val="16"/>
              </w:rPr>
              <w:t>12</w:t>
            </w:r>
          </w:p>
        </w:tc>
        <w:tc>
          <w:tcPr>
            <w:tcW w:w="892" w:type="dxa"/>
            <w:shd w:val="clear" w:color="auto" w:fill="C5E0B3" w:themeFill="accent6" w:themeFillTint="66"/>
            <w:noWrap/>
            <w:hideMark/>
          </w:tcPr>
          <w:p w14:paraId="1758B05B" w14:textId="77777777" w:rsidR="000F0F9C" w:rsidRPr="000F0F9C" w:rsidRDefault="000F0F9C">
            <w:pPr>
              <w:pStyle w:val="Tabele"/>
              <w:jc w:val="right"/>
              <w:rPr>
                <w:color w:val="auto"/>
              </w:rPr>
            </w:pPr>
            <w:r w:rsidRPr="000F0F9C">
              <w:rPr>
                <w:color w:val="auto"/>
                <w:szCs w:val="16"/>
              </w:rPr>
              <w:t>69</w:t>
            </w:r>
          </w:p>
        </w:tc>
        <w:tc>
          <w:tcPr>
            <w:tcW w:w="890" w:type="dxa"/>
            <w:shd w:val="clear" w:color="auto" w:fill="C5E0B3" w:themeFill="accent6" w:themeFillTint="66"/>
            <w:noWrap/>
            <w:hideMark/>
          </w:tcPr>
          <w:p w14:paraId="407241E4" w14:textId="77777777" w:rsidR="000F0F9C" w:rsidRPr="000F0F9C" w:rsidRDefault="000F0F9C">
            <w:pPr>
              <w:pStyle w:val="Tabele"/>
              <w:jc w:val="right"/>
              <w:rPr>
                <w:color w:val="auto"/>
              </w:rPr>
            </w:pPr>
            <w:r w:rsidRPr="000F0F9C">
              <w:rPr>
                <w:color w:val="auto"/>
                <w:szCs w:val="16"/>
              </w:rPr>
              <w:t>200</w:t>
            </w:r>
          </w:p>
        </w:tc>
        <w:tc>
          <w:tcPr>
            <w:tcW w:w="892" w:type="dxa"/>
            <w:shd w:val="clear" w:color="auto" w:fill="C5E0B3" w:themeFill="accent6" w:themeFillTint="66"/>
            <w:noWrap/>
            <w:hideMark/>
          </w:tcPr>
          <w:p w14:paraId="7A568F75" w14:textId="77777777" w:rsidR="000F0F9C" w:rsidRPr="000F0F9C" w:rsidRDefault="000F0F9C">
            <w:pPr>
              <w:pStyle w:val="Tabele"/>
              <w:jc w:val="right"/>
              <w:rPr>
                <w:color w:val="auto"/>
              </w:rPr>
            </w:pPr>
            <w:r w:rsidRPr="000F0F9C">
              <w:rPr>
                <w:color w:val="auto"/>
                <w:szCs w:val="16"/>
              </w:rPr>
              <w:t>404</w:t>
            </w:r>
          </w:p>
        </w:tc>
        <w:tc>
          <w:tcPr>
            <w:tcW w:w="892" w:type="dxa"/>
            <w:noWrap/>
            <w:hideMark/>
          </w:tcPr>
          <w:p w14:paraId="65CA6E38" w14:textId="77777777" w:rsidR="000F0F9C" w:rsidRPr="000F0F9C" w:rsidRDefault="000F0F9C">
            <w:pPr>
              <w:pStyle w:val="Tabele"/>
              <w:jc w:val="right"/>
              <w:rPr>
                <w:color w:val="auto"/>
              </w:rPr>
            </w:pPr>
            <w:r w:rsidRPr="000F0F9C">
              <w:rPr>
                <w:color w:val="auto"/>
              </w:rPr>
              <w:t>1 543</w:t>
            </w:r>
          </w:p>
        </w:tc>
        <w:tc>
          <w:tcPr>
            <w:tcW w:w="890" w:type="dxa"/>
            <w:noWrap/>
            <w:hideMark/>
          </w:tcPr>
          <w:p w14:paraId="21F337C8" w14:textId="77777777" w:rsidR="000F0F9C" w:rsidRPr="000F0F9C" w:rsidRDefault="000F0F9C">
            <w:pPr>
              <w:pStyle w:val="Tabele"/>
              <w:jc w:val="right"/>
              <w:rPr>
                <w:color w:val="auto"/>
              </w:rPr>
            </w:pPr>
            <w:r w:rsidRPr="000F0F9C">
              <w:rPr>
                <w:color w:val="auto"/>
              </w:rPr>
              <w:t>2 250</w:t>
            </w:r>
          </w:p>
        </w:tc>
        <w:tc>
          <w:tcPr>
            <w:tcW w:w="892" w:type="dxa"/>
            <w:noWrap/>
            <w:hideMark/>
          </w:tcPr>
          <w:p w14:paraId="0AAFBA8B" w14:textId="77777777" w:rsidR="000F0F9C" w:rsidRPr="000F0F9C" w:rsidRDefault="000F0F9C">
            <w:pPr>
              <w:pStyle w:val="Tabele"/>
              <w:jc w:val="right"/>
              <w:rPr>
                <w:color w:val="auto"/>
              </w:rPr>
            </w:pPr>
            <w:r w:rsidRPr="000F0F9C">
              <w:rPr>
                <w:color w:val="auto"/>
              </w:rPr>
              <w:t>3 244</w:t>
            </w:r>
          </w:p>
        </w:tc>
        <w:tc>
          <w:tcPr>
            <w:tcW w:w="890" w:type="dxa"/>
            <w:noWrap/>
            <w:hideMark/>
          </w:tcPr>
          <w:p w14:paraId="12941388" w14:textId="77777777" w:rsidR="000F0F9C" w:rsidRPr="000F0F9C" w:rsidRDefault="000F0F9C">
            <w:pPr>
              <w:pStyle w:val="Tabele"/>
              <w:jc w:val="right"/>
              <w:rPr>
                <w:color w:val="auto"/>
              </w:rPr>
            </w:pPr>
            <w:r w:rsidRPr="000F0F9C">
              <w:rPr>
                <w:color w:val="auto"/>
              </w:rPr>
              <w:t>4 117</w:t>
            </w:r>
          </w:p>
        </w:tc>
      </w:tr>
      <w:tr w:rsidR="000F0F9C" w:rsidRPr="00593894" w14:paraId="5E9D1D5E" w14:textId="77777777" w:rsidTr="4E4C2E0A">
        <w:trPr>
          <w:trHeight w:val="226"/>
        </w:trPr>
        <w:tc>
          <w:tcPr>
            <w:tcW w:w="0" w:type="dxa"/>
            <w:hideMark/>
          </w:tcPr>
          <w:p w14:paraId="3B485866" w14:textId="6B8B1928" w:rsidR="000F0F9C" w:rsidRPr="000F0F9C" w:rsidRDefault="000F0F9C">
            <w:pPr>
              <w:pStyle w:val="Tabele"/>
              <w:rPr>
                <w:b/>
                <w:bCs/>
                <w:color w:val="auto"/>
              </w:rPr>
            </w:pPr>
            <w:r w:rsidRPr="0D29C4E5">
              <w:rPr>
                <w:color w:val="auto"/>
              </w:rPr>
              <w:t>Wodór</w:t>
            </w:r>
          </w:p>
        </w:tc>
        <w:tc>
          <w:tcPr>
            <w:tcW w:w="0" w:type="dxa"/>
            <w:shd w:val="clear" w:color="auto" w:fill="C5E0B3" w:themeFill="accent6" w:themeFillTint="66"/>
            <w:noWrap/>
            <w:hideMark/>
          </w:tcPr>
          <w:p w14:paraId="6174224F" w14:textId="77777777" w:rsidR="000F0F9C" w:rsidRPr="000F0F9C" w:rsidRDefault="000F0F9C">
            <w:pPr>
              <w:pStyle w:val="Tabele"/>
              <w:jc w:val="right"/>
              <w:rPr>
                <w:b/>
                <w:bCs/>
                <w:color w:val="auto"/>
              </w:rPr>
            </w:pPr>
            <w:r w:rsidRPr="000F0F9C">
              <w:rPr>
                <w:color w:val="auto"/>
                <w:szCs w:val="16"/>
              </w:rPr>
              <w:t>0</w:t>
            </w:r>
          </w:p>
        </w:tc>
        <w:tc>
          <w:tcPr>
            <w:tcW w:w="0" w:type="dxa"/>
            <w:shd w:val="clear" w:color="auto" w:fill="C5E0B3" w:themeFill="accent6" w:themeFillTint="66"/>
            <w:noWrap/>
            <w:hideMark/>
          </w:tcPr>
          <w:p w14:paraId="3F55280F" w14:textId="77777777" w:rsidR="000F0F9C" w:rsidRPr="000F0F9C" w:rsidRDefault="000F0F9C">
            <w:pPr>
              <w:pStyle w:val="Tabele"/>
              <w:jc w:val="right"/>
              <w:rPr>
                <w:b/>
                <w:bCs/>
                <w:color w:val="auto"/>
              </w:rPr>
            </w:pPr>
            <w:r w:rsidRPr="000F0F9C">
              <w:rPr>
                <w:color w:val="auto"/>
                <w:szCs w:val="16"/>
              </w:rPr>
              <w:t>0</w:t>
            </w:r>
          </w:p>
        </w:tc>
        <w:tc>
          <w:tcPr>
            <w:tcW w:w="0" w:type="dxa"/>
            <w:shd w:val="clear" w:color="auto" w:fill="C5E0B3" w:themeFill="accent6" w:themeFillTint="66"/>
            <w:noWrap/>
            <w:hideMark/>
          </w:tcPr>
          <w:p w14:paraId="40EEAEDA" w14:textId="77777777" w:rsidR="000F0F9C" w:rsidRPr="000F0F9C" w:rsidRDefault="000F0F9C">
            <w:pPr>
              <w:pStyle w:val="Tabele"/>
              <w:jc w:val="right"/>
              <w:rPr>
                <w:b/>
                <w:bCs/>
                <w:color w:val="auto"/>
              </w:rPr>
            </w:pPr>
            <w:r w:rsidRPr="000F0F9C">
              <w:rPr>
                <w:color w:val="auto"/>
                <w:szCs w:val="16"/>
              </w:rPr>
              <w:t>0</w:t>
            </w:r>
          </w:p>
        </w:tc>
        <w:tc>
          <w:tcPr>
            <w:tcW w:w="0" w:type="dxa"/>
            <w:shd w:val="clear" w:color="auto" w:fill="C5E0B3" w:themeFill="accent6" w:themeFillTint="66"/>
            <w:noWrap/>
            <w:hideMark/>
          </w:tcPr>
          <w:p w14:paraId="1FB6AE26" w14:textId="77777777" w:rsidR="000F0F9C" w:rsidRPr="000F0F9C" w:rsidRDefault="000F0F9C">
            <w:pPr>
              <w:pStyle w:val="Tabele"/>
              <w:jc w:val="right"/>
              <w:rPr>
                <w:b/>
                <w:bCs/>
                <w:color w:val="auto"/>
              </w:rPr>
            </w:pPr>
            <w:r w:rsidRPr="000F0F9C">
              <w:rPr>
                <w:color w:val="auto"/>
                <w:szCs w:val="16"/>
              </w:rPr>
              <w:t>0</w:t>
            </w:r>
          </w:p>
        </w:tc>
        <w:tc>
          <w:tcPr>
            <w:tcW w:w="0" w:type="dxa"/>
            <w:noWrap/>
            <w:hideMark/>
          </w:tcPr>
          <w:p w14:paraId="3E43B030" w14:textId="77777777" w:rsidR="000F0F9C" w:rsidRPr="000F0F9C" w:rsidRDefault="000F0F9C">
            <w:pPr>
              <w:pStyle w:val="Tabele"/>
              <w:jc w:val="right"/>
              <w:rPr>
                <w:b/>
                <w:bCs/>
                <w:color w:val="auto"/>
              </w:rPr>
            </w:pPr>
            <w:r w:rsidRPr="000F0F9C">
              <w:rPr>
                <w:color w:val="auto"/>
              </w:rPr>
              <w:t>5</w:t>
            </w:r>
          </w:p>
        </w:tc>
        <w:tc>
          <w:tcPr>
            <w:tcW w:w="0" w:type="dxa"/>
            <w:noWrap/>
            <w:hideMark/>
          </w:tcPr>
          <w:p w14:paraId="45CAE6BF" w14:textId="77777777" w:rsidR="000F0F9C" w:rsidRPr="000F0F9C" w:rsidRDefault="000F0F9C">
            <w:pPr>
              <w:pStyle w:val="Tabele"/>
              <w:jc w:val="right"/>
              <w:rPr>
                <w:b/>
                <w:bCs/>
                <w:color w:val="auto"/>
              </w:rPr>
            </w:pPr>
            <w:r w:rsidRPr="000F0F9C">
              <w:rPr>
                <w:color w:val="auto"/>
              </w:rPr>
              <w:t>30</w:t>
            </w:r>
          </w:p>
        </w:tc>
        <w:tc>
          <w:tcPr>
            <w:tcW w:w="0" w:type="dxa"/>
            <w:noWrap/>
            <w:hideMark/>
          </w:tcPr>
          <w:p w14:paraId="140307E7" w14:textId="77777777" w:rsidR="000F0F9C" w:rsidRPr="000F0F9C" w:rsidRDefault="000F0F9C">
            <w:pPr>
              <w:pStyle w:val="Tabele"/>
              <w:jc w:val="right"/>
              <w:rPr>
                <w:b/>
                <w:bCs/>
                <w:color w:val="auto"/>
              </w:rPr>
            </w:pPr>
            <w:r w:rsidRPr="000F0F9C">
              <w:rPr>
                <w:color w:val="auto"/>
              </w:rPr>
              <w:t>157</w:t>
            </w:r>
          </w:p>
        </w:tc>
        <w:tc>
          <w:tcPr>
            <w:tcW w:w="0" w:type="dxa"/>
            <w:noWrap/>
            <w:hideMark/>
          </w:tcPr>
          <w:p w14:paraId="5352EC94" w14:textId="77777777" w:rsidR="000F0F9C" w:rsidRPr="000F0F9C" w:rsidRDefault="000F0F9C">
            <w:pPr>
              <w:pStyle w:val="Tabele"/>
              <w:jc w:val="right"/>
              <w:rPr>
                <w:b/>
                <w:bCs/>
                <w:color w:val="auto"/>
              </w:rPr>
            </w:pPr>
            <w:r w:rsidRPr="000F0F9C">
              <w:rPr>
                <w:color w:val="auto"/>
              </w:rPr>
              <w:t>607</w:t>
            </w:r>
          </w:p>
        </w:tc>
      </w:tr>
      <w:tr w:rsidR="000F0F9C" w:rsidRPr="00593894" w14:paraId="607AC5BB" w14:textId="77777777" w:rsidTr="0D29C4E5">
        <w:trPr>
          <w:trHeight w:val="226"/>
        </w:trPr>
        <w:tc>
          <w:tcPr>
            <w:tcW w:w="2054" w:type="dxa"/>
          </w:tcPr>
          <w:p w14:paraId="4C7C97DC" w14:textId="77777777" w:rsidR="000F0F9C" w:rsidRPr="000F0F9C" w:rsidRDefault="000F0F9C">
            <w:pPr>
              <w:pStyle w:val="Tabele"/>
              <w:rPr>
                <w:color w:val="auto"/>
                <w:szCs w:val="16"/>
              </w:rPr>
            </w:pPr>
            <w:r w:rsidRPr="000F0F9C">
              <w:rPr>
                <w:color w:val="auto"/>
                <w:szCs w:val="16"/>
              </w:rPr>
              <w:t>Biometan</w:t>
            </w:r>
          </w:p>
        </w:tc>
        <w:tc>
          <w:tcPr>
            <w:tcW w:w="890" w:type="dxa"/>
            <w:shd w:val="clear" w:color="auto" w:fill="C5E0B3" w:themeFill="accent6" w:themeFillTint="66"/>
            <w:noWrap/>
          </w:tcPr>
          <w:p w14:paraId="62DA9E4C" w14:textId="77777777" w:rsidR="000F0F9C" w:rsidRPr="000F0F9C" w:rsidRDefault="000F0F9C">
            <w:pPr>
              <w:pStyle w:val="Tabele"/>
              <w:jc w:val="right"/>
              <w:rPr>
                <w:color w:val="auto"/>
                <w:szCs w:val="16"/>
              </w:rPr>
            </w:pPr>
            <w:r w:rsidRPr="000F0F9C">
              <w:rPr>
                <w:color w:val="auto"/>
                <w:szCs w:val="16"/>
              </w:rPr>
              <w:t>0</w:t>
            </w:r>
          </w:p>
        </w:tc>
        <w:tc>
          <w:tcPr>
            <w:tcW w:w="892" w:type="dxa"/>
            <w:shd w:val="clear" w:color="auto" w:fill="C5E0B3" w:themeFill="accent6" w:themeFillTint="66"/>
            <w:noWrap/>
          </w:tcPr>
          <w:p w14:paraId="77F7BF78" w14:textId="77777777" w:rsidR="000F0F9C" w:rsidRPr="000F0F9C" w:rsidRDefault="000F0F9C">
            <w:pPr>
              <w:pStyle w:val="Tabele"/>
              <w:jc w:val="right"/>
              <w:rPr>
                <w:color w:val="auto"/>
                <w:szCs w:val="16"/>
              </w:rPr>
            </w:pPr>
            <w:r w:rsidRPr="000F0F9C">
              <w:rPr>
                <w:color w:val="auto"/>
                <w:szCs w:val="16"/>
              </w:rPr>
              <w:t>0</w:t>
            </w:r>
          </w:p>
        </w:tc>
        <w:tc>
          <w:tcPr>
            <w:tcW w:w="890" w:type="dxa"/>
            <w:shd w:val="clear" w:color="auto" w:fill="C5E0B3" w:themeFill="accent6" w:themeFillTint="66"/>
            <w:noWrap/>
          </w:tcPr>
          <w:p w14:paraId="76795414" w14:textId="77777777" w:rsidR="000F0F9C" w:rsidRPr="000F0F9C" w:rsidRDefault="000F0F9C">
            <w:pPr>
              <w:pStyle w:val="Tabele"/>
              <w:jc w:val="right"/>
              <w:rPr>
                <w:color w:val="auto"/>
                <w:szCs w:val="16"/>
              </w:rPr>
            </w:pPr>
            <w:r w:rsidRPr="000F0F9C">
              <w:rPr>
                <w:color w:val="auto"/>
                <w:szCs w:val="16"/>
              </w:rPr>
              <w:t>0</w:t>
            </w:r>
          </w:p>
        </w:tc>
        <w:tc>
          <w:tcPr>
            <w:tcW w:w="892" w:type="dxa"/>
            <w:shd w:val="clear" w:color="auto" w:fill="C5E0B3" w:themeFill="accent6" w:themeFillTint="66"/>
            <w:noWrap/>
          </w:tcPr>
          <w:p w14:paraId="279B7C47" w14:textId="77777777" w:rsidR="000F0F9C" w:rsidRPr="000F0F9C" w:rsidRDefault="000F0F9C">
            <w:pPr>
              <w:pStyle w:val="Tabele"/>
              <w:jc w:val="right"/>
              <w:rPr>
                <w:color w:val="auto"/>
                <w:szCs w:val="16"/>
              </w:rPr>
            </w:pPr>
            <w:r w:rsidRPr="000F0F9C">
              <w:rPr>
                <w:color w:val="auto"/>
                <w:szCs w:val="16"/>
              </w:rPr>
              <w:t>0</w:t>
            </w:r>
          </w:p>
        </w:tc>
        <w:tc>
          <w:tcPr>
            <w:tcW w:w="892" w:type="dxa"/>
            <w:noWrap/>
          </w:tcPr>
          <w:p w14:paraId="12FB70C2" w14:textId="77777777" w:rsidR="000F0F9C" w:rsidRPr="000F0F9C" w:rsidRDefault="000F0F9C">
            <w:pPr>
              <w:pStyle w:val="Tabele"/>
              <w:jc w:val="right"/>
              <w:rPr>
                <w:color w:val="auto"/>
                <w:szCs w:val="16"/>
              </w:rPr>
            </w:pPr>
            <w:r w:rsidRPr="000F0F9C">
              <w:rPr>
                <w:color w:val="auto"/>
              </w:rPr>
              <w:t>55</w:t>
            </w:r>
          </w:p>
        </w:tc>
        <w:tc>
          <w:tcPr>
            <w:tcW w:w="890" w:type="dxa"/>
            <w:noWrap/>
          </w:tcPr>
          <w:p w14:paraId="53218875" w14:textId="77777777" w:rsidR="000F0F9C" w:rsidRPr="000F0F9C" w:rsidRDefault="000F0F9C">
            <w:pPr>
              <w:pStyle w:val="Tabele"/>
              <w:jc w:val="right"/>
              <w:rPr>
                <w:color w:val="auto"/>
                <w:szCs w:val="16"/>
              </w:rPr>
            </w:pPr>
            <w:r w:rsidRPr="000F0F9C">
              <w:rPr>
                <w:color w:val="auto"/>
              </w:rPr>
              <w:t>1 270</w:t>
            </w:r>
          </w:p>
        </w:tc>
        <w:tc>
          <w:tcPr>
            <w:tcW w:w="892" w:type="dxa"/>
            <w:noWrap/>
          </w:tcPr>
          <w:p w14:paraId="487CE35E" w14:textId="77777777" w:rsidR="000F0F9C" w:rsidRPr="000F0F9C" w:rsidRDefault="000F0F9C">
            <w:pPr>
              <w:pStyle w:val="Tabele"/>
              <w:jc w:val="right"/>
              <w:rPr>
                <w:color w:val="auto"/>
                <w:szCs w:val="16"/>
              </w:rPr>
            </w:pPr>
            <w:r w:rsidRPr="000F0F9C">
              <w:rPr>
                <w:color w:val="auto"/>
              </w:rPr>
              <w:t>2 436</w:t>
            </w:r>
          </w:p>
        </w:tc>
        <w:tc>
          <w:tcPr>
            <w:tcW w:w="890" w:type="dxa"/>
            <w:noWrap/>
          </w:tcPr>
          <w:p w14:paraId="7A2B7871" w14:textId="77777777" w:rsidR="000F0F9C" w:rsidRPr="000F0F9C" w:rsidRDefault="000F0F9C">
            <w:pPr>
              <w:pStyle w:val="Tabele"/>
              <w:jc w:val="right"/>
              <w:rPr>
                <w:color w:val="auto"/>
                <w:szCs w:val="16"/>
              </w:rPr>
            </w:pPr>
            <w:r w:rsidRPr="000F0F9C">
              <w:rPr>
                <w:color w:val="auto"/>
              </w:rPr>
              <w:t>3 097</w:t>
            </w:r>
          </w:p>
        </w:tc>
      </w:tr>
      <w:tr w:rsidR="000F0F9C" w:rsidRPr="00593894" w14:paraId="2FFEBCBF" w14:textId="77777777" w:rsidTr="0D29C4E5">
        <w:trPr>
          <w:trHeight w:val="226"/>
        </w:trPr>
        <w:tc>
          <w:tcPr>
            <w:tcW w:w="2054" w:type="dxa"/>
            <w:vAlign w:val="top"/>
          </w:tcPr>
          <w:p w14:paraId="61007D0F" w14:textId="77777777" w:rsidR="000F0F9C" w:rsidRPr="000F0F9C" w:rsidRDefault="000F0F9C">
            <w:pPr>
              <w:pStyle w:val="Tabele"/>
              <w:rPr>
                <w:color w:val="auto"/>
                <w:szCs w:val="16"/>
              </w:rPr>
            </w:pPr>
            <w:r w:rsidRPr="000F0F9C">
              <w:rPr>
                <w:b/>
                <w:color w:val="auto"/>
                <w:szCs w:val="16"/>
              </w:rPr>
              <w:t>RAZEM</w:t>
            </w:r>
          </w:p>
        </w:tc>
        <w:tc>
          <w:tcPr>
            <w:tcW w:w="890" w:type="dxa"/>
            <w:shd w:val="clear" w:color="auto" w:fill="C5E0B3" w:themeFill="accent6" w:themeFillTint="66"/>
            <w:noWrap/>
            <w:vAlign w:val="top"/>
          </w:tcPr>
          <w:p w14:paraId="6ACA9864" w14:textId="77777777" w:rsidR="000F0F9C" w:rsidRPr="000F0F9C" w:rsidRDefault="000F0F9C">
            <w:pPr>
              <w:pStyle w:val="Tabele"/>
              <w:jc w:val="right"/>
              <w:rPr>
                <w:color w:val="auto"/>
                <w:szCs w:val="16"/>
              </w:rPr>
            </w:pPr>
            <w:r w:rsidRPr="000F0F9C">
              <w:rPr>
                <w:b/>
                <w:color w:val="auto"/>
                <w:szCs w:val="16"/>
              </w:rPr>
              <w:t>57 473</w:t>
            </w:r>
          </w:p>
        </w:tc>
        <w:tc>
          <w:tcPr>
            <w:tcW w:w="892" w:type="dxa"/>
            <w:shd w:val="clear" w:color="auto" w:fill="C5E0B3" w:themeFill="accent6" w:themeFillTint="66"/>
            <w:noWrap/>
            <w:vAlign w:val="top"/>
          </w:tcPr>
          <w:p w14:paraId="79451C66" w14:textId="77777777" w:rsidR="000F0F9C" w:rsidRPr="000F0F9C" w:rsidRDefault="000F0F9C">
            <w:pPr>
              <w:pStyle w:val="Tabele"/>
              <w:jc w:val="right"/>
              <w:rPr>
                <w:color w:val="auto"/>
                <w:szCs w:val="16"/>
              </w:rPr>
            </w:pPr>
            <w:r w:rsidRPr="000F0F9C">
              <w:rPr>
                <w:b/>
                <w:color w:val="auto"/>
                <w:szCs w:val="16"/>
              </w:rPr>
              <w:t>65 250</w:t>
            </w:r>
          </w:p>
        </w:tc>
        <w:tc>
          <w:tcPr>
            <w:tcW w:w="890" w:type="dxa"/>
            <w:shd w:val="clear" w:color="auto" w:fill="C5E0B3" w:themeFill="accent6" w:themeFillTint="66"/>
            <w:noWrap/>
            <w:vAlign w:val="top"/>
          </w:tcPr>
          <w:p w14:paraId="6B5F80CB" w14:textId="77777777" w:rsidR="000F0F9C" w:rsidRPr="000F0F9C" w:rsidRDefault="000F0F9C">
            <w:pPr>
              <w:pStyle w:val="Tabele"/>
              <w:jc w:val="right"/>
              <w:rPr>
                <w:color w:val="auto"/>
                <w:szCs w:val="16"/>
              </w:rPr>
            </w:pPr>
            <w:r w:rsidRPr="000F0F9C">
              <w:rPr>
                <w:b/>
                <w:color w:val="auto"/>
                <w:szCs w:val="16"/>
              </w:rPr>
              <w:t>60 863</w:t>
            </w:r>
          </w:p>
        </w:tc>
        <w:tc>
          <w:tcPr>
            <w:tcW w:w="892" w:type="dxa"/>
            <w:shd w:val="clear" w:color="auto" w:fill="C5E0B3" w:themeFill="accent6" w:themeFillTint="66"/>
            <w:noWrap/>
            <w:vAlign w:val="top"/>
          </w:tcPr>
          <w:p w14:paraId="49DCE2CF" w14:textId="77777777" w:rsidR="000F0F9C" w:rsidRPr="000F0F9C" w:rsidRDefault="000F0F9C">
            <w:pPr>
              <w:pStyle w:val="Tabele"/>
              <w:jc w:val="right"/>
              <w:rPr>
                <w:color w:val="auto"/>
                <w:szCs w:val="16"/>
              </w:rPr>
            </w:pPr>
            <w:r w:rsidRPr="000F0F9C">
              <w:rPr>
                <w:b/>
                <w:color w:val="auto"/>
                <w:szCs w:val="16"/>
              </w:rPr>
              <w:t>70 235</w:t>
            </w:r>
          </w:p>
        </w:tc>
        <w:tc>
          <w:tcPr>
            <w:tcW w:w="892" w:type="dxa"/>
            <w:noWrap/>
            <w:vAlign w:val="top"/>
          </w:tcPr>
          <w:p w14:paraId="39F5EACD" w14:textId="77777777" w:rsidR="000F0F9C" w:rsidRPr="000F0F9C" w:rsidRDefault="000F0F9C">
            <w:pPr>
              <w:pStyle w:val="Tabele"/>
              <w:jc w:val="right"/>
              <w:rPr>
                <w:b/>
                <w:color w:val="auto"/>
                <w:szCs w:val="16"/>
              </w:rPr>
            </w:pPr>
            <w:r w:rsidRPr="000F0F9C">
              <w:rPr>
                <w:b/>
                <w:color w:val="auto"/>
              </w:rPr>
              <w:t>69 496</w:t>
            </w:r>
          </w:p>
        </w:tc>
        <w:tc>
          <w:tcPr>
            <w:tcW w:w="890" w:type="dxa"/>
            <w:noWrap/>
            <w:vAlign w:val="top"/>
          </w:tcPr>
          <w:p w14:paraId="2A3D9EE1" w14:textId="77777777" w:rsidR="000F0F9C" w:rsidRPr="000F0F9C" w:rsidRDefault="000F0F9C">
            <w:pPr>
              <w:pStyle w:val="Tabele"/>
              <w:jc w:val="right"/>
              <w:rPr>
                <w:b/>
                <w:color w:val="auto"/>
                <w:szCs w:val="16"/>
              </w:rPr>
            </w:pPr>
            <w:r w:rsidRPr="000F0F9C">
              <w:rPr>
                <w:b/>
                <w:color w:val="auto"/>
              </w:rPr>
              <w:t>64 338</w:t>
            </w:r>
          </w:p>
        </w:tc>
        <w:tc>
          <w:tcPr>
            <w:tcW w:w="892" w:type="dxa"/>
            <w:noWrap/>
            <w:vAlign w:val="top"/>
          </w:tcPr>
          <w:p w14:paraId="1904E081" w14:textId="77777777" w:rsidR="000F0F9C" w:rsidRPr="000F0F9C" w:rsidRDefault="000F0F9C">
            <w:pPr>
              <w:pStyle w:val="Tabele"/>
              <w:jc w:val="right"/>
              <w:rPr>
                <w:b/>
                <w:color w:val="auto"/>
                <w:szCs w:val="16"/>
              </w:rPr>
            </w:pPr>
            <w:r w:rsidRPr="000F0F9C">
              <w:rPr>
                <w:b/>
                <w:color w:val="auto"/>
              </w:rPr>
              <w:t>59 885</w:t>
            </w:r>
          </w:p>
        </w:tc>
        <w:tc>
          <w:tcPr>
            <w:tcW w:w="890" w:type="dxa"/>
            <w:noWrap/>
            <w:vAlign w:val="top"/>
          </w:tcPr>
          <w:p w14:paraId="6B256244" w14:textId="77777777" w:rsidR="000F0F9C" w:rsidRPr="000F0F9C" w:rsidRDefault="000F0F9C">
            <w:pPr>
              <w:pStyle w:val="Tabele"/>
              <w:jc w:val="right"/>
              <w:rPr>
                <w:b/>
                <w:color w:val="auto"/>
                <w:szCs w:val="16"/>
              </w:rPr>
            </w:pPr>
            <w:r w:rsidRPr="000F0F9C">
              <w:rPr>
                <w:b/>
                <w:color w:val="auto"/>
              </w:rPr>
              <w:t>56 992</w:t>
            </w:r>
          </w:p>
        </w:tc>
      </w:tr>
    </w:tbl>
    <w:p w14:paraId="17B38DEF" w14:textId="5A9BC3BA" w:rsidR="005C4144" w:rsidRDefault="005C4144" w:rsidP="000F0F9C">
      <w:pPr>
        <w:pStyle w:val="Legenda"/>
      </w:pPr>
      <w:r w:rsidRPr="00593894">
        <w:t>Źródło: Opracowanie własne ARE S</w:t>
      </w:r>
      <w:r>
        <w:t>.</w:t>
      </w:r>
      <w:r w:rsidRPr="00593894">
        <w:t>A</w:t>
      </w:r>
      <w:r>
        <w:t>.</w:t>
      </w:r>
      <w:r w:rsidRPr="00593894">
        <w:t xml:space="preserve"> (STEAM-PL</w:t>
      </w:r>
      <w:r w:rsidR="000F0F9C" w:rsidRPr="00593894">
        <w:t>),</w:t>
      </w:r>
      <w:r w:rsidRPr="00593894">
        <w:t xml:space="preserve"> EUROSTAT </w:t>
      </w:r>
    </w:p>
    <w:p w14:paraId="7DDD34DA" w14:textId="77777777" w:rsidR="00016B2F" w:rsidRPr="00016B2F" w:rsidRDefault="00016B2F" w:rsidP="00016B2F"/>
    <w:p w14:paraId="5E58D474" w14:textId="4464B96A" w:rsidR="005C4144" w:rsidRDefault="00D33096" w:rsidP="005C4144">
      <w:r>
        <w:rPr>
          <w:noProof/>
          <w:lang w:eastAsia="pl-PL"/>
        </w:rPr>
        <w:drawing>
          <wp:inline distT="0" distB="0" distL="0" distR="0" wp14:anchorId="670FF29F" wp14:editId="0B2EC038">
            <wp:extent cx="5821680" cy="3761740"/>
            <wp:effectExtent l="0" t="0" r="7620" b="0"/>
            <wp:docPr id="1575901665" name="Wykres 1">
              <a:extLst xmlns:a="http://schemas.openxmlformats.org/drawingml/2006/main">
                <a:ext uri="{FF2B5EF4-FFF2-40B4-BE49-F238E27FC236}">
                  <a16:creationId xmlns:a16="http://schemas.microsoft.com/office/drawing/2014/main" id="{00000000-0008-0000-1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0C1DD64" w14:textId="32021C83" w:rsidR="00C50C8E" w:rsidRPr="00FE7FBD" w:rsidRDefault="005C4144" w:rsidP="00FE7FBD">
      <w:pPr>
        <w:pStyle w:val="Legenda"/>
        <w:rPr>
          <w:iCs w:val="0"/>
        </w:rPr>
      </w:pPr>
      <w:bookmarkStart w:id="301" w:name="_Ref156557418"/>
      <w:bookmarkStart w:id="302" w:name="_Toc171587269"/>
      <w:bookmarkStart w:id="303" w:name="_Toc174711036"/>
      <w:bookmarkStart w:id="304" w:name="_Toc202967045"/>
      <w:r>
        <w:t xml:space="preserve">Rysunek </w:t>
      </w:r>
      <w:r>
        <w:rPr>
          <w:noProof/>
        </w:rPr>
        <w:fldChar w:fldCharType="begin"/>
      </w:r>
      <w:r>
        <w:rPr>
          <w:noProof/>
        </w:rPr>
        <w:instrText xml:space="preserve"> STYLEREF 1 \s </w:instrText>
      </w:r>
      <w:r>
        <w:rPr>
          <w:noProof/>
        </w:rPr>
        <w:fldChar w:fldCharType="separate"/>
      </w:r>
      <w:r w:rsidR="00F27D6F">
        <w:rPr>
          <w:noProof/>
        </w:rPr>
        <w:t>2</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4</w:t>
      </w:r>
      <w:r>
        <w:rPr>
          <w:noProof/>
        </w:rPr>
        <w:fldChar w:fldCharType="end"/>
      </w:r>
      <w:bookmarkEnd w:id="301"/>
      <w:r>
        <w:t xml:space="preserve">. </w:t>
      </w:r>
      <w:r w:rsidRPr="00593894">
        <w:rPr>
          <w:iCs w:val="0"/>
        </w:rPr>
        <w:t>Zużycie energii finalnej</w:t>
      </w:r>
      <w:r>
        <w:rPr>
          <w:iCs w:val="0"/>
        </w:rPr>
        <w:t xml:space="preserve"> w </w:t>
      </w:r>
      <w:r w:rsidRPr="00593894">
        <w:rPr>
          <w:iCs w:val="0"/>
        </w:rPr>
        <w:t>podziale na paliwa</w:t>
      </w:r>
      <w:r>
        <w:rPr>
          <w:iCs w:val="0"/>
        </w:rPr>
        <w:t xml:space="preserve"> i </w:t>
      </w:r>
      <w:r w:rsidRPr="00593894">
        <w:rPr>
          <w:iCs w:val="0"/>
        </w:rPr>
        <w:t>nośniki</w:t>
      </w:r>
      <w:bookmarkEnd w:id="302"/>
      <w:bookmarkEnd w:id="303"/>
      <w:bookmarkEnd w:id="304"/>
    </w:p>
    <w:p w14:paraId="5609A24E" w14:textId="77777777" w:rsidR="00AB6C75" w:rsidRPr="00AB6C75" w:rsidRDefault="00AB6C75" w:rsidP="00AB6C75"/>
    <w:p w14:paraId="45B3D78C" w14:textId="77777777" w:rsidR="005C4144" w:rsidRPr="00DB5D89" w:rsidRDefault="005C4144" w:rsidP="00797A1F">
      <w:pPr>
        <w:pStyle w:val="Nagwek2"/>
      </w:pPr>
      <w:bookmarkStart w:id="305" w:name="_Toc171587320"/>
      <w:bookmarkStart w:id="306" w:name="_Toc174710894"/>
      <w:bookmarkStart w:id="307" w:name="_Toc202966887"/>
      <w:r>
        <w:t>Zużycie nieenergetyczne</w:t>
      </w:r>
      <w:bookmarkEnd w:id="305"/>
      <w:bookmarkEnd w:id="306"/>
      <w:bookmarkEnd w:id="307"/>
    </w:p>
    <w:p w14:paraId="6E051E81" w14:textId="6DC51320" w:rsidR="00DE0942" w:rsidRDefault="00DE0942" w:rsidP="00DE0942">
      <w:pPr>
        <w:spacing w:after="120"/>
      </w:pPr>
      <w:bookmarkStart w:id="308" w:name="_Toc171587192"/>
      <w:bookmarkStart w:id="309" w:name="_Toc174710976"/>
      <w:r w:rsidRPr="00F85B97">
        <w:t xml:space="preserve">Zużycie nieenergetyczne to ilość nośników energii zużyta na potrzeby technologiczne produkcji niektórych wyrobów (np. zużycie gazu </w:t>
      </w:r>
      <w:r>
        <w:t xml:space="preserve">ziemnego </w:t>
      </w:r>
      <w:r w:rsidRPr="00F85B97">
        <w:t>do produkcji nawozów sztucznych, albo węgiel kamienny do produkcji elektrod</w:t>
      </w:r>
      <w:r>
        <w:t>, produkty naftowe do produkcji tworzyw sztucznych, chemikaliów</w:t>
      </w:r>
      <w:r w:rsidRPr="00F85B97">
        <w:t>).</w:t>
      </w:r>
      <w:r>
        <w:t xml:space="preserve"> W </w:t>
      </w:r>
      <w:r w:rsidRPr="00F85B97">
        <w:t xml:space="preserve">prognozie zakłada się umiarkowany </w:t>
      </w:r>
      <w:r>
        <w:t>spadek zużycia</w:t>
      </w:r>
      <w:r w:rsidRPr="00F85B97">
        <w:t xml:space="preserve"> stosowanych do tej pory nośników energii n</w:t>
      </w:r>
      <w:r>
        <w:t>a cele nieenergetyczne, ponieważ nie zakłada się istotnego spadku produkcji wspomnianych produktów.</w:t>
      </w:r>
      <w:r w:rsidR="00B563F8">
        <w:t xml:space="preserve"> </w:t>
      </w:r>
    </w:p>
    <w:p w14:paraId="6334CA94" w14:textId="5C7B4B33" w:rsidR="005C4144" w:rsidRPr="00593894" w:rsidRDefault="005C4144" w:rsidP="005C4144">
      <w:pPr>
        <w:pStyle w:val="Legenda"/>
      </w:pPr>
      <w:bookmarkStart w:id="310" w:name="_Toc202966979"/>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4</w:t>
      </w:r>
      <w:r w:rsidR="00653D9A">
        <w:rPr>
          <w:noProof/>
        </w:rPr>
        <w:fldChar w:fldCharType="end"/>
      </w:r>
      <w:r w:rsidR="00DA2266">
        <w:rPr>
          <w:noProof/>
        </w:rPr>
        <w:t>.</w:t>
      </w:r>
      <w:r>
        <w:t xml:space="preserve"> </w:t>
      </w:r>
      <w:r w:rsidRPr="00593894">
        <w:t>Zużycie nieenergetyczne</w:t>
      </w:r>
      <w:r>
        <w:t xml:space="preserve"> w </w:t>
      </w:r>
      <w:r w:rsidRPr="00593894">
        <w:t>podziale na paliwa [ktoe]</w:t>
      </w:r>
      <w:bookmarkEnd w:id="308"/>
      <w:bookmarkEnd w:id="309"/>
      <w:bookmarkEnd w:id="310"/>
    </w:p>
    <w:tbl>
      <w:tblPr>
        <w:tblStyle w:val="KPEiK"/>
        <w:tblW w:w="5000" w:type="pct"/>
        <w:tblLayout w:type="fixed"/>
        <w:tblLook w:val="04A0" w:firstRow="1" w:lastRow="0" w:firstColumn="1" w:lastColumn="0" w:noHBand="0" w:noVBand="1"/>
      </w:tblPr>
      <w:tblGrid>
        <w:gridCol w:w="2026"/>
        <w:gridCol w:w="879"/>
        <w:gridCol w:w="880"/>
        <w:gridCol w:w="879"/>
        <w:gridCol w:w="880"/>
        <w:gridCol w:w="880"/>
        <w:gridCol w:w="879"/>
        <w:gridCol w:w="880"/>
        <w:gridCol w:w="879"/>
      </w:tblGrid>
      <w:tr w:rsidR="0074362B" w:rsidRPr="0074362B" w14:paraId="77FBC5D7" w14:textId="77777777" w:rsidTr="00A6384C">
        <w:trPr>
          <w:cnfStyle w:val="100000000000" w:firstRow="1" w:lastRow="0" w:firstColumn="0" w:lastColumn="0" w:oddVBand="0" w:evenVBand="0" w:oddHBand="0" w:evenHBand="0" w:firstRowFirstColumn="0" w:firstRowLastColumn="0" w:lastRowFirstColumn="0" w:lastRowLastColumn="0"/>
          <w:trHeight w:val="228"/>
          <w:tblHeader/>
        </w:trPr>
        <w:tc>
          <w:tcPr>
            <w:tcW w:w="2043" w:type="dxa"/>
            <w:noWrap/>
            <w:hideMark/>
          </w:tcPr>
          <w:p w14:paraId="7B4C8360" w14:textId="77777777" w:rsidR="0074362B" w:rsidRPr="00593894" w:rsidRDefault="0074362B">
            <w:pPr>
              <w:pStyle w:val="Tabele"/>
              <w:jc w:val="center"/>
            </w:pPr>
          </w:p>
        </w:tc>
        <w:tc>
          <w:tcPr>
            <w:tcW w:w="886" w:type="dxa"/>
            <w:hideMark/>
          </w:tcPr>
          <w:p w14:paraId="4159047E" w14:textId="77777777" w:rsidR="0074362B" w:rsidRPr="00593894" w:rsidRDefault="0074362B">
            <w:pPr>
              <w:pStyle w:val="Tabele"/>
              <w:jc w:val="center"/>
            </w:pPr>
            <w:r w:rsidRPr="00593894">
              <w:t>2005</w:t>
            </w:r>
          </w:p>
        </w:tc>
        <w:tc>
          <w:tcPr>
            <w:tcW w:w="887" w:type="dxa"/>
            <w:hideMark/>
          </w:tcPr>
          <w:p w14:paraId="0F0E311D" w14:textId="77777777" w:rsidR="0074362B" w:rsidRPr="00593894" w:rsidRDefault="0074362B">
            <w:pPr>
              <w:pStyle w:val="Tabele"/>
              <w:jc w:val="center"/>
            </w:pPr>
            <w:r w:rsidRPr="00593894">
              <w:t>2010</w:t>
            </w:r>
          </w:p>
        </w:tc>
        <w:tc>
          <w:tcPr>
            <w:tcW w:w="886" w:type="dxa"/>
            <w:hideMark/>
          </w:tcPr>
          <w:p w14:paraId="2E7EE91F" w14:textId="77777777" w:rsidR="0074362B" w:rsidRPr="00593894" w:rsidRDefault="0074362B">
            <w:pPr>
              <w:pStyle w:val="Tabele"/>
              <w:jc w:val="center"/>
            </w:pPr>
            <w:r w:rsidRPr="00593894">
              <w:t>2015</w:t>
            </w:r>
          </w:p>
        </w:tc>
        <w:tc>
          <w:tcPr>
            <w:tcW w:w="887" w:type="dxa"/>
            <w:hideMark/>
          </w:tcPr>
          <w:p w14:paraId="55C21DF5" w14:textId="77777777" w:rsidR="0074362B" w:rsidRPr="00593894" w:rsidRDefault="0074362B">
            <w:pPr>
              <w:pStyle w:val="Tabele"/>
              <w:jc w:val="center"/>
            </w:pPr>
            <w:r w:rsidRPr="00593894">
              <w:t>2020</w:t>
            </w:r>
          </w:p>
        </w:tc>
        <w:tc>
          <w:tcPr>
            <w:tcW w:w="887" w:type="dxa"/>
            <w:hideMark/>
          </w:tcPr>
          <w:p w14:paraId="130415BA" w14:textId="77777777" w:rsidR="0074362B" w:rsidRPr="00593894" w:rsidRDefault="0074362B">
            <w:pPr>
              <w:pStyle w:val="Tabele"/>
              <w:jc w:val="center"/>
            </w:pPr>
            <w:r w:rsidRPr="00593894">
              <w:t>2025</w:t>
            </w:r>
          </w:p>
        </w:tc>
        <w:tc>
          <w:tcPr>
            <w:tcW w:w="886" w:type="dxa"/>
            <w:hideMark/>
          </w:tcPr>
          <w:p w14:paraId="1EC22C42" w14:textId="77777777" w:rsidR="0074362B" w:rsidRPr="00593894" w:rsidRDefault="0074362B">
            <w:pPr>
              <w:pStyle w:val="Tabele"/>
              <w:jc w:val="center"/>
            </w:pPr>
            <w:r w:rsidRPr="00593894">
              <w:t>2030</w:t>
            </w:r>
          </w:p>
        </w:tc>
        <w:tc>
          <w:tcPr>
            <w:tcW w:w="887" w:type="dxa"/>
            <w:hideMark/>
          </w:tcPr>
          <w:p w14:paraId="1A288F7C" w14:textId="77777777" w:rsidR="0074362B" w:rsidRPr="00593894" w:rsidRDefault="0074362B">
            <w:pPr>
              <w:pStyle w:val="Tabele"/>
              <w:jc w:val="center"/>
            </w:pPr>
            <w:r w:rsidRPr="00593894">
              <w:t>2035</w:t>
            </w:r>
          </w:p>
        </w:tc>
        <w:tc>
          <w:tcPr>
            <w:tcW w:w="886" w:type="dxa"/>
          </w:tcPr>
          <w:p w14:paraId="211541AB" w14:textId="77777777" w:rsidR="0074362B" w:rsidRPr="00593894" w:rsidRDefault="0074362B">
            <w:pPr>
              <w:pStyle w:val="Tabele"/>
              <w:jc w:val="center"/>
            </w:pPr>
            <w:r>
              <w:t>2040</w:t>
            </w:r>
          </w:p>
        </w:tc>
      </w:tr>
      <w:tr w:rsidR="0074362B" w:rsidRPr="0074362B" w14:paraId="4656D8E8" w14:textId="77777777" w:rsidTr="0D29C4E5">
        <w:trPr>
          <w:trHeight w:val="228"/>
        </w:trPr>
        <w:tc>
          <w:tcPr>
            <w:tcW w:w="2043" w:type="dxa"/>
            <w:hideMark/>
          </w:tcPr>
          <w:p w14:paraId="10E1CD5B" w14:textId="77777777" w:rsidR="0074362B" w:rsidRPr="0074362B" w:rsidRDefault="0074362B">
            <w:pPr>
              <w:pStyle w:val="Tabele"/>
              <w:rPr>
                <w:color w:val="auto"/>
              </w:rPr>
            </w:pPr>
            <w:r w:rsidRPr="0074362B">
              <w:rPr>
                <w:color w:val="auto"/>
              </w:rPr>
              <w:t xml:space="preserve">Węgiel </w:t>
            </w:r>
          </w:p>
        </w:tc>
        <w:tc>
          <w:tcPr>
            <w:tcW w:w="886" w:type="dxa"/>
            <w:shd w:val="clear" w:color="auto" w:fill="C5E0B3" w:themeFill="accent6" w:themeFillTint="66"/>
            <w:noWrap/>
            <w:vAlign w:val="top"/>
            <w:hideMark/>
          </w:tcPr>
          <w:p w14:paraId="418FE676" w14:textId="77777777" w:rsidR="0074362B" w:rsidRPr="0074362B" w:rsidRDefault="0074362B">
            <w:pPr>
              <w:pStyle w:val="Tabele"/>
              <w:jc w:val="right"/>
              <w:rPr>
                <w:color w:val="auto"/>
                <w:szCs w:val="16"/>
              </w:rPr>
            </w:pPr>
            <w:r w:rsidRPr="0074362B">
              <w:rPr>
                <w:color w:val="auto"/>
                <w:szCs w:val="16"/>
              </w:rPr>
              <w:t>52</w:t>
            </w:r>
          </w:p>
        </w:tc>
        <w:tc>
          <w:tcPr>
            <w:tcW w:w="887" w:type="dxa"/>
            <w:shd w:val="clear" w:color="auto" w:fill="C5E0B3" w:themeFill="accent6" w:themeFillTint="66"/>
            <w:noWrap/>
            <w:vAlign w:val="top"/>
            <w:hideMark/>
          </w:tcPr>
          <w:p w14:paraId="488924DE" w14:textId="77777777" w:rsidR="0074362B" w:rsidRPr="0074362B" w:rsidRDefault="0074362B">
            <w:pPr>
              <w:pStyle w:val="Tabele"/>
              <w:jc w:val="right"/>
              <w:rPr>
                <w:color w:val="auto"/>
                <w:szCs w:val="16"/>
              </w:rPr>
            </w:pPr>
            <w:r w:rsidRPr="0074362B">
              <w:rPr>
                <w:color w:val="auto"/>
                <w:szCs w:val="16"/>
              </w:rPr>
              <w:t>54</w:t>
            </w:r>
          </w:p>
        </w:tc>
        <w:tc>
          <w:tcPr>
            <w:tcW w:w="886" w:type="dxa"/>
            <w:shd w:val="clear" w:color="auto" w:fill="C5E0B3" w:themeFill="accent6" w:themeFillTint="66"/>
            <w:noWrap/>
            <w:vAlign w:val="top"/>
            <w:hideMark/>
          </w:tcPr>
          <w:p w14:paraId="505836FC" w14:textId="77777777" w:rsidR="0074362B" w:rsidRPr="0074362B" w:rsidRDefault="0074362B">
            <w:pPr>
              <w:pStyle w:val="Tabele"/>
              <w:jc w:val="right"/>
              <w:rPr>
                <w:color w:val="auto"/>
                <w:szCs w:val="16"/>
              </w:rPr>
            </w:pPr>
            <w:r w:rsidRPr="0074362B">
              <w:rPr>
                <w:color w:val="auto"/>
                <w:szCs w:val="16"/>
              </w:rPr>
              <w:t>133</w:t>
            </w:r>
          </w:p>
        </w:tc>
        <w:tc>
          <w:tcPr>
            <w:tcW w:w="887" w:type="dxa"/>
            <w:shd w:val="clear" w:color="auto" w:fill="C5E0B3" w:themeFill="accent6" w:themeFillTint="66"/>
            <w:noWrap/>
            <w:vAlign w:val="top"/>
            <w:hideMark/>
          </w:tcPr>
          <w:p w14:paraId="63422F52" w14:textId="77777777" w:rsidR="0074362B" w:rsidRPr="0074362B" w:rsidRDefault="0074362B">
            <w:pPr>
              <w:pStyle w:val="Tabele"/>
              <w:jc w:val="right"/>
              <w:rPr>
                <w:color w:val="auto"/>
                <w:szCs w:val="16"/>
              </w:rPr>
            </w:pPr>
            <w:r w:rsidRPr="0074362B">
              <w:rPr>
                <w:color w:val="auto"/>
                <w:szCs w:val="16"/>
              </w:rPr>
              <w:t>64</w:t>
            </w:r>
          </w:p>
        </w:tc>
        <w:tc>
          <w:tcPr>
            <w:tcW w:w="887" w:type="dxa"/>
            <w:noWrap/>
            <w:hideMark/>
          </w:tcPr>
          <w:p w14:paraId="7D1E4B74" w14:textId="77777777" w:rsidR="0074362B" w:rsidRPr="0074362B" w:rsidRDefault="0074362B">
            <w:pPr>
              <w:pStyle w:val="Tabele"/>
              <w:jc w:val="right"/>
              <w:rPr>
                <w:color w:val="auto"/>
                <w:szCs w:val="16"/>
              </w:rPr>
            </w:pPr>
            <w:r w:rsidRPr="0074362B">
              <w:rPr>
                <w:rFonts w:cs="Arial"/>
                <w:color w:val="auto"/>
                <w:szCs w:val="16"/>
              </w:rPr>
              <w:t>54</w:t>
            </w:r>
          </w:p>
        </w:tc>
        <w:tc>
          <w:tcPr>
            <w:tcW w:w="886" w:type="dxa"/>
            <w:noWrap/>
            <w:hideMark/>
          </w:tcPr>
          <w:p w14:paraId="0E41AC36" w14:textId="77777777" w:rsidR="0074362B" w:rsidRPr="0074362B" w:rsidRDefault="0074362B">
            <w:pPr>
              <w:pStyle w:val="Tabele"/>
              <w:jc w:val="right"/>
              <w:rPr>
                <w:color w:val="auto"/>
                <w:szCs w:val="16"/>
              </w:rPr>
            </w:pPr>
            <w:r w:rsidRPr="0074362B">
              <w:rPr>
                <w:rFonts w:cs="Arial"/>
                <w:color w:val="auto"/>
                <w:szCs w:val="16"/>
              </w:rPr>
              <w:t>55</w:t>
            </w:r>
          </w:p>
        </w:tc>
        <w:tc>
          <w:tcPr>
            <w:tcW w:w="887" w:type="dxa"/>
            <w:noWrap/>
            <w:hideMark/>
          </w:tcPr>
          <w:p w14:paraId="08784BE4" w14:textId="77777777" w:rsidR="0074362B" w:rsidRPr="0074362B" w:rsidRDefault="0074362B">
            <w:pPr>
              <w:pStyle w:val="Tabele"/>
              <w:jc w:val="right"/>
              <w:rPr>
                <w:color w:val="auto"/>
                <w:szCs w:val="16"/>
              </w:rPr>
            </w:pPr>
            <w:r w:rsidRPr="0074362B">
              <w:rPr>
                <w:rFonts w:cs="Arial"/>
                <w:color w:val="auto"/>
                <w:szCs w:val="16"/>
              </w:rPr>
              <w:t>55</w:t>
            </w:r>
          </w:p>
        </w:tc>
        <w:tc>
          <w:tcPr>
            <w:tcW w:w="886" w:type="dxa"/>
          </w:tcPr>
          <w:p w14:paraId="0A042D1E" w14:textId="77777777" w:rsidR="0074362B" w:rsidRPr="0074362B" w:rsidRDefault="0074362B">
            <w:pPr>
              <w:pStyle w:val="Tabele"/>
              <w:jc w:val="right"/>
              <w:rPr>
                <w:color w:val="auto"/>
                <w:szCs w:val="16"/>
              </w:rPr>
            </w:pPr>
            <w:r w:rsidRPr="0074362B">
              <w:rPr>
                <w:rFonts w:cs="Arial"/>
                <w:color w:val="auto"/>
                <w:szCs w:val="16"/>
              </w:rPr>
              <w:t>56</w:t>
            </w:r>
          </w:p>
        </w:tc>
      </w:tr>
      <w:tr w:rsidR="0074362B" w:rsidRPr="0074362B" w14:paraId="67CE64D8" w14:textId="77777777" w:rsidTr="0D29C4E5">
        <w:trPr>
          <w:trHeight w:val="228"/>
        </w:trPr>
        <w:tc>
          <w:tcPr>
            <w:tcW w:w="2043" w:type="dxa"/>
            <w:hideMark/>
          </w:tcPr>
          <w:p w14:paraId="0CCC203D" w14:textId="77777777" w:rsidR="0074362B" w:rsidRPr="0074362B" w:rsidRDefault="0074362B">
            <w:pPr>
              <w:pStyle w:val="Tabele"/>
              <w:rPr>
                <w:color w:val="auto"/>
              </w:rPr>
            </w:pPr>
            <w:r w:rsidRPr="0074362B">
              <w:rPr>
                <w:color w:val="auto"/>
              </w:rPr>
              <w:t>Koks</w:t>
            </w:r>
          </w:p>
        </w:tc>
        <w:tc>
          <w:tcPr>
            <w:tcW w:w="886" w:type="dxa"/>
            <w:shd w:val="clear" w:color="auto" w:fill="C5E0B3" w:themeFill="accent6" w:themeFillTint="66"/>
            <w:noWrap/>
            <w:vAlign w:val="top"/>
            <w:hideMark/>
          </w:tcPr>
          <w:p w14:paraId="0DFD837A" w14:textId="77777777" w:rsidR="0074362B" w:rsidRPr="0074362B" w:rsidRDefault="0074362B">
            <w:pPr>
              <w:pStyle w:val="Tabele"/>
              <w:jc w:val="right"/>
              <w:rPr>
                <w:color w:val="auto"/>
                <w:szCs w:val="16"/>
              </w:rPr>
            </w:pPr>
            <w:r w:rsidRPr="0074362B">
              <w:rPr>
                <w:color w:val="auto"/>
                <w:szCs w:val="16"/>
              </w:rPr>
              <w:t>39</w:t>
            </w:r>
          </w:p>
        </w:tc>
        <w:tc>
          <w:tcPr>
            <w:tcW w:w="887" w:type="dxa"/>
            <w:shd w:val="clear" w:color="auto" w:fill="C5E0B3" w:themeFill="accent6" w:themeFillTint="66"/>
            <w:noWrap/>
            <w:vAlign w:val="top"/>
            <w:hideMark/>
          </w:tcPr>
          <w:p w14:paraId="51A9A574" w14:textId="77777777" w:rsidR="0074362B" w:rsidRPr="0074362B" w:rsidRDefault="0074362B">
            <w:pPr>
              <w:pStyle w:val="Tabele"/>
              <w:jc w:val="right"/>
              <w:rPr>
                <w:color w:val="auto"/>
                <w:szCs w:val="16"/>
              </w:rPr>
            </w:pPr>
            <w:r w:rsidRPr="0074362B">
              <w:rPr>
                <w:color w:val="auto"/>
                <w:szCs w:val="16"/>
              </w:rPr>
              <w:t>1</w:t>
            </w:r>
          </w:p>
        </w:tc>
        <w:tc>
          <w:tcPr>
            <w:tcW w:w="886" w:type="dxa"/>
            <w:shd w:val="clear" w:color="auto" w:fill="C5E0B3" w:themeFill="accent6" w:themeFillTint="66"/>
            <w:noWrap/>
            <w:vAlign w:val="top"/>
            <w:hideMark/>
          </w:tcPr>
          <w:p w14:paraId="743D2D94" w14:textId="77777777" w:rsidR="0074362B" w:rsidRPr="0074362B" w:rsidRDefault="0074362B">
            <w:pPr>
              <w:pStyle w:val="Tabele"/>
              <w:jc w:val="right"/>
              <w:rPr>
                <w:color w:val="auto"/>
                <w:szCs w:val="16"/>
              </w:rPr>
            </w:pPr>
            <w:r w:rsidRPr="0074362B">
              <w:rPr>
                <w:color w:val="auto"/>
                <w:szCs w:val="16"/>
              </w:rPr>
              <w:t>0</w:t>
            </w:r>
          </w:p>
        </w:tc>
        <w:tc>
          <w:tcPr>
            <w:tcW w:w="887" w:type="dxa"/>
            <w:shd w:val="clear" w:color="auto" w:fill="C5E0B3" w:themeFill="accent6" w:themeFillTint="66"/>
            <w:noWrap/>
            <w:vAlign w:val="top"/>
            <w:hideMark/>
          </w:tcPr>
          <w:p w14:paraId="6A0A69D2" w14:textId="77777777" w:rsidR="0074362B" w:rsidRPr="0074362B" w:rsidRDefault="0074362B">
            <w:pPr>
              <w:pStyle w:val="Tabele"/>
              <w:jc w:val="right"/>
              <w:rPr>
                <w:color w:val="auto"/>
                <w:szCs w:val="16"/>
              </w:rPr>
            </w:pPr>
            <w:r w:rsidRPr="0074362B">
              <w:rPr>
                <w:color w:val="auto"/>
                <w:szCs w:val="16"/>
              </w:rPr>
              <w:t>33</w:t>
            </w:r>
          </w:p>
        </w:tc>
        <w:tc>
          <w:tcPr>
            <w:tcW w:w="887" w:type="dxa"/>
            <w:noWrap/>
            <w:hideMark/>
          </w:tcPr>
          <w:p w14:paraId="2C8A7C3A" w14:textId="77777777" w:rsidR="0074362B" w:rsidRPr="0074362B" w:rsidRDefault="0074362B">
            <w:pPr>
              <w:pStyle w:val="Tabele"/>
              <w:jc w:val="right"/>
              <w:rPr>
                <w:color w:val="auto"/>
                <w:szCs w:val="16"/>
              </w:rPr>
            </w:pPr>
            <w:r w:rsidRPr="0074362B">
              <w:rPr>
                <w:rFonts w:cs="Arial"/>
                <w:color w:val="auto"/>
                <w:szCs w:val="16"/>
              </w:rPr>
              <w:t>30</w:t>
            </w:r>
          </w:p>
        </w:tc>
        <w:tc>
          <w:tcPr>
            <w:tcW w:w="886" w:type="dxa"/>
            <w:noWrap/>
            <w:hideMark/>
          </w:tcPr>
          <w:p w14:paraId="57CC75DD" w14:textId="77777777" w:rsidR="0074362B" w:rsidRPr="0074362B" w:rsidRDefault="0074362B">
            <w:pPr>
              <w:pStyle w:val="Tabele"/>
              <w:jc w:val="right"/>
              <w:rPr>
                <w:color w:val="auto"/>
                <w:szCs w:val="16"/>
              </w:rPr>
            </w:pPr>
            <w:r w:rsidRPr="0074362B">
              <w:rPr>
                <w:rFonts w:cs="Arial"/>
                <w:color w:val="auto"/>
                <w:szCs w:val="16"/>
              </w:rPr>
              <w:t>27</w:t>
            </w:r>
          </w:p>
        </w:tc>
        <w:tc>
          <w:tcPr>
            <w:tcW w:w="887" w:type="dxa"/>
            <w:noWrap/>
            <w:hideMark/>
          </w:tcPr>
          <w:p w14:paraId="59D29359" w14:textId="77777777" w:rsidR="0074362B" w:rsidRPr="0074362B" w:rsidRDefault="0074362B">
            <w:pPr>
              <w:pStyle w:val="Tabele"/>
              <w:jc w:val="right"/>
              <w:rPr>
                <w:color w:val="auto"/>
                <w:szCs w:val="16"/>
              </w:rPr>
            </w:pPr>
            <w:r w:rsidRPr="0074362B">
              <w:rPr>
                <w:rFonts w:cs="Arial"/>
                <w:color w:val="auto"/>
                <w:szCs w:val="16"/>
              </w:rPr>
              <w:t>25</w:t>
            </w:r>
          </w:p>
        </w:tc>
        <w:tc>
          <w:tcPr>
            <w:tcW w:w="886" w:type="dxa"/>
          </w:tcPr>
          <w:p w14:paraId="7E6BA508" w14:textId="77777777" w:rsidR="0074362B" w:rsidRPr="0074362B" w:rsidRDefault="0074362B">
            <w:pPr>
              <w:pStyle w:val="Tabele"/>
              <w:jc w:val="right"/>
              <w:rPr>
                <w:color w:val="auto"/>
                <w:szCs w:val="16"/>
              </w:rPr>
            </w:pPr>
            <w:r w:rsidRPr="0074362B">
              <w:rPr>
                <w:rFonts w:cs="Arial"/>
                <w:color w:val="auto"/>
                <w:szCs w:val="16"/>
              </w:rPr>
              <w:t>23</w:t>
            </w:r>
          </w:p>
        </w:tc>
      </w:tr>
      <w:tr w:rsidR="0074362B" w:rsidRPr="0074362B" w14:paraId="5B6C908C" w14:textId="77777777" w:rsidTr="0D29C4E5">
        <w:trPr>
          <w:trHeight w:val="228"/>
        </w:trPr>
        <w:tc>
          <w:tcPr>
            <w:tcW w:w="2043" w:type="dxa"/>
            <w:hideMark/>
          </w:tcPr>
          <w:p w14:paraId="73FF91C6" w14:textId="77777777" w:rsidR="0074362B" w:rsidRPr="0074362B" w:rsidRDefault="0074362B">
            <w:pPr>
              <w:pStyle w:val="Tabele"/>
              <w:rPr>
                <w:color w:val="auto"/>
              </w:rPr>
            </w:pPr>
            <w:r w:rsidRPr="0074362B">
              <w:rPr>
                <w:color w:val="auto"/>
              </w:rPr>
              <w:t>Torf</w:t>
            </w:r>
          </w:p>
        </w:tc>
        <w:tc>
          <w:tcPr>
            <w:tcW w:w="886" w:type="dxa"/>
            <w:shd w:val="clear" w:color="auto" w:fill="C5E0B3" w:themeFill="accent6" w:themeFillTint="66"/>
            <w:noWrap/>
            <w:vAlign w:val="top"/>
            <w:hideMark/>
          </w:tcPr>
          <w:p w14:paraId="2E885AEF" w14:textId="77777777" w:rsidR="0074362B" w:rsidRPr="0074362B" w:rsidRDefault="0074362B">
            <w:pPr>
              <w:pStyle w:val="Tabele"/>
              <w:jc w:val="right"/>
              <w:rPr>
                <w:color w:val="auto"/>
                <w:szCs w:val="16"/>
              </w:rPr>
            </w:pPr>
            <w:r w:rsidRPr="0074362B">
              <w:rPr>
                <w:color w:val="auto"/>
                <w:szCs w:val="16"/>
              </w:rPr>
              <w:t>90</w:t>
            </w:r>
          </w:p>
        </w:tc>
        <w:tc>
          <w:tcPr>
            <w:tcW w:w="887" w:type="dxa"/>
            <w:shd w:val="clear" w:color="auto" w:fill="C5E0B3" w:themeFill="accent6" w:themeFillTint="66"/>
            <w:noWrap/>
            <w:vAlign w:val="top"/>
            <w:hideMark/>
          </w:tcPr>
          <w:p w14:paraId="40153BFF" w14:textId="77777777" w:rsidR="0074362B" w:rsidRPr="0074362B" w:rsidRDefault="0074362B">
            <w:pPr>
              <w:pStyle w:val="Tabele"/>
              <w:jc w:val="right"/>
              <w:rPr>
                <w:color w:val="auto"/>
                <w:szCs w:val="16"/>
              </w:rPr>
            </w:pPr>
            <w:r w:rsidRPr="0074362B">
              <w:rPr>
                <w:color w:val="auto"/>
                <w:szCs w:val="16"/>
              </w:rPr>
              <w:t>30</w:t>
            </w:r>
          </w:p>
        </w:tc>
        <w:tc>
          <w:tcPr>
            <w:tcW w:w="886" w:type="dxa"/>
            <w:shd w:val="clear" w:color="auto" w:fill="C5E0B3" w:themeFill="accent6" w:themeFillTint="66"/>
            <w:noWrap/>
            <w:vAlign w:val="top"/>
            <w:hideMark/>
          </w:tcPr>
          <w:p w14:paraId="09AB6FD2" w14:textId="77777777" w:rsidR="0074362B" w:rsidRPr="0074362B" w:rsidRDefault="0074362B">
            <w:pPr>
              <w:pStyle w:val="Tabele"/>
              <w:jc w:val="right"/>
              <w:rPr>
                <w:color w:val="auto"/>
                <w:szCs w:val="16"/>
              </w:rPr>
            </w:pPr>
            <w:r w:rsidRPr="0074362B">
              <w:rPr>
                <w:color w:val="auto"/>
                <w:szCs w:val="16"/>
              </w:rPr>
              <w:t>0</w:t>
            </w:r>
          </w:p>
        </w:tc>
        <w:tc>
          <w:tcPr>
            <w:tcW w:w="887" w:type="dxa"/>
            <w:shd w:val="clear" w:color="auto" w:fill="C5E0B3" w:themeFill="accent6" w:themeFillTint="66"/>
            <w:noWrap/>
            <w:vAlign w:val="top"/>
            <w:hideMark/>
          </w:tcPr>
          <w:p w14:paraId="10ED7806" w14:textId="77777777" w:rsidR="0074362B" w:rsidRPr="0074362B" w:rsidRDefault="0074362B">
            <w:pPr>
              <w:pStyle w:val="Tabele"/>
              <w:jc w:val="right"/>
              <w:rPr>
                <w:color w:val="auto"/>
                <w:szCs w:val="16"/>
              </w:rPr>
            </w:pPr>
            <w:r w:rsidRPr="0074362B">
              <w:rPr>
                <w:color w:val="auto"/>
                <w:szCs w:val="16"/>
              </w:rPr>
              <w:t>11</w:t>
            </w:r>
          </w:p>
        </w:tc>
        <w:tc>
          <w:tcPr>
            <w:tcW w:w="887" w:type="dxa"/>
            <w:noWrap/>
            <w:hideMark/>
          </w:tcPr>
          <w:p w14:paraId="01224285" w14:textId="77777777" w:rsidR="0074362B" w:rsidRPr="0074362B" w:rsidRDefault="0074362B">
            <w:pPr>
              <w:pStyle w:val="Tabele"/>
              <w:jc w:val="right"/>
              <w:rPr>
                <w:color w:val="auto"/>
                <w:szCs w:val="16"/>
              </w:rPr>
            </w:pPr>
            <w:r w:rsidRPr="0074362B">
              <w:rPr>
                <w:rFonts w:cs="Arial"/>
                <w:color w:val="auto"/>
                <w:szCs w:val="16"/>
              </w:rPr>
              <w:t>0</w:t>
            </w:r>
          </w:p>
        </w:tc>
        <w:tc>
          <w:tcPr>
            <w:tcW w:w="886" w:type="dxa"/>
            <w:noWrap/>
            <w:hideMark/>
          </w:tcPr>
          <w:p w14:paraId="1A5E8E9B" w14:textId="77777777" w:rsidR="0074362B" w:rsidRPr="0074362B" w:rsidRDefault="0074362B">
            <w:pPr>
              <w:pStyle w:val="Tabele"/>
              <w:jc w:val="right"/>
              <w:rPr>
                <w:color w:val="auto"/>
                <w:szCs w:val="16"/>
              </w:rPr>
            </w:pPr>
            <w:r w:rsidRPr="0074362B">
              <w:rPr>
                <w:rFonts w:cs="Arial"/>
                <w:color w:val="auto"/>
                <w:szCs w:val="16"/>
              </w:rPr>
              <w:t>0</w:t>
            </w:r>
          </w:p>
        </w:tc>
        <w:tc>
          <w:tcPr>
            <w:tcW w:w="887" w:type="dxa"/>
            <w:noWrap/>
            <w:hideMark/>
          </w:tcPr>
          <w:p w14:paraId="3891A32E" w14:textId="77777777" w:rsidR="0074362B" w:rsidRPr="0074362B" w:rsidRDefault="0074362B">
            <w:pPr>
              <w:pStyle w:val="Tabele"/>
              <w:jc w:val="right"/>
              <w:rPr>
                <w:color w:val="auto"/>
                <w:szCs w:val="16"/>
              </w:rPr>
            </w:pPr>
            <w:r w:rsidRPr="0074362B">
              <w:rPr>
                <w:rFonts w:cs="Arial"/>
                <w:color w:val="auto"/>
                <w:szCs w:val="16"/>
              </w:rPr>
              <w:t>0</w:t>
            </w:r>
          </w:p>
        </w:tc>
        <w:tc>
          <w:tcPr>
            <w:tcW w:w="886" w:type="dxa"/>
          </w:tcPr>
          <w:p w14:paraId="462DFD01" w14:textId="77777777" w:rsidR="0074362B" w:rsidRPr="0074362B" w:rsidRDefault="0074362B">
            <w:pPr>
              <w:pStyle w:val="Tabele"/>
              <w:jc w:val="right"/>
              <w:rPr>
                <w:color w:val="auto"/>
                <w:szCs w:val="16"/>
              </w:rPr>
            </w:pPr>
            <w:r w:rsidRPr="0074362B">
              <w:rPr>
                <w:rFonts w:cs="Arial"/>
                <w:color w:val="auto"/>
                <w:szCs w:val="16"/>
              </w:rPr>
              <w:t>0</w:t>
            </w:r>
          </w:p>
        </w:tc>
      </w:tr>
      <w:tr w:rsidR="0074362B" w:rsidRPr="0074362B" w14:paraId="2D04450F" w14:textId="77777777" w:rsidTr="0D29C4E5">
        <w:trPr>
          <w:trHeight w:val="228"/>
        </w:trPr>
        <w:tc>
          <w:tcPr>
            <w:tcW w:w="2043" w:type="dxa"/>
            <w:hideMark/>
          </w:tcPr>
          <w:p w14:paraId="6EF23EFF" w14:textId="77777777" w:rsidR="0074362B" w:rsidRPr="0074362B" w:rsidRDefault="0074362B">
            <w:pPr>
              <w:pStyle w:val="Tabele"/>
              <w:rPr>
                <w:color w:val="auto"/>
              </w:rPr>
            </w:pPr>
            <w:r w:rsidRPr="0074362B">
              <w:rPr>
                <w:color w:val="auto"/>
              </w:rPr>
              <w:t>Nafta</w:t>
            </w:r>
          </w:p>
        </w:tc>
        <w:tc>
          <w:tcPr>
            <w:tcW w:w="886" w:type="dxa"/>
            <w:shd w:val="clear" w:color="auto" w:fill="C5E0B3" w:themeFill="accent6" w:themeFillTint="66"/>
            <w:noWrap/>
            <w:vAlign w:val="top"/>
            <w:hideMark/>
          </w:tcPr>
          <w:p w14:paraId="5E67AB4E" w14:textId="77777777" w:rsidR="0074362B" w:rsidRPr="0074362B" w:rsidRDefault="0074362B">
            <w:pPr>
              <w:pStyle w:val="Tabele"/>
              <w:jc w:val="right"/>
              <w:rPr>
                <w:color w:val="auto"/>
                <w:szCs w:val="16"/>
              </w:rPr>
            </w:pPr>
            <w:r w:rsidRPr="0074362B">
              <w:rPr>
                <w:color w:val="auto"/>
                <w:szCs w:val="16"/>
              </w:rPr>
              <w:t>672</w:t>
            </w:r>
          </w:p>
        </w:tc>
        <w:tc>
          <w:tcPr>
            <w:tcW w:w="887" w:type="dxa"/>
            <w:shd w:val="clear" w:color="auto" w:fill="C5E0B3" w:themeFill="accent6" w:themeFillTint="66"/>
            <w:noWrap/>
            <w:vAlign w:val="top"/>
            <w:hideMark/>
          </w:tcPr>
          <w:p w14:paraId="4A23B41D" w14:textId="77777777" w:rsidR="0074362B" w:rsidRPr="0074362B" w:rsidRDefault="0074362B">
            <w:pPr>
              <w:pStyle w:val="Tabele"/>
              <w:jc w:val="right"/>
              <w:rPr>
                <w:color w:val="auto"/>
                <w:szCs w:val="16"/>
              </w:rPr>
            </w:pPr>
            <w:r w:rsidRPr="0074362B">
              <w:rPr>
                <w:color w:val="auto"/>
                <w:szCs w:val="16"/>
              </w:rPr>
              <w:t>986</w:t>
            </w:r>
          </w:p>
        </w:tc>
        <w:tc>
          <w:tcPr>
            <w:tcW w:w="886" w:type="dxa"/>
            <w:shd w:val="clear" w:color="auto" w:fill="C5E0B3" w:themeFill="accent6" w:themeFillTint="66"/>
            <w:noWrap/>
            <w:vAlign w:val="top"/>
            <w:hideMark/>
          </w:tcPr>
          <w:p w14:paraId="56C1A223" w14:textId="77777777" w:rsidR="0074362B" w:rsidRPr="0074362B" w:rsidRDefault="0074362B">
            <w:pPr>
              <w:pStyle w:val="Tabele"/>
              <w:jc w:val="right"/>
              <w:rPr>
                <w:color w:val="auto"/>
                <w:szCs w:val="16"/>
              </w:rPr>
            </w:pPr>
            <w:r w:rsidRPr="0074362B">
              <w:rPr>
                <w:color w:val="auto"/>
                <w:szCs w:val="16"/>
              </w:rPr>
              <w:t>1 048</w:t>
            </w:r>
          </w:p>
        </w:tc>
        <w:tc>
          <w:tcPr>
            <w:tcW w:w="887" w:type="dxa"/>
            <w:shd w:val="clear" w:color="auto" w:fill="C5E0B3" w:themeFill="accent6" w:themeFillTint="66"/>
            <w:noWrap/>
            <w:vAlign w:val="top"/>
            <w:hideMark/>
          </w:tcPr>
          <w:p w14:paraId="5D75FE3E" w14:textId="77777777" w:rsidR="0074362B" w:rsidRPr="0074362B" w:rsidRDefault="0074362B">
            <w:pPr>
              <w:pStyle w:val="Tabele"/>
              <w:jc w:val="right"/>
              <w:rPr>
                <w:color w:val="auto"/>
                <w:szCs w:val="16"/>
              </w:rPr>
            </w:pPr>
            <w:r w:rsidRPr="0074362B">
              <w:rPr>
                <w:color w:val="auto"/>
                <w:szCs w:val="16"/>
              </w:rPr>
              <w:t>1 197</w:t>
            </w:r>
          </w:p>
        </w:tc>
        <w:tc>
          <w:tcPr>
            <w:tcW w:w="887" w:type="dxa"/>
            <w:noWrap/>
            <w:hideMark/>
          </w:tcPr>
          <w:p w14:paraId="12A76F16" w14:textId="77777777" w:rsidR="0074362B" w:rsidRPr="0074362B" w:rsidRDefault="0074362B">
            <w:pPr>
              <w:pStyle w:val="Tabele"/>
              <w:jc w:val="right"/>
              <w:rPr>
                <w:color w:val="auto"/>
                <w:szCs w:val="16"/>
              </w:rPr>
            </w:pPr>
            <w:r w:rsidRPr="0074362B">
              <w:rPr>
                <w:rFonts w:cs="Arial"/>
                <w:color w:val="auto"/>
                <w:szCs w:val="16"/>
              </w:rPr>
              <w:t>1 107</w:t>
            </w:r>
          </w:p>
        </w:tc>
        <w:tc>
          <w:tcPr>
            <w:tcW w:w="886" w:type="dxa"/>
            <w:noWrap/>
            <w:hideMark/>
          </w:tcPr>
          <w:p w14:paraId="3C5D5B4F" w14:textId="77777777" w:rsidR="0074362B" w:rsidRPr="0074362B" w:rsidRDefault="0074362B">
            <w:pPr>
              <w:pStyle w:val="Tabele"/>
              <w:jc w:val="right"/>
              <w:rPr>
                <w:color w:val="auto"/>
                <w:szCs w:val="16"/>
              </w:rPr>
            </w:pPr>
            <w:r w:rsidRPr="0074362B">
              <w:rPr>
                <w:rFonts w:cs="Arial"/>
                <w:color w:val="auto"/>
                <w:szCs w:val="16"/>
              </w:rPr>
              <w:t>1 050</w:t>
            </w:r>
          </w:p>
        </w:tc>
        <w:tc>
          <w:tcPr>
            <w:tcW w:w="887" w:type="dxa"/>
            <w:noWrap/>
            <w:hideMark/>
          </w:tcPr>
          <w:p w14:paraId="6484C801" w14:textId="77777777" w:rsidR="0074362B" w:rsidRPr="0074362B" w:rsidRDefault="0074362B">
            <w:pPr>
              <w:pStyle w:val="Tabele"/>
              <w:jc w:val="right"/>
              <w:rPr>
                <w:color w:val="auto"/>
                <w:szCs w:val="16"/>
              </w:rPr>
            </w:pPr>
            <w:r w:rsidRPr="0074362B">
              <w:rPr>
                <w:rFonts w:cs="Arial"/>
                <w:color w:val="auto"/>
                <w:szCs w:val="16"/>
              </w:rPr>
              <w:t>1 008</w:t>
            </w:r>
          </w:p>
        </w:tc>
        <w:tc>
          <w:tcPr>
            <w:tcW w:w="886" w:type="dxa"/>
          </w:tcPr>
          <w:p w14:paraId="54F9B431" w14:textId="77777777" w:rsidR="0074362B" w:rsidRPr="0074362B" w:rsidRDefault="0074362B">
            <w:pPr>
              <w:pStyle w:val="Tabele"/>
              <w:jc w:val="right"/>
              <w:rPr>
                <w:color w:val="auto"/>
                <w:szCs w:val="16"/>
              </w:rPr>
            </w:pPr>
            <w:r w:rsidRPr="0074362B">
              <w:rPr>
                <w:rFonts w:cs="Arial"/>
                <w:color w:val="auto"/>
                <w:szCs w:val="16"/>
              </w:rPr>
              <w:t>977</w:t>
            </w:r>
          </w:p>
        </w:tc>
      </w:tr>
      <w:tr w:rsidR="0074362B" w:rsidRPr="0074362B" w14:paraId="2A005E98" w14:textId="77777777" w:rsidTr="0D29C4E5">
        <w:trPr>
          <w:trHeight w:val="228"/>
        </w:trPr>
        <w:tc>
          <w:tcPr>
            <w:tcW w:w="2043" w:type="dxa"/>
            <w:hideMark/>
          </w:tcPr>
          <w:p w14:paraId="17DA2831" w14:textId="77777777" w:rsidR="0074362B" w:rsidRPr="0074362B" w:rsidRDefault="0074362B">
            <w:pPr>
              <w:pStyle w:val="Tabele"/>
              <w:rPr>
                <w:color w:val="auto"/>
              </w:rPr>
            </w:pPr>
            <w:r w:rsidRPr="0074362B">
              <w:rPr>
                <w:color w:val="auto"/>
              </w:rPr>
              <w:t>LPG</w:t>
            </w:r>
          </w:p>
        </w:tc>
        <w:tc>
          <w:tcPr>
            <w:tcW w:w="886" w:type="dxa"/>
            <w:shd w:val="clear" w:color="auto" w:fill="C5E0B3" w:themeFill="accent6" w:themeFillTint="66"/>
            <w:noWrap/>
            <w:vAlign w:val="top"/>
            <w:hideMark/>
          </w:tcPr>
          <w:p w14:paraId="2744AE2D" w14:textId="77777777" w:rsidR="0074362B" w:rsidRPr="0074362B" w:rsidRDefault="0074362B">
            <w:pPr>
              <w:pStyle w:val="Tabele"/>
              <w:jc w:val="right"/>
              <w:rPr>
                <w:color w:val="auto"/>
                <w:szCs w:val="16"/>
              </w:rPr>
            </w:pPr>
            <w:r w:rsidRPr="0074362B">
              <w:rPr>
                <w:color w:val="auto"/>
                <w:szCs w:val="16"/>
              </w:rPr>
              <w:t>73</w:t>
            </w:r>
          </w:p>
        </w:tc>
        <w:tc>
          <w:tcPr>
            <w:tcW w:w="887" w:type="dxa"/>
            <w:shd w:val="clear" w:color="auto" w:fill="C5E0B3" w:themeFill="accent6" w:themeFillTint="66"/>
            <w:noWrap/>
            <w:vAlign w:val="top"/>
            <w:hideMark/>
          </w:tcPr>
          <w:p w14:paraId="10DACE0A" w14:textId="77777777" w:rsidR="0074362B" w:rsidRPr="0074362B" w:rsidRDefault="0074362B">
            <w:pPr>
              <w:pStyle w:val="Tabele"/>
              <w:jc w:val="right"/>
              <w:rPr>
                <w:color w:val="auto"/>
                <w:szCs w:val="16"/>
              </w:rPr>
            </w:pPr>
            <w:r w:rsidRPr="0074362B">
              <w:rPr>
                <w:color w:val="auto"/>
                <w:szCs w:val="16"/>
              </w:rPr>
              <w:t>81</w:t>
            </w:r>
          </w:p>
        </w:tc>
        <w:tc>
          <w:tcPr>
            <w:tcW w:w="886" w:type="dxa"/>
            <w:shd w:val="clear" w:color="auto" w:fill="C5E0B3" w:themeFill="accent6" w:themeFillTint="66"/>
            <w:noWrap/>
            <w:vAlign w:val="top"/>
            <w:hideMark/>
          </w:tcPr>
          <w:p w14:paraId="351F195E" w14:textId="77777777" w:rsidR="0074362B" w:rsidRPr="0074362B" w:rsidRDefault="0074362B">
            <w:pPr>
              <w:pStyle w:val="Tabele"/>
              <w:jc w:val="right"/>
              <w:rPr>
                <w:color w:val="auto"/>
                <w:szCs w:val="16"/>
              </w:rPr>
            </w:pPr>
            <w:r w:rsidRPr="0074362B">
              <w:rPr>
                <w:color w:val="auto"/>
                <w:szCs w:val="16"/>
              </w:rPr>
              <w:t>138</w:t>
            </w:r>
          </w:p>
        </w:tc>
        <w:tc>
          <w:tcPr>
            <w:tcW w:w="887" w:type="dxa"/>
            <w:shd w:val="clear" w:color="auto" w:fill="C5E0B3" w:themeFill="accent6" w:themeFillTint="66"/>
            <w:noWrap/>
            <w:vAlign w:val="top"/>
            <w:hideMark/>
          </w:tcPr>
          <w:p w14:paraId="051D0CC9" w14:textId="77777777" w:rsidR="0074362B" w:rsidRPr="0074362B" w:rsidRDefault="0074362B">
            <w:pPr>
              <w:pStyle w:val="Tabele"/>
              <w:jc w:val="right"/>
              <w:rPr>
                <w:color w:val="auto"/>
                <w:szCs w:val="16"/>
              </w:rPr>
            </w:pPr>
            <w:r w:rsidRPr="0074362B">
              <w:rPr>
                <w:color w:val="auto"/>
                <w:szCs w:val="16"/>
              </w:rPr>
              <w:t>89</w:t>
            </w:r>
          </w:p>
        </w:tc>
        <w:tc>
          <w:tcPr>
            <w:tcW w:w="887" w:type="dxa"/>
            <w:noWrap/>
            <w:hideMark/>
          </w:tcPr>
          <w:p w14:paraId="46802222" w14:textId="77777777" w:rsidR="0074362B" w:rsidRPr="0074362B" w:rsidRDefault="0074362B">
            <w:pPr>
              <w:pStyle w:val="Tabele"/>
              <w:jc w:val="right"/>
              <w:rPr>
                <w:color w:val="auto"/>
                <w:szCs w:val="16"/>
              </w:rPr>
            </w:pPr>
            <w:r w:rsidRPr="0074362B">
              <w:rPr>
                <w:rFonts w:cs="Arial"/>
                <w:color w:val="auto"/>
                <w:szCs w:val="16"/>
              </w:rPr>
              <w:t>90</w:t>
            </w:r>
          </w:p>
        </w:tc>
        <w:tc>
          <w:tcPr>
            <w:tcW w:w="886" w:type="dxa"/>
            <w:noWrap/>
            <w:hideMark/>
          </w:tcPr>
          <w:p w14:paraId="3CAA4526" w14:textId="77777777" w:rsidR="0074362B" w:rsidRPr="0074362B" w:rsidRDefault="0074362B">
            <w:pPr>
              <w:pStyle w:val="Tabele"/>
              <w:jc w:val="right"/>
              <w:rPr>
                <w:color w:val="auto"/>
                <w:szCs w:val="16"/>
              </w:rPr>
            </w:pPr>
            <w:r w:rsidRPr="0074362B">
              <w:rPr>
                <w:rFonts w:cs="Arial"/>
                <w:color w:val="auto"/>
                <w:szCs w:val="16"/>
              </w:rPr>
              <w:t>90</w:t>
            </w:r>
          </w:p>
        </w:tc>
        <w:tc>
          <w:tcPr>
            <w:tcW w:w="887" w:type="dxa"/>
            <w:noWrap/>
            <w:hideMark/>
          </w:tcPr>
          <w:p w14:paraId="6B2B91A0" w14:textId="77777777" w:rsidR="0074362B" w:rsidRPr="0074362B" w:rsidRDefault="0074362B">
            <w:pPr>
              <w:pStyle w:val="Tabele"/>
              <w:jc w:val="right"/>
              <w:rPr>
                <w:color w:val="auto"/>
                <w:szCs w:val="16"/>
              </w:rPr>
            </w:pPr>
            <w:r w:rsidRPr="0074362B">
              <w:rPr>
                <w:rFonts w:cs="Arial"/>
                <w:color w:val="auto"/>
                <w:szCs w:val="16"/>
              </w:rPr>
              <w:t>90</w:t>
            </w:r>
          </w:p>
        </w:tc>
        <w:tc>
          <w:tcPr>
            <w:tcW w:w="886" w:type="dxa"/>
          </w:tcPr>
          <w:p w14:paraId="017EAAA1" w14:textId="77777777" w:rsidR="0074362B" w:rsidRPr="0074362B" w:rsidRDefault="0074362B">
            <w:pPr>
              <w:pStyle w:val="Tabele"/>
              <w:jc w:val="right"/>
              <w:rPr>
                <w:color w:val="auto"/>
                <w:szCs w:val="16"/>
              </w:rPr>
            </w:pPr>
            <w:r w:rsidRPr="0074362B">
              <w:rPr>
                <w:rFonts w:cs="Arial"/>
                <w:color w:val="auto"/>
                <w:szCs w:val="16"/>
              </w:rPr>
              <w:t>90</w:t>
            </w:r>
          </w:p>
        </w:tc>
      </w:tr>
      <w:tr w:rsidR="0074362B" w:rsidRPr="0074362B" w14:paraId="2248A1AD" w14:textId="77777777" w:rsidTr="0D29C4E5">
        <w:trPr>
          <w:trHeight w:val="228"/>
        </w:trPr>
        <w:tc>
          <w:tcPr>
            <w:tcW w:w="2043" w:type="dxa"/>
            <w:hideMark/>
          </w:tcPr>
          <w:p w14:paraId="6B39B6DF" w14:textId="77777777" w:rsidR="0074362B" w:rsidRPr="0074362B" w:rsidRDefault="0074362B">
            <w:pPr>
              <w:pStyle w:val="Tabele"/>
              <w:rPr>
                <w:color w:val="auto"/>
              </w:rPr>
            </w:pPr>
            <w:r w:rsidRPr="0074362B">
              <w:rPr>
                <w:color w:val="auto"/>
              </w:rPr>
              <w:t>Pozostałe produkty naft.</w:t>
            </w:r>
          </w:p>
        </w:tc>
        <w:tc>
          <w:tcPr>
            <w:tcW w:w="886" w:type="dxa"/>
            <w:shd w:val="clear" w:color="auto" w:fill="C5E0B3" w:themeFill="accent6" w:themeFillTint="66"/>
            <w:noWrap/>
            <w:vAlign w:val="top"/>
            <w:hideMark/>
          </w:tcPr>
          <w:p w14:paraId="2029780F" w14:textId="77777777" w:rsidR="0074362B" w:rsidRPr="0074362B" w:rsidRDefault="0074362B">
            <w:pPr>
              <w:pStyle w:val="Tabele"/>
              <w:jc w:val="right"/>
              <w:rPr>
                <w:color w:val="auto"/>
                <w:szCs w:val="16"/>
              </w:rPr>
            </w:pPr>
            <w:r w:rsidRPr="0074362B">
              <w:rPr>
                <w:color w:val="auto"/>
                <w:szCs w:val="16"/>
              </w:rPr>
              <w:t>1 664</w:t>
            </w:r>
          </w:p>
        </w:tc>
        <w:tc>
          <w:tcPr>
            <w:tcW w:w="887" w:type="dxa"/>
            <w:shd w:val="clear" w:color="auto" w:fill="C5E0B3" w:themeFill="accent6" w:themeFillTint="66"/>
            <w:noWrap/>
            <w:vAlign w:val="top"/>
            <w:hideMark/>
          </w:tcPr>
          <w:p w14:paraId="71EF926A" w14:textId="77777777" w:rsidR="0074362B" w:rsidRPr="0074362B" w:rsidRDefault="0074362B">
            <w:pPr>
              <w:pStyle w:val="Tabele"/>
              <w:jc w:val="right"/>
              <w:rPr>
                <w:color w:val="auto"/>
                <w:szCs w:val="16"/>
              </w:rPr>
            </w:pPr>
            <w:r w:rsidRPr="0074362B">
              <w:rPr>
                <w:color w:val="auto"/>
                <w:szCs w:val="16"/>
              </w:rPr>
              <w:t>2 156</w:t>
            </w:r>
          </w:p>
        </w:tc>
        <w:tc>
          <w:tcPr>
            <w:tcW w:w="886" w:type="dxa"/>
            <w:shd w:val="clear" w:color="auto" w:fill="C5E0B3" w:themeFill="accent6" w:themeFillTint="66"/>
            <w:noWrap/>
            <w:vAlign w:val="top"/>
            <w:hideMark/>
          </w:tcPr>
          <w:p w14:paraId="0ED0EAD7" w14:textId="77777777" w:rsidR="0074362B" w:rsidRPr="0074362B" w:rsidRDefault="0074362B">
            <w:pPr>
              <w:pStyle w:val="Tabele"/>
              <w:jc w:val="right"/>
              <w:rPr>
                <w:color w:val="auto"/>
                <w:szCs w:val="16"/>
              </w:rPr>
            </w:pPr>
            <w:r w:rsidRPr="0074362B">
              <w:rPr>
                <w:color w:val="auto"/>
                <w:szCs w:val="16"/>
              </w:rPr>
              <w:t>2 222</w:t>
            </w:r>
          </w:p>
        </w:tc>
        <w:tc>
          <w:tcPr>
            <w:tcW w:w="887" w:type="dxa"/>
            <w:shd w:val="clear" w:color="auto" w:fill="C5E0B3" w:themeFill="accent6" w:themeFillTint="66"/>
            <w:noWrap/>
            <w:vAlign w:val="top"/>
            <w:hideMark/>
          </w:tcPr>
          <w:p w14:paraId="7FCDF72B" w14:textId="77777777" w:rsidR="0074362B" w:rsidRPr="0074362B" w:rsidRDefault="0074362B">
            <w:pPr>
              <w:pStyle w:val="Tabele"/>
              <w:jc w:val="right"/>
              <w:rPr>
                <w:color w:val="auto"/>
                <w:szCs w:val="16"/>
              </w:rPr>
            </w:pPr>
            <w:r w:rsidRPr="0074362B">
              <w:rPr>
                <w:color w:val="auto"/>
                <w:szCs w:val="16"/>
              </w:rPr>
              <w:t>2 350</w:t>
            </w:r>
          </w:p>
        </w:tc>
        <w:tc>
          <w:tcPr>
            <w:tcW w:w="887" w:type="dxa"/>
            <w:noWrap/>
            <w:hideMark/>
          </w:tcPr>
          <w:p w14:paraId="1B902E40" w14:textId="77777777" w:rsidR="0074362B" w:rsidRPr="0074362B" w:rsidRDefault="0074362B">
            <w:pPr>
              <w:pStyle w:val="Tabele"/>
              <w:jc w:val="right"/>
              <w:rPr>
                <w:color w:val="auto"/>
                <w:szCs w:val="16"/>
              </w:rPr>
            </w:pPr>
            <w:r w:rsidRPr="0074362B">
              <w:rPr>
                <w:rFonts w:cs="Arial"/>
                <w:color w:val="auto"/>
                <w:szCs w:val="16"/>
              </w:rPr>
              <w:t>2 003</w:t>
            </w:r>
          </w:p>
        </w:tc>
        <w:tc>
          <w:tcPr>
            <w:tcW w:w="886" w:type="dxa"/>
            <w:noWrap/>
            <w:hideMark/>
          </w:tcPr>
          <w:p w14:paraId="054B0A05" w14:textId="77777777" w:rsidR="0074362B" w:rsidRPr="0074362B" w:rsidRDefault="0074362B">
            <w:pPr>
              <w:pStyle w:val="Tabele"/>
              <w:jc w:val="right"/>
              <w:rPr>
                <w:color w:val="auto"/>
                <w:szCs w:val="16"/>
              </w:rPr>
            </w:pPr>
            <w:r w:rsidRPr="0074362B">
              <w:rPr>
                <w:rFonts w:cs="Arial"/>
                <w:color w:val="auto"/>
                <w:szCs w:val="16"/>
              </w:rPr>
              <w:t>1 985</w:t>
            </w:r>
          </w:p>
        </w:tc>
        <w:tc>
          <w:tcPr>
            <w:tcW w:w="887" w:type="dxa"/>
            <w:noWrap/>
            <w:hideMark/>
          </w:tcPr>
          <w:p w14:paraId="2ACC2135" w14:textId="77777777" w:rsidR="0074362B" w:rsidRPr="0074362B" w:rsidRDefault="0074362B">
            <w:pPr>
              <w:pStyle w:val="Tabele"/>
              <w:jc w:val="right"/>
              <w:rPr>
                <w:color w:val="auto"/>
                <w:szCs w:val="16"/>
              </w:rPr>
            </w:pPr>
            <w:r w:rsidRPr="0074362B">
              <w:rPr>
                <w:rFonts w:cs="Arial"/>
                <w:color w:val="auto"/>
                <w:szCs w:val="16"/>
              </w:rPr>
              <w:t>1 973</w:t>
            </w:r>
          </w:p>
        </w:tc>
        <w:tc>
          <w:tcPr>
            <w:tcW w:w="886" w:type="dxa"/>
          </w:tcPr>
          <w:p w14:paraId="7422BB5A" w14:textId="77777777" w:rsidR="0074362B" w:rsidRPr="0074362B" w:rsidRDefault="0074362B">
            <w:pPr>
              <w:pStyle w:val="Tabele"/>
              <w:jc w:val="right"/>
              <w:rPr>
                <w:color w:val="auto"/>
                <w:szCs w:val="16"/>
              </w:rPr>
            </w:pPr>
            <w:r w:rsidRPr="0074362B">
              <w:rPr>
                <w:rFonts w:cs="Arial"/>
                <w:color w:val="auto"/>
                <w:szCs w:val="16"/>
              </w:rPr>
              <w:t>1 961</w:t>
            </w:r>
          </w:p>
        </w:tc>
      </w:tr>
      <w:tr w:rsidR="0074362B" w:rsidRPr="0074362B" w14:paraId="63AD148F" w14:textId="77777777" w:rsidTr="0D29C4E5">
        <w:trPr>
          <w:trHeight w:val="228"/>
        </w:trPr>
        <w:tc>
          <w:tcPr>
            <w:tcW w:w="2043" w:type="dxa"/>
            <w:hideMark/>
          </w:tcPr>
          <w:p w14:paraId="576F2D6F" w14:textId="77777777" w:rsidR="0074362B" w:rsidRPr="0074362B" w:rsidRDefault="0074362B">
            <w:pPr>
              <w:pStyle w:val="Tabele"/>
              <w:rPr>
                <w:color w:val="auto"/>
              </w:rPr>
            </w:pPr>
            <w:r w:rsidRPr="0074362B">
              <w:rPr>
                <w:color w:val="auto"/>
              </w:rPr>
              <w:t>Gaz ziemny</w:t>
            </w:r>
          </w:p>
        </w:tc>
        <w:tc>
          <w:tcPr>
            <w:tcW w:w="886" w:type="dxa"/>
            <w:shd w:val="clear" w:color="auto" w:fill="C5E0B3" w:themeFill="accent6" w:themeFillTint="66"/>
            <w:noWrap/>
            <w:vAlign w:val="top"/>
            <w:hideMark/>
          </w:tcPr>
          <w:p w14:paraId="5F2ECF04" w14:textId="77777777" w:rsidR="0074362B" w:rsidRPr="0074362B" w:rsidRDefault="0074362B">
            <w:pPr>
              <w:pStyle w:val="Tabele"/>
              <w:jc w:val="right"/>
              <w:rPr>
                <w:color w:val="auto"/>
                <w:szCs w:val="16"/>
              </w:rPr>
            </w:pPr>
            <w:r w:rsidRPr="0074362B">
              <w:rPr>
                <w:color w:val="auto"/>
                <w:szCs w:val="16"/>
              </w:rPr>
              <w:t>2 017</w:t>
            </w:r>
          </w:p>
        </w:tc>
        <w:tc>
          <w:tcPr>
            <w:tcW w:w="887" w:type="dxa"/>
            <w:shd w:val="clear" w:color="auto" w:fill="C5E0B3" w:themeFill="accent6" w:themeFillTint="66"/>
            <w:noWrap/>
            <w:vAlign w:val="top"/>
            <w:hideMark/>
          </w:tcPr>
          <w:p w14:paraId="21C8C889" w14:textId="77777777" w:rsidR="0074362B" w:rsidRPr="0074362B" w:rsidRDefault="0074362B">
            <w:pPr>
              <w:pStyle w:val="Tabele"/>
              <w:jc w:val="right"/>
              <w:rPr>
                <w:color w:val="auto"/>
                <w:szCs w:val="16"/>
              </w:rPr>
            </w:pPr>
            <w:r w:rsidRPr="0074362B">
              <w:rPr>
                <w:color w:val="auto"/>
                <w:szCs w:val="16"/>
              </w:rPr>
              <w:t>1 661</w:t>
            </w:r>
          </w:p>
        </w:tc>
        <w:tc>
          <w:tcPr>
            <w:tcW w:w="886" w:type="dxa"/>
            <w:shd w:val="clear" w:color="auto" w:fill="C5E0B3" w:themeFill="accent6" w:themeFillTint="66"/>
            <w:noWrap/>
            <w:vAlign w:val="top"/>
            <w:hideMark/>
          </w:tcPr>
          <w:p w14:paraId="2EC201D1" w14:textId="77777777" w:rsidR="0074362B" w:rsidRPr="0074362B" w:rsidRDefault="0074362B">
            <w:pPr>
              <w:pStyle w:val="Tabele"/>
              <w:jc w:val="right"/>
              <w:rPr>
                <w:color w:val="auto"/>
                <w:szCs w:val="16"/>
              </w:rPr>
            </w:pPr>
            <w:r w:rsidRPr="0074362B">
              <w:rPr>
                <w:color w:val="auto"/>
                <w:szCs w:val="16"/>
              </w:rPr>
              <w:t>2 120</w:t>
            </w:r>
          </w:p>
        </w:tc>
        <w:tc>
          <w:tcPr>
            <w:tcW w:w="887" w:type="dxa"/>
            <w:shd w:val="clear" w:color="auto" w:fill="C5E0B3" w:themeFill="accent6" w:themeFillTint="66"/>
            <w:noWrap/>
            <w:vAlign w:val="top"/>
            <w:hideMark/>
          </w:tcPr>
          <w:p w14:paraId="63CC84CB" w14:textId="77777777" w:rsidR="0074362B" w:rsidRPr="0074362B" w:rsidRDefault="0074362B">
            <w:pPr>
              <w:pStyle w:val="Tabele"/>
              <w:jc w:val="right"/>
              <w:rPr>
                <w:color w:val="auto"/>
                <w:szCs w:val="16"/>
              </w:rPr>
            </w:pPr>
            <w:r w:rsidRPr="0074362B">
              <w:rPr>
                <w:color w:val="auto"/>
                <w:szCs w:val="16"/>
              </w:rPr>
              <w:t>2 052</w:t>
            </w:r>
          </w:p>
        </w:tc>
        <w:tc>
          <w:tcPr>
            <w:tcW w:w="887" w:type="dxa"/>
            <w:noWrap/>
            <w:hideMark/>
          </w:tcPr>
          <w:p w14:paraId="380F3FBB" w14:textId="77777777" w:rsidR="0074362B" w:rsidRPr="0074362B" w:rsidRDefault="0074362B">
            <w:pPr>
              <w:pStyle w:val="Tabele"/>
              <w:jc w:val="right"/>
              <w:rPr>
                <w:color w:val="auto"/>
                <w:szCs w:val="16"/>
              </w:rPr>
            </w:pPr>
            <w:r w:rsidRPr="0074362B">
              <w:rPr>
                <w:rFonts w:cs="Arial"/>
                <w:color w:val="auto"/>
                <w:szCs w:val="16"/>
              </w:rPr>
              <w:t>2 176</w:t>
            </w:r>
          </w:p>
        </w:tc>
        <w:tc>
          <w:tcPr>
            <w:tcW w:w="886" w:type="dxa"/>
            <w:noWrap/>
            <w:hideMark/>
          </w:tcPr>
          <w:p w14:paraId="3C0CB68F" w14:textId="77777777" w:rsidR="0074362B" w:rsidRPr="0074362B" w:rsidRDefault="0074362B">
            <w:pPr>
              <w:pStyle w:val="Tabele"/>
              <w:jc w:val="right"/>
              <w:rPr>
                <w:color w:val="auto"/>
                <w:szCs w:val="16"/>
              </w:rPr>
            </w:pPr>
            <w:r w:rsidRPr="0074362B">
              <w:rPr>
                <w:rFonts w:cs="Arial"/>
                <w:color w:val="auto"/>
                <w:szCs w:val="16"/>
              </w:rPr>
              <w:t>2 087</w:t>
            </w:r>
          </w:p>
        </w:tc>
        <w:tc>
          <w:tcPr>
            <w:tcW w:w="887" w:type="dxa"/>
            <w:noWrap/>
            <w:hideMark/>
          </w:tcPr>
          <w:p w14:paraId="4EC46CAE" w14:textId="77777777" w:rsidR="0074362B" w:rsidRPr="0074362B" w:rsidRDefault="0074362B">
            <w:pPr>
              <w:pStyle w:val="Tabele"/>
              <w:jc w:val="right"/>
              <w:rPr>
                <w:color w:val="auto"/>
                <w:szCs w:val="16"/>
              </w:rPr>
            </w:pPr>
            <w:r w:rsidRPr="0074362B">
              <w:rPr>
                <w:rFonts w:cs="Arial"/>
                <w:color w:val="auto"/>
                <w:szCs w:val="16"/>
              </w:rPr>
              <w:t>1 978</w:t>
            </w:r>
          </w:p>
        </w:tc>
        <w:tc>
          <w:tcPr>
            <w:tcW w:w="886" w:type="dxa"/>
          </w:tcPr>
          <w:p w14:paraId="608A3C28" w14:textId="77777777" w:rsidR="0074362B" w:rsidRPr="0074362B" w:rsidRDefault="0074362B">
            <w:pPr>
              <w:pStyle w:val="Tabele"/>
              <w:jc w:val="right"/>
              <w:rPr>
                <w:color w:val="auto"/>
                <w:szCs w:val="16"/>
              </w:rPr>
            </w:pPr>
            <w:r w:rsidRPr="0074362B">
              <w:rPr>
                <w:rFonts w:cs="Arial"/>
                <w:color w:val="auto"/>
                <w:szCs w:val="16"/>
              </w:rPr>
              <w:t>1 721</w:t>
            </w:r>
          </w:p>
        </w:tc>
      </w:tr>
      <w:tr w:rsidR="0074362B" w:rsidRPr="0074362B" w14:paraId="2CF53637" w14:textId="77777777" w:rsidTr="0D29C4E5">
        <w:trPr>
          <w:trHeight w:val="228"/>
        </w:trPr>
        <w:tc>
          <w:tcPr>
            <w:tcW w:w="2043" w:type="dxa"/>
            <w:hideMark/>
          </w:tcPr>
          <w:p w14:paraId="01FA9469" w14:textId="77777777" w:rsidR="0074362B" w:rsidRPr="0074362B" w:rsidRDefault="0074362B">
            <w:pPr>
              <w:pStyle w:val="Tabele"/>
              <w:rPr>
                <w:b/>
                <w:bCs/>
                <w:color w:val="auto"/>
              </w:rPr>
            </w:pPr>
            <w:r w:rsidRPr="0074362B">
              <w:rPr>
                <w:color w:val="auto"/>
              </w:rPr>
              <w:t>Wodór</w:t>
            </w:r>
          </w:p>
        </w:tc>
        <w:tc>
          <w:tcPr>
            <w:tcW w:w="886" w:type="dxa"/>
            <w:shd w:val="clear" w:color="auto" w:fill="C5E0B3" w:themeFill="accent6" w:themeFillTint="66"/>
            <w:noWrap/>
            <w:vAlign w:val="top"/>
            <w:hideMark/>
          </w:tcPr>
          <w:p w14:paraId="051C2730" w14:textId="77777777" w:rsidR="0074362B" w:rsidRPr="0074362B" w:rsidRDefault="0074362B">
            <w:pPr>
              <w:pStyle w:val="Tabele"/>
              <w:jc w:val="right"/>
              <w:rPr>
                <w:b/>
                <w:bCs/>
                <w:color w:val="auto"/>
                <w:szCs w:val="16"/>
              </w:rPr>
            </w:pPr>
            <w:r w:rsidRPr="0074362B">
              <w:rPr>
                <w:color w:val="auto"/>
                <w:szCs w:val="16"/>
              </w:rPr>
              <w:t>0</w:t>
            </w:r>
          </w:p>
        </w:tc>
        <w:tc>
          <w:tcPr>
            <w:tcW w:w="887" w:type="dxa"/>
            <w:shd w:val="clear" w:color="auto" w:fill="C5E0B3" w:themeFill="accent6" w:themeFillTint="66"/>
            <w:noWrap/>
            <w:vAlign w:val="top"/>
            <w:hideMark/>
          </w:tcPr>
          <w:p w14:paraId="241801E8" w14:textId="77777777" w:rsidR="0074362B" w:rsidRPr="0074362B" w:rsidRDefault="0074362B">
            <w:pPr>
              <w:pStyle w:val="Tabele"/>
              <w:jc w:val="right"/>
              <w:rPr>
                <w:b/>
                <w:bCs/>
                <w:color w:val="auto"/>
                <w:szCs w:val="16"/>
              </w:rPr>
            </w:pPr>
            <w:r w:rsidRPr="0074362B">
              <w:rPr>
                <w:color w:val="auto"/>
                <w:szCs w:val="16"/>
              </w:rPr>
              <w:t>0</w:t>
            </w:r>
          </w:p>
        </w:tc>
        <w:tc>
          <w:tcPr>
            <w:tcW w:w="886" w:type="dxa"/>
            <w:shd w:val="clear" w:color="auto" w:fill="C5E0B3" w:themeFill="accent6" w:themeFillTint="66"/>
            <w:noWrap/>
            <w:vAlign w:val="top"/>
            <w:hideMark/>
          </w:tcPr>
          <w:p w14:paraId="480DE4DB" w14:textId="77777777" w:rsidR="0074362B" w:rsidRPr="0074362B" w:rsidRDefault="0074362B">
            <w:pPr>
              <w:pStyle w:val="Tabele"/>
              <w:jc w:val="right"/>
              <w:rPr>
                <w:b/>
                <w:bCs/>
                <w:color w:val="auto"/>
                <w:szCs w:val="16"/>
              </w:rPr>
            </w:pPr>
            <w:r w:rsidRPr="0074362B">
              <w:rPr>
                <w:color w:val="auto"/>
                <w:szCs w:val="16"/>
              </w:rPr>
              <w:t>0</w:t>
            </w:r>
          </w:p>
        </w:tc>
        <w:tc>
          <w:tcPr>
            <w:tcW w:w="887" w:type="dxa"/>
            <w:shd w:val="clear" w:color="auto" w:fill="C5E0B3" w:themeFill="accent6" w:themeFillTint="66"/>
            <w:noWrap/>
            <w:vAlign w:val="top"/>
            <w:hideMark/>
          </w:tcPr>
          <w:p w14:paraId="5811905E" w14:textId="77777777" w:rsidR="0074362B" w:rsidRPr="0074362B" w:rsidRDefault="0074362B">
            <w:pPr>
              <w:pStyle w:val="Tabele"/>
              <w:jc w:val="right"/>
              <w:rPr>
                <w:b/>
                <w:bCs/>
                <w:color w:val="auto"/>
                <w:szCs w:val="16"/>
              </w:rPr>
            </w:pPr>
            <w:r w:rsidRPr="0074362B">
              <w:rPr>
                <w:color w:val="auto"/>
                <w:szCs w:val="16"/>
              </w:rPr>
              <w:t>0</w:t>
            </w:r>
          </w:p>
        </w:tc>
        <w:tc>
          <w:tcPr>
            <w:tcW w:w="887" w:type="dxa"/>
            <w:noWrap/>
            <w:hideMark/>
          </w:tcPr>
          <w:p w14:paraId="34DC5066" w14:textId="77777777" w:rsidR="0074362B" w:rsidRPr="0074362B" w:rsidRDefault="0074362B">
            <w:pPr>
              <w:pStyle w:val="Tabele"/>
              <w:jc w:val="right"/>
              <w:rPr>
                <w:b/>
                <w:bCs/>
                <w:color w:val="auto"/>
                <w:szCs w:val="16"/>
              </w:rPr>
            </w:pPr>
            <w:r w:rsidRPr="0074362B">
              <w:rPr>
                <w:rFonts w:cs="Arial"/>
                <w:color w:val="auto"/>
                <w:szCs w:val="16"/>
              </w:rPr>
              <w:t>0</w:t>
            </w:r>
          </w:p>
        </w:tc>
        <w:tc>
          <w:tcPr>
            <w:tcW w:w="886" w:type="dxa"/>
            <w:noWrap/>
            <w:hideMark/>
          </w:tcPr>
          <w:p w14:paraId="03052244" w14:textId="77777777" w:rsidR="0074362B" w:rsidRPr="0074362B" w:rsidRDefault="0074362B">
            <w:pPr>
              <w:pStyle w:val="Tabele"/>
              <w:jc w:val="right"/>
              <w:rPr>
                <w:b/>
                <w:color w:val="auto"/>
              </w:rPr>
            </w:pPr>
            <w:r w:rsidRPr="0D29C4E5">
              <w:rPr>
                <w:rFonts w:cs="Arial"/>
                <w:color w:val="auto"/>
              </w:rPr>
              <w:t>66</w:t>
            </w:r>
          </w:p>
        </w:tc>
        <w:tc>
          <w:tcPr>
            <w:tcW w:w="887" w:type="dxa"/>
            <w:noWrap/>
            <w:hideMark/>
          </w:tcPr>
          <w:p w14:paraId="77002992" w14:textId="77777777" w:rsidR="0074362B" w:rsidRPr="0074362B" w:rsidRDefault="0074362B">
            <w:pPr>
              <w:pStyle w:val="Tabele"/>
              <w:jc w:val="right"/>
              <w:rPr>
                <w:b/>
                <w:bCs/>
                <w:color w:val="auto"/>
                <w:szCs w:val="16"/>
              </w:rPr>
            </w:pPr>
            <w:r w:rsidRPr="0074362B">
              <w:rPr>
                <w:rFonts w:cs="Arial"/>
                <w:color w:val="auto"/>
                <w:szCs w:val="16"/>
              </w:rPr>
              <w:t>146</w:t>
            </w:r>
          </w:p>
        </w:tc>
        <w:tc>
          <w:tcPr>
            <w:tcW w:w="886" w:type="dxa"/>
          </w:tcPr>
          <w:p w14:paraId="5C47BFF3" w14:textId="77777777" w:rsidR="0074362B" w:rsidRPr="0074362B" w:rsidRDefault="0074362B">
            <w:pPr>
              <w:pStyle w:val="Tabele"/>
              <w:jc w:val="right"/>
              <w:rPr>
                <w:b/>
                <w:color w:val="auto"/>
              </w:rPr>
            </w:pPr>
            <w:r w:rsidRPr="0D29C4E5">
              <w:rPr>
                <w:rFonts w:cs="Arial"/>
                <w:color w:val="auto"/>
              </w:rPr>
              <w:t>319</w:t>
            </w:r>
          </w:p>
        </w:tc>
      </w:tr>
      <w:tr w:rsidR="0074362B" w:rsidRPr="0074362B" w14:paraId="5C66841F" w14:textId="77777777" w:rsidTr="0D29C4E5">
        <w:trPr>
          <w:trHeight w:val="228"/>
        </w:trPr>
        <w:tc>
          <w:tcPr>
            <w:tcW w:w="2043" w:type="dxa"/>
          </w:tcPr>
          <w:p w14:paraId="562D9C91" w14:textId="77777777" w:rsidR="0074362B" w:rsidRPr="0074362B" w:rsidRDefault="0074362B">
            <w:pPr>
              <w:pStyle w:val="Tabele"/>
              <w:rPr>
                <w:color w:val="auto"/>
                <w:szCs w:val="16"/>
              </w:rPr>
            </w:pPr>
            <w:r w:rsidRPr="0074362B">
              <w:rPr>
                <w:b/>
                <w:bCs/>
                <w:color w:val="auto"/>
                <w:szCs w:val="16"/>
              </w:rPr>
              <w:t>RAZEM</w:t>
            </w:r>
          </w:p>
        </w:tc>
        <w:tc>
          <w:tcPr>
            <w:tcW w:w="886" w:type="dxa"/>
            <w:shd w:val="clear" w:color="auto" w:fill="C5E0B3" w:themeFill="accent6" w:themeFillTint="66"/>
            <w:noWrap/>
            <w:vAlign w:val="top"/>
          </w:tcPr>
          <w:p w14:paraId="2EDC568C" w14:textId="77777777" w:rsidR="0074362B" w:rsidRPr="0074362B" w:rsidRDefault="0074362B">
            <w:pPr>
              <w:pStyle w:val="Tabele"/>
              <w:jc w:val="right"/>
              <w:rPr>
                <w:color w:val="auto"/>
                <w:szCs w:val="16"/>
              </w:rPr>
            </w:pPr>
            <w:r w:rsidRPr="0074362B">
              <w:rPr>
                <w:b/>
                <w:color w:val="auto"/>
                <w:szCs w:val="16"/>
              </w:rPr>
              <w:t>4 608</w:t>
            </w:r>
          </w:p>
        </w:tc>
        <w:tc>
          <w:tcPr>
            <w:tcW w:w="887" w:type="dxa"/>
            <w:shd w:val="clear" w:color="auto" w:fill="C5E0B3" w:themeFill="accent6" w:themeFillTint="66"/>
            <w:noWrap/>
            <w:vAlign w:val="top"/>
          </w:tcPr>
          <w:p w14:paraId="55F0F39A" w14:textId="77777777" w:rsidR="0074362B" w:rsidRPr="0074362B" w:rsidRDefault="0074362B">
            <w:pPr>
              <w:pStyle w:val="Tabele"/>
              <w:jc w:val="right"/>
              <w:rPr>
                <w:color w:val="auto"/>
                <w:szCs w:val="16"/>
              </w:rPr>
            </w:pPr>
            <w:r w:rsidRPr="0074362B">
              <w:rPr>
                <w:b/>
                <w:color w:val="auto"/>
                <w:szCs w:val="16"/>
              </w:rPr>
              <w:t>4 969</w:t>
            </w:r>
          </w:p>
        </w:tc>
        <w:tc>
          <w:tcPr>
            <w:tcW w:w="886" w:type="dxa"/>
            <w:shd w:val="clear" w:color="auto" w:fill="C5E0B3" w:themeFill="accent6" w:themeFillTint="66"/>
            <w:noWrap/>
            <w:vAlign w:val="top"/>
          </w:tcPr>
          <w:p w14:paraId="17BE445F" w14:textId="77777777" w:rsidR="0074362B" w:rsidRPr="0074362B" w:rsidRDefault="0074362B">
            <w:pPr>
              <w:pStyle w:val="Tabele"/>
              <w:jc w:val="right"/>
              <w:rPr>
                <w:color w:val="auto"/>
                <w:szCs w:val="16"/>
              </w:rPr>
            </w:pPr>
            <w:r w:rsidRPr="0074362B">
              <w:rPr>
                <w:b/>
                <w:color w:val="auto"/>
                <w:szCs w:val="16"/>
              </w:rPr>
              <w:t>5 660</w:t>
            </w:r>
          </w:p>
        </w:tc>
        <w:tc>
          <w:tcPr>
            <w:tcW w:w="887" w:type="dxa"/>
            <w:shd w:val="clear" w:color="auto" w:fill="C5E0B3" w:themeFill="accent6" w:themeFillTint="66"/>
            <w:noWrap/>
            <w:vAlign w:val="top"/>
          </w:tcPr>
          <w:p w14:paraId="7951B9CA" w14:textId="77777777" w:rsidR="0074362B" w:rsidRPr="0074362B" w:rsidRDefault="0074362B">
            <w:pPr>
              <w:pStyle w:val="Tabele"/>
              <w:jc w:val="right"/>
              <w:rPr>
                <w:color w:val="auto"/>
                <w:szCs w:val="16"/>
              </w:rPr>
            </w:pPr>
            <w:r w:rsidRPr="0074362B">
              <w:rPr>
                <w:b/>
                <w:color w:val="auto"/>
                <w:szCs w:val="16"/>
              </w:rPr>
              <w:t>5 795</w:t>
            </w:r>
          </w:p>
        </w:tc>
        <w:tc>
          <w:tcPr>
            <w:tcW w:w="887" w:type="dxa"/>
            <w:noWrap/>
          </w:tcPr>
          <w:p w14:paraId="4F516CF3" w14:textId="77777777" w:rsidR="0074362B" w:rsidRPr="0074362B" w:rsidRDefault="0074362B">
            <w:pPr>
              <w:pStyle w:val="Tabele"/>
              <w:jc w:val="right"/>
              <w:rPr>
                <w:color w:val="auto"/>
                <w:szCs w:val="16"/>
              </w:rPr>
            </w:pPr>
            <w:r w:rsidRPr="0074362B">
              <w:rPr>
                <w:rFonts w:cs="Arial"/>
                <w:b/>
                <w:bCs/>
                <w:color w:val="auto"/>
                <w:szCs w:val="16"/>
              </w:rPr>
              <w:t>5 461</w:t>
            </w:r>
          </w:p>
        </w:tc>
        <w:tc>
          <w:tcPr>
            <w:tcW w:w="886" w:type="dxa"/>
            <w:noWrap/>
          </w:tcPr>
          <w:p w14:paraId="01CD75C8" w14:textId="77777777" w:rsidR="0074362B" w:rsidRPr="0074362B" w:rsidRDefault="0074362B">
            <w:pPr>
              <w:pStyle w:val="Tabele"/>
              <w:jc w:val="right"/>
              <w:rPr>
                <w:color w:val="auto"/>
                <w:szCs w:val="16"/>
              </w:rPr>
            </w:pPr>
            <w:r w:rsidRPr="0074362B">
              <w:rPr>
                <w:rFonts w:cs="Arial"/>
                <w:b/>
                <w:bCs/>
                <w:color w:val="auto"/>
                <w:szCs w:val="16"/>
              </w:rPr>
              <w:t>5 361</w:t>
            </w:r>
          </w:p>
        </w:tc>
        <w:tc>
          <w:tcPr>
            <w:tcW w:w="887" w:type="dxa"/>
            <w:noWrap/>
          </w:tcPr>
          <w:p w14:paraId="422C226B" w14:textId="77777777" w:rsidR="0074362B" w:rsidRPr="0074362B" w:rsidRDefault="0074362B">
            <w:pPr>
              <w:pStyle w:val="Tabele"/>
              <w:jc w:val="right"/>
              <w:rPr>
                <w:color w:val="auto"/>
                <w:szCs w:val="16"/>
              </w:rPr>
            </w:pPr>
            <w:r w:rsidRPr="0074362B">
              <w:rPr>
                <w:rFonts w:cs="Arial"/>
                <w:b/>
                <w:bCs/>
                <w:color w:val="auto"/>
                <w:szCs w:val="16"/>
              </w:rPr>
              <w:t>5 274</w:t>
            </w:r>
          </w:p>
        </w:tc>
        <w:tc>
          <w:tcPr>
            <w:tcW w:w="886" w:type="dxa"/>
          </w:tcPr>
          <w:p w14:paraId="32313585" w14:textId="77777777" w:rsidR="0074362B" w:rsidRPr="0074362B" w:rsidRDefault="0074362B">
            <w:pPr>
              <w:pStyle w:val="Tabele"/>
              <w:jc w:val="right"/>
              <w:rPr>
                <w:color w:val="auto"/>
                <w:szCs w:val="16"/>
              </w:rPr>
            </w:pPr>
            <w:r w:rsidRPr="0074362B">
              <w:rPr>
                <w:rFonts w:cs="Arial"/>
                <w:b/>
                <w:bCs/>
                <w:color w:val="auto"/>
                <w:szCs w:val="16"/>
              </w:rPr>
              <w:t>5 147</w:t>
            </w:r>
          </w:p>
        </w:tc>
      </w:tr>
    </w:tbl>
    <w:p w14:paraId="63E7841C" w14:textId="169D5174" w:rsidR="005C4144" w:rsidRPr="00593894" w:rsidRDefault="005C4144" w:rsidP="00A6384C">
      <w:pPr>
        <w:pStyle w:val="Legenda"/>
      </w:pPr>
      <w:r w:rsidRPr="00593894">
        <w:t>Źródło: Opracowanie własne ARE S</w:t>
      </w:r>
      <w:r>
        <w:t>.</w:t>
      </w:r>
      <w:r w:rsidRPr="00593894">
        <w:t>A</w:t>
      </w:r>
      <w:r>
        <w:t>.</w:t>
      </w:r>
      <w:r w:rsidRPr="00593894">
        <w:t xml:space="preserve"> (STEAM-PL</w:t>
      </w:r>
      <w:r w:rsidR="00CB4A74" w:rsidRPr="00593894">
        <w:t>),</w:t>
      </w:r>
      <w:r w:rsidRPr="00593894">
        <w:t xml:space="preserve"> EUROSTAT </w:t>
      </w:r>
    </w:p>
    <w:p w14:paraId="43C400C3" w14:textId="77777777" w:rsidR="005C4144" w:rsidRPr="00DB5D89" w:rsidRDefault="005C4144" w:rsidP="00473EF1">
      <w:pPr>
        <w:pStyle w:val="Nagwek2"/>
      </w:pPr>
      <w:bookmarkStart w:id="311" w:name="_Toc171587321"/>
      <w:bookmarkStart w:id="312" w:name="_Toc174710895"/>
      <w:bookmarkStart w:id="313" w:name="_Toc202966888"/>
      <w:r>
        <w:t>Intensywność zużycia energii pierwotnej</w:t>
      </w:r>
      <w:bookmarkEnd w:id="311"/>
      <w:bookmarkEnd w:id="312"/>
      <w:bookmarkEnd w:id="313"/>
    </w:p>
    <w:p w14:paraId="515E0378" w14:textId="634A91FB" w:rsidR="005C4144" w:rsidRDefault="005C4144" w:rsidP="005C4144">
      <w:pPr>
        <w:spacing w:after="120"/>
      </w:pPr>
      <w:bookmarkStart w:id="314" w:name="_Ref156557861"/>
      <w:r>
        <w:t>W tabeli (</w:t>
      </w:r>
      <w:r w:rsidR="00AA3C40">
        <w:fldChar w:fldCharType="begin"/>
      </w:r>
      <w:r w:rsidR="00AA3C40">
        <w:instrText xml:space="preserve"> REF _Ref195871438 \h </w:instrText>
      </w:r>
      <w:r w:rsidR="00AA3C40">
        <w:fldChar w:fldCharType="separate"/>
      </w:r>
      <w:r w:rsidR="00F27D6F">
        <w:t xml:space="preserve">Tabela </w:t>
      </w:r>
      <w:r w:rsidR="00F27D6F">
        <w:rPr>
          <w:noProof/>
        </w:rPr>
        <w:t>2</w:t>
      </w:r>
      <w:r w:rsidR="00F27D6F">
        <w:t>.</w:t>
      </w:r>
      <w:r w:rsidR="00F27D6F">
        <w:rPr>
          <w:noProof/>
        </w:rPr>
        <w:t>5</w:t>
      </w:r>
      <w:r w:rsidR="00AA3C40">
        <w:fldChar w:fldCharType="end"/>
      </w:r>
      <w:r>
        <w:t xml:space="preserve">) </w:t>
      </w:r>
      <w:r w:rsidR="0098383D">
        <w:t>przedstawiono</w:t>
      </w:r>
      <w:r w:rsidR="0098383D" w:rsidRPr="00593894">
        <w:t xml:space="preserve"> wskaźnik intensywności zużycia energii pierwotnej względem PKB. Wskaźnik ten ulega stopniowemu obniżaniu</w:t>
      </w:r>
      <w:r w:rsidR="0098383D">
        <w:t xml:space="preserve"> w </w:t>
      </w:r>
      <w:r w:rsidR="0098383D" w:rsidRPr="00593894">
        <w:t>całym rozpatrywanym okresie, co odzwierciedla zachodzące procesy poprawy efektywności wykorzystania energii.</w:t>
      </w:r>
      <w:r w:rsidR="0098383D">
        <w:t xml:space="preserve"> Z dokonanych </w:t>
      </w:r>
      <w:r w:rsidR="0098383D" w:rsidRPr="00593894">
        <w:t>porównań wynika, że</w:t>
      </w:r>
      <w:r w:rsidR="0098383D">
        <w:t> </w:t>
      </w:r>
      <w:r w:rsidR="0098383D" w:rsidRPr="00593894">
        <w:t>energochłonność liczona na jednostkę PKB zmniejszała się</w:t>
      </w:r>
      <w:r w:rsidR="0098383D">
        <w:t xml:space="preserve"> w </w:t>
      </w:r>
      <w:r w:rsidR="0098383D" w:rsidRPr="00593894">
        <w:t>Polsce</w:t>
      </w:r>
      <w:r w:rsidR="0098383D">
        <w:t xml:space="preserve"> w </w:t>
      </w:r>
      <w:r w:rsidR="0098383D" w:rsidRPr="00593894">
        <w:t>ciągu ostatnich kilkunastu lat ponad dwa razy szybciej niż</w:t>
      </w:r>
      <w:r w:rsidR="0098383D">
        <w:t> </w:t>
      </w:r>
      <w:r w:rsidR="0098383D" w:rsidRPr="00593894">
        <w:t>średnio</w:t>
      </w:r>
      <w:r w:rsidR="0098383D">
        <w:t xml:space="preserve"> w </w:t>
      </w:r>
      <w:r w:rsidR="0098383D" w:rsidRPr="00593894">
        <w:t>krajach UE (w stosunku do 2005</w:t>
      </w:r>
      <w:r w:rsidR="0098383D">
        <w:t> r.</w:t>
      </w:r>
      <w:r w:rsidR="0098383D" w:rsidRPr="00593894">
        <w:t xml:space="preserve"> obniżyła się</w:t>
      </w:r>
      <w:r w:rsidR="0098383D">
        <w:t xml:space="preserve"> o </w:t>
      </w:r>
      <w:r w:rsidR="0098383D" w:rsidRPr="00593894">
        <w:t xml:space="preserve">ok. </w:t>
      </w:r>
      <w:r w:rsidR="0098383D" w:rsidRPr="00DF3B8F">
        <w:t>33</w:t>
      </w:r>
      <w:r w:rsidR="0098383D">
        <w:t xml:space="preserve">%). Niemniej jednak </w:t>
      </w:r>
      <w:r w:rsidR="0098383D" w:rsidRPr="00593894">
        <w:t>energochłon</w:t>
      </w:r>
      <w:r w:rsidR="0098383D">
        <w:t xml:space="preserve">ność pierwotna PKB wynosząca </w:t>
      </w:r>
      <w:r w:rsidR="000765E1">
        <w:t xml:space="preserve">181 </w:t>
      </w:r>
      <w:r w:rsidR="0098383D">
        <w:t>[toe/mlnEUR’202</w:t>
      </w:r>
      <w:r w:rsidR="000765E1">
        <w:t>4</w:t>
      </w:r>
      <w:r w:rsidR="0098383D">
        <w:t>]</w:t>
      </w:r>
      <w:r w:rsidR="0098383D" w:rsidRPr="00593894">
        <w:t xml:space="preserve"> jest prawie dwukrotni</w:t>
      </w:r>
      <w:r w:rsidR="0098383D">
        <w:t>e wyższa od średniej unijnej</w:t>
      </w:r>
      <w:r w:rsidR="0098383D" w:rsidRPr="00593894">
        <w:t>. Stąd wni</w:t>
      </w:r>
      <w:r w:rsidR="0098383D">
        <w:t xml:space="preserve">osek, że nadal występuje znaczący </w:t>
      </w:r>
      <w:r w:rsidR="0098383D" w:rsidRPr="00593894">
        <w:t>potencjał do dalszej poprawy efektywności.</w:t>
      </w:r>
    </w:p>
    <w:p w14:paraId="1EB7E923" w14:textId="7DA1E105" w:rsidR="005C4144" w:rsidRDefault="005C4144" w:rsidP="005C4144">
      <w:pPr>
        <w:pStyle w:val="Legenda"/>
        <w:keepNext/>
      </w:pPr>
      <w:bookmarkStart w:id="315" w:name="_Ref158371813"/>
      <w:bookmarkStart w:id="316" w:name="_Ref195871438"/>
      <w:bookmarkStart w:id="317" w:name="_Toc171587193"/>
      <w:bookmarkStart w:id="318" w:name="_Toc174710977"/>
      <w:bookmarkStart w:id="319" w:name="_Toc202966980"/>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5</w:t>
      </w:r>
      <w:r w:rsidR="00653D9A">
        <w:rPr>
          <w:noProof/>
        </w:rPr>
        <w:fldChar w:fldCharType="end"/>
      </w:r>
      <w:bookmarkEnd w:id="315"/>
      <w:bookmarkEnd w:id="316"/>
      <w:r>
        <w:t xml:space="preserve">. </w:t>
      </w:r>
      <w:r w:rsidRPr="00B1169E">
        <w:t>Wskaźniki intensywności zużycia energii pierwotnej względem PKB [toe/mln EUR’20</w:t>
      </w:r>
      <w:r>
        <w:t>2</w:t>
      </w:r>
      <w:r w:rsidR="00B0668B">
        <w:t>4</w:t>
      </w:r>
      <w:r>
        <w:t>]</w:t>
      </w:r>
      <w:bookmarkEnd w:id="317"/>
      <w:bookmarkEnd w:id="318"/>
      <w:bookmarkEnd w:id="319"/>
    </w:p>
    <w:tbl>
      <w:tblPr>
        <w:tblStyle w:val="KPEiK"/>
        <w:tblW w:w="4943" w:type="pct"/>
        <w:tblLook w:val="04A0" w:firstRow="1" w:lastRow="0" w:firstColumn="1" w:lastColumn="0" w:noHBand="0" w:noVBand="1"/>
      </w:tblPr>
      <w:tblGrid>
        <w:gridCol w:w="1816"/>
        <w:gridCol w:w="910"/>
        <w:gridCol w:w="910"/>
        <w:gridCol w:w="912"/>
        <w:gridCol w:w="910"/>
        <w:gridCol w:w="912"/>
        <w:gridCol w:w="912"/>
        <w:gridCol w:w="912"/>
        <w:gridCol w:w="765"/>
      </w:tblGrid>
      <w:tr w:rsidR="00C23C37" w:rsidRPr="00DB48D3" w14:paraId="58FDC558" w14:textId="77777777" w:rsidTr="00B0668B">
        <w:trPr>
          <w:cnfStyle w:val="100000000000" w:firstRow="1" w:lastRow="0" w:firstColumn="0" w:lastColumn="0" w:oddVBand="0" w:evenVBand="0" w:oddHBand="0" w:evenHBand="0" w:firstRowFirstColumn="0" w:firstRowLastColumn="0" w:lastRowFirstColumn="0" w:lastRowLastColumn="0"/>
          <w:trHeight w:val="229"/>
        </w:trPr>
        <w:tc>
          <w:tcPr>
            <w:tcW w:w="1816" w:type="dxa"/>
            <w:noWrap/>
            <w:hideMark/>
          </w:tcPr>
          <w:p w14:paraId="5395FAB1" w14:textId="77777777" w:rsidR="00C23C37" w:rsidRPr="00DB48D3" w:rsidRDefault="00C23C37">
            <w:pPr>
              <w:pStyle w:val="Tabele"/>
              <w:jc w:val="center"/>
            </w:pPr>
          </w:p>
        </w:tc>
        <w:tc>
          <w:tcPr>
            <w:tcW w:w="910" w:type="dxa"/>
            <w:hideMark/>
          </w:tcPr>
          <w:p w14:paraId="3BBF476C" w14:textId="77777777" w:rsidR="00C23C37" w:rsidRPr="00DB48D3" w:rsidRDefault="00C23C37">
            <w:pPr>
              <w:pStyle w:val="Tabele"/>
              <w:jc w:val="center"/>
              <w:rPr>
                <w:bCs/>
              </w:rPr>
            </w:pPr>
            <w:r w:rsidRPr="00DB48D3">
              <w:rPr>
                <w:bCs/>
              </w:rPr>
              <w:t>2005</w:t>
            </w:r>
          </w:p>
        </w:tc>
        <w:tc>
          <w:tcPr>
            <w:tcW w:w="910" w:type="dxa"/>
            <w:hideMark/>
          </w:tcPr>
          <w:p w14:paraId="3423BC06" w14:textId="77777777" w:rsidR="00C23C37" w:rsidRPr="00DB48D3" w:rsidRDefault="00C23C37">
            <w:pPr>
              <w:pStyle w:val="Tabele"/>
              <w:jc w:val="center"/>
              <w:rPr>
                <w:bCs/>
              </w:rPr>
            </w:pPr>
            <w:r w:rsidRPr="00DB48D3">
              <w:rPr>
                <w:bCs/>
              </w:rPr>
              <w:t>2010</w:t>
            </w:r>
          </w:p>
        </w:tc>
        <w:tc>
          <w:tcPr>
            <w:tcW w:w="912" w:type="dxa"/>
            <w:hideMark/>
          </w:tcPr>
          <w:p w14:paraId="59F0F816" w14:textId="77777777" w:rsidR="00C23C37" w:rsidRPr="00DB48D3" w:rsidRDefault="00C23C37">
            <w:pPr>
              <w:pStyle w:val="Tabele"/>
              <w:jc w:val="center"/>
              <w:rPr>
                <w:bCs/>
              </w:rPr>
            </w:pPr>
            <w:r w:rsidRPr="00DB48D3">
              <w:rPr>
                <w:bCs/>
              </w:rPr>
              <w:t>2015</w:t>
            </w:r>
          </w:p>
        </w:tc>
        <w:tc>
          <w:tcPr>
            <w:tcW w:w="910" w:type="dxa"/>
            <w:hideMark/>
          </w:tcPr>
          <w:p w14:paraId="0C6A4FE4" w14:textId="77777777" w:rsidR="00C23C37" w:rsidRPr="00DB48D3" w:rsidRDefault="00C23C37">
            <w:pPr>
              <w:pStyle w:val="Tabele"/>
              <w:jc w:val="center"/>
              <w:rPr>
                <w:bCs/>
              </w:rPr>
            </w:pPr>
            <w:r w:rsidRPr="00DB48D3">
              <w:rPr>
                <w:bCs/>
              </w:rPr>
              <w:t>2020</w:t>
            </w:r>
          </w:p>
        </w:tc>
        <w:tc>
          <w:tcPr>
            <w:tcW w:w="912" w:type="dxa"/>
            <w:hideMark/>
          </w:tcPr>
          <w:p w14:paraId="6587A6E2" w14:textId="77777777" w:rsidR="00C23C37" w:rsidRPr="00DB48D3" w:rsidRDefault="00C23C37">
            <w:pPr>
              <w:pStyle w:val="Tabele"/>
              <w:jc w:val="center"/>
              <w:rPr>
                <w:bCs/>
              </w:rPr>
            </w:pPr>
            <w:r w:rsidRPr="00DB48D3">
              <w:rPr>
                <w:bCs/>
              </w:rPr>
              <w:t>2025</w:t>
            </w:r>
          </w:p>
        </w:tc>
        <w:tc>
          <w:tcPr>
            <w:tcW w:w="912" w:type="dxa"/>
            <w:hideMark/>
          </w:tcPr>
          <w:p w14:paraId="201A09C4" w14:textId="77777777" w:rsidR="00C23C37" w:rsidRPr="00DB48D3" w:rsidRDefault="00C23C37">
            <w:pPr>
              <w:pStyle w:val="Tabele"/>
              <w:jc w:val="center"/>
              <w:rPr>
                <w:bCs/>
              </w:rPr>
            </w:pPr>
            <w:r w:rsidRPr="00DB48D3">
              <w:rPr>
                <w:bCs/>
              </w:rPr>
              <w:t>2030</w:t>
            </w:r>
          </w:p>
        </w:tc>
        <w:tc>
          <w:tcPr>
            <w:tcW w:w="912" w:type="dxa"/>
            <w:hideMark/>
          </w:tcPr>
          <w:p w14:paraId="21F559A1" w14:textId="77777777" w:rsidR="00C23C37" w:rsidRPr="00DB48D3" w:rsidRDefault="00C23C37">
            <w:pPr>
              <w:pStyle w:val="Tabele"/>
              <w:jc w:val="center"/>
              <w:rPr>
                <w:bCs/>
              </w:rPr>
            </w:pPr>
            <w:r w:rsidRPr="00DB48D3">
              <w:rPr>
                <w:bCs/>
              </w:rPr>
              <w:t>2035</w:t>
            </w:r>
          </w:p>
        </w:tc>
        <w:tc>
          <w:tcPr>
            <w:tcW w:w="765" w:type="dxa"/>
            <w:hideMark/>
          </w:tcPr>
          <w:p w14:paraId="5C7C3C85" w14:textId="77777777" w:rsidR="00C23C37" w:rsidRPr="00DB48D3" w:rsidRDefault="00C23C37">
            <w:pPr>
              <w:pStyle w:val="Tabele"/>
              <w:jc w:val="center"/>
              <w:rPr>
                <w:bCs/>
              </w:rPr>
            </w:pPr>
            <w:r w:rsidRPr="00DB48D3">
              <w:rPr>
                <w:bCs/>
              </w:rPr>
              <w:t>2040</w:t>
            </w:r>
          </w:p>
        </w:tc>
      </w:tr>
      <w:tr w:rsidR="00B0668B" w:rsidRPr="00DB48D3" w14:paraId="1706A874" w14:textId="77777777" w:rsidTr="00B0668B">
        <w:trPr>
          <w:trHeight w:val="229"/>
        </w:trPr>
        <w:tc>
          <w:tcPr>
            <w:tcW w:w="1816" w:type="dxa"/>
            <w:hideMark/>
          </w:tcPr>
          <w:p w14:paraId="1A88B4BC" w14:textId="7227021A" w:rsidR="00B0668B" w:rsidRPr="00DB48D3" w:rsidRDefault="00B0668B" w:rsidP="00B0668B">
            <w:pPr>
              <w:pStyle w:val="Tabele"/>
              <w:rPr>
                <w:b/>
                <w:bCs/>
              </w:rPr>
            </w:pPr>
            <w:r>
              <w:rPr>
                <w:color w:val="000000"/>
                <w:szCs w:val="16"/>
              </w:rPr>
              <w:t>toe/mln EUR’202</w:t>
            </w:r>
            <w:r w:rsidR="00706557">
              <w:rPr>
                <w:color w:val="000000"/>
                <w:szCs w:val="16"/>
              </w:rPr>
              <w:t>4</w:t>
            </w:r>
          </w:p>
        </w:tc>
        <w:tc>
          <w:tcPr>
            <w:tcW w:w="910" w:type="dxa"/>
            <w:shd w:val="clear" w:color="auto" w:fill="C5E0B3"/>
            <w:noWrap/>
          </w:tcPr>
          <w:p w14:paraId="098A5C21" w14:textId="5EE33D62" w:rsidR="00B0668B" w:rsidRPr="0085393E" w:rsidRDefault="00B0668B" w:rsidP="00B0668B">
            <w:pPr>
              <w:pStyle w:val="Tabele"/>
              <w:jc w:val="right"/>
              <w:rPr>
                <w:color w:val="000000"/>
                <w:szCs w:val="16"/>
              </w:rPr>
            </w:pPr>
            <w:r>
              <w:rPr>
                <w:color w:val="000000"/>
                <w:szCs w:val="16"/>
              </w:rPr>
              <w:t>270</w:t>
            </w:r>
          </w:p>
        </w:tc>
        <w:tc>
          <w:tcPr>
            <w:tcW w:w="910" w:type="dxa"/>
            <w:shd w:val="clear" w:color="auto" w:fill="C5E0B3"/>
            <w:noWrap/>
          </w:tcPr>
          <w:p w14:paraId="1BFD0A93" w14:textId="5197EE58" w:rsidR="00B0668B" w:rsidRPr="0085393E" w:rsidRDefault="00B0668B" w:rsidP="00B0668B">
            <w:pPr>
              <w:pStyle w:val="Tabele"/>
              <w:jc w:val="right"/>
              <w:rPr>
                <w:color w:val="000000"/>
                <w:szCs w:val="16"/>
              </w:rPr>
            </w:pPr>
            <w:r>
              <w:rPr>
                <w:color w:val="000000"/>
                <w:szCs w:val="16"/>
              </w:rPr>
              <w:t>234</w:t>
            </w:r>
          </w:p>
        </w:tc>
        <w:tc>
          <w:tcPr>
            <w:tcW w:w="912" w:type="dxa"/>
            <w:shd w:val="clear" w:color="auto" w:fill="C5E0B3"/>
            <w:noWrap/>
          </w:tcPr>
          <w:p w14:paraId="558B5FCD" w14:textId="1DF13A22" w:rsidR="00B0668B" w:rsidRPr="0085393E" w:rsidRDefault="00B0668B" w:rsidP="00B0668B">
            <w:pPr>
              <w:pStyle w:val="Tabele"/>
              <w:jc w:val="right"/>
              <w:rPr>
                <w:color w:val="000000"/>
                <w:szCs w:val="16"/>
              </w:rPr>
            </w:pPr>
            <w:r>
              <w:rPr>
                <w:color w:val="000000"/>
                <w:szCs w:val="16"/>
              </w:rPr>
              <w:t>191</w:t>
            </w:r>
          </w:p>
        </w:tc>
        <w:tc>
          <w:tcPr>
            <w:tcW w:w="910" w:type="dxa"/>
            <w:shd w:val="clear" w:color="auto" w:fill="C5E0B3"/>
            <w:noWrap/>
          </w:tcPr>
          <w:p w14:paraId="5EE7105D" w14:textId="7628D23C" w:rsidR="00B0668B" w:rsidRPr="0085393E" w:rsidRDefault="00B0668B" w:rsidP="00B0668B">
            <w:pPr>
              <w:pStyle w:val="Tabele"/>
              <w:jc w:val="right"/>
              <w:rPr>
                <w:color w:val="000000"/>
                <w:szCs w:val="16"/>
              </w:rPr>
            </w:pPr>
            <w:r>
              <w:rPr>
                <w:color w:val="000000"/>
                <w:szCs w:val="16"/>
              </w:rPr>
              <w:t>181</w:t>
            </w:r>
          </w:p>
        </w:tc>
        <w:tc>
          <w:tcPr>
            <w:tcW w:w="912" w:type="dxa"/>
            <w:noWrap/>
          </w:tcPr>
          <w:p w14:paraId="616BB845" w14:textId="4BC6C5E7" w:rsidR="00B0668B" w:rsidRPr="0085393E" w:rsidRDefault="00B0668B" w:rsidP="00B0668B">
            <w:pPr>
              <w:pStyle w:val="Tabele"/>
              <w:jc w:val="right"/>
              <w:rPr>
                <w:color w:val="000000"/>
                <w:szCs w:val="16"/>
              </w:rPr>
            </w:pPr>
            <w:r>
              <w:rPr>
                <w:rFonts w:cs="Arial"/>
                <w:color w:val="000000"/>
                <w:szCs w:val="16"/>
              </w:rPr>
              <w:t>147</w:t>
            </w:r>
          </w:p>
        </w:tc>
        <w:tc>
          <w:tcPr>
            <w:tcW w:w="912" w:type="dxa"/>
            <w:noWrap/>
          </w:tcPr>
          <w:p w14:paraId="7C890BE6" w14:textId="421D9A6E" w:rsidR="00B0668B" w:rsidRPr="0085393E" w:rsidRDefault="00B0668B" w:rsidP="00B0668B">
            <w:pPr>
              <w:pStyle w:val="Tabele"/>
              <w:jc w:val="right"/>
              <w:rPr>
                <w:color w:val="000000"/>
                <w:szCs w:val="16"/>
              </w:rPr>
            </w:pPr>
            <w:r>
              <w:rPr>
                <w:rFonts w:cs="Arial"/>
                <w:color w:val="000000"/>
                <w:szCs w:val="16"/>
              </w:rPr>
              <w:t>115</w:t>
            </w:r>
          </w:p>
        </w:tc>
        <w:tc>
          <w:tcPr>
            <w:tcW w:w="912" w:type="dxa"/>
            <w:noWrap/>
          </w:tcPr>
          <w:p w14:paraId="309A78C8" w14:textId="7AF0E32A" w:rsidR="00B0668B" w:rsidRPr="0085393E" w:rsidRDefault="00B0668B" w:rsidP="00B0668B">
            <w:pPr>
              <w:pStyle w:val="Tabele"/>
              <w:jc w:val="right"/>
              <w:rPr>
                <w:color w:val="000000"/>
                <w:szCs w:val="16"/>
              </w:rPr>
            </w:pPr>
            <w:r>
              <w:rPr>
                <w:rFonts w:cs="Arial"/>
                <w:color w:val="000000"/>
                <w:szCs w:val="16"/>
              </w:rPr>
              <w:t>94</w:t>
            </w:r>
          </w:p>
        </w:tc>
        <w:tc>
          <w:tcPr>
            <w:tcW w:w="765" w:type="dxa"/>
            <w:noWrap/>
          </w:tcPr>
          <w:p w14:paraId="31185ECF" w14:textId="0A4F56CB" w:rsidR="00B0668B" w:rsidRPr="0085393E" w:rsidRDefault="00B0668B" w:rsidP="00B0668B">
            <w:pPr>
              <w:pStyle w:val="Tabele"/>
              <w:jc w:val="right"/>
              <w:rPr>
                <w:color w:val="000000"/>
                <w:szCs w:val="16"/>
              </w:rPr>
            </w:pPr>
            <w:r>
              <w:rPr>
                <w:rFonts w:cs="Arial"/>
                <w:color w:val="000000"/>
                <w:szCs w:val="16"/>
              </w:rPr>
              <w:t>87</w:t>
            </w:r>
          </w:p>
        </w:tc>
      </w:tr>
      <w:tr w:rsidR="00B0668B" w:rsidRPr="00DB48D3" w14:paraId="05DC2AB6" w14:textId="77777777" w:rsidTr="00B0668B">
        <w:trPr>
          <w:trHeight w:val="229"/>
        </w:trPr>
        <w:tc>
          <w:tcPr>
            <w:tcW w:w="1816" w:type="dxa"/>
          </w:tcPr>
          <w:p w14:paraId="75791BD1" w14:textId="1A432CFD" w:rsidR="00B0668B" w:rsidRPr="00DB48D3" w:rsidRDefault="00B0668B" w:rsidP="00B0668B">
            <w:pPr>
              <w:pStyle w:val="Tabele"/>
              <w:rPr>
                <w:b/>
                <w:bCs/>
              </w:rPr>
            </w:pPr>
            <w:r w:rsidRPr="0085393E">
              <w:rPr>
                <w:color w:val="000000"/>
                <w:szCs w:val="16"/>
              </w:rPr>
              <w:t>toe/mln PLN’202</w:t>
            </w:r>
            <w:r w:rsidR="00706557">
              <w:rPr>
                <w:color w:val="000000"/>
                <w:szCs w:val="16"/>
              </w:rPr>
              <w:t>4</w:t>
            </w:r>
          </w:p>
        </w:tc>
        <w:tc>
          <w:tcPr>
            <w:tcW w:w="910" w:type="dxa"/>
            <w:shd w:val="clear" w:color="auto" w:fill="C5E0B3"/>
            <w:noWrap/>
          </w:tcPr>
          <w:p w14:paraId="422D0B2D" w14:textId="34674DC9" w:rsidR="00B0668B" w:rsidRPr="0085393E" w:rsidRDefault="00B0668B" w:rsidP="00B0668B">
            <w:pPr>
              <w:pStyle w:val="Tabele"/>
              <w:jc w:val="right"/>
              <w:rPr>
                <w:color w:val="000000"/>
                <w:szCs w:val="16"/>
              </w:rPr>
            </w:pPr>
            <w:r>
              <w:rPr>
                <w:color w:val="000000"/>
                <w:szCs w:val="16"/>
              </w:rPr>
              <w:t>67</w:t>
            </w:r>
          </w:p>
        </w:tc>
        <w:tc>
          <w:tcPr>
            <w:tcW w:w="910" w:type="dxa"/>
            <w:shd w:val="clear" w:color="auto" w:fill="C5E0B3"/>
            <w:noWrap/>
          </w:tcPr>
          <w:p w14:paraId="551286B4" w14:textId="36633889" w:rsidR="00B0668B" w:rsidRPr="0085393E" w:rsidRDefault="00B0668B" w:rsidP="00B0668B">
            <w:pPr>
              <w:pStyle w:val="Tabele"/>
              <w:jc w:val="right"/>
              <w:rPr>
                <w:color w:val="000000"/>
                <w:szCs w:val="16"/>
              </w:rPr>
            </w:pPr>
            <w:r>
              <w:rPr>
                <w:color w:val="000000"/>
                <w:szCs w:val="16"/>
              </w:rPr>
              <w:t>58</w:t>
            </w:r>
          </w:p>
        </w:tc>
        <w:tc>
          <w:tcPr>
            <w:tcW w:w="912" w:type="dxa"/>
            <w:shd w:val="clear" w:color="auto" w:fill="C5E0B3"/>
            <w:noWrap/>
          </w:tcPr>
          <w:p w14:paraId="42C67A90" w14:textId="249F01BA" w:rsidR="00B0668B" w:rsidRPr="0085393E" w:rsidRDefault="00B0668B" w:rsidP="00B0668B">
            <w:pPr>
              <w:pStyle w:val="Tabele"/>
              <w:jc w:val="right"/>
              <w:rPr>
                <w:color w:val="000000"/>
                <w:szCs w:val="16"/>
              </w:rPr>
            </w:pPr>
            <w:r>
              <w:rPr>
                <w:color w:val="000000"/>
                <w:szCs w:val="16"/>
              </w:rPr>
              <w:t>46</w:t>
            </w:r>
          </w:p>
        </w:tc>
        <w:tc>
          <w:tcPr>
            <w:tcW w:w="910" w:type="dxa"/>
            <w:shd w:val="clear" w:color="auto" w:fill="C5E0B3"/>
            <w:noWrap/>
          </w:tcPr>
          <w:p w14:paraId="5358B19D" w14:textId="6762D248" w:rsidR="00B0668B" w:rsidRPr="0085393E" w:rsidRDefault="00B0668B" w:rsidP="00B0668B">
            <w:pPr>
              <w:pStyle w:val="Tabele"/>
              <w:jc w:val="right"/>
              <w:rPr>
                <w:color w:val="000000"/>
                <w:szCs w:val="16"/>
              </w:rPr>
            </w:pPr>
            <w:r>
              <w:rPr>
                <w:color w:val="000000"/>
                <w:szCs w:val="16"/>
              </w:rPr>
              <w:t>41</w:t>
            </w:r>
          </w:p>
        </w:tc>
        <w:tc>
          <w:tcPr>
            <w:tcW w:w="912" w:type="dxa"/>
            <w:noWrap/>
          </w:tcPr>
          <w:p w14:paraId="0CA2C2EF" w14:textId="46AD2084" w:rsidR="00B0668B" w:rsidRPr="0085393E" w:rsidRDefault="00B0668B" w:rsidP="00B0668B">
            <w:pPr>
              <w:pStyle w:val="Tabele"/>
              <w:jc w:val="right"/>
              <w:rPr>
                <w:color w:val="000000"/>
                <w:szCs w:val="16"/>
              </w:rPr>
            </w:pPr>
            <w:r>
              <w:rPr>
                <w:rFonts w:cs="Arial"/>
                <w:color w:val="000000"/>
                <w:szCs w:val="16"/>
              </w:rPr>
              <w:t>33</w:t>
            </w:r>
          </w:p>
        </w:tc>
        <w:tc>
          <w:tcPr>
            <w:tcW w:w="912" w:type="dxa"/>
            <w:noWrap/>
          </w:tcPr>
          <w:p w14:paraId="5B1CF7B4" w14:textId="7C65BB52" w:rsidR="00B0668B" w:rsidRPr="0085393E" w:rsidRDefault="00B0668B" w:rsidP="00B0668B">
            <w:pPr>
              <w:pStyle w:val="Tabele"/>
              <w:jc w:val="right"/>
              <w:rPr>
                <w:color w:val="000000"/>
                <w:szCs w:val="16"/>
              </w:rPr>
            </w:pPr>
            <w:r>
              <w:rPr>
                <w:rFonts w:cs="Arial"/>
                <w:color w:val="000000"/>
                <w:szCs w:val="16"/>
              </w:rPr>
              <w:t>26</w:t>
            </w:r>
          </w:p>
        </w:tc>
        <w:tc>
          <w:tcPr>
            <w:tcW w:w="912" w:type="dxa"/>
            <w:noWrap/>
          </w:tcPr>
          <w:p w14:paraId="0157AD08" w14:textId="7EABCB16" w:rsidR="00B0668B" w:rsidRPr="0085393E" w:rsidRDefault="00B0668B" w:rsidP="00B0668B">
            <w:pPr>
              <w:pStyle w:val="Tabele"/>
              <w:jc w:val="right"/>
              <w:rPr>
                <w:color w:val="000000"/>
                <w:szCs w:val="16"/>
              </w:rPr>
            </w:pPr>
            <w:r>
              <w:rPr>
                <w:rFonts w:cs="Arial"/>
                <w:color w:val="000000"/>
                <w:szCs w:val="16"/>
              </w:rPr>
              <w:t>21</w:t>
            </w:r>
          </w:p>
        </w:tc>
        <w:tc>
          <w:tcPr>
            <w:tcW w:w="765" w:type="dxa"/>
            <w:noWrap/>
          </w:tcPr>
          <w:p w14:paraId="1B95A9F4" w14:textId="1C0BD7D7" w:rsidR="00B0668B" w:rsidRPr="0085393E" w:rsidRDefault="00B0668B" w:rsidP="00B0668B">
            <w:pPr>
              <w:pStyle w:val="Tabele"/>
              <w:jc w:val="right"/>
              <w:rPr>
                <w:color w:val="000000"/>
                <w:szCs w:val="16"/>
              </w:rPr>
            </w:pPr>
            <w:r>
              <w:rPr>
                <w:rFonts w:cs="Arial"/>
                <w:color w:val="000000"/>
                <w:szCs w:val="16"/>
              </w:rPr>
              <w:t>19</w:t>
            </w:r>
          </w:p>
        </w:tc>
      </w:tr>
    </w:tbl>
    <w:p w14:paraId="54487D61" w14:textId="18C6E3D6" w:rsidR="005C4144" w:rsidRDefault="005C4144" w:rsidP="00C23C37">
      <w:pPr>
        <w:pStyle w:val="Legenda"/>
        <w:keepNext/>
      </w:pPr>
      <w:r w:rsidRPr="00DB48D3">
        <w:t>Źródło: Opracowanie własne ARE S</w:t>
      </w:r>
      <w:r>
        <w:t>.</w:t>
      </w:r>
      <w:r w:rsidRPr="00DB48D3">
        <w:t>A</w:t>
      </w:r>
      <w:r>
        <w:t>.</w:t>
      </w:r>
    </w:p>
    <w:p w14:paraId="7BFEC9D3" w14:textId="5447F920" w:rsidR="005C4144" w:rsidRPr="002B783F" w:rsidRDefault="005C4144" w:rsidP="005C4144">
      <w:r>
        <w:t>W tabeli (</w:t>
      </w:r>
      <w:r w:rsidR="00AA3C40">
        <w:fldChar w:fldCharType="begin"/>
      </w:r>
      <w:r w:rsidR="00AA3C40">
        <w:instrText xml:space="preserve"> REF _Ref195871455 \h </w:instrText>
      </w:r>
      <w:r w:rsidR="00AA3C40">
        <w:fldChar w:fldCharType="separate"/>
      </w:r>
      <w:r w:rsidR="00F27D6F">
        <w:t xml:space="preserve">Tabela </w:t>
      </w:r>
      <w:r w:rsidR="00F27D6F">
        <w:rPr>
          <w:noProof/>
        </w:rPr>
        <w:t>2</w:t>
      </w:r>
      <w:r w:rsidR="00F27D6F">
        <w:t>.</w:t>
      </w:r>
      <w:r w:rsidR="00F27D6F">
        <w:rPr>
          <w:noProof/>
        </w:rPr>
        <w:t>6</w:t>
      </w:r>
      <w:r w:rsidR="00AA3C40">
        <w:fldChar w:fldCharType="end"/>
      </w:r>
      <w:r>
        <w:t xml:space="preserve">) </w:t>
      </w:r>
      <w:r w:rsidR="002C707C">
        <w:t xml:space="preserve">zaprezentowano wskaźnik intensywności zużycia energii pierwotnej w kraju na mieszkańca. W 2020 r. wynosi on 2,72 toe/Ma i zgodnie z prognozą ulega on obniżeniu do 2,31 </w:t>
      </w:r>
      <w:r w:rsidR="007424CD" w:rsidRPr="007B1CFD">
        <w:t>toe/Ma</w:t>
      </w:r>
      <w:r w:rsidR="002C707C" w:rsidRPr="007B1CFD">
        <w:t xml:space="preserve"> </w:t>
      </w:r>
      <w:r w:rsidR="002C707C">
        <w:t>do 2030 r. i </w:t>
      </w:r>
      <w:r w:rsidR="007B1CFD" w:rsidRPr="007B1CFD">
        <w:t>2,12</w:t>
      </w:r>
      <w:r w:rsidR="007424CD" w:rsidRPr="007424CD">
        <w:t xml:space="preserve"> </w:t>
      </w:r>
      <w:r w:rsidR="007424CD" w:rsidRPr="007B1CFD">
        <w:t>toe/Ma</w:t>
      </w:r>
      <w:r w:rsidR="00072647">
        <w:t xml:space="preserve"> </w:t>
      </w:r>
      <w:r w:rsidR="002C707C" w:rsidRPr="007B1CFD">
        <w:t>do 20</w:t>
      </w:r>
      <w:r w:rsidR="00742847" w:rsidRPr="007B1CFD">
        <w:t>4</w:t>
      </w:r>
      <w:r w:rsidR="002C707C" w:rsidRPr="007B1CFD">
        <w:t>0 r.</w:t>
      </w:r>
    </w:p>
    <w:p w14:paraId="7891B0D0" w14:textId="4E62A736" w:rsidR="005C4144" w:rsidRPr="00593894" w:rsidRDefault="005C4144" w:rsidP="005C4144">
      <w:pPr>
        <w:pStyle w:val="Legenda"/>
      </w:pPr>
      <w:bookmarkStart w:id="320" w:name="_Ref167820401"/>
      <w:bookmarkStart w:id="321" w:name="_Ref195871455"/>
      <w:bookmarkStart w:id="322" w:name="_Toc171587194"/>
      <w:bookmarkStart w:id="323" w:name="_Toc174710978"/>
      <w:bookmarkStart w:id="324" w:name="_Toc202966981"/>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6</w:t>
      </w:r>
      <w:r w:rsidR="00653D9A">
        <w:rPr>
          <w:noProof/>
        </w:rPr>
        <w:fldChar w:fldCharType="end"/>
      </w:r>
      <w:bookmarkEnd w:id="314"/>
      <w:bookmarkEnd w:id="320"/>
      <w:bookmarkEnd w:id="321"/>
      <w:r>
        <w:t xml:space="preserve">. </w:t>
      </w:r>
      <w:r w:rsidRPr="00593894">
        <w:t>Wskaźniki intensywności zużycia energii pierwotnej [toe/</w:t>
      </w:r>
      <w:r>
        <w:t>Ma</w:t>
      </w:r>
      <w:r w:rsidRPr="00593894">
        <w:t>]</w:t>
      </w:r>
      <w:bookmarkEnd w:id="322"/>
      <w:bookmarkEnd w:id="323"/>
      <w:bookmarkEnd w:id="324"/>
    </w:p>
    <w:tbl>
      <w:tblPr>
        <w:tblStyle w:val="KPEiK"/>
        <w:tblW w:w="5000" w:type="pct"/>
        <w:tblLayout w:type="fixed"/>
        <w:tblLook w:val="04A0" w:firstRow="1" w:lastRow="0" w:firstColumn="1" w:lastColumn="0" w:noHBand="0" w:noVBand="1"/>
      </w:tblPr>
      <w:tblGrid>
        <w:gridCol w:w="1661"/>
        <w:gridCol w:w="925"/>
        <w:gridCol w:w="925"/>
        <w:gridCol w:w="925"/>
        <w:gridCol w:w="925"/>
        <w:gridCol w:w="926"/>
        <w:gridCol w:w="925"/>
        <w:gridCol w:w="925"/>
        <w:gridCol w:w="925"/>
      </w:tblGrid>
      <w:tr w:rsidR="005F5364" w:rsidRPr="00DB48D3" w14:paraId="7AC60422" w14:textId="77777777" w:rsidTr="005F5364">
        <w:trPr>
          <w:cnfStyle w:val="100000000000" w:firstRow="1" w:lastRow="0" w:firstColumn="0" w:lastColumn="0" w:oddVBand="0" w:evenVBand="0" w:oddHBand="0" w:evenHBand="0" w:firstRowFirstColumn="0" w:firstRowLastColumn="0" w:lastRowFirstColumn="0" w:lastRowLastColumn="0"/>
          <w:trHeight w:val="314"/>
          <w:tblHeader/>
        </w:trPr>
        <w:tc>
          <w:tcPr>
            <w:tcW w:w="1674" w:type="dxa"/>
            <w:noWrap/>
            <w:hideMark/>
          </w:tcPr>
          <w:p w14:paraId="5698A3F7" w14:textId="77777777" w:rsidR="005F5364" w:rsidRPr="00DB48D3" w:rsidRDefault="005F5364">
            <w:pPr>
              <w:pStyle w:val="Tabele"/>
              <w:jc w:val="center"/>
            </w:pPr>
          </w:p>
        </w:tc>
        <w:tc>
          <w:tcPr>
            <w:tcW w:w="932" w:type="dxa"/>
            <w:hideMark/>
          </w:tcPr>
          <w:p w14:paraId="38D717CB" w14:textId="77777777" w:rsidR="005F5364" w:rsidRPr="00DB48D3" w:rsidRDefault="005F5364">
            <w:pPr>
              <w:pStyle w:val="Tabele"/>
              <w:jc w:val="center"/>
              <w:rPr>
                <w:bCs/>
              </w:rPr>
            </w:pPr>
            <w:r w:rsidRPr="00DB48D3">
              <w:rPr>
                <w:bCs/>
              </w:rPr>
              <w:t>2005</w:t>
            </w:r>
          </w:p>
        </w:tc>
        <w:tc>
          <w:tcPr>
            <w:tcW w:w="932" w:type="dxa"/>
            <w:hideMark/>
          </w:tcPr>
          <w:p w14:paraId="2EB89127" w14:textId="77777777" w:rsidR="005F5364" w:rsidRPr="00DB48D3" w:rsidRDefault="005F5364">
            <w:pPr>
              <w:pStyle w:val="Tabele"/>
              <w:jc w:val="center"/>
              <w:rPr>
                <w:bCs/>
              </w:rPr>
            </w:pPr>
            <w:r w:rsidRPr="00DB48D3">
              <w:rPr>
                <w:bCs/>
              </w:rPr>
              <w:t>2010</w:t>
            </w:r>
          </w:p>
        </w:tc>
        <w:tc>
          <w:tcPr>
            <w:tcW w:w="932" w:type="dxa"/>
            <w:hideMark/>
          </w:tcPr>
          <w:p w14:paraId="79A546CD" w14:textId="77777777" w:rsidR="005F5364" w:rsidRPr="00DB48D3" w:rsidRDefault="005F5364">
            <w:pPr>
              <w:pStyle w:val="Tabele"/>
              <w:jc w:val="center"/>
              <w:rPr>
                <w:bCs/>
              </w:rPr>
            </w:pPr>
            <w:r w:rsidRPr="00DB48D3">
              <w:rPr>
                <w:bCs/>
              </w:rPr>
              <w:t>2015</w:t>
            </w:r>
          </w:p>
        </w:tc>
        <w:tc>
          <w:tcPr>
            <w:tcW w:w="932" w:type="dxa"/>
            <w:hideMark/>
          </w:tcPr>
          <w:p w14:paraId="549A2B2B" w14:textId="77777777" w:rsidR="005F5364" w:rsidRPr="00DB48D3" w:rsidRDefault="005F5364">
            <w:pPr>
              <w:pStyle w:val="Tabele"/>
              <w:jc w:val="center"/>
              <w:rPr>
                <w:bCs/>
              </w:rPr>
            </w:pPr>
            <w:r w:rsidRPr="00DB48D3">
              <w:rPr>
                <w:bCs/>
              </w:rPr>
              <w:t>2020</w:t>
            </w:r>
          </w:p>
        </w:tc>
        <w:tc>
          <w:tcPr>
            <w:tcW w:w="933" w:type="dxa"/>
            <w:hideMark/>
          </w:tcPr>
          <w:p w14:paraId="397704D6" w14:textId="77777777" w:rsidR="005F5364" w:rsidRPr="00DB48D3" w:rsidRDefault="005F5364">
            <w:pPr>
              <w:pStyle w:val="Tabele"/>
              <w:jc w:val="center"/>
              <w:rPr>
                <w:bCs/>
              </w:rPr>
            </w:pPr>
            <w:r w:rsidRPr="00DB48D3">
              <w:rPr>
                <w:bCs/>
              </w:rPr>
              <w:t>2025</w:t>
            </w:r>
          </w:p>
        </w:tc>
        <w:tc>
          <w:tcPr>
            <w:tcW w:w="932" w:type="dxa"/>
            <w:hideMark/>
          </w:tcPr>
          <w:p w14:paraId="26015505" w14:textId="77777777" w:rsidR="005F5364" w:rsidRPr="00DB48D3" w:rsidRDefault="005F5364">
            <w:pPr>
              <w:pStyle w:val="Tabele"/>
              <w:jc w:val="center"/>
              <w:rPr>
                <w:bCs/>
              </w:rPr>
            </w:pPr>
            <w:r w:rsidRPr="00DB48D3">
              <w:rPr>
                <w:bCs/>
              </w:rPr>
              <w:t>2030</w:t>
            </w:r>
          </w:p>
        </w:tc>
        <w:tc>
          <w:tcPr>
            <w:tcW w:w="932" w:type="dxa"/>
          </w:tcPr>
          <w:p w14:paraId="1C275B0A" w14:textId="77777777" w:rsidR="005F5364" w:rsidRPr="00DB48D3" w:rsidRDefault="005F5364">
            <w:pPr>
              <w:pStyle w:val="Tabele"/>
              <w:jc w:val="center"/>
              <w:rPr>
                <w:bCs/>
              </w:rPr>
            </w:pPr>
            <w:r w:rsidRPr="00DB48D3">
              <w:rPr>
                <w:bCs/>
              </w:rPr>
              <w:t>2035</w:t>
            </w:r>
          </w:p>
        </w:tc>
        <w:tc>
          <w:tcPr>
            <w:tcW w:w="932" w:type="dxa"/>
          </w:tcPr>
          <w:p w14:paraId="2CDC4748" w14:textId="77777777" w:rsidR="005F5364" w:rsidRPr="00DB48D3" w:rsidRDefault="005F5364">
            <w:pPr>
              <w:pStyle w:val="Tabele"/>
              <w:jc w:val="center"/>
              <w:rPr>
                <w:bCs/>
              </w:rPr>
            </w:pPr>
            <w:r w:rsidRPr="00DB48D3">
              <w:rPr>
                <w:bCs/>
              </w:rPr>
              <w:t>2040</w:t>
            </w:r>
          </w:p>
        </w:tc>
      </w:tr>
      <w:tr w:rsidR="005F5364" w:rsidRPr="00DB48D3" w14:paraId="16DFEA53" w14:textId="77777777" w:rsidTr="005F5364">
        <w:trPr>
          <w:trHeight w:val="314"/>
        </w:trPr>
        <w:tc>
          <w:tcPr>
            <w:tcW w:w="1674" w:type="dxa"/>
            <w:hideMark/>
          </w:tcPr>
          <w:p w14:paraId="19999805" w14:textId="77777777" w:rsidR="005F5364" w:rsidRPr="005F5364" w:rsidRDefault="005F5364">
            <w:pPr>
              <w:pStyle w:val="Tabele"/>
              <w:rPr>
                <w:b/>
                <w:bCs/>
                <w:color w:val="auto"/>
              </w:rPr>
            </w:pPr>
            <w:r w:rsidRPr="005F5364">
              <w:rPr>
                <w:b/>
                <w:bCs/>
                <w:color w:val="auto"/>
              </w:rPr>
              <w:t>Ogółem kraj</w:t>
            </w:r>
          </w:p>
        </w:tc>
        <w:tc>
          <w:tcPr>
            <w:tcW w:w="932" w:type="dxa"/>
            <w:shd w:val="clear" w:color="auto" w:fill="C5E0B3"/>
            <w:noWrap/>
            <w:vAlign w:val="top"/>
            <w:hideMark/>
          </w:tcPr>
          <w:p w14:paraId="3469C179" w14:textId="77777777" w:rsidR="005F5364" w:rsidRPr="005F5364" w:rsidRDefault="005F5364">
            <w:pPr>
              <w:pStyle w:val="Tabele"/>
              <w:jc w:val="right"/>
              <w:rPr>
                <w:color w:val="auto"/>
              </w:rPr>
            </w:pPr>
            <w:r w:rsidRPr="005F5364">
              <w:rPr>
                <w:color w:val="auto"/>
                <w:szCs w:val="16"/>
              </w:rPr>
              <w:t>2,44</w:t>
            </w:r>
          </w:p>
        </w:tc>
        <w:tc>
          <w:tcPr>
            <w:tcW w:w="932" w:type="dxa"/>
            <w:shd w:val="clear" w:color="auto" w:fill="C5E0B3"/>
            <w:noWrap/>
            <w:vAlign w:val="top"/>
            <w:hideMark/>
          </w:tcPr>
          <w:p w14:paraId="583007A3" w14:textId="77777777" w:rsidR="005F5364" w:rsidRPr="005F5364" w:rsidRDefault="005F5364">
            <w:pPr>
              <w:pStyle w:val="Tabele"/>
              <w:jc w:val="right"/>
              <w:rPr>
                <w:color w:val="auto"/>
              </w:rPr>
            </w:pPr>
            <w:r w:rsidRPr="005F5364">
              <w:rPr>
                <w:color w:val="auto"/>
                <w:szCs w:val="16"/>
              </w:rPr>
              <w:t>2,67</w:t>
            </w:r>
          </w:p>
        </w:tc>
        <w:tc>
          <w:tcPr>
            <w:tcW w:w="932" w:type="dxa"/>
            <w:shd w:val="clear" w:color="auto" w:fill="C5E0B3"/>
            <w:noWrap/>
            <w:vAlign w:val="top"/>
            <w:hideMark/>
          </w:tcPr>
          <w:p w14:paraId="45A1D966" w14:textId="77777777" w:rsidR="005F5364" w:rsidRPr="005F5364" w:rsidRDefault="005F5364">
            <w:pPr>
              <w:pStyle w:val="Tabele"/>
              <w:jc w:val="right"/>
              <w:rPr>
                <w:color w:val="auto"/>
              </w:rPr>
            </w:pPr>
            <w:r w:rsidRPr="005F5364">
              <w:rPr>
                <w:color w:val="auto"/>
                <w:szCs w:val="16"/>
              </w:rPr>
              <w:t>2,53</w:t>
            </w:r>
          </w:p>
        </w:tc>
        <w:tc>
          <w:tcPr>
            <w:tcW w:w="932" w:type="dxa"/>
            <w:shd w:val="clear" w:color="auto" w:fill="C5E0B3"/>
            <w:noWrap/>
            <w:vAlign w:val="top"/>
            <w:hideMark/>
          </w:tcPr>
          <w:p w14:paraId="6D1DE815" w14:textId="77777777" w:rsidR="005F5364" w:rsidRPr="005F5364" w:rsidRDefault="005F5364">
            <w:pPr>
              <w:pStyle w:val="Tabele"/>
              <w:jc w:val="right"/>
              <w:rPr>
                <w:color w:val="auto"/>
              </w:rPr>
            </w:pPr>
            <w:r w:rsidRPr="005F5364">
              <w:rPr>
                <w:color w:val="auto"/>
                <w:szCs w:val="16"/>
              </w:rPr>
              <w:t>2,72</w:t>
            </w:r>
          </w:p>
        </w:tc>
        <w:tc>
          <w:tcPr>
            <w:tcW w:w="933" w:type="dxa"/>
            <w:noWrap/>
            <w:hideMark/>
          </w:tcPr>
          <w:p w14:paraId="2F5D5927" w14:textId="77777777" w:rsidR="005F5364" w:rsidRPr="005F5364" w:rsidRDefault="005F5364">
            <w:pPr>
              <w:pStyle w:val="Tabele"/>
              <w:jc w:val="right"/>
              <w:rPr>
                <w:color w:val="auto"/>
              </w:rPr>
            </w:pPr>
            <w:r w:rsidRPr="005F5364">
              <w:rPr>
                <w:color w:val="auto"/>
                <w:szCs w:val="16"/>
              </w:rPr>
              <w:t>2,62</w:t>
            </w:r>
          </w:p>
        </w:tc>
        <w:tc>
          <w:tcPr>
            <w:tcW w:w="932" w:type="dxa"/>
            <w:noWrap/>
            <w:hideMark/>
          </w:tcPr>
          <w:p w14:paraId="2B31F9D2" w14:textId="77777777" w:rsidR="005F5364" w:rsidRPr="005F5364" w:rsidRDefault="005F5364">
            <w:pPr>
              <w:pStyle w:val="Tabele"/>
              <w:jc w:val="right"/>
              <w:rPr>
                <w:color w:val="auto"/>
              </w:rPr>
            </w:pPr>
            <w:r w:rsidRPr="005F5364">
              <w:rPr>
                <w:color w:val="auto"/>
                <w:szCs w:val="16"/>
              </w:rPr>
              <w:t>2,31</w:t>
            </w:r>
          </w:p>
        </w:tc>
        <w:tc>
          <w:tcPr>
            <w:tcW w:w="932" w:type="dxa"/>
          </w:tcPr>
          <w:p w14:paraId="3749C029" w14:textId="77777777" w:rsidR="005F5364" w:rsidRPr="005F5364" w:rsidRDefault="005F5364">
            <w:pPr>
              <w:pStyle w:val="Tabele"/>
              <w:jc w:val="right"/>
              <w:rPr>
                <w:color w:val="auto"/>
              </w:rPr>
            </w:pPr>
            <w:r w:rsidRPr="005F5364">
              <w:rPr>
                <w:color w:val="auto"/>
                <w:szCs w:val="16"/>
              </w:rPr>
              <w:t>2,12</w:t>
            </w:r>
          </w:p>
        </w:tc>
        <w:tc>
          <w:tcPr>
            <w:tcW w:w="932" w:type="dxa"/>
          </w:tcPr>
          <w:p w14:paraId="235DBAB1" w14:textId="77777777" w:rsidR="005F5364" w:rsidRPr="005F5364" w:rsidRDefault="005F5364">
            <w:pPr>
              <w:pStyle w:val="Tabele"/>
              <w:jc w:val="right"/>
              <w:rPr>
                <w:color w:val="auto"/>
              </w:rPr>
            </w:pPr>
            <w:r w:rsidRPr="005F5364">
              <w:rPr>
                <w:color w:val="auto"/>
                <w:szCs w:val="16"/>
              </w:rPr>
              <w:t>2,12</w:t>
            </w:r>
          </w:p>
        </w:tc>
      </w:tr>
    </w:tbl>
    <w:p w14:paraId="056BC3D8" w14:textId="2E52D498" w:rsidR="005C4144" w:rsidRDefault="005C4144" w:rsidP="005F5364">
      <w:pPr>
        <w:pStyle w:val="Legenda"/>
      </w:pPr>
      <w:r w:rsidRPr="00DB48D3">
        <w:t>Źródło: Opracowanie własne ARE S</w:t>
      </w:r>
      <w:r>
        <w:t>.</w:t>
      </w:r>
      <w:r w:rsidRPr="00DB48D3">
        <w:t>A</w:t>
      </w:r>
      <w:r>
        <w:t>.</w:t>
      </w:r>
    </w:p>
    <w:p w14:paraId="1244D82A" w14:textId="77777777" w:rsidR="005C4144" w:rsidRPr="00DB5D89" w:rsidRDefault="005C4144" w:rsidP="00797A1F">
      <w:pPr>
        <w:pStyle w:val="Nagwek2"/>
      </w:pPr>
      <w:bookmarkStart w:id="325" w:name="_Toc171587322"/>
      <w:bookmarkStart w:id="326" w:name="_Toc174710896"/>
      <w:bookmarkStart w:id="327" w:name="_Toc202966889"/>
      <w:r>
        <w:t>Intensywność zużycia energii finalnej</w:t>
      </w:r>
      <w:bookmarkEnd w:id="325"/>
      <w:bookmarkEnd w:id="326"/>
      <w:bookmarkEnd w:id="327"/>
    </w:p>
    <w:p w14:paraId="76257A8D" w14:textId="2DD175D6" w:rsidR="005C4144" w:rsidRPr="00DB48D3" w:rsidRDefault="005C4144" w:rsidP="005C4144">
      <w:pPr>
        <w:spacing w:after="120"/>
      </w:pPr>
      <w:bookmarkStart w:id="328" w:name="_Ref156558232"/>
      <w:r>
        <w:t>W tabeli (</w:t>
      </w:r>
      <w:r w:rsidR="0004394B">
        <w:fldChar w:fldCharType="begin"/>
      </w:r>
      <w:r w:rsidR="0004394B">
        <w:instrText xml:space="preserve"> REF _Ref195871477 \h </w:instrText>
      </w:r>
      <w:r w:rsidR="0004394B">
        <w:fldChar w:fldCharType="separate"/>
      </w:r>
      <w:r w:rsidR="00F27D6F">
        <w:t xml:space="preserve">Tabela </w:t>
      </w:r>
      <w:r w:rsidR="00F27D6F">
        <w:rPr>
          <w:noProof/>
        </w:rPr>
        <w:t>2</w:t>
      </w:r>
      <w:r w:rsidR="00F27D6F">
        <w:t>.</w:t>
      </w:r>
      <w:r w:rsidR="00F27D6F">
        <w:rPr>
          <w:noProof/>
        </w:rPr>
        <w:t>7</w:t>
      </w:r>
      <w:r w:rsidR="0004394B">
        <w:fldChar w:fldCharType="end"/>
      </w:r>
      <w:r>
        <w:t xml:space="preserve">) </w:t>
      </w:r>
      <w:r w:rsidR="001F75C5">
        <w:t>przedstawiono</w:t>
      </w:r>
      <w:r w:rsidR="001F75C5" w:rsidRPr="00DB48D3">
        <w:t xml:space="preserve"> wskaźniki intensywności zużycia energii finalnej</w:t>
      </w:r>
      <w:r w:rsidR="001F75C5">
        <w:t xml:space="preserve"> w </w:t>
      </w:r>
      <w:r w:rsidR="001F75C5" w:rsidRPr="00DB48D3">
        <w:t>podziale na sektory. Zgodnie</w:t>
      </w:r>
      <w:r w:rsidR="001F75C5">
        <w:t xml:space="preserve"> z </w:t>
      </w:r>
      <w:r w:rsidR="001F75C5" w:rsidRPr="00DB48D3">
        <w:t xml:space="preserve">zaprezentowanymi danymi, wskaźniki </w:t>
      </w:r>
      <w:r w:rsidR="001F75C5">
        <w:t>te ulegają stopniowej poprawie w </w:t>
      </w:r>
      <w:r w:rsidR="001F75C5" w:rsidRPr="00DB48D3">
        <w:t xml:space="preserve">rozpatrywanym horyzoncie czasowym we wszystkich sektorach gospodarki krajowej. </w:t>
      </w:r>
      <w:r w:rsidR="001F75C5">
        <w:t xml:space="preserve">Znaczące podniesienie wskaźnika intensywności zużycia energii w sektorze </w:t>
      </w:r>
      <w:r w:rsidR="001F75C5" w:rsidRPr="00DB48D3">
        <w:t xml:space="preserve">transportu, </w:t>
      </w:r>
      <w:r w:rsidR="001F75C5">
        <w:t>jakie jest widoczne w okresie 2015-2020, wynika z korekty statystycznej zużycia paliw w tym sektorze</w:t>
      </w:r>
      <w:r w:rsidR="001F75C5" w:rsidRPr="00DB48D3">
        <w:t xml:space="preserve"> na skutek wprowadzenia</w:t>
      </w:r>
      <w:r w:rsidR="001F75C5">
        <w:t xml:space="preserve"> z </w:t>
      </w:r>
      <w:r w:rsidR="001F75C5" w:rsidRPr="00DB48D3">
        <w:t>dniem 1 lipca 2016</w:t>
      </w:r>
      <w:r w:rsidR="001F75C5">
        <w:t> r.</w:t>
      </w:r>
      <w:r w:rsidR="001F75C5" w:rsidRPr="00DB48D3">
        <w:t xml:space="preserve"> tzw. pakietu paliwowego</w:t>
      </w:r>
      <w:r w:rsidR="001F75C5">
        <w:t>. W jego konsekwencji ujawnione zostały dodatkowe wolumeny zużycia paliw w wyniki likwidacji tzw. szarej strefy w obrocie paliwami.</w:t>
      </w:r>
    </w:p>
    <w:p w14:paraId="16DB7560" w14:textId="7F796CC2" w:rsidR="005C4144" w:rsidRPr="00DB48D3" w:rsidRDefault="005C4144" w:rsidP="005C4144">
      <w:pPr>
        <w:pStyle w:val="Legenda"/>
      </w:pPr>
      <w:bookmarkStart w:id="329" w:name="_Ref158371858"/>
      <w:bookmarkStart w:id="330" w:name="_Ref195871477"/>
      <w:bookmarkStart w:id="331" w:name="_Toc171587195"/>
      <w:bookmarkStart w:id="332" w:name="_Toc174710979"/>
      <w:bookmarkStart w:id="333" w:name="_Toc202966982"/>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7</w:t>
      </w:r>
      <w:r w:rsidR="00653D9A">
        <w:rPr>
          <w:noProof/>
        </w:rPr>
        <w:fldChar w:fldCharType="end"/>
      </w:r>
      <w:bookmarkEnd w:id="328"/>
      <w:bookmarkEnd w:id="329"/>
      <w:bookmarkEnd w:id="330"/>
      <w:r>
        <w:t xml:space="preserve">. </w:t>
      </w:r>
      <w:r w:rsidRPr="00DB48D3">
        <w:t>Wskaźniki intensywności zużycia energii finalnej</w:t>
      </w:r>
      <w:r>
        <w:t xml:space="preserve"> w </w:t>
      </w:r>
      <w:r w:rsidRPr="00DB48D3">
        <w:t>podziale na sektory [toe/mln EUR’20</w:t>
      </w:r>
      <w:r>
        <w:t>2</w:t>
      </w:r>
      <w:r w:rsidR="009A4D09">
        <w:t>4</w:t>
      </w:r>
      <w:r w:rsidRPr="00DB48D3">
        <w:t>]</w:t>
      </w:r>
      <w:bookmarkEnd w:id="331"/>
      <w:bookmarkEnd w:id="332"/>
      <w:bookmarkEnd w:id="333"/>
    </w:p>
    <w:tbl>
      <w:tblPr>
        <w:tblStyle w:val="KPEiK"/>
        <w:tblW w:w="4989" w:type="pct"/>
        <w:tblLayout w:type="fixed"/>
        <w:tblLook w:val="04A0" w:firstRow="1" w:lastRow="0" w:firstColumn="1" w:lastColumn="0" w:noHBand="0" w:noVBand="1"/>
      </w:tblPr>
      <w:tblGrid>
        <w:gridCol w:w="2183"/>
        <w:gridCol w:w="857"/>
        <w:gridCol w:w="857"/>
        <w:gridCol w:w="858"/>
        <w:gridCol w:w="857"/>
        <w:gridCol w:w="858"/>
        <w:gridCol w:w="857"/>
        <w:gridCol w:w="857"/>
        <w:gridCol w:w="858"/>
      </w:tblGrid>
      <w:tr w:rsidR="00317ECB" w:rsidRPr="00DB48D3" w14:paraId="4B1A80B2" w14:textId="77777777" w:rsidTr="00317ECB">
        <w:trPr>
          <w:cnfStyle w:val="100000000000" w:firstRow="1" w:lastRow="0" w:firstColumn="0" w:lastColumn="0" w:oddVBand="0" w:evenVBand="0" w:oddHBand="0" w:evenHBand="0" w:firstRowFirstColumn="0" w:firstRowLastColumn="0" w:lastRowFirstColumn="0" w:lastRowLastColumn="0"/>
          <w:trHeight w:val="229"/>
          <w:tblHeader/>
        </w:trPr>
        <w:tc>
          <w:tcPr>
            <w:tcW w:w="2183" w:type="dxa"/>
            <w:noWrap/>
            <w:hideMark/>
          </w:tcPr>
          <w:p w14:paraId="6A2F9C41" w14:textId="77777777" w:rsidR="00317ECB" w:rsidRPr="00DB48D3" w:rsidRDefault="00317ECB">
            <w:pPr>
              <w:pStyle w:val="Tabele"/>
              <w:jc w:val="center"/>
            </w:pPr>
          </w:p>
        </w:tc>
        <w:tc>
          <w:tcPr>
            <w:tcW w:w="857" w:type="dxa"/>
            <w:hideMark/>
          </w:tcPr>
          <w:p w14:paraId="3F8A4F4B" w14:textId="77777777" w:rsidR="00317ECB" w:rsidRPr="00DB48D3" w:rsidRDefault="00317ECB">
            <w:pPr>
              <w:pStyle w:val="Tabele"/>
              <w:jc w:val="center"/>
              <w:rPr>
                <w:bCs/>
              </w:rPr>
            </w:pPr>
            <w:r w:rsidRPr="00DB48D3">
              <w:rPr>
                <w:bCs/>
              </w:rPr>
              <w:t>2005</w:t>
            </w:r>
          </w:p>
        </w:tc>
        <w:tc>
          <w:tcPr>
            <w:tcW w:w="857" w:type="dxa"/>
            <w:hideMark/>
          </w:tcPr>
          <w:p w14:paraId="3810B661" w14:textId="77777777" w:rsidR="00317ECB" w:rsidRPr="00DB48D3" w:rsidRDefault="00317ECB">
            <w:pPr>
              <w:pStyle w:val="Tabele"/>
              <w:jc w:val="center"/>
              <w:rPr>
                <w:bCs/>
              </w:rPr>
            </w:pPr>
            <w:r w:rsidRPr="00DB48D3">
              <w:rPr>
                <w:bCs/>
              </w:rPr>
              <w:t>2010</w:t>
            </w:r>
          </w:p>
        </w:tc>
        <w:tc>
          <w:tcPr>
            <w:tcW w:w="858" w:type="dxa"/>
            <w:hideMark/>
          </w:tcPr>
          <w:p w14:paraId="743181AD" w14:textId="77777777" w:rsidR="00317ECB" w:rsidRPr="00DB48D3" w:rsidRDefault="00317ECB">
            <w:pPr>
              <w:pStyle w:val="Tabele"/>
              <w:jc w:val="center"/>
              <w:rPr>
                <w:bCs/>
              </w:rPr>
            </w:pPr>
            <w:r w:rsidRPr="00DB48D3">
              <w:rPr>
                <w:bCs/>
              </w:rPr>
              <w:t>2015</w:t>
            </w:r>
          </w:p>
        </w:tc>
        <w:tc>
          <w:tcPr>
            <w:tcW w:w="857" w:type="dxa"/>
            <w:hideMark/>
          </w:tcPr>
          <w:p w14:paraId="2A48ACE8" w14:textId="77777777" w:rsidR="00317ECB" w:rsidRPr="00DB48D3" w:rsidRDefault="00317ECB">
            <w:pPr>
              <w:pStyle w:val="Tabele"/>
              <w:jc w:val="center"/>
              <w:rPr>
                <w:bCs/>
              </w:rPr>
            </w:pPr>
            <w:r w:rsidRPr="00DB48D3">
              <w:rPr>
                <w:bCs/>
              </w:rPr>
              <w:t>2020</w:t>
            </w:r>
          </w:p>
        </w:tc>
        <w:tc>
          <w:tcPr>
            <w:tcW w:w="858" w:type="dxa"/>
            <w:hideMark/>
          </w:tcPr>
          <w:p w14:paraId="411DF8DA" w14:textId="77777777" w:rsidR="00317ECB" w:rsidRPr="00DB48D3" w:rsidRDefault="00317ECB">
            <w:pPr>
              <w:pStyle w:val="Tabele"/>
              <w:jc w:val="center"/>
              <w:rPr>
                <w:bCs/>
              </w:rPr>
            </w:pPr>
            <w:r w:rsidRPr="00DB48D3">
              <w:rPr>
                <w:bCs/>
              </w:rPr>
              <w:t>2025</w:t>
            </w:r>
          </w:p>
        </w:tc>
        <w:tc>
          <w:tcPr>
            <w:tcW w:w="857" w:type="dxa"/>
            <w:hideMark/>
          </w:tcPr>
          <w:p w14:paraId="35E0A25B" w14:textId="77777777" w:rsidR="00317ECB" w:rsidRPr="00DB48D3" w:rsidRDefault="00317ECB">
            <w:pPr>
              <w:pStyle w:val="Tabele"/>
              <w:jc w:val="center"/>
              <w:rPr>
                <w:bCs/>
              </w:rPr>
            </w:pPr>
            <w:r w:rsidRPr="00DB48D3">
              <w:rPr>
                <w:bCs/>
              </w:rPr>
              <w:t>2030</w:t>
            </w:r>
          </w:p>
        </w:tc>
        <w:tc>
          <w:tcPr>
            <w:tcW w:w="857" w:type="dxa"/>
            <w:hideMark/>
          </w:tcPr>
          <w:p w14:paraId="05C14AC3" w14:textId="77777777" w:rsidR="00317ECB" w:rsidRPr="00DB48D3" w:rsidRDefault="00317ECB">
            <w:pPr>
              <w:pStyle w:val="Tabele"/>
              <w:jc w:val="center"/>
              <w:rPr>
                <w:bCs/>
              </w:rPr>
            </w:pPr>
            <w:r w:rsidRPr="00DB48D3">
              <w:rPr>
                <w:bCs/>
              </w:rPr>
              <w:t>2035</w:t>
            </w:r>
          </w:p>
        </w:tc>
        <w:tc>
          <w:tcPr>
            <w:tcW w:w="858" w:type="dxa"/>
          </w:tcPr>
          <w:p w14:paraId="635DDC2D" w14:textId="77777777" w:rsidR="00317ECB" w:rsidRPr="00DB48D3" w:rsidRDefault="00317ECB">
            <w:pPr>
              <w:pStyle w:val="Tabele"/>
              <w:jc w:val="center"/>
              <w:rPr>
                <w:bCs/>
              </w:rPr>
            </w:pPr>
            <w:r>
              <w:rPr>
                <w:bCs/>
              </w:rPr>
              <w:t>2040</w:t>
            </w:r>
          </w:p>
        </w:tc>
      </w:tr>
      <w:tr w:rsidR="009A4D09" w:rsidRPr="00DB48D3" w14:paraId="587E59F1" w14:textId="77777777" w:rsidTr="00317ECB">
        <w:trPr>
          <w:trHeight w:val="229"/>
        </w:trPr>
        <w:tc>
          <w:tcPr>
            <w:tcW w:w="2183" w:type="dxa"/>
            <w:hideMark/>
          </w:tcPr>
          <w:p w14:paraId="52C7F917" w14:textId="77777777" w:rsidR="009A4D09" w:rsidRPr="00317ECB" w:rsidRDefault="009A4D09" w:rsidP="009A4D09">
            <w:pPr>
              <w:pStyle w:val="Tabele"/>
              <w:rPr>
                <w:b/>
                <w:bCs/>
                <w:color w:val="auto"/>
              </w:rPr>
            </w:pPr>
            <w:r w:rsidRPr="00317ECB">
              <w:rPr>
                <w:b/>
                <w:bCs/>
                <w:color w:val="auto"/>
              </w:rPr>
              <w:t>Ogółem kraj</w:t>
            </w:r>
          </w:p>
        </w:tc>
        <w:tc>
          <w:tcPr>
            <w:tcW w:w="857" w:type="dxa"/>
            <w:shd w:val="clear" w:color="auto" w:fill="C5E0B3"/>
            <w:noWrap/>
            <w:hideMark/>
          </w:tcPr>
          <w:p w14:paraId="5CABCBAF" w14:textId="798E50D1" w:rsidR="009A4D09" w:rsidRPr="009A4D09" w:rsidRDefault="009A4D09" w:rsidP="009A4D09">
            <w:pPr>
              <w:pStyle w:val="Tabele"/>
              <w:jc w:val="right"/>
              <w:rPr>
                <w:color w:val="auto"/>
              </w:rPr>
            </w:pPr>
            <w:r w:rsidRPr="009A4D09">
              <w:rPr>
                <w:color w:val="auto"/>
                <w:szCs w:val="16"/>
              </w:rPr>
              <w:t>179</w:t>
            </w:r>
          </w:p>
        </w:tc>
        <w:tc>
          <w:tcPr>
            <w:tcW w:w="857" w:type="dxa"/>
            <w:shd w:val="clear" w:color="auto" w:fill="C5E0B3"/>
            <w:noWrap/>
            <w:hideMark/>
          </w:tcPr>
          <w:p w14:paraId="45B1DABB" w14:textId="41E4C98F" w:rsidR="009A4D09" w:rsidRPr="009A4D09" w:rsidRDefault="009A4D09" w:rsidP="009A4D09">
            <w:pPr>
              <w:pStyle w:val="Tabele"/>
              <w:jc w:val="right"/>
              <w:rPr>
                <w:color w:val="auto"/>
              </w:rPr>
            </w:pPr>
            <w:r w:rsidRPr="009A4D09">
              <w:rPr>
                <w:color w:val="auto"/>
                <w:szCs w:val="16"/>
              </w:rPr>
              <w:t>162</w:t>
            </w:r>
          </w:p>
        </w:tc>
        <w:tc>
          <w:tcPr>
            <w:tcW w:w="858" w:type="dxa"/>
            <w:shd w:val="clear" w:color="auto" w:fill="C5E0B3"/>
            <w:noWrap/>
            <w:hideMark/>
          </w:tcPr>
          <w:p w14:paraId="53210FD3" w14:textId="2B8E37C5" w:rsidR="009A4D09" w:rsidRPr="009A4D09" w:rsidRDefault="009A4D09" w:rsidP="009A4D09">
            <w:pPr>
              <w:pStyle w:val="Tabele"/>
              <w:jc w:val="right"/>
              <w:rPr>
                <w:color w:val="auto"/>
              </w:rPr>
            </w:pPr>
            <w:r w:rsidRPr="009A4D09">
              <w:rPr>
                <w:color w:val="auto"/>
                <w:szCs w:val="16"/>
              </w:rPr>
              <w:t>129</w:t>
            </w:r>
          </w:p>
        </w:tc>
        <w:tc>
          <w:tcPr>
            <w:tcW w:w="857" w:type="dxa"/>
            <w:shd w:val="clear" w:color="auto" w:fill="C5E0B3"/>
            <w:noWrap/>
            <w:hideMark/>
          </w:tcPr>
          <w:p w14:paraId="3668EDF7" w14:textId="79F9B1D4" w:rsidR="009A4D09" w:rsidRPr="009A4D09" w:rsidRDefault="009A4D09" w:rsidP="009A4D09">
            <w:pPr>
              <w:pStyle w:val="Tabele"/>
              <w:jc w:val="right"/>
              <w:rPr>
                <w:color w:val="auto"/>
              </w:rPr>
            </w:pPr>
            <w:r w:rsidRPr="009A4D09">
              <w:rPr>
                <w:color w:val="auto"/>
                <w:szCs w:val="16"/>
              </w:rPr>
              <w:t>135</w:t>
            </w:r>
          </w:p>
        </w:tc>
        <w:tc>
          <w:tcPr>
            <w:tcW w:w="858" w:type="dxa"/>
            <w:noWrap/>
            <w:hideMark/>
          </w:tcPr>
          <w:p w14:paraId="727DEE2D" w14:textId="49460787" w:rsidR="009A4D09" w:rsidRPr="009A4D09" w:rsidRDefault="009A4D09" w:rsidP="009A4D09">
            <w:pPr>
              <w:pStyle w:val="Tabele"/>
              <w:jc w:val="right"/>
              <w:rPr>
                <w:color w:val="auto"/>
              </w:rPr>
            </w:pPr>
            <w:r w:rsidRPr="009A4D09">
              <w:rPr>
                <w:rFonts w:cs="Arial"/>
                <w:color w:val="auto"/>
                <w:szCs w:val="16"/>
              </w:rPr>
              <w:t>112</w:t>
            </w:r>
          </w:p>
        </w:tc>
        <w:tc>
          <w:tcPr>
            <w:tcW w:w="857" w:type="dxa"/>
            <w:noWrap/>
            <w:hideMark/>
          </w:tcPr>
          <w:p w14:paraId="64271F32" w14:textId="50E48EB5" w:rsidR="009A4D09" w:rsidRPr="009A4D09" w:rsidRDefault="009A4D09" w:rsidP="009A4D09">
            <w:pPr>
              <w:pStyle w:val="Tabele"/>
              <w:jc w:val="right"/>
              <w:rPr>
                <w:color w:val="auto"/>
              </w:rPr>
            </w:pPr>
            <w:r w:rsidRPr="009A4D09">
              <w:rPr>
                <w:rFonts w:cs="Arial"/>
                <w:color w:val="auto"/>
                <w:szCs w:val="16"/>
              </w:rPr>
              <w:t>92</w:t>
            </w:r>
          </w:p>
        </w:tc>
        <w:tc>
          <w:tcPr>
            <w:tcW w:w="857" w:type="dxa"/>
            <w:noWrap/>
            <w:hideMark/>
          </w:tcPr>
          <w:p w14:paraId="4BE49BE7" w14:textId="1B023F38" w:rsidR="009A4D09" w:rsidRPr="009A4D09" w:rsidRDefault="009A4D09" w:rsidP="009A4D09">
            <w:pPr>
              <w:pStyle w:val="Tabele"/>
              <w:jc w:val="right"/>
              <w:rPr>
                <w:color w:val="auto"/>
              </w:rPr>
            </w:pPr>
            <w:r w:rsidRPr="009A4D09">
              <w:rPr>
                <w:rFonts w:cs="Arial"/>
                <w:color w:val="auto"/>
                <w:szCs w:val="16"/>
              </w:rPr>
              <w:t>78</w:t>
            </w:r>
          </w:p>
        </w:tc>
        <w:tc>
          <w:tcPr>
            <w:tcW w:w="858" w:type="dxa"/>
          </w:tcPr>
          <w:p w14:paraId="1C3DC57C" w14:textId="742C7D70" w:rsidR="009A4D09" w:rsidRPr="009A4D09" w:rsidRDefault="009A4D09" w:rsidP="009A4D09">
            <w:pPr>
              <w:pStyle w:val="Tabele"/>
              <w:jc w:val="right"/>
              <w:rPr>
                <w:color w:val="auto"/>
              </w:rPr>
            </w:pPr>
            <w:r w:rsidRPr="009A4D09">
              <w:rPr>
                <w:rFonts w:cs="Arial"/>
                <w:color w:val="auto"/>
                <w:szCs w:val="16"/>
              </w:rPr>
              <w:t>70</w:t>
            </w:r>
          </w:p>
        </w:tc>
      </w:tr>
      <w:tr w:rsidR="009A4D09" w:rsidRPr="00DB48D3" w14:paraId="6B87B5F1" w14:textId="77777777" w:rsidTr="00317ECB">
        <w:trPr>
          <w:trHeight w:val="229"/>
        </w:trPr>
        <w:tc>
          <w:tcPr>
            <w:tcW w:w="2183" w:type="dxa"/>
            <w:hideMark/>
          </w:tcPr>
          <w:p w14:paraId="024D53D0" w14:textId="77777777" w:rsidR="009A4D09" w:rsidRPr="00317ECB" w:rsidRDefault="009A4D09" w:rsidP="009A4D09">
            <w:pPr>
              <w:pStyle w:val="Tabele"/>
              <w:rPr>
                <w:color w:val="auto"/>
              </w:rPr>
            </w:pPr>
            <w:r w:rsidRPr="00317ECB">
              <w:rPr>
                <w:color w:val="auto"/>
              </w:rPr>
              <w:t>Przemysł</w:t>
            </w:r>
          </w:p>
        </w:tc>
        <w:tc>
          <w:tcPr>
            <w:tcW w:w="857" w:type="dxa"/>
            <w:shd w:val="clear" w:color="auto" w:fill="C5E0B3"/>
            <w:noWrap/>
            <w:hideMark/>
          </w:tcPr>
          <w:p w14:paraId="6B94FD32" w14:textId="30D121A1" w:rsidR="009A4D09" w:rsidRPr="009A4D09" w:rsidRDefault="009A4D09" w:rsidP="009A4D09">
            <w:pPr>
              <w:pStyle w:val="Tabele"/>
              <w:jc w:val="right"/>
              <w:rPr>
                <w:color w:val="auto"/>
              </w:rPr>
            </w:pPr>
            <w:r w:rsidRPr="009A4D09">
              <w:rPr>
                <w:color w:val="auto"/>
                <w:szCs w:val="16"/>
              </w:rPr>
              <w:t>217</w:t>
            </w:r>
          </w:p>
        </w:tc>
        <w:tc>
          <w:tcPr>
            <w:tcW w:w="857" w:type="dxa"/>
            <w:shd w:val="clear" w:color="auto" w:fill="C5E0B3"/>
            <w:noWrap/>
            <w:hideMark/>
          </w:tcPr>
          <w:p w14:paraId="4DC24E91" w14:textId="4E11793B" w:rsidR="009A4D09" w:rsidRPr="009A4D09" w:rsidRDefault="009A4D09" w:rsidP="009A4D09">
            <w:pPr>
              <w:pStyle w:val="Tabele"/>
              <w:jc w:val="right"/>
              <w:rPr>
                <w:color w:val="auto"/>
              </w:rPr>
            </w:pPr>
            <w:r w:rsidRPr="009A4D09">
              <w:rPr>
                <w:color w:val="auto"/>
                <w:szCs w:val="16"/>
              </w:rPr>
              <w:t>149</w:t>
            </w:r>
          </w:p>
        </w:tc>
        <w:tc>
          <w:tcPr>
            <w:tcW w:w="858" w:type="dxa"/>
            <w:shd w:val="clear" w:color="auto" w:fill="C5E0B3"/>
            <w:noWrap/>
            <w:hideMark/>
          </w:tcPr>
          <w:p w14:paraId="324CF4B5" w14:textId="21AACFDB" w:rsidR="009A4D09" w:rsidRPr="009A4D09" w:rsidRDefault="009A4D09" w:rsidP="009A4D09">
            <w:pPr>
              <w:pStyle w:val="Tabele"/>
              <w:jc w:val="right"/>
              <w:rPr>
                <w:color w:val="auto"/>
              </w:rPr>
            </w:pPr>
            <w:r w:rsidRPr="009A4D09">
              <w:rPr>
                <w:color w:val="auto"/>
                <w:szCs w:val="16"/>
              </w:rPr>
              <w:t>131</w:t>
            </w:r>
          </w:p>
        </w:tc>
        <w:tc>
          <w:tcPr>
            <w:tcW w:w="857" w:type="dxa"/>
            <w:shd w:val="clear" w:color="auto" w:fill="C5E0B3"/>
            <w:noWrap/>
            <w:hideMark/>
          </w:tcPr>
          <w:p w14:paraId="4D548A09" w14:textId="3A83BD91" w:rsidR="009A4D09" w:rsidRPr="009A4D09" w:rsidRDefault="009A4D09" w:rsidP="009A4D09">
            <w:pPr>
              <w:pStyle w:val="Tabele"/>
              <w:jc w:val="right"/>
              <w:rPr>
                <w:color w:val="auto"/>
              </w:rPr>
            </w:pPr>
            <w:r w:rsidRPr="009A4D09">
              <w:rPr>
                <w:color w:val="auto"/>
                <w:szCs w:val="16"/>
              </w:rPr>
              <w:t>127</w:t>
            </w:r>
          </w:p>
        </w:tc>
        <w:tc>
          <w:tcPr>
            <w:tcW w:w="858" w:type="dxa"/>
            <w:noWrap/>
            <w:hideMark/>
          </w:tcPr>
          <w:p w14:paraId="3F4063A5" w14:textId="4F4D6660" w:rsidR="009A4D09" w:rsidRPr="009A4D09" w:rsidRDefault="009A4D09" w:rsidP="009A4D09">
            <w:pPr>
              <w:pStyle w:val="Tabele"/>
              <w:jc w:val="right"/>
              <w:rPr>
                <w:color w:val="auto"/>
              </w:rPr>
            </w:pPr>
            <w:r w:rsidRPr="009A4D09">
              <w:rPr>
                <w:rFonts w:cs="Arial"/>
                <w:color w:val="auto"/>
                <w:szCs w:val="16"/>
              </w:rPr>
              <w:t>103</w:t>
            </w:r>
          </w:p>
        </w:tc>
        <w:tc>
          <w:tcPr>
            <w:tcW w:w="857" w:type="dxa"/>
            <w:noWrap/>
            <w:hideMark/>
          </w:tcPr>
          <w:p w14:paraId="243B8BC2" w14:textId="01A3592C" w:rsidR="009A4D09" w:rsidRPr="009A4D09" w:rsidRDefault="009A4D09" w:rsidP="009A4D09">
            <w:pPr>
              <w:pStyle w:val="Tabele"/>
              <w:jc w:val="right"/>
              <w:rPr>
                <w:color w:val="auto"/>
              </w:rPr>
            </w:pPr>
            <w:r w:rsidRPr="009A4D09">
              <w:rPr>
                <w:rFonts w:cs="Arial"/>
                <w:color w:val="auto"/>
                <w:szCs w:val="16"/>
              </w:rPr>
              <w:t>87</w:t>
            </w:r>
          </w:p>
        </w:tc>
        <w:tc>
          <w:tcPr>
            <w:tcW w:w="857" w:type="dxa"/>
            <w:noWrap/>
            <w:hideMark/>
          </w:tcPr>
          <w:p w14:paraId="1B6D4AA6" w14:textId="184C9421" w:rsidR="009A4D09" w:rsidRPr="009A4D09" w:rsidRDefault="009A4D09" w:rsidP="009A4D09">
            <w:pPr>
              <w:pStyle w:val="Tabele"/>
              <w:jc w:val="right"/>
              <w:rPr>
                <w:color w:val="auto"/>
              </w:rPr>
            </w:pPr>
            <w:r w:rsidRPr="009A4D09">
              <w:rPr>
                <w:rFonts w:cs="Arial"/>
                <w:color w:val="auto"/>
                <w:szCs w:val="16"/>
              </w:rPr>
              <w:t>78</w:t>
            </w:r>
          </w:p>
        </w:tc>
        <w:tc>
          <w:tcPr>
            <w:tcW w:w="858" w:type="dxa"/>
          </w:tcPr>
          <w:p w14:paraId="4AD58C7C" w14:textId="18474D75" w:rsidR="009A4D09" w:rsidRPr="009A4D09" w:rsidRDefault="009A4D09" w:rsidP="009A4D09">
            <w:pPr>
              <w:pStyle w:val="Tabele"/>
              <w:jc w:val="right"/>
              <w:rPr>
                <w:color w:val="auto"/>
              </w:rPr>
            </w:pPr>
            <w:r w:rsidRPr="009A4D09">
              <w:rPr>
                <w:rFonts w:cs="Arial"/>
                <w:color w:val="auto"/>
                <w:szCs w:val="16"/>
              </w:rPr>
              <w:t>71</w:t>
            </w:r>
          </w:p>
        </w:tc>
      </w:tr>
      <w:tr w:rsidR="009A4D09" w:rsidRPr="00DB48D3" w14:paraId="697922AE" w14:textId="77777777" w:rsidTr="00317ECB">
        <w:trPr>
          <w:trHeight w:val="229"/>
        </w:trPr>
        <w:tc>
          <w:tcPr>
            <w:tcW w:w="2183" w:type="dxa"/>
            <w:hideMark/>
          </w:tcPr>
          <w:p w14:paraId="505BD7DC" w14:textId="77777777" w:rsidR="009A4D09" w:rsidRPr="00317ECB" w:rsidRDefault="009A4D09" w:rsidP="009A4D09">
            <w:pPr>
              <w:pStyle w:val="Tabele"/>
              <w:rPr>
                <w:color w:val="auto"/>
              </w:rPr>
            </w:pPr>
            <w:r w:rsidRPr="00317ECB">
              <w:rPr>
                <w:color w:val="auto"/>
              </w:rPr>
              <w:t>Transport</w:t>
            </w:r>
          </w:p>
        </w:tc>
        <w:tc>
          <w:tcPr>
            <w:tcW w:w="857" w:type="dxa"/>
            <w:shd w:val="clear" w:color="auto" w:fill="C5E0B3"/>
            <w:noWrap/>
            <w:hideMark/>
          </w:tcPr>
          <w:p w14:paraId="6E74EFC1" w14:textId="1A5C807E" w:rsidR="009A4D09" w:rsidRPr="009A4D09" w:rsidRDefault="009A4D09" w:rsidP="009A4D09">
            <w:pPr>
              <w:pStyle w:val="Tabele"/>
              <w:jc w:val="right"/>
              <w:rPr>
                <w:color w:val="auto"/>
              </w:rPr>
            </w:pPr>
            <w:r w:rsidRPr="009A4D09">
              <w:rPr>
                <w:color w:val="auto"/>
                <w:szCs w:val="16"/>
              </w:rPr>
              <w:t>624</w:t>
            </w:r>
          </w:p>
        </w:tc>
        <w:tc>
          <w:tcPr>
            <w:tcW w:w="857" w:type="dxa"/>
            <w:shd w:val="clear" w:color="auto" w:fill="C5E0B3"/>
            <w:noWrap/>
            <w:hideMark/>
          </w:tcPr>
          <w:p w14:paraId="171EC157" w14:textId="2706F04D" w:rsidR="009A4D09" w:rsidRPr="009A4D09" w:rsidRDefault="009A4D09" w:rsidP="009A4D09">
            <w:pPr>
              <w:pStyle w:val="Tabele"/>
              <w:jc w:val="right"/>
              <w:rPr>
                <w:color w:val="auto"/>
              </w:rPr>
            </w:pPr>
            <w:r w:rsidRPr="009A4D09">
              <w:rPr>
                <w:color w:val="auto"/>
                <w:szCs w:val="16"/>
              </w:rPr>
              <w:t>857</w:t>
            </w:r>
          </w:p>
        </w:tc>
        <w:tc>
          <w:tcPr>
            <w:tcW w:w="858" w:type="dxa"/>
            <w:shd w:val="clear" w:color="auto" w:fill="C5E0B3"/>
            <w:noWrap/>
            <w:hideMark/>
          </w:tcPr>
          <w:p w14:paraId="11EBF4C2" w14:textId="61B06E86" w:rsidR="009A4D09" w:rsidRPr="009A4D09" w:rsidRDefault="009A4D09" w:rsidP="009A4D09">
            <w:pPr>
              <w:pStyle w:val="Tabele"/>
              <w:jc w:val="right"/>
              <w:rPr>
                <w:color w:val="auto"/>
              </w:rPr>
            </w:pPr>
            <w:r w:rsidRPr="009A4D09">
              <w:rPr>
                <w:color w:val="auto"/>
                <w:szCs w:val="16"/>
              </w:rPr>
              <w:t>650</w:t>
            </w:r>
          </w:p>
        </w:tc>
        <w:tc>
          <w:tcPr>
            <w:tcW w:w="857" w:type="dxa"/>
            <w:shd w:val="clear" w:color="auto" w:fill="C5E0B3"/>
            <w:noWrap/>
            <w:hideMark/>
          </w:tcPr>
          <w:p w14:paraId="24197B43" w14:textId="60D12C5B" w:rsidR="009A4D09" w:rsidRPr="009A4D09" w:rsidRDefault="009A4D09" w:rsidP="009A4D09">
            <w:pPr>
              <w:pStyle w:val="Tabele"/>
              <w:jc w:val="right"/>
              <w:rPr>
                <w:color w:val="auto"/>
              </w:rPr>
            </w:pPr>
            <w:r w:rsidRPr="009A4D09">
              <w:rPr>
                <w:color w:val="auto"/>
                <w:szCs w:val="16"/>
              </w:rPr>
              <w:t>888</w:t>
            </w:r>
          </w:p>
        </w:tc>
        <w:tc>
          <w:tcPr>
            <w:tcW w:w="858" w:type="dxa"/>
            <w:noWrap/>
            <w:hideMark/>
          </w:tcPr>
          <w:p w14:paraId="009A8971" w14:textId="2BAB162A" w:rsidR="009A4D09" w:rsidRPr="009A4D09" w:rsidRDefault="009A4D09" w:rsidP="009A4D09">
            <w:pPr>
              <w:pStyle w:val="Tabele"/>
              <w:jc w:val="right"/>
              <w:rPr>
                <w:color w:val="auto"/>
              </w:rPr>
            </w:pPr>
            <w:r w:rsidRPr="009A4D09">
              <w:rPr>
                <w:rFonts w:cs="Arial"/>
                <w:color w:val="auto"/>
                <w:szCs w:val="16"/>
              </w:rPr>
              <w:t>700</w:t>
            </w:r>
          </w:p>
        </w:tc>
        <w:tc>
          <w:tcPr>
            <w:tcW w:w="857" w:type="dxa"/>
            <w:noWrap/>
            <w:hideMark/>
          </w:tcPr>
          <w:p w14:paraId="43976E32" w14:textId="46949B9D" w:rsidR="009A4D09" w:rsidRPr="009A4D09" w:rsidRDefault="009A4D09" w:rsidP="009A4D09">
            <w:pPr>
              <w:pStyle w:val="Tabele"/>
              <w:jc w:val="right"/>
              <w:rPr>
                <w:color w:val="auto"/>
              </w:rPr>
            </w:pPr>
            <w:r w:rsidRPr="009A4D09">
              <w:rPr>
                <w:rFonts w:cs="Arial"/>
                <w:color w:val="auto"/>
                <w:szCs w:val="16"/>
              </w:rPr>
              <w:t>561</w:t>
            </w:r>
          </w:p>
        </w:tc>
        <w:tc>
          <w:tcPr>
            <w:tcW w:w="857" w:type="dxa"/>
            <w:noWrap/>
            <w:hideMark/>
          </w:tcPr>
          <w:p w14:paraId="236B4C35" w14:textId="2420D1C8" w:rsidR="009A4D09" w:rsidRPr="009A4D09" w:rsidRDefault="009A4D09" w:rsidP="009A4D09">
            <w:pPr>
              <w:pStyle w:val="Tabele"/>
              <w:jc w:val="right"/>
              <w:rPr>
                <w:color w:val="auto"/>
              </w:rPr>
            </w:pPr>
            <w:r w:rsidRPr="009A4D09">
              <w:rPr>
                <w:rFonts w:cs="Arial"/>
                <w:color w:val="auto"/>
                <w:szCs w:val="16"/>
              </w:rPr>
              <w:t>471</w:t>
            </w:r>
          </w:p>
        </w:tc>
        <w:tc>
          <w:tcPr>
            <w:tcW w:w="858" w:type="dxa"/>
          </w:tcPr>
          <w:p w14:paraId="66575C9A" w14:textId="58B801AA" w:rsidR="009A4D09" w:rsidRPr="009A4D09" w:rsidRDefault="009A4D09" w:rsidP="009A4D09">
            <w:pPr>
              <w:pStyle w:val="Tabele"/>
              <w:jc w:val="right"/>
              <w:rPr>
                <w:color w:val="auto"/>
              </w:rPr>
            </w:pPr>
            <w:r w:rsidRPr="009A4D09">
              <w:rPr>
                <w:rFonts w:cs="Arial"/>
                <w:color w:val="auto"/>
                <w:szCs w:val="16"/>
              </w:rPr>
              <w:t>400</w:t>
            </w:r>
          </w:p>
        </w:tc>
      </w:tr>
      <w:tr w:rsidR="009A4D09" w:rsidRPr="00DB48D3" w14:paraId="23598BBA" w14:textId="77777777" w:rsidTr="00317ECB">
        <w:trPr>
          <w:trHeight w:val="229"/>
        </w:trPr>
        <w:tc>
          <w:tcPr>
            <w:tcW w:w="2183" w:type="dxa"/>
            <w:hideMark/>
          </w:tcPr>
          <w:p w14:paraId="673459A1" w14:textId="77777777" w:rsidR="009A4D09" w:rsidRPr="00317ECB" w:rsidRDefault="009A4D09" w:rsidP="009A4D09">
            <w:pPr>
              <w:pStyle w:val="Tabele"/>
              <w:jc w:val="right"/>
              <w:rPr>
                <w:color w:val="auto"/>
              </w:rPr>
            </w:pPr>
            <w:r w:rsidRPr="00317ECB">
              <w:rPr>
                <w:color w:val="auto"/>
              </w:rPr>
              <w:t xml:space="preserve"> w tym: pasażerski</w:t>
            </w:r>
          </w:p>
        </w:tc>
        <w:tc>
          <w:tcPr>
            <w:tcW w:w="857" w:type="dxa"/>
            <w:shd w:val="clear" w:color="auto" w:fill="C5E0B3"/>
            <w:noWrap/>
            <w:hideMark/>
          </w:tcPr>
          <w:p w14:paraId="5E5F6F52" w14:textId="45EC2B70" w:rsidR="009A4D09" w:rsidRPr="009A4D09" w:rsidRDefault="009A4D09" w:rsidP="009A4D09">
            <w:pPr>
              <w:pStyle w:val="Tabele"/>
              <w:jc w:val="right"/>
              <w:rPr>
                <w:color w:val="auto"/>
              </w:rPr>
            </w:pPr>
            <w:r w:rsidRPr="009A4D09">
              <w:rPr>
                <w:color w:val="auto"/>
                <w:szCs w:val="16"/>
              </w:rPr>
              <w:t>b.d</w:t>
            </w:r>
            <w:r w:rsidR="00CB4A74">
              <w:rPr>
                <w:color w:val="auto"/>
                <w:szCs w:val="16"/>
              </w:rPr>
              <w:t>.</w:t>
            </w:r>
          </w:p>
        </w:tc>
        <w:tc>
          <w:tcPr>
            <w:tcW w:w="857" w:type="dxa"/>
            <w:shd w:val="clear" w:color="auto" w:fill="C5E0B3"/>
            <w:noWrap/>
            <w:hideMark/>
          </w:tcPr>
          <w:p w14:paraId="0E3E83F8" w14:textId="340D26A5" w:rsidR="009A4D09" w:rsidRPr="009A4D09" w:rsidRDefault="009A4D09" w:rsidP="009A4D09">
            <w:pPr>
              <w:pStyle w:val="Tabele"/>
              <w:jc w:val="right"/>
              <w:rPr>
                <w:color w:val="auto"/>
              </w:rPr>
            </w:pPr>
            <w:r w:rsidRPr="009A4D09">
              <w:rPr>
                <w:color w:val="auto"/>
                <w:szCs w:val="16"/>
              </w:rPr>
              <w:t>b.d</w:t>
            </w:r>
            <w:r w:rsidR="00CB4A74">
              <w:rPr>
                <w:color w:val="auto"/>
                <w:szCs w:val="16"/>
              </w:rPr>
              <w:t>.</w:t>
            </w:r>
          </w:p>
        </w:tc>
        <w:tc>
          <w:tcPr>
            <w:tcW w:w="858" w:type="dxa"/>
            <w:shd w:val="clear" w:color="auto" w:fill="C5E0B3"/>
            <w:noWrap/>
            <w:hideMark/>
          </w:tcPr>
          <w:p w14:paraId="0F597925" w14:textId="3FFD64AC" w:rsidR="009A4D09" w:rsidRPr="009A4D09" w:rsidRDefault="009A4D09" w:rsidP="009A4D09">
            <w:pPr>
              <w:pStyle w:val="Tabele"/>
              <w:jc w:val="right"/>
              <w:rPr>
                <w:color w:val="auto"/>
              </w:rPr>
            </w:pPr>
            <w:r w:rsidRPr="009A4D09">
              <w:rPr>
                <w:color w:val="auto"/>
                <w:szCs w:val="16"/>
              </w:rPr>
              <w:t>350</w:t>
            </w:r>
          </w:p>
        </w:tc>
        <w:tc>
          <w:tcPr>
            <w:tcW w:w="857" w:type="dxa"/>
            <w:shd w:val="clear" w:color="auto" w:fill="C5E0B3"/>
            <w:noWrap/>
            <w:hideMark/>
          </w:tcPr>
          <w:p w14:paraId="76892ED2" w14:textId="1EAC1CB8" w:rsidR="009A4D09" w:rsidRPr="009A4D09" w:rsidRDefault="009A4D09" w:rsidP="009A4D09">
            <w:pPr>
              <w:pStyle w:val="Tabele"/>
              <w:jc w:val="right"/>
              <w:rPr>
                <w:color w:val="auto"/>
              </w:rPr>
            </w:pPr>
            <w:r w:rsidRPr="009A4D09">
              <w:rPr>
                <w:color w:val="auto"/>
                <w:szCs w:val="16"/>
              </w:rPr>
              <w:t>446</w:t>
            </w:r>
          </w:p>
        </w:tc>
        <w:tc>
          <w:tcPr>
            <w:tcW w:w="858" w:type="dxa"/>
            <w:noWrap/>
            <w:hideMark/>
          </w:tcPr>
          <w:p w14:paraId="07D618D7" w14:textId="7CF24533" w:rsidR="009A4D09" w:rsidRPr="009A4D09" w:rsidRDefault="009A4D09" w:rsidP="009A4D09">
            <w:pPr>
              <w:pStyle w:val="Tabele"/>
              <w:jc w:val="right"/>
              <w:rPr>
                <w:color w:val="auto"/>
              </w:rPr>
            </w:pPr>
            <w:r w:rsidRPr="009A4D09">
              <w:rPr>
                <w:rFonts w:cs="Arial"/>
                <w:color w:val="auto"/>
                <w:szCs w:val="16"/>
              </w:rPr>
              <w:t>368</w:t>
            </w:r>
          </w:p>
        </w:tc>
        <w:tc>
          <w:tcPr>
            <w:tcW w:w="857" w:type="dxa"/>
            <w:noWrap/>
            <w:hideMark/>
          </w:tcPr>
          <w:p w14:paraId="3B83AEF9" w14:textId="72DC27AE" w:rsidR="009A4D09" w:rsidRPr="009A4D09" w:rsidRDefault="009A4D09" w:rsidP="009A4D09">
            <w:pPr>
              <w:pStyle w:val="Tabele"/>
              <w:jc w:val="right"/>
              <w:rPr>
                <w:color w:val="auto"/>
              </w:rPr>
            </w:pPr>
            <w:r w:rsidRPr="009A4D09">
              <w:rPr>
                <w:rFonts w:cs="Arial"/>
                <w:color w:val="auto"/>
                <w:szCs w:val="16"/>
              </w:rPr>
              <w:t>282</w:t>
            </w:r>
          </w:p>
        </w:tc>
        <w:tc>
          <w:tcPr>
            <w:tcW w:w="857" w:type="dxa"/>
            <w:noWrap/>
            <w:hideMark/>
          </w:tcPr>
          <w:p w14:paraId="45DC4925" w14:textId="13A9D292" w:rsidR="009A4D09" w:rsidRPr="009A4D09" w:rsidRDefault="009A4D09" w:rsidP="009A4D09">
            <w:pPr>
              <w:pStyle w:val="Tabele"/>
              <w:jc w:val="right"/>
              <w:rPr>
                <w:color w:val="auto"/>
              </w:rPr>
            </w:pPr>
            <w:r w:rsidRPr="009A4D09">
              <w:rPr>
                <w:rFonts w:cs="Arial"/>
                <w:color w:val="auto"/>
                <w:szCs w:val="16"/>
              </w:rPr>
              <w:t>243</w:t>
            </w:r>
          </w:p>
        </w:tc>
        <w:tc>
          <w:tcPr>
            <w:tcW w:w="858" w:type="dxa"/>
          </w:tcPr>
          <w:p w14:paraId="2EEEDD3F" w14:textId="1921DE72" w:rsidR="009A4D09" w:rsidRPr="009A4D09" w:rsidRDefault="009A4D09" w:rsidP="009A4D09">
            <w:pPr>
              <w:pStyle w:val="Tabele"/>
              <w:jc w:val="right"/>
              <w:rPr>
                <w:color w:val="auto"/>
              </w:rPr>
            </w:pPr>
            <w:r w:rsidRPr="009A4D09">
              <w:rPr>
                <w:rFonts w:cs="Arial"/>
                <w:color w:val="auto"/>
                <w:szCs w:val="16"/>
              </w:rPr>
              <w:t>211</w:t>
            </w:r>
          </w:p>
        </w:tc>
      </w:tr>
      <w:tr w:rsidR="009A4D09" w:rsidRPr="00DB48D3" w14:paraId="1B338B71" w14:textId="77777777" w:rsidTr="00317ECB">
        <w:trPr>
          <w:trHeight w:val="229"/>
        </w:trPr>
        <w:tc>
          <w:tcPr>
            <w:tcW w:w="2183" w:type="dxa"/>
            <w:hideMark/>
          </w:tcPr>
          <w:p w14:paraId="3D522946" w14:textId="77777777" w:rsidR="009A4D09" w:rsidRPr="00317ECB" w:rsidRDefault="009A4D09" w:rsidP="009A4D09">
            <w:pPr>
              <w:pStyle w:val="Tabele"/>
              <w:jc w:val="right"/>
              <w:rPr>
                <w:color w:val="auto"/>
              </w:rPr>
            </w:pPr>
            <w:r w:rsidRPr="00317ECB">
              <w:rPr>
                <w:color w:val="auto"/>
              </w:rPr>
              <w:t xml:space="preserve"> towarowy</w:t>
            </w:r>
          </w:p>
        </w:tc>
        <w:tc>
          <w:tcPr>
            <w:tcW w:w="857" w:type="dxa"/>
            <w:shd w:val="clear" w:color="auto" w:fill="C5E0B3"/>
            <w:noWrap/>
            <w:hideMark/>
          </w:tcPr>
          <w:p w14:paraId="14063FF1" w14:textId="1AEC31F8" w:rsidR="009A4D09" w:rsidRPr="009A4D09" w:rsidRDefault="009A4D09" w:rsidP="009A4D09">
            <w:pPr>
              <w:pStyle w:val="Tabele"/>
              <w:jc w:val="right"/>
              <w:rPr>
                <w:color w:val="auto"/>
              </w:rPr>
            </w:pPr>
            <w:r w:rsidRPr="009A4D09">
              <w:rPr>
                <w:color w:val="auto"/>
                <w:szCs w:val="16"/>
              </w:rPr>
              <w:t>b.d</w:t>
            </w:r>
            <w:r w:rsidR="00CB4A74">
              <w:rPr>
                <w:color w:val="auto"/>
                <w:szCs w:val="16"/>
              </w:rPr>
              <w:t>.</w:t>
            </w:r>
          </w:p>
        </w:tc>
        <w:tc>
          <w:tcPr>
            <w:tcW w:w="857" w:type="dxa"/>
            <w:shd w:val="clear" w:color="auto" w:fill="C5E0B3"/>
            <w:noWrap/>
            <w:hideMark/>
          </w:tcPr>
          <w:p w14:paraId="4ECFCE67" w14:textId="14671295" w:rsidR="009A4D09" w:rsidRPr="009A4D09" w:rsidRDefault="009A4D09" w:rsidP="009A4D09">
            <w:pPr>
              <w:pStyle w:val="Tabele"/>
              <w:jc w:val="right"/>
              <w:rPr>
                <w:color w:val="auto"/>
              </w:rPr>
            </w:pPr>
            <w:r w:rsidRPr="009A4D09">
              <w:rPr>
                <w:color w:val="auto"/>
                <w:szCs w:val="16"/>
              </w:rPr>
              <w:t>b.d</w:t>
            </w:r>
            <w:r w:rsidR="00CB4A74">
              <w:rPr>
                <w:color w:val="auto"/>
                <w:szCs w:val="16"/>
              </w:rPr>
              <w:t>.</w:t>
            </w:r>
          </w:p>
        </w:tc>
        <w:tc>
          <w:tcPr>
            <w:tcW w:w="858" w:type="dxa"/>
            <w:shd w:val="clear" w:color="auto" w:fill="C5E0B3"/>
            <w:noWrap/>
            <w:hideMark/>
          </w:tcPr>
          <w:p w14:paraId="152E14B2" w14:textId="3CEDEA46" w:rsidR="009A4D09" w:rsidRPr="009A4D09" w:rsidRDefault="009A4D09" w:rsidP="009A4D09">
            <w:pPr>
              <w:pStyle w:val="Tabele"/>
              <w:jc w:val="right"/>
              <w:rPr>
                <w:color w:val="auto"/>
              </w:rPr>
            </w:pPr>
            <w:r w:rsidRPr="009A4D09">
              <w:rPr>
                <w:color w:val="auto"/>
                <w:szCs w:val="16"/>
              </w:rPr>
              <w:t>292</w:t>
            </w:r>
          </w:p>
        </w:tc>
        <w:tc>
          <w:tcPr>
            <w:tcW w:w="857" w:type="dxa"/>
            <w:shd w:val="clear" w:color="auto" w:fill="C5E0B3"/>
            <w:noWrap/>
            <w:hideMark/>
          </w:tcPr>
          <w:p w14:paraId="23DCAAE3" w14:textId="7ACE62F7" w:rsidR="009A4D09" w:rsidRPr="009A4D09" w:rsidRDefault="009A4D09" w:rsidP="009A4D09">
            <w:pPr>
              <w:pStyle w:val="Tabele"/>
              <w:jc w:val="right"/>
              <w:rPr>
                <w:color w:val="auto"/>
              </w:rPr>
            </w:pPr>
            <w:r w:rsidRPr="009A4D09">
              <w:rPr>
                <w:color w:val="auto"/>
                <w:szCs w:val="16"/>
              </w:rPr>
              <w:t>433</w:t>
            </w:r>
          </w:p>
        </w:tc>
        <w:tc>
          <w:tcPr>
            <w:tcW w:w="858" w:type="dxa"/>
            <w:noWrap/>
            <w:hideMark/>
          </w:tcPr>
          <w:p w14:paraId="63947F1C" w14:textId="4EB7683A" w:rsidR="009A4D09" w:rsidRPr="009A4D09" w:rsidRDefault="009A4D09" w:rsidP="009A4D09">
            <w:pPr>
              <w:pStyle w:val="Tabele"/>
              <w:jc w:val="right"/>
              <w:rPr>
                <w:color w:val="auto"/>
              </w:rPr>
            </w:pPr>
            <w:r w:rsidRPr="009A4D09">
              <w:rPr>
                <w:rFonts w:cs="Arial"/>
                <w:color w:val="auto"/>
                <w:szCs w:val="16"/>
              </w:rPr>
              <w:t>327</w:t>
            </w:r>
          </w:p>
        </w:tc>
        <w:tc>
          <w:tcPr>
            <w:tcW w:w="857" w:type="dxa"/>
            <w:noWrap/>
            <w:hideMark/>
          </w:tcPr>
          <w:p w14:paraId="52DD3B4C" w14:textId="72CEA03C" w:rsidR="009A4D09" w:rsidRPr="009A4D09" w:rsidRDefault="009A4D09" w:rsidP="009A4D09">
            <w:pPr>
              <w:pStyle w:val="Tabele"/>
              <w:jc w:val="right"/>
              <w:rPr>
                <w:color w:val="auto"/>
              </w:rPr>
            </w:pPr>
            <w:r w:rsidRPr="009A4D09">
              <w:rPr>
                <w:rFonts w:cs="Arial"/>
                <w:color w:val="auto"/>
                <w:szCs w:val="16"/>
              </w:rPr>
              <w:t>273</w:t>
            </w:r>
          </w:p>
        </w:tc>
        <w:tc>
          <w:tcPr>
            <w:tcW w:w="857" w:type="dxa"/>
            <w:noWrap/>
            <w:hideMark/>
          </w:tcPr>
          <w:p w14:paraId="0C38C28E" w14:textId="45C37BA0" w:rsidR="009A4D09" w:rsidRPr="009A4D09" w:rsidRDefault="009A4D09" w:rsidP="009A4D09">
            <w:pPr>
              <w:pStyle w:val="Tabele"/>
              <w:jc w:val="right"/>
              <w:rPr>
                <w:color w:val="auto"/>
              </w:rPr>
            </w:pPr>
            <w:r w:rsidRPr="009A4D09">
              <w:rPr>
                <w:rFonts w:cs="Arial"/>
                <w:color w:val="auto"/>
                <w:szCs w:val="16"/>
              </w:rPr>
              <w:t>222</w:t>
            </w:r>
          </w:p>
        </w:tc>
        <w:tc>
          <w:tcPr>
            <w:tcW w:w="858" w:type="dxa"/>
          </w:tcPr>
          <w:p w14:paraId="788C834C" w14:textId="4E73B547" w:rsidR="009A4D09" w:rsidRPr="009A4D09" w:rsidRDefault="009A4D09" w:rsidP="009A4D09">
            <w:pPr>
              <w:pStyle w:val="Tabele"/>
              <w:jc w:val="right"/>
              <w:rPr>
                <w:color w:val="auto"/>
              </w:rPr>
            </w:pPr>
            <w:r w:rsidRPr="009A4D09">
              <w:rPr>
                <w:rFonts w:cs="Arial"/>
                <w:color w:val="auto"/>
                <w:szCs w:val="16"/>
              </w:rPr>
              <w:t>184</w:t>
            </w:r>
          </w:p>
        </w:tc>
      </w:tr>
      <w:tr w:rsidR="009A4D09" w:rsidRPr="00DB48D3" w14:paraId="2649FA7E" w14:textId="77777777" w:rsidTr="00317ECB">
        <w:trPr>
          <w:trHeight w:val="229"/>
        </w:trPr>
        <w:tc>
          <w:tcPr>
            <w:tcW w:w="2183" w:type="dxa"/>
            <w:hideMark/>
          </w:tcPr>
          <w:p w14:paraId="237928DF" w14:textId="77777777" w:rsidR="009A4D09" w:rsidRPr="00317ECB" w:rsidRDefault="009A4D09" w:rsidP="009A4D09">
            <w:pPr>
              <w:pStyle w:val="Tabele"/>
              <w:rPr>
                <w:color w:val="auto"/>
              </w:rPr>
            </w:pPr>
            <w:r w:rsidRPr="00317ECB">
              <w:rPr>
                <w:color w:val="auto"/>
              </w:rPr>
              <w:t>Usługi</w:t>
            </w:r>
          </w:p>
        </w:tc>
        <w:tc>
          <w:tcPr>
            <w:tcW w:w="857" w:type="dxa"/>
            <w:shd w:val="clear" w:color="auto" w:fill="C5E0B3"/>
            <w:noWrap/>
            <w:hideMark/>
          </w:tcPr>
          <w:p w14:paraId="7A21BD0A" w14:textId="015F0B63" w:rsidR="009A4D09" w:rsidRPr="009A4D09" w:rsidRDefault="009A4D09" w:rsidP="009A4D09">
            <w:pPr>
              <w:pStyle w:val="Tabele"/>
              <w:jc w:val="right"/>
              <w:rPr>
                <w:color w:val="auto"/>
              </w:rPr>
            </w:pPr>
            <w:r w:rsidRPr="009A4D09">
              <w:rPr>
                <w:color w:val="auto"/>
                <w:szCs w:val="16"/>
              </w:rPr>
              <w:t>37</w:t>
            </w:r>
          </w:p>
        </w:tc>
        <w:tc>
          <w:tcPr>
            <w:tcW w:w="857" w:type="dxa"/>
            <w:shd w:val="clear" w:color="auto" w:fill="C5E0B3"/>
            <w:noWrap/>
            <w:hideMark/>
          </w:tcPr>
          <w:p w14:paraId="7B5E1427" w14:textId="7EB762C5" w:rsidR="009A4D09" w:rsidRPr="009A4D09" w:rsidRDefault="009A4D09" w:rsidP="009A4D09">
            <w:pPr>
              <w:pStyle w:val="Tabele"/>
              <w:jc w:val="right"/>
              <w:rPr>
                <w:color w:val="auto"/>
              </w:rPr>
            </w:pPr>
            <w:r w:rsidRPr="009A4D09">
              <w:rPr>
                <w:color w:val="auto"/>
                <w:szCs w:val="16"/>
              </w:rPr>
              <w:t>38</w:t>
            </w:r>
          </w:p>
        </w:tc>
        <w:tc>
          <w:tcPr>
            <w:tcW w:w="858" w:type="dxa"/>
            <w:shd w:val="clear" w:color="auto" w:fill="C5E0B3"/>
            <w:noWrap/>
            <w:hideMark/>
          </w:tcPr>
          <w:p w14:paraId="63380F2E" w14:textId="4AAD6359" w:rsidR="009A4D09" w:rsidRPr="009A4D09" w:rsidRDefault="009A4D09" w:rsidP="009A4D09">
            <w:pPr>
              <w:pStyle w:val="Tabele"/>
              <w:jc w:val="right"/>
              <w:rPr>
                <w:color w:val="auto"/>
              </w:rPr>
            </w:pPr>
            <w:r w:rsidRPr="009A4D09">
              <w:rPr>
                <w:color w:val="auto"/>
                <w:szCs w:val="16"/>
              </w:rPr>
              <w:t>30</w:t>
            </w:r>
          </w:p>
        </w:tc>
        <w:tc>
          <w:tcPr>
            <w:tcW w:w="857" w:type="dxa"/>
            <w:shd w:val="clear" w:color="auto" w:fill="C5E0B3"/>
            <w:noWrap/>
            <w:hideMark/>
          </w:tcPr>
          <w:p w14:paraId="78AB5104" w14:textId="57CB3656" w:rsidR="009A4D09" w:rsidRPr="009A4D09" w:rsidRDefault="009A4D09" w:rsidP="009A4D09">
            <w:pPr>
              <w:pStyle w:val="Tabele"/>
              <w:jc w:val="right"/>
              <w:rPr>
                <w:color w:val="auto"/>
              </w:rPr>
            </w:pPr>
            <w:r w:rsidRPr="009A4D09">
              <w:rPr>
                <w:color w:val="auto"/>
                <w:szCs w:val="16"/>
              </w:rPr>
              <w:t>25</w:t>
            </w:r>
          </w:p>
        </w:tc>
        <w:tc>
          <w:tcPr>
            <w:tcW w:w="858" w:type="dxa"/>
            <w:noWrap/>
            <w:hideMark/>
          </w:tcPr>
          <w:p w14:paraId="5F500993" w14:textId="071C2CB3" w:rsidR="009A4D09" w:rsidRPr="009A4D09" w:rsidRDefault="009A4D09" w:rsidP="009A4D09">
            <w:pPr>
              <w:pStyle w:val="Tabele"/>
              <w:jc w:val="right"/>
              <w:rPr>
                <w:color w:val="auto"/>
              </w:rPr>
            </w:pPr>
            <w:r w:rsidRPr="009A4D09">
              <w:rPr>
                <w:rFonts w:cs="Arial"/>
                <w:color w:val="auto"/>
                <w:szCs w:val="16"/>
              </w:rPr>
              <w:t>22</w:t>
            </w:r>
          </w:p>
        </w:tc>
        <w:tc>
          <w:tcPr>
            <w:tcW w:w="857" w:type="dxa"/>
            <w:noWrap/>
            <w:hideMark/>
          </w:tcPr>
          <w:p w14:paraId="1C8C47D0" w14:textId="0A5C7329" w:rsidR="009A4D09" w:rsidRPr="009A4D09" w:rsidRDefault="009A4D09" w:rsidP="009A4D09">
            <w:pPr>
              <w:pStyle w:val="Tabele"/>
              <w:jc w:val="right"/>
              <w:rPr>
                <w:color w:val="auto"/>
              </w:rPr>
            </w:pPr>
            <w:r w:rsidRPr="009A4D09">
              <w:rPr>
                <w:rFonts w:cs="Arial"/>
                <w:color w:val="auto"/>
                <w:szCs w:val="16"/>
              </w:rPr>
              <w:t>20</w:t>
            </w:r>
          </w:p>
        </w:tc>
        <w:tc>
          <w:tcPr>
            <w:tcW w:w="857" w:type="dxa"/>
            <w:noWrap/>
            <w:hideMark/>
          </w:tcPr>
          <w:p w14:paraId="4CABB042" w14:textId="702172EB" w:rsidR="009A4D09" w:rsidRPr="009A4D09" w:rsidRDefault="009A4D09" w:rsidP="009A4D09">
            <w:pPr>
              <w:pStyle w:val="Tabele"/>
              <w:jc w:val="right"/>
              <w:rPr>
                <w:color w:val="auto"/>
              </w:rPr>
            </w:pPr>
            <w:r w:rsidRPr="009A4D09">
              <w:rPr>
                <w:rFonts w:cs="Arial"/>
                <w:color w:val="auto"/>
                <w:szCs w:val="16"/>
              </w:rPr>
              <w:t>17</w:t>
            </w:r>
          </w:p>
        </w:tc>
        <w:tc>
          <w:tcPr>
            <w:tcW w:w="858" w:type="dxa"/>
          </w:tcPr>
          <w:p w14:paraId="7195A891" w14:textId="6C62DFFA" w:rsidR="009A4D09" w:rsidRPr="009A4D09" w:rsidRDefault="009A4D09" w:rsidP="009A4D09">
            <w:pPr>
              <w:pStyle w:val="Tabele"/>
              <w:jc w:val="right"/>
              <w:rPr>
                <w:color w:val="auto"/>
              </w:rPr>
            </w:pPr>
            <w:r w:rsidRPr="009A4D09">
              <w:rPr>
                <w:rFonts w:cs="Arial"/>
                <w:color w:val="auto"/>
                <w:szCs w:val="16"/>
              </w:rPr>
              <w:t>15</w:t>
            </w:r>
          </w:p>
        </w:tc>
      </w:tr>
      <w:tr w:rsidR="009A4D09" w:rsidRPr="00DB48D3" w14:paraId="5D1D871E" w14:textId="77777777" w:rsidTr="00317ECB">
        <w:trPr>
          <w:trHeight w:val="229"/>
        </w:trPr>
        <w:tc>
          <w:tcPr>
            <w:tcW w:w="2183" w:type="dxa"/>
            <w:hideMark/>
          </w:tcPr>
          <w:p w14:paraId="7F1B697E" w14:textId="77777777" w:rsidR="009A4D09" w:rsidRPr="00317ECB" w:rsidRDefault="009A4D09" w:rsidP="009A4D09">
            <w:pPr>
              <w:pStyle w:val="Tabele"/>
              <w:rPr>
                <w:color w:val="auto"/>
              </w:rPr>
            </w:pPr>
            <w:r w:rsidRPr="00317ECB">
              <w:rPr>
                <w:color w:val="auto"/>
              </w:rPr>
              <w:t>Rolnictwo</w:t>
            </w:r>
          </w:p>
        </w:tc>
        <w:tc>
          <w:tcPr>
            <w:tcW w:w="857" w:type="dxa"/>
            <w:shd w:val="clear" w:color="auto" w:fill="C5E0B3"/>
            <w:noWrap/>
            <w:hideMark/>
          </w:tcPr>
          <w:p w14:paraId="59AB100A" w14:textId="6F7CD619" w:rsidR="009A4D09" w:rsidRPr="009A4D09" w:rsidRDefault="009A4D09" w:rsidP="009A4D09">
            <w:pPr>
              <w:pStyle w:val="Tabele"/>
              <w:jc w:val="right"/>
              <w:rPr>
                <w:color w:val="auto"/>
              </w:rPr>
            </w:pPr>
            <w:r w:rsidRPr="009A4D09">
              <w:rPr>
                <w:color w:val="auto"/>
                <w:szCs w:val="16"/>
              </w:rPr>
              <w:t>397</w:t>
            </w:r>
          </w:p>
        </w:tc>
        <w:tc>
          <w:tcPr>
            <w:tcW w:w="857" w:type="dxa"/>
            <w:shd w:val="clear" w:color="auto" w:fill="C5E0B3"/>
            <w:noWrap/>
            <w:hideMark/>
          </w:tcPr>
          <w:p w14:paraId="129346D9" w14:textId="496F4C81" w:rsidR="009A4D09" w:rsidRPr="009A4D09" w:rsidRDefault="009A4D09" w:rsidP="009A4D09">
            <w:pPr>
              <w:pStyle w:val="Tabele"/>
              <w:jc w:val="right"/>
              <w:rPr>
                <w:color w:val="auto"/>
              </w:rPr>
            </w:pPr>
            <w:r w:rsidRPr="009A4D09">
              <w:rPr>
                <w:color w:val="auto"/>
                <w:szCs w:val="16"/>
              </w:rPr>
              <w:t>335</w:t>
            </w:r>
          </w:p>
        </w:tc>
        <w:tc>
          <w:tcPr>
            <w:tcW w:w="858" w:type="dxa"/>
            <w:shd w:val="clear" w:color="auto" w:fill="C5E0B3"/>
            <w:noWrap/>
            <w:hideMark/>
          </w:tcPr>
          <w:p w14:paraId="3711A5EF" w14:textId="45FFB7FB" w:rsidR="009A4D09" w:rsidRPr="009A4D09" w:rsidRDefault="009A4D09" w:rsidP="009A4D09">
            <w:pPr>
              <w:pStyle w:val="Tabele"/>
              <w:jc w:val="right"/>
              <w:rPr>
                <w:color w:val="auto"/>
              </w:rPr>
            </w:pPr>
            <w:r w:rsidRPr="009A4D09">
              <w:rPr>
                <w:color w:val="auto"/>
                <w:szCs w:val="16"/>
              </w:rPr>
              <w:t>322</w:t>
            </w:r>
          </w:p>
        </w:tc>
        <w:tc>
          <w:tcPr>
            <w:tcW w:w="857" w:type="dxa"/>
            <w:shd w:val="clear" w:color="auto" w:fill="C5E0B3"/>
            <w:noWrap/>
            <w:hideMark/>
          </w:tcPr>
          <w:p w14:paraId="3B179705" w14:textId="45AEE22B" w:rsidR="009A4D09" w:rsidRPr="009A4D09" w:rsidRDefault="009A4D09" w:rsidP="009A4D09">
            <w:pPr>
              <w:pStyle w:val="Tabele"/>
              <w:jc w:val="right"/>
              <w:rPr>
                <w:color w:val="auto"/>
              </w:rPr>
            </w:pPr>
            <w:r w:rsidRPr="009A4D09">
              <w:rPr>
                <w:color w:val="auto"/>
                <w:szCs w:val="16"/>
              </w:rPr>
              <w:t>360</w:t>
            </w:r>
          </w:p>
        </w:tc>
        <w:tc>
          <w:tcPr>
            <w:tcW w:w="858" w:type="dxa"/>
            <w:noWrap/>
            <w:hideMark/>
          </w:tcPr>
          <w:p w14:paraId="13096273" w14:textId="3D894744" w:rsidR="009A4D09" w:rsidRPr="009A4D09" w:rsidRDefault="009A4D09" w:rsidP="009A4D09">
            <w:pPr>
              <w:pStyle w:val="Tabele"/>
              <w:jc w:val="right"/>
              <w:rPr>
                <w:color w:val="auto"/>
              </w:rPr>
            </w:pPr>
            <w:r w:rsidRPr="009A4D09">
              <w:rPr>
                <w:rFonts w:cs="Arial"/>
                <w:color w:val="auto"/>
                <w:szCs w:val="16"/>
              </w:rPr>
              <w:t>321</w:t>
            </w:r>
          </w:p>
        </w:tc>
        <w:tc>
          <w:tcPr>
            <w:tcW w:w="857" w:type="dxa"/>
            <w:noWrap/>
            <w:hideMark/>
          </w:tcPr>
          <w:p w14:paraId="6A12A221" w14:textId="0163C4D8" w:rsidR="009A4D09" w:rsidRPr="009A4D09" w:rsidRDefault="009A4D09" w:rsidP="009A4D09">
            <w:pPr>
              <w:pStyle w:val="Tabele"/>
              <w:jc w:val="right"/>
              <w:rPr>
                <w:color w:val="auto"/>
              </w:rPr>
            </w:pPr>
            <w:r w:rsidRPr="009A4D09">
              <w:rPr>
                <w:rFonts w:cs="Arial"/>
                <w:color w:val="auto"/>
                <w:szCs w:val="16"/>
              </w:rPr>
              <w:t>290</w:t>
            </w:r>
          </w:p>
        </w:tc>
        <w:tc>
          <w:tcPr>
            <w:tcW w:w="857" w:type="dxa"/>
            <w:noWrap/>
            <w:hideMark/>
          </w:tcPr>
          <w:p w14:paraId="67E2A959" w14:textId="266FA2F8" w:rsidR="009A4D09" w:rsidRPr="009A4D09" w:rsidRDefault="009A4D09" w:rsidP="009A4D09">
            <w:pPr>
              <w:pStyle w:val="Tabele"/>
              <w:jc w:val="right"/>
              <w:rPr>
                <w:color w:val="auto"/>
              </w:rPr>
            </w:pPr>
            <w:r w:rsidRPr="009A4D09">
              <w:rPr>
                <w:rFonts w:cs="Arial"/>
                <w:color w:val="auto"/>
                <w:szCs w:val="16"/>
              </w:rPr>
              <w:t>268</w:t>
            </w:r>
          </w:p>
        </w:tc>
        <w:tc>
          <w:tcPr>
            <w:tcW w:w="858" w:type="dxa"/>
          </w:tcPr>
          <w:p w14:paraId="7D87A19B" w14:textId="5AEC1B16" w:rsidR="009A4D09" w:rsidRPr="009A4D09" w:rsidRDefault="009A4D09" w:rsidP="009A4D09">
            <w:pPr>
              <w:pStyle w:val="Tabele"/>
              <w:jc w:val="right"/>
              <w:rPr>
                <w:color w:val="auto"/>
              </w:rPr>
            </w:pPr>
            <w:r w:rsidRPr="009A4D09">
              <w:rPr>
                <w:rFonts w:cs="Arial"/>
                <w:color w:val="auto"/>
                <w:szCs w:val="16"/>
              </w:rPr>
              <w:t>252</w:t>
            </w:r>
          </w:p>
        </w:tc>
      </w:tr>
      <w:tr w:rsidR="009A4D09" w:rsidRPr="00DB48D3" w14:paraId="32DB789A" w14:textId="77777777" w:rsidTr="00317ECB">
        <w:trPr>
          <w:trHeight w:val="229"/>
        </w:trPr>
        <w:tc>
          <w:tcPr>
            <w:tcW w:w="2183" w:type="dxa"/>
            <w:hideMark/>
          </w:tcPr>
          <w:p w14:paraId="50D572DF" w14:textId="77777777" w:rsidR="009A4D09" w:rsidRPr="00317ECB" w:rsidRDefault="009A4D09" w:rsidP="009A4D09">
            <w:pPr>
              <w:pStyle w:val="Tabele"/>
              <w:rPr>
                <w:color w:val="auto"/>
              </w:rPr>
            </w:pPr>
            <w:r w:rsidRPr="00317ECB">
              <w:rPr>
                <w:color w:val="auto"/>
              </w:rPr>
              <w:t>Gospodarstwa domowe [toe/gosp.dom.]</w:t>
            </w:r>
          </w:p>
        </w:tc>
        <w:tc>
          <w:tcPr>
            <w:tcW w:w="857" w:type="dxa"/>
            <w:shd w:val="clear" w:color="auto" w:fill="C5E0B3"/>
            <w:noWrap/>
            <w:hideMark/>
          </w:tcPr>
          <w:p w14:paraId="27A4C136" w14:textId="30D4FEA7" w:rsidR="009A4D09" w:rsidRPr="009A4D09" w:rsidRDefault="009A4D09" w:rsidP="009A4D09">
            <w:pPr>
              <w:pStyle w:val="Tabele"/>
              <w:jc w:val="right"/>
              <w:rPr>
                <w:color w:val="auto"/>
              </w:rPr>
            </w:pPr>
            <w:r w:rsidRPr="009A4D09">
              <w:rPr>
                <w:color w:val="auto"/>
                <w:szCs w:val="16"/>
              </w:rPr>
              <w:t>1269</w:t>
            </w:r>
          </w:p>
        </w:tc>
        <w:tc>
          <w:tcPr>
            <w:tcW w:w="857" w:type="dxa"/>
            <w:shd w:val="clear" w:color="auto" w:fill="C5E0B3"/>
            <w:noWrap/>
            <w:hideMark/>
          </w:tcPr>
          <w:p w14:paraId="7694F32E" w14:textId="2C85C1B3" w:rsidR="009A4D09" w:rsidRPr="009A4D09" w:rsidRDefault="009A4D09" w:rsidP="009A4D09">
            <w:pPr>
              <w:pStyle w:val="Tabele"/>
              <w:jc w:val="right"/>
              <w:rPr>
                <w:color w:val="auto"/>
              </w:rPr>
            </w:pPr>
            <w:r w:rsidRPr="009A4D09">
              <w:rPr>
                <w:color w:val="auto"/>
                <w:szCs w:val="16"/>
              </w:rPr>
              <w:t>1360</w:t>
            </w:r>
          </w:p>
        </w:tc>
        <w:tc>
          <w:tcPr>
            <w:tcW w:w="858" w:type="dxa"/>
            <w:shd w:val="clear" w:color="auto" w:fill="C5E0B3"/>
            <w:noWrap/>
            <w:hideMark/>
          </w:tcPr>
          <w:p w14:paraId="4B421F40" w14:textId="0B234F0E" w:rsidR="009A4D09" w:rsidRPr="009A4D09" w:rsidRDefault="009A4D09" w:rsidP="009A4D09">
            <w:pPr>
              <w:pStyle w:val="Tabele"/>
              <w:jc w:val="right"/>
              <w:rPr>
                <w:color w:val="auto"/>
              </w:rPr>
            </w:pPr>
            <w:r w:rsidRPr="009A4D09">
              <w:rPr>
                <w:color w:val="auto"/>
                <w:szCs w:val="16"/>
              </w:rPr>
              <w:t>1135</w:t>
            </w:r>
          </w:p>
        </w:tc>
        <w:tc>
          <w:tcPr>
            <w:tcW w:w="857" w:type="dxa"/>
            <w:shd w:val="clear" w:color="auto" w:fill="C5E0B3"/>
            <w:noWrap/>
            <w:hideMark/>
          </w:tcPr>
          <w:p w14:paraId="42B5B7B0" w14:textId="62974BD4" w:rsidR="009A4D09" w:rsidRPr="009A4D09" w:rsidRDefault="009A4D09" w:rsidP="009A4D09">
            <w:pPr>
              <w:pStyle w:val="Tabele"/>
              <w:jc w:val="right"/>
              <w:rPr>
                <w:color w:val="auto"/>
              </w:rPr>
            </w:pPr>
            <w:r w:rsidRPr="009A4D09">
              <w:rPr>
                <w:color w:val="auto"/>
                <w:szCs w:val="16"/>
              </w:rPr>
              <w:t>1170</w:t>
            </w:r>
          </w:p>
        </w:tc>
        <w:tc>
          <w:tcPr>
            <w:tcW w:w="858" w:type="dxa"/>
            <w:noWrap/>
            <w:hideMark/>
          </w:tcPr>
          <w:p w14:paraId="5054A1D2" w14:textId="2C0554F4" w:rsidR="009A4D09" w:rsidRPr="009A4D09" w:rsidRDefault="009A4D09" w:rsidP="009A4D09">
            <w:pPr>
              <w:pStyle w:val="Tabele"/>
              <w:jc w:val="right"/>
              <w:rPr>
                <w:color w:val="auto"/>
              </w:rPr>
            </w:pPr>
            <w:r w:rsidRPr="009A4D09">
              <w:rPr>
                <w:rFonts w:cs="Arial"/>
                <w:color w:val="auto"/>
                <w:szCs w:val="16"/>
              </w:rPr>
              <w:t>1024</w:t>
            </w:r>
          </w:p>
        </w:tc>
        <w:tc>
          <w:tcPr>
            <w:tcW w:w="857" w:type="dxa"/>
            <w:noWrap/>
            <w:hideMark/>
          </w:tcPr>
          <w:p w14:paraId="59D0C8AF" w14:textId="7B020D5F" w:rsidR="009A4D09" w:rsidRPr="009A4D09" w:rsidRDefault="009A4D09" w:rsidP="009A4D09">
            <w:pPr>
              <w:pStyle w:val="Tabele"/>
              <w:jc w:val="right"/>
              <w:rPr>
                <w:color w:val="auto"/>
              </w:rPr>
            </w:pPr>
            <w:r w:rsidRPr="009A4D09">
              <w:rPr>
                <w:rFonts w:cs="Arial"/>
                <w:color w:val="auto"/>
                <w:szCs w:val="16"/>
              </w:rPr>
              <w:t>886</w:t>
            </w:r>
          </w:p>
        </w:tc>
        <w:tc>
          <w:tcPr>
            <w:tcW w:w="857" w:type="dxa"/>
            <w:noWrap/>
            <w:hideMark/>
          </w:tcPr>
          <w:p w14:paraId="39AFC1C8" w14:textId="4ACB37FC" w:rsidR="009A4D09" w:rsidRPr="009A4D09" w:rsidRDefault="009A4D09" w:rsidP="009A4D09">
            <w:pPr>
              <w:pStyle w:val="Tabele"/>
              <w:jc w:val="right"/>
              <w:rPr>
                <w:color w:val="auto"/>
              </w:rPr>
            </w:pPr>
            <w:r w:rsidRPr="009A4D09">
              <w:rPr>
                <w:rFonts w:cs="Arial"/>
                <w:color w:val="auto"/>
                <w:szCs w:val="16"/>
              </w:rPr>
              <w:t>766</w:t>
            </w:r>
          </w:p>
        </w:tc>
        <w:tc>
          <w:tcPr>
            <w:tcW w:w="858" w:type="dxa"/>
          </w:tcPr>
          <w:p w14:paraId="26A9F830" w14:textId="4AD8F56B" w:rsidR="009A4D09" w:rsidRPr="009A4D09" w:rsidRDefault="009A4D09" w:rsidP="009A4D09">
            <w:pPr>
              <w:pStyle w:val="Tabele"/>
              <w:jc w:val="right"/>
              <w:rPr>
                <w:color w:val="auto"/>
              </w:rPr>
            </w:pPr>
            <w:r w:rsidRPr="009A4D09">
              <w:rPr>
                <w:rFonts w:cs="Arial"/>
                <w:color w:val="auto"/>
                <w:szCs w:val="16"/>
              </w:rPr>
              <w:t>723</w:t>
            </w:r>
          </w:p>
        </w:tc>
      </w:tr>
    </w:tbl>
    <w:p w14:paraId="12ED917C" w14:textId="2CBCE91A" w:rsidR="005C4144" w:rsidRPr="00DB48D3" w:rsidRDefault="005C4144" w:rsidP="00317ECB">
      <w:pPr>
        <w:pStyle w:val="Legenda"/>
      </w:pPr>
      <w:r w:rsidRPr="00DB48D3">
        <w:t>Źródło: Opracowanie własne ARE S</w:t>
      </w:r>
      <w:r>
        <w:t>.</w:t>
      </w:r>
      <w:r w:rsidRPr="00DB48D3">
        <w:t>A</w:t>
      </w:r>
      <w:r>
        <w:t>.</w:t>
      </w:r>
      <w:r w:rsidR="00B1363A" w:rsidRPr="00B1363A">
        <w:t xml:space="preserve"> </w:t>
      </w:r>
    </w:p>
    <w:p w14:paraId="3EF2F7D9" w14:textId="77777777" w:rsidR="005C4144" w:rsidRPr="00DB5D89" w:rsidRDefault="005C4144" w:rsidP="00797A1F">
      <w:pPr>
        <w:pStyle w:val="Nagwek2"/>
      </w:pPr>
      <w:bookmarkStart w:id="334" w:name="_Toc171587323"/>
      <w:bookmarkStart w:id="335" w:name="_Toc174710897"/>
      <w:bookmarkStart w:id="336" w:name="_Toc202966890"/>
      <w:r>
        <w:t>Wsad paliwowy w wytwarzanie energii elektrycznej i cieplnej</w:t>
      </w:r>
      <w:bookmarkEnd w:id="334"/>
      <w:bookmarkEnd w:id="335"/>
      <w:bookmarkEnd w:id="336"/>
    </w:p>
    <w:p w14:paraId="5BBD368E" w14:textId="7CA2CE19" w:rsidR="00330B81" w:rsidRPr="00DB48D3" w:rsidRDefault="005C4144" w:rsidP="005C4144">
      <w:pPr>
        <w:spacing w:after="120"/>
      </w:pPr>
      <w:bookmarkStart w:id="337" w:name="_Ref156558447"/>
      <w:r w:rsidRPr="00B51535">
        <w:t>W tabeli (</w:t>
      </w:r>
      <w:r w:rsidR="00067535">
        <w:fldChar w:fldCharType="begin"/>
      </w:r>
      <w:r w:rsidR="00067535">
        <w:instrText xml:space="preserve"> REF _Ref195871506 \h </w:instrText>
      </w:r>
      <w:r w:rsidR="00067535">
        <w:fldChar w:fldCharType="separate"/>
      </w:r>
      <w:r w:rsidR="00F27D6F">
        <w:t xml:space="preserve">Tabela </w:t>
      </w:r>
      <w:r w:rsidR="00F27D6F">
        <w:rPr>
          <w:noProof/>
        </w:rPr>
        <w:t>2</w:t>
      </w:r>
      <w:r w:rsidR="00F27D6F">
        <w:t>.</w:t>
      </w:r>
      <w:r w:rsidR="00F27D6F">
        <w:rPr>
          <w:noProof/>
        </w:rPr>
        <w:t>8</w:t>
      </w:r>
      <w:r w:rsidR="00067535">
        <w:fldChar w:fldCharType="end"/>
      </w:r>
      <w:r w:rsidRPr="00B51535">
        <w:t xml:space="preserve">) </w:t>
      </w:r>
      <w:r w:rsidR="008C16F9" w:rsidRPr="00B51535">
        <w:t>zilustrowano projekcje zużycia paliw na potrzeby wytwarzania energii elektrycznej</w:t>
      </w:r>
      <w:r w:rsidR="008C16F9">
        <w:t xml:space="preserve"> i </w:t>
      </w:r>
      <w:r w:rsidR="008C16F9" w:rsidRPr="00B51535">
        <w:t>ciepła</w:t>
      </w:r>
      <w:r w:rsidR="00076F68">
        <w:t xml:space="preserve"> do wszystkich odbiorców</w:t>
      </w:r>
      <w:r w:rsidR="008C16F9" w:rsidRPr="00B51535">
        <w:t>. Zaprezentowane wielkości zużycia dla okresu 2020-20</w:t>
      </w:r>
      <w:r w:rsidR="00865C6A">
        <w:t>4</w:t>
      </w:r>
      <w:r w:rsidR="008C16F9" w:rsidRPr="00B51535">
        <w:t>0 są pochodną wyznaczonej</w:t>
      </w:r>
      <w:r w:rsidR="008C16F9">
        <w:t xml:space="preserve"> w </w:t>
      </w:r>
      <w:r w:rsidR="008C16F9" w:rsidRPr="00B51535">
        <w:t>dedykowanym modelu (MESSAGE-PL)</w:t>
      </w:r>
      <w:r w:rsidR="008C16F9">
        <w:t xml:space="preserve"> </w:t>
      </w:r>
      <w:r w:rsidR="008C16F9" w:rsidRPr="00B51535">
        <w:t>optymalnej struktury mocy</w:t>
      </w:r>
      <w:r w:rsidR="008C16F9">
        <w:t xml:space="preserve"> i </w:t>
      </w:r>
      <w:r w:rsidR="008C16F9" w:rsidRPr="00B51535">
        <w:t>produkcji energii elektrycznej</w:t>
      </w:r>
      <w:r w:rsidR="008C16F9">
        <w:t xml:space="preserve"> i </w:t>
      </w:r>
      <w:r w:rsidR="008C16F9" w:rsidRPr="00B51535">
        <w:t>ciepła</w:t>
      </w:r>
      <w:r w:rsidR="008C16F9">
        <w:t xml:space="preserve"> w </w:t>
      </w:r>
      <w:r w:rsidR="008C16F9" w:rsidRPr="00B51535">
        <w:t>kraju. Kluczowym wnioskiem wypływającym</w:t>
      </w:r>
      <w:r w:rsidR="008C16F9">
        <w:t xml:space="preserve"> z </w:t>
      </w:r>
      <w:r w:rsidR="008C16F9" w:rsidRPr="00B51535">
        <w:t>otrzymanych wyników jest przewidywane stopniowe ograniczanie wykorzystania węgla (zarówno kamiennego</w:t>
      </w:r>
      <w:r w:rsidR="008C16F9">
        <w:t>,</w:t>
      </w:r>
      <w:r w:rsidR="008C16F9" w:rsidRPr="00B51535">
        <w:t xml:space="preserve"> jak</w:t>
      </w:r>
      <w:r w:rsidR="008C16F9">
        <w:t xml:space="preserve"> i </w:t>
      </w:r>
      <w:r w:rsidR="008C16F9" w:rsidRPr="00B51535">
        <w:t>brunatnego)</w:t>
      </w:r>
      <w:r w:rsidR="008C16F9">
        <w:t xml:space="preserve"> w </w:t>
      </w:r>
      <w:r w:rsidR="008C16F9" w:rsidRPr="00B51535">
        <w:t>sektorze elektroenergetyki</w:t>
      </w:r>
      <w:r w:rsidR="008C16F9">
        <w:t xml:space="preserve"> i </w:t>
      </w:r>
      <w:r w:rsidR="008C16F9" w:rsidRPr="00B51535">
        <w:t xml:space="preserve">ciepłownictwa, wymuszane głównie rosnącym kosztem zakupu uprawnień do emisji </w:t>
      </w:r>
      <w:r w:rsidR="008C16F9">
        <w:t>GHG</w:t>
      </w:r>
      <w:r w:rsidR="008C16F9" w:rsidRPr="00B51535">
        <w:t>, koniecznością trwałego odstawiania wyeksploatowanych</w:t>
      </w:r>
      <w:r w:rsidR="008C16F9">
        <w:t xml:space="preserve"> i najczęściej wysokoemisyjnych </w:t>
      </w:r>
      <w:r w:rsidR="008C16F9" w:rsidRPr="00B51535">
        <w:t>jednostek,</w:t>
      </w:r>
      <w:r w:rsidR="008C16F9">
        <w:t xml:space="preserve"> a </w:t>
      </w:r>
      <w:r w:rsidR="008C16F9" w:rsidRPr="00B51535">
        <w:t>także występowaniem innych niesprzyjających warunków</w:t>
      </w:r>
      <w:r w:rsidR="008C16F9">
        <w:t xml:space="preserve"> w </w:t>
      </w:r>
      <w:r w:rsidR="008C16F9" w:rsidRPr="00B51535">
        <w:t>otoczeniu regulacyjnym</w:t>
      </w:r>
      <w:r w:rsidR="008C16F9">
        <w:t xml:space="preserve"> i </w:t>
      </w:r>
      <w:r w:rsidR="008C16F9" w:rsidRPr="00B51535">
        <w:t xml:space="preserve">rynkowym dla jednostek wysokoemisyjnych. Odbywa się to </w:t>
      </w:r>
      <w:r w:rsidR="00677DB0">
        <w:t>na rzecz</w:t>
      </w:r>
      <w:r w:rsidR="008C16F9" w:rsidRPr="00B51535">
        <w:t xml:space="preserve"> zwiększania udziału paliw bezemisyjnych lub niskoemisyjnych (OZE, gaz</w:t>
      </w:r>
      <w:r w:rsidR="008C16F9">
        <w:t xml:space="preserve"> ziemny</w:t>
      </w:r>
      <w:r w:rsidR="008C16F9" w:rsidRPr="00B51535">
        <w:t xml:space="preserve">, energia jądrowa). </w:t>
      </w:r>
      <w:r w:rsidR="008C16F9">
        <w:t>I</w:t>
      </w:r>
      <w:r w:rsidR="008C16F9" w:rsidRPr="00B51535">
        <w:t xml:space="preserve">stotny spadek zużycia węgla następuje </w:t>
      </w:r>
      <w:r w:rsidR="008C16F9">
        <w:t>mniej więcej od</w:t>
      </w:r>
      <w:r w:rsidR="008C16F9" w:rsidRPr="00B51535">
        <w:t xml:space="preserve"> 2028</w:t>
      </w:r>
      <w:r w:rsidR="008C16F9">
        <w:t> r.</w:t>
      </w:r>
      <w:r w:rsidR="008C16F9" w:rsidRPr="00B51535">
        <w:t xml:space="preserve"> Założone</w:t>
      </w:r>
      <w:r w:rsidR="008C16F9">
        <w:t xml:space="preserve"> w </w:t>
      </w:r>
      <w:r w:rsidR="008C16F9" w:rsidRPr="00B51535">
        <w:t>modelu prognostycznym</w:t>
      </w:r>
      <w:r w:rsidR="008C16F9">
        <w:t>,</w:t>
      </w:r>
      <w:r w:rsidR="008C16F9" w:rsidRPr="00B51535">
        <w:t xml:space="preserve"> zgodnie</w:t>
      </w:r>
      <w:r w:rsidR="008C16F9">
        <w:t xml:space="preserve"> z </w:t>
      </w:r>
      <w:r w:rsidR="008C16F9" w:rsidRPr="00B51535">
        <w:t>rekomendacjami KE</w:t>
      </w:r>
      <w:r w:rsidR="008C16F9">
        <w:t>,</w:t>
      </w:r>
      <w:r w:rsidR="008C16F9" w:rsidRPr="00B51535">
        <w:t xml:space="preserve"> ceny uprawnień do emisji </w:t>
      </w:r>
      <w:r w:rsidR="008C16F9">
        <w:t>GHG</w:t>
      </w:r>
      <w:r w:rsidR="008C16F9" w:rsidRPr="00B51535">
        <w:t xml:space="preserve"> wzrastają istotnie</w:t>
      </w:r>
      <w:r w:rsidR="008C16F9">
        <w:t xml:space="preserve"> w </w:t>
      </w:r>
      <w:r w:rsidR="008C16F9" w:rsidRPr="00B51535">
        <w:t>tym okresie, co powoduje szybkie wypychanie</w:t>
      </w:r>
      <w:r w:rsidR="008C16F9">
        <w:t xml:space="preserve"> z </w:t>
      </w:r>
      <w:r w:rsidR="008C16F9" w:rsidRPr="00B51535">
        <w:t xml:space="preserve">krzywej merit order jednostek węglowych. Istotnym elementem niepewności uzyskanych wyników jest tutaj poziom cen uprawnień do emisji </w:t>
      </w:r>
      <w:r w:rsidR="008C16F9">
        <w:t>GHG</w:t>
      </w:r>
      <w:r w:rsidR="008C16F9" w:rsidRPr="00B51535">
        <w:t>.</w:t>
      </w:r>
    </w:p>
    <w:p w14:paraId="495C13B2" w14:textId="3610932F" w:rsidR="005C4144" w:rsidRPr="00DB48D3" w:rsidRDefault="005C4144" w:rsidP="005C4144">
      <w:pPr>
        <w:pStyle w:val="Legenda"/>
      </w:pPr>
      <w:bookmarkStart w:id="338" w:name="_Ref158371892"/>
      <w:bookmarkStart w:id="339" w:name="_Ref195871506"/>
      <w:bookmarkStart w:id="340" w:name="_Toc171587196"/>
      <w:bookmarkStart w:id="341" w:name="_Toc174710980"/>
      <w:bookmarkStart w:id="342" w:name="_Toc202966983"/>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8</w:t>
      </w:r>
      <w:r w:rsidR="00653D9A">
        <w:rPr>
          <w:noProof/>
        </w:rPr>
        <w:fldChar w:fldCharType="end"/>
      </w:r>
      <w:bookmarkEnd w:id="337"/>
      <w:bookmarkEnd w:id="338"/>
      <w:bookmarkEnd w:id="339"/>
      <w:r>
        <w:t xml:space="preserve">. </w:t>
      </w:r>
      <w:r w:rsidRPr="00DB48D3">
        <w:rPr>
          <w:iCs w:val="0"/>
        </w:rPr>
        <w:t>Wsad paliwowy na potrzeby wytwarzania energii elektrycznej</w:t>
      </w:r>
      <w:r>
        <w:rPr>
          <w:iCs w:val="0"/>
        </w:rPr>
        <w:t xml:space="preserve"> i </w:t>
      </w:r>
      <w:r w:rsidRPr="00DB48D3">
        <w:rPr>
          <w:iCs w:val="0"/>
        </w:rPr>
        <w:t xml:space="preserve">cieplnej </w:t>
      </w:r>
      <w:r w:rsidR="00356BF1">
        <w:rPr>
          <w:iCs w:val="0"/>
        </w:rPr>
        <w:t>do wszystkich odbiorców</w:t>
      </w:r>
      <w:r w:rsidRPr="00DB48D3">
        <w:rPr>
          <w:iCs w:val="0"/>
        </w:rPr>
        <w:t xml:space="preserve"> [ktoe]</w:t>
      </w:r>
      <w:bookmarkEnd w:id="340"/>
      <w:bookmarkEnd w:id="341"/>
      <w:bookmarkEnd w:id="342"/>
    </w:p>
    <w:tbl>
      <w:tblPr>
        <w:tblStyle w:val="KPEiK"/>
        <w:tblW w:w="5000" w:type="pct"/>
        <w:tblLayout w:type="fixed"/>
        <w:tblLook w:val="04A0" w:firstRow="1" w:lastRow="0" w:firstColumn="1" w:lastColumn="0" w:noHBand="0" w:noVBand="1"/>
      </w:tblPr>
      <w:tblGrid>
        <w:gridCol w:w="1530"/>
        <w:gridCol w:w="1316"/>
        <w:gridCol w:w="777"/>
        <w:gridCol w:w="777"/>
        <w:gridCol w:w="777"/>
        <w:gridCol w:w="777"/>
        <w:gridCol w:w="777"/>
        <w:gridCol w:w="777"/>
        <w:gridCol w:w="777"/>
        <w:gridCol w:w="777"/>
      </w:tblGrid>
      <w:tr w:rsidR="00B12D21" w:rsidRPr="00DB48D3" w14:paraId="4B595825" w14:textId="77777777" w:rsidTr="008F0C02">
        <w:trPr>
          <w:cnfStyle w:val="100000000000" w:firstRow="1" w:lastRow="0" w:firstColumn="0" w:lastColumn="0" w:oddVBand="0" w:evenVBand="0" w:oddHBand="0" w:evenHBand="0" w:firstRowFirstColumn="0" w:firstRowLastColumn="0" w:lastRowFirstColumn="0" w:lastRowLastColumn="0"/>
          <w:trHeight w:val="227"/>
          <w:tblHeader/>
        </w:trPr>
        <w:tc>
          <w:tcPr>
            <w:tcW w:w="1536" w:type="dxa"/>
          </w:tcPr>
          <w:p w14:paraId="51F96E1E" w14:textId="77777777" w:rsidR="008F0C02" w:rsidRPr="00DB48D3" w:rsidRDefault="008F0C02">
            <w:pPr>
              <w:pStyle w:val="Tabele"/>
              <w:jc w:val="center"/>
              <w:rPr>
                <w:b w:val="0"/>
              </w:rPr>
            </w:pPr>
          </w:p>
        </w:tc>
        <w:tc>
          <w:tcPr>
            <w:tcW w:w="1321" w:type="dxa"/>
            <w:noWrap/>
            <w:hideMark/>
          </w:tcPr>
          <w:p w14:paraId="69025315" w14:textId="77777777" w:rsidR="008F0C02" w:rsidRPr="00DB48D3" w:rsidRDefault="008F0C02">
            <w:pPr>
              <w:pStyle w:val="Tabele"/>
              <w:jc w:val="center"/>
              <w:rPr>
                <w:b w:val="0"/>
              </w:rPr>
            </w:pPr>
          </w:p>
        </w:tc>
        <w:tc>
          <w:tcPr>
            <w:tcW w:w="779" w:type="dxa"/>
            <w:noWrap/>
            <w:hideMark/>
          </w:tcPr>
          <w:p w14:paraId="193A32D5" w14:textId="77777777" w:rsidR="008F0C02" w:rsidRPr="00DB48D3" w:rsidRDefault="008F0C02">
            <w:pPr>
              <w:pStyle w:val="Tabele"/>
              <w:jc w:val="center"/>
              <w:rPr>
                <w:b w:val="0"/>
              </w:rPr>
            </w:pPr>
            <w:r w:rsidRPr="00DB48D3">
              <w:t>2005</w:t>
            </w:r>
          </w:p>
        </w:tc>
        <w:tc>
          <w:tcPr>
            <w:tcW w:w="779" w:type="dxa"/>
            <w:noWrap/>
            <w:hideMark/>
          </w:tcPr>
          <w:p w14:paraId="68BCE5ED" w14:textId="77777777" w:rsidR="008F0C02" w:rsidRPr="00DB48D3" w:rsidRDefault="008F0C02">
            <w:pPr>
              <w:pStyle w:val="Tabele"/>
              <w:jc w:val="center"/>
              <w:rPr>
                <w:b w:val="0"/>
              </w:rPr>
            </w:pPr>
            <w:r w:rsidRPr="00DB48D3">
              <w:t>2010</w:t>
            </w:r>
          </w:p>
        </w:tc>
        <w:tc>
          <w:tcPr>
            <w:tcW w:w="779" w:type="dxa"/>
            <w:noWrap/>
            <w:hideMark/>
          </w:tcPr>
          <w:p w14:paraId="31CD990E" w14:textId="77777777" w:rsidR="008F0C02" w:rsidRPr="00DB48D3" w:rsidRDefault="008F0C02">
            <w:pPr>
              <w:pStyle w:val="Tabele"/>
              <w:jc w:val="center"/>
              <w:rPr>
                <w:b w:val="0"/>
              </w:rPr>
            </w:pPr>
            <w:r w:rsidRPr="00DB48D3">
              <w:t>2015</w:t>
            </w:r>
          </w:p>
        </w:tc>
        <w:tc>
          <w:tcPr>
            <w:tcW w:w="779" w:type="dxa"/>
            <w:noWrap/>
            <w:hideMark/>
          </w:tcPr>
          <w:p w14:paraId="37756D67" w14:textId="77777777" w:rsidR="008F0C02" w:rsidRPr="00DB48D3" w:rsidRDefault="008F0C02">
            <w:pPr>
              <w:pStyle w:val="Tabele"/>
              <w:jc w:val="center"/>
              <w:rPr>
                <w:b w:val="0"/>
              </w:rPr>
            </w:pPr>
            <w:r w:rsidRPr="00DB48D3">
              <w:t>2020</w:t>
            </w:r>
          </w:p>
        </w:tc>
        <w:tc>
          <w:tcPr>
            <w:tcW w:w="779" w:type="dxa"/>
            <w:noWrap/>
            <w:hideMark/>
          </w:tcPr>
          <w:p w14:paraId="2EF2CE8D" w14:textId="77777777" w:rsidR="008F0C02" w:rsidRPr="00DB48D3" w:rsidRDefault="008F0C02">
            <w:pPr>
              <w:pStyle w:val="Tabele"/>
              <w:jc w:val="center"/>
              <w:rPr>
                <w:b w:val="0"/>
              </w:rPr>
            </w:pPr>
            <w:r w:rsidRPr="00DB48D3">
              <w:t>2025</w:t>
            </w:r>
          </w:p>
        </w:tc>
        <w:tc>
          <w:tcPr>
            <w:tcW w:w="779" w:type="dxa"/>
            <w:noWrap/>
            <w:hideMark/>
          </w:tcPr>
          <w:p w14:paraId="33EAD1AA" w14:textId="77777777" w:rsidR="008F0C02" w:rsidRPr="00DB48D3" w:rsidRDefault="008F0C02">
            <w:pPr>
              <w:pStyle w:val="Tabele"/>
              <w:jc w:val="center"/>
              <w:rPr>
                <w:b w:val="0"/>
              </w:rPr>
            </w:pPr>
            <w:r w:rsidRPr="00DB48D3">
              <w:t>2030</w:t>
            </w:r>
          </w:p>
        </w:tc>
        <w:tc>
          <w:tcPr>
            <w:tcW w:w="779" w:type="dxa"/>
            <w:noWrap/>
            <w:hideMark/>
          </w:tcPr>
          <w:p w14:paraId="527A2373" w14:textId="77777777" w:rsidR="008F0C02" w:rsidRPr="00DB48D3" w:rsidRDefault="008F0C02">
            <w:pPr>
              <w:pStyle w:val="Tabele"/>
              <w:jc w:val="center"/>
              <w:rPr>
                <w:b w:val="0"/>
              </w:rPr>
            </w:pPr>
            <w:r w:rsidRPr="00DB48D3">
              <w:t>2035</w:t>
            </w:r>
          </w:p>
        </w:tc>
        <w:tc>
          <w:tcPr>
            <w:tcW w:w="779" w:type="dxa"/>
            <w:noWrap/>
            <w:hideMark/>
          </w:tcPr>
          <w:p w14:paraId="32AED190" w14:textId="77777777" w:rsidR="008F0C02" w:rsidRPr="00DB48D3" w:rsidRDefault="008F0C02">
            <w:pPr>
              <w:pStyle w:val="Tabele"/>
              <w:jc w:val="center"/>
              <w:rPr>
                <w:b w:val="0"/>
              </w:rPr>
            </w:pPr>
            <w:r w:rsidRPr="00DB48D3">
              <w:t>2040</w:t>
            </w:r>
          </w:p>
        </w:tc>
      </w:tr>
      <w:tr w:rsidR="008F0C02" w:rsidRPr="00DB48D3" w14:paraId="08D523E4" w14:textId="77777777" w:rsidTr="008F0C02">
        <w:trPr>
          <w:trHeight w:val="227"/>
        </w:trPr>
        <w:tc>
          <w:tcPr>
            <w:tcW w:w="1536" w:type="dxa"/>
            <w:vMerge w:val="restart"/>
          </w:tcPr>
          <w:p w14:paraId="3D9753EA" w14:textId="77777777" w:rsidR="008F0C02" w:rsidRPr="008F0C02" w:rsidRDefault="008F0C02">
            <w:pPr>
              <w:pStyle w:val="Tabele"/>
              <w:rPr>
                <w:b/>
                <w:bCs/>
                <w:color w:val="auto"/>
              </w:rPr>
            </w:pPr>
            <w:r w:rsidRPr="008F0C02">
              <w:rPr>
                <w:b/>
                <w:bCs/>
                <w:color w:val="auto"/>
              </w:rPr>
              <w:t>Elektrownie</w:t>
            </w:r>
          </w:p>
        </w:tc>
        <w:tc>
          <w:tcPr>
            <w:tcW w:w="1321" w:type="dxa"/>
            <w:noWrap/>
            <w:hideMark/>
          </w:tcPr>
          <w:p w14:paraId="717B14FE" w14:textId="77777777" w:rsidR="008F0C02" w:rsidRPr="008F0C02" w:rsidRDefault="008F0C02">
            <w:pPr>
              <w:pStyle w:val="Tabele"/>
              <w:rPr>
                <w:color w:val="auto"/>
              </w:rPr>
            </w:pPr>
            <w:r w:rsidRPr="008F0C02">
              <w:rPr>
                <w:color w:val="auto"/>
              </w:rPr>
              <w:t>Węgiel</w:t>
            </w:r>
          </w:p>
        </w:tc>
        <w:tc>
          <w:tcPr>
            <w:tcW w:w="779" w:type="dxa"/>
            <w:shd w:val="clear" w:color="auto" w:fill="C5E0B3"/>
            <w:noWrap/>
            <w:hideMark/>
          </w:tcPr>
          <w:p w14:paraId="19E13E13" w14:textId="77777777" w:rsidR="008F0C02" w:rsidRPr="008F0C02" w:rsidRDefault="008F0C02">
            <w:pPr>
              <w:pStyle w:val="Tabele"/>
              <w:jc w:val="right"/>
              <w:rPr>
                <w:color w:val="auto"/>
              </w:rPr>
            </w:pPr>
            <w:r w:rsidRPr="008F0C02">
              <w:rPr>
                <w:color w:val="auto"/>
                <w:szCs w:val="16"/>
              </w:rPr>
              <w:t>2 265</w:t>
            </w:r>
          </w:p>
        </w:tc>
        <w:tc>
          <w:tcPr>
            <w:tcW w:w="779" w:type="dxa"/>
            <w:shd w:val="clear" w:color="auto" w:fill="C5E0B3"/>
            <w:noWrap/>
            <w:hideMark/>
          </w:tcPr>
          <w:p w14:paraId="711724A8" w14:textId="77777777" w:rsidR="008F0C02" w:rsidRPr="008F0C02" w:rsidRDefault="008F0C02">
            <w:pPr>
              <w:pStyle w:val="Tabele"/>
              <w:jc w:val="right"/>
              <w:rPr>
                <w:color w:val="auto"/>
              </w:rPr>
            </w:pPr>
            <w:r w:rsidRPr="008F0C02">
              <w:rPr>
                <w:color w:val="auto"/>
                <w:szCs w:val="16"/>
              </w:rPr>
              <w:t>1 118</w:t>
            </w:r>
          </w:p>
        </w:tc>
        <w:tc>
          <w:tcPr>
            <w:tcW w:w="779" w:type="dxa"/>
            <w:shd w:val="clear" w:color="auto" w:fill="C5E0B3"/>
            <w:noWrap/>
            <w:hideMark/>
          </w:tcPr>
          <w:p w14:paraId="1FE6455B" w14:textId="77777777" w:rsidR="008F0C02" w:rsidRPr="008F0C02" w:rsidRDefault="008F0C02">
            <w:pPr>
              <w:pStyle w:val="Tabele"/>
              <w:jc w:val="right"/>
              <w:rPr>
                <w:color w:val="auto"/>
              </w:rPr>
            </w:pPr>
            <w:r w:rsidRPr="008F0C02">
              <w:rPr>
                <w:color w:val="auto"/>
                <w:szCs w:val="16"/>
              </w:rPr>
              <w:t>507</w:t>
            </w:r>
          </w:p>
        </w:tc>
        <w:tc>
          <w:tcPr>
            <w:tcW w:w="779" w:type="dxa"/>
            <w:shd w:val="clear" w:color="auto" w:fill="C5E0B3"/>
            <w:noWrap/>
            <w:hideMark/>
          </w:tcPr>
          <w:p w14:paraId="5FFF8581" w14:textId="77777777" w:rsidR="008F0C02" w:rsidRPr="008F0C02" w:rsidRDefault="008F0C02">
            <w:pPr>
              <w:pStyle w:val="Tabele"/>
              <w:jc w:val="right"/>
              <w:rPr>
                <w:color w:val="auto"/>
              </w:rPr>
            </w:pPr>
            <w:r w:rsidRPr="008F0C02">
              <w:rPr>
                <w:color w:val="auto"/>
                <w:szCs w:val="16"/>
              </w:rPr>
              <w:t>776</w:t>
            </w:r>
          </w:p>
        </w:tc>
        <w:tc>
          <w:tcPr>
            <w:tcW w:w="779" w:type="dxa"/>
            <w:noWrap/>
            <w:hideMark/>
          </w:tcPr>
          <w:p w14:paraId="68B190B5" w14:textId="77777777" w:rsidR="008F0C02" w:rsidRPr="008F0C02" w:rsidRDefault="008F0C02">
            <w:pPr>
              <w:pStyle w:val="Tabele"/>
              <w:jc w:val="right"/>
              <w:rPr>
                <w:color w:val="auto"/>
              </w:rPr>
            </w:pPr>
            <w:r w:rsidRPr="008F0C02">
              <w:rPr>
                <w:rFonts w:cs="Arial"/>
                <w:color w:val="auto"/>
                <w:szCs w:val="16"/>
              </w:rPr>
              <w:t>387</w:t>
            </w:r>
          </w:p>
        </w:tc>
        <w:tc>
          <w:tcPr>
            <w:tcW w:w="779" w:type="dxa"/>
            <w:noWrap/>
            <w:hideMark/>
          </w:tcPr>
          <w:p w14:paraId="7F0970B4" w14:textId="77777777" w:rsidR="008F0C02" w:rsidRPr="008F0C02" w:rsidRDefault="008F0C02">
            <w:pPr>
              <w:pStyle w:val="Tabele"/>
              <w:jc w:val="right"/>
              <w:rPr>
                <w:color w:val="auto"/>
              </w:rPr>
            </w:pPr>
            <w:r w:rsidRPr="008F0C02">
              <w:rPr>
                <w:rFonts w:cs="Arial"/>
                <w:color w:val="auto"/>
                <w:szCs w:val="16"/>
              </w:rPr>
              <w:t>0</w:t>
            </w:r>
          </w:p>
        </w:tc>
        <w:tc>
          <w:tcPr>
            <w:tcW w:w="779" w:type="dxa"/>
            <w:noWrap/>
            <w:hideMark/>
          </w:tcPr>
          <w:p w14:paraId="28359A62" w14:textId="77777777" w:rsidR="008F0C02" w:rsidRPr="008F0C02" w:rsidRDefault="008F0C02">
            <w:pPr>
              <w:pStyle w:val="Tabele"/>
              <w:jc w:val="right"/>
              <w:rPr>
                <w:color w:val="auto"/>
              </w:rPr>
            </w:pPr>
            <w:r w:rsidRPr="008F0C02">
              <w:rPr>
                <w:rFonts w:cs="Arial"/>
                <w:color w:val="auto"/>
                <w:szCs w:val="16"/>
              </w:rPr>
              <w:t>0</w:t>
            </w:r>
          </w:p>
        </w:tc>
        <w:tc>
          <w:tcPr>
            <w:tcW w:w="779" w:type="dxa"/>
            <w:noWrap/>
            <w:hideMark/>
          </w:tcPr>
          <w:p w14:paraId="2B707825" w14:textId="77777777" w:rsidR="008F0C02" w:rsidRPr="008F0C02" w:rsidRDefault="008F0C02">
            <w:pPr>
              <w:pStyle w:val="Tabele"/>
              <w:jc w:val="right"/>
              <w:rPr>
                <w:color w:val="auto"/>
              </w:rPr>
            </w:pPr>
            <w:r w:rsidRPr="008F0C02">
              <w:rPr>
                <w:rFonts w:cs="Arial"/>
                <w:color w:val="auto"/>
                <w:szCs w:val="16"/>
              </w:rPr>
              <w:t>0</w:t>
            </w:r>
          </w:p>
        </w:tc>
      </w:tr>
      <w:tr w:rsidR="008F0C02" w:rsidRPr="00DB48D3" w14:paraId="11129451" w14:textId="77777777" w:rsidTr="008F0C02">
        <w:trPr>
          <w:trHeight w:val="227"/>
        </w:trPr>
        <w:tc>
          <w:tcPr>
            <w:tcW w:w="1536" w:type="dxa"/>
            <w:vMerge/>
          </w:tcPr>
          <w:p w14:paraId="73CE88B7" w14:textId="77777777" w:rsidR="008F0C02" w:rsidRPr="008F0C02" w:rsidRDefault="008F0C02">
            <w:pPr>
              <w:pStyle w:val="Tabele"/>
              <w:rPr>
                <w:b/>
                <w:bCs/>
                <w:color w:val="auto"/>
              </w:rPr>
            </w:pPr>
          </w:p>
        </w:tc>
        <w:tc>
          <w:tcPr>
            <w:tcW w:w="1321" w:type="dxa"/>
            <w:noWrap/>
            <w:hideMark/>
          </w:tcPr>
          <w:p w14:paraId="555FB8BC" w14:textId="77777777" w:rsidR="008F0C02" w:rsidRPr="008F0C02" w:rsidRDefault="008F0C02">
            <w:pPr>
              <w:pStyle w:val="Tabele"/>
              <w:rPr>
                <w:color w:val="auto"/>
              </w:rPr>
            </w:pPr>
            <w:r w:rsidRPr="008F0C02">
              <w:rPr>
                <w:color w:val="auto"/>
              </w:rPr>
              <w:t>Produkty naftowe</w:t>
            </w:r>
          </w:p>
        </w:tc>
        <w:tc>
          <w:tcPr>
            <w:tcW w:w="779" w:type="dxa"/>
            <w:shd w:val="clear" w:color="auto" w:fill="C5E0B3"/>
            <w:noWrap/>
            <w:hideMark/>
          </w:tcPr>
          <w:p w14:paraId="543EDFA2" w14:textId="77777777" w:rsidR="008F0C02" w:rsidRPr="008F0C02" w:rsidRDefault="008F0C02">
            <w:pPr>
              <w:pStyle w:val="Tabele"/>
              <w:jc w:val="right"/>
              <w:rPr>
                <w:color w:val="auto"/>
              </w:rPr>
            </w:pPr>
            <w:r w:rsidRPr="008F0C02">
              <w:rPr>
                <w:color w:val="auto"/>
                <w:szCs w:val="16"/>
              </w:rPr>
              <w:t>10</w:t>
            </w:r>
          </w:p>
        </w:tc>
        <w:tc>
          <w:tcPr>
            <w:tcW w:w="779" w:type="dxa"/>
            <w:shd w:val="clear" w:color="auto" w:fill="C5E0B3"/>
            <w:noWrap/>
            <w:hideMark/>
          </w:tcPr>
          <w:p w14:paraId="0B1633CE" w14:textId="77777777" w:rsidR="008F0C02" w:rsidRPr="008F0C02" w:rsidRDefault="008F0C02">
            <w:pPr>
              <w:pStyle w:val="Tabele"/>
              <w:jc w:val="right"/>
              <w:rPr>
                <w:color w:val="auto"/>
              </w:rPr>
            </w:pPr>
            <w:r w:rsidRPr="008F0C02">
              <w:rPr>
                <w:color w:val="auto"/>
                <w:szCs w:val="16"/>
              </w:rPr>
              <w:t>4</w:t>
            </w:r>
          </w:p>
        </w:tc>
        <w:tc>
          <w:tcPr>
            <w:tcW w:w="779" w:type="dxa"/>
            <w:shd w:val="clear" w:color="auto" w:fill="C5E0B3"/>
            <w:noWrap/>
            <w:hideMark/>
          </w:tcPr>
          <w:p w14:paraId="6DCE132A" w14:textId="77777777" w:rsidR="008F0C02" w:rsidRPr="008F0C02" w:rsidRDefault="008F0C02">
            <w:pPr>
              <w:pStyle w:val="Tabele"/>
              <w:jc w:val="right"/>
              <w:rPr>
                <w:color w:val="auto"/>
              </w:rPr>
            </w:pPr>
            <w:r w:rsidRPr="008F0C02">
              <w:rPr>
                <w:color w:val="auto"/>
                <w:szCs w:val="16"/>
              </w:rPr>
              <w:t>1</w:t>
            </w:r>
          </w:p>
        </w:tc>
        <w:tc>
          <w:tcPr>
            <w:tcW w:w="779" w:type="dxa"/>
            <w:shd w:val="clear" w:color="auto" w:fill="C5E0B3"/>
            <w:noWrap/>
            <w:hideMark/>
          </w:tcPr>
          <w:p w14:paraId="15C22E58" w14:textId="77777777" w:rsidR="008F0C02" w:rsidRPr="008F0C02" w:rsidRDefault="008F0C02">
            <w:pPr>
              <w:pStyle w:val="Tabele"/>
              <w:jc w:val="right"/>
              <w:rPr>
                <w:color w:val="auto"/>
              </w:rPr>
            </w:pPr>
            <w:r w:rsidRPr="008F0C02">
              <w:rPr>
                <w:color w:val="auto"/>
                <w:szCs w:val="16"/>
              </w:rPr>
              <w:t>11</w:t>
            </w:r>
          </w:p>
        </w:tc>
        <w:tc>
          <w:tcPr>
            <w:tcW w:w="779" w:type="dxa"/>
            <w:noWrap/>
            <w:hideMark/>
          </w:tcPr>
          <w:p w14:paraId="557891A7" w14:textId="77777777" w:rsidR="008F0C02" w:rsidRPr="008F0C02" w:rsidRDefault="008F0C02">
            <w:pPr>
              <w:pStyle w:val="Tabele"/>
              <w:jc w:val="right"/>
              <w:rPr>
                <w:color w:val="auto"/>
              </w:rPr>
            </w:pPr>
            <w:r w:rsidRPr="008F0C02">
              <w:rPr>
                <w:rFonts w:cs="Arial"/>
                <w:color w:val="auto"/>
                <w:szCs w:val="16"/>
              </w:rPr>
              <w:t>4</w:t>
            </w:r>
          </w:p>
        </w:tc>
        <w:tc>
          <w:tcPr>
            <w:tcW w:w="779" w:type="dxa"/>
            <w:noWrap/>
            <w:hideMark/>
          </w:tcPr>
          <w:p w14:paraId="0D78898A" w14:textId="77777777" w:rsidR="008F0C02" w:rsidRPr="008F0C02" w:rsidRDefault="008F0C02">
            <w:pPr>
              <w:pStyle w:val="Tabele"/>
              <w:jc w:val="right"/>
              <w:rPr>
                <w:color w:val="auto"/>
              </w:rPr>
            </w:pPr>
            <w:r w:rsidRPr="008F0C02">
              <w:rPr>
                <w:rFonts w:cs="Arial"/>
                <w:color w:val="auto"/>
                <w:szCs w:val="16"/>
              </w:rPr>
              <w:t>3</w:t>
            </w:r>
          </w:p>
        </w:tc>
        <w:tc>
          <w:tcPr>
            <w:tcW w:w="779" w:type="dxa"/>
            <w:noWrap/>
            <w:hideMark/>
          </w:tcPr>
          <w:p w14:paraId="64412CC0" w14:textId="77777777" w:rsidR="008F0C02" w:rsidRPr="008F0C02" w:rsidRDefault="008F0C02">
            <w:pPr>
              <w:pStyle w:val="Tabele"/>
              <w:jc w:val="right"/>
              <w:rPr>
                <w:color w:val="auto"/>
              </w:rPr>
            </w:pPr>
            <w:r w:rsidRPr="008F0C02">
              <w:rPr>
                <w:rFonts w:cs="Arial"/>
                <w:color w:val="auto"/>
                <w:szCs w:val="16"/>
              </w:rPr>
              <w:t>2</w:t>
            </w:r>
          </w:p>
        </w:tc>
        <w:tc>
          <w:tcPr>
            <w:tcW w:w="779" w:type="dxa"/>
            <w:noWrap/>
            <w:hideMark/>
          </w:tcPr>
          <w:p w14:paraId="335EB5BD" w14:textId="77777777" w:rsidR="008F0C02" w:rsidRPr="008F0C02" w:rsidRDefault="008F0C02">
            <w:pPr>
              <w:pStyle w:val="Tabele"/>
              <w:jc w:val="right"/>
              <w:rPr>
                <w:color w:val="auto"/>
              </w:rPr>
            </w:pPr>
            <w:r w:rsidRPr="008F0C02">
              <w:rPr>
                <w:rFonts w:cs="Arial"/>
                <w:color w:val="auto"/>
                <w:szCs w:val="16"/>
              </w:rPr>
              <w:t>0</w:t>
            </w:r>
          </w:p>
        </w:tc>
      </w:tr>
      <w:tr w:rsidR="008F0C02" w:rsidRPr="00DB48D3" w14:paraId="0F0578B8" w14:textId="77777777" w:rsidTr="008F0C02">
        <w:trPr>
          <w:trHeight w:val="227"/>
        </w:trPr>
        <w:tc>
          <w:tcPr>
            <w:tcW w:w="1536" w:type="dxa"/>
            <w:vMerge/>
          </w:tcPr>
          <w:p w14:paraId="10D0B1C2" w14:textId="77777777" w:rsidR="008F0C02" w:rsidRPr="008F0C02" w:rsidRDefault="008F0C02">
            <w:pPr>
              <w:pStyle w:val="Tabele"/>
              <w:rPr>
                <w:b/>
                <w:bCs/>
                <w:color w:val="auto"/>
              </w:rPr>
            </w:pPr>
          </w:p>
        </w:tc>
        <w:tc>
          <w:tcPr>
            <w:tcW w:w="1321" w:type="dxa"/>
            <w:noWrap/>
            <w:hideMark/>
          </w:tcPr>
          <w:p w14:paraId="31401A26" w14:textId="77777777" w:rsidR="008F0C02" w:rsidRPr="008F0C02" w:rsidRDefault="008F0C02">
            <w:pPr>
              <w:pStyle w:val="Tabele"/>
              <w:rPr>
                <w:color w:val="auto"/>
              </w:rPr>
            </w:pPr>
            <w:r w:rsidRPr="008F0C02">
              <w:rPr>
                <w:color w:val="auto"/>
              </w:rPr>
              <w:t>Gaz</w:t>
            </w:r>
          </w:p>
        </w:tc>
        <w:tc>
          <w:tcPr>
            <w:tcW w:w="779" w:type="dxa"/>
            <w:shd w:val="clear" w:color="auto" w:fill="C5E0B3"/>
            <w:noWrap/>
            <w:hideMark/>
          </w:tcPr>
          <w:p w14:paraId="0337DFE7" w14:textId="77777777" w:rsidR="008F0C02" w:rsidRPr="008F0C02" w:rsidRDefault="008F0C02">
            <w:pPr>
              <w:pStyle w:val="Tabele"/>
              <w:jc w:val="right"/>
              <w:rPr>
                <w:color w:val="auto"/>
              </w:rPr>
            </w:pPr>
            <w:r w:rsidRPr="008F0C02">
              <w:rPr>
                <w:color w:val="auto"/>
                <w:szCs w:val="16"/>
              </w:rPr>
              <w:t>1</w:t>
            </w:r>
          </w:p>
        </w:tc>
        <w:tc>
          <w:tcPr>
            <w:tcW w:w="779" w:type="dxa"/>
            <w:shd w:val="clear" w:color="auto" w:fill="C5E0B3"/>
            <w:noWrap/>
            <w:hideMark/>
          </w:tcPr>
          <w:p w14:paraId="119547F5" w14:textId="77777777" w:rsidR="008F0C02" w:rsidRPr="008F0C02" w:rsidRDefault="008F0C02">
            <w:pPr>
              <w:pStyle w:val="Tabele"/>
              <w:jc w:val="right"/>
              <w:rPr>
                <w:color w:val="auto"/>
              </w:rPr>
            </w:pPr>
            <w:r w:rsidRPr="008F0C02">
              <w:rPr>
                <w:color w:val="auto"/>
                <w:szCs w:val="16"/>
              </w:rPr>
              <w:t>0</w:t>
            </w:r>
          </w:p>
        </w:tc>
        <w:tc>
          <w:tcPr>
            <w:tcW w:w="779" w:type="dxa"/>
            <w:shd w:val="clear" w:color="auto" w:fill="C5E0B3"/>
            <w:noWrap/>
            <w:hideMark/>
          </w:tcPr>
          <w:p w14:paraId="26F64DD6" w14:textId="77777777" w:rsidR="008F0C02" w:rsidRPr="008F0C02" w:rsidRDefault="008F0C02">
            <w:pPr>
              <w:pStyle w:val="Tabele"/>
              <w:jc w:val="right"/>
              <w:rPr>
                <w:color w:val="auto"/>
              </w:rPr>
            </w:pPr>
            <w:r w:rsidRPr="008F0C02">
              <w:rPr>
                <w:color w:val="auto"/>
                <w:szCs w:val="16"/>
              </w:rPr>
              <w:t>0</w:t>
            </w:r>
          </w:p>
        </w:tc>
        <w:tc>
          <w:tcPr>
            <w:tcW w:w="779" w:type="dxa"/>
            <w:shd w:val="clear" w:color="auto" w:fill="C5E0B3"/>
            <w:noWrap/>
            <w:hideMark/>
          </w:tcPr>
          <w:p w14:paraId="5214CE54" w14:textId="77777777" w:rsidR="008F0C02" w:rsidRPr="008F0C02" w:rsidRDefault="008F0C02">
            <w:pPr>
              <w:pStyle w:val="Tabele"/>
              <w:jc w:val="right"/>
              <w:rPr>
                <w:color w:val="auto"/>
              </w:rPr>
            </w:pPr>
            <w:r w:rsidRPr="008F0C02">
              <w:rPr>
                <w:color w:val="auto"/>
                <w:szCs w:val="16"/>
              </w:rPr>
              <w:t>0</w:t>
            </w:r>
          </w:p>
        </w:tc>
        <w:tc>
          <w:tcPr>
            <w:tcW w:w="779" w:type="dxa"/>
            <w:noWrap/>
            <w:hideMark/>
          </w:tcPr>
          <w:p w14:paraId="033C4037" w14:textId="77777777" w:rsidR="008F0C02" w:rsidRPr="008F0C02" w:rsidRDefault="008F0C02">
            <w:pPr>
              <w:pStyle w:val="Tabele"/>
              <w:jc w:val="right"/>
              <w:rPr>
                <w:color w:val="auto"/>
              </w:rPr>
            </w:pPr>
            <w:r w:rsidRPr="008F0C02">
              <w:rPr>
                <w:rFonts w:cs="Arial"/>
                <w:color w:val="auto"/>
                <w:szCs w:val="16"/>
              </w:rPr>
              <w:t>589</w:t>
            </w:r>
          </w:p>
        </w:tc>
        <w:tc>
          <w:tcPr>
            <w:tcW w:w="779" w:type="dxa"/>
            <w:noWrap/>
            <w:hideMark/>
          </w:tcPr>
          <w:p w14:paraId="39782D56" w14:textId="77777777" w:rsidR="008F0C02" w:rsidRPr="008F0C02" w:rsidRDefault="008F0C02">
            <w:pPr>
              <w:pStyle w:val="Tabele"/>
              <w:jc w:val="right"/>
              <w:rPr>
                <w:color w:val="auto"/>
              </w:rPr>
            </w:pPr>
            <w:r w:rsidRPr="008F0C02">
              <w:rPr>
                <w:rFonts w:cs="Arial"/>
                <w:color w:val="auto"/>
                <w:szCs w:val="16"/>
              </w:rPr>
              <w:t>1 252</w:t>
            </w:r>
          </w:p>
        </w:tc>
        <w:tc>
          <w:tcPr>
            <w:tcW w:w="779" w:type="dxa"/>
            <w:noWrap/>
            <w:hideMark/>
          </w:tcPr>
          <w:p w14:paraId="52700E4A" w14:textId="77777777" w:rsidR="008F0C02" w:rsidRPr="008F0C02" w:rsidRDefault="008F0C02">
            <w:pPr>
              <w:pStyle w:val="Tabele"/>
              <w:jc w:val="right"/>
              <w:rPr>
                <w:color w:val="auto"/>
              </w:rPr>
            </w:pPr>
            <w:r w:rsidRPr="008F0C02">
              <w:rPr>
                <w:rFonts w:cs="Arial"/>
                <w:color w:val="auto"/>
                <w:szCs w:val="16"/>
              </w:rPr>
              <w:t>1 262</w:t>
            </w:r>
          </w:p>
        </w:tc>
        <w:tc>
          <w:tcPr>
            <w:tcW w:w="779" w:type="dxa"/>
            <w:noWrap/>
            <w:hideMark/>
          </w:tcPr>
          <w:p w14:paraId="2FE119C1" w14:textId="77777777" w:rsidR="008F0C02" w:rsidRPr="008F0C02" w:rsidRDefault="008F0C02">
            <w:pPr>
              <w:pStyle w:val="Tabele"/>
              <w:jc w:val="right"/>
              <w:rPr>
                <w:color w:val="auto"/>
              </w:rPr>
            </w:pPr>
            <w:r w:rsidRPr="008F0C02">
              <w:rPr>
                <w:rFonts w:cs="Arial"/>
                <w:color w:val="auto"/>
                <w:szCs w:val="16"/>
              </w:rPr>
              <w:t>111</w:t>
            </w:r>
          </w:p>
        </w:tc>
      </w:tr>
      <w:tr w:rsidR="008F0C02" w:rsidRPr="00DB48D3" w14:paraId="2CBC3BA7" w14:textId="77777777" w:rsidTr="008F0C02">
        <w:trPr>
          <w:trHeight w:val="227"/>
        </w:trPr>
        <w:tc>
          <w:tcPr>
            <w:tcW w:w="1536" w:type="dxa"/>
            <w:vMerge/>
          </w:tcPr>
          <w:p w14:paraId="5FF4EA75" w14:textId="77777777" w:rsidR="008F0C02" w:rsidRPr="008F0C02" w:rsidRDefault="008F0C02">
            <w:pPr>
              <w:pStyle w:val="Tabele"/>
              <w:rPr>
                <w:b/>
                <w:bCs/>
                <w:color w:val="auto"/>
              </w:rPr>
            </w:pPr>
          </w:p>
        </w:tc>
        <w:tc>
          <w:tcPr>
            <w:tcW w:w="1321" w:type="dxa"/>
            <w:noWrap/>
            <w:hideMark/>
          </w:tcPr>
          <w:p w14:paraId="51D36C82" w14:textId="77777777" w:rsidR="008F0C02" w:rsidRPr="008F0C02" w:rsidRDefault="008F0C02">
            <w:pPr>
              <w:pStyle w:val="Tabele"/>
              <w:rPr>
                <w:color w:val="auto"/>
              </w:rPr>
            </w:pPr>
            <w:r w:rsidRPr="008F0C02">
              <w:rPr>
                <w:color w:val="auto"/>
              </w:rPr>
              <w:t>OZE, wodór, odpady</w:t>
            </w:r>
          </w:p>
        </w:tc>
        <w:tc>
          <w:tcPr>
            <w:tcW w:w="779" w:type="dxa"/>
            <w:shd w:val="clear" w:color="auto" w:fill="C5E0B3"/>
            <w:noWrap/>
            <w:hideMark/>
          </w:tcPr>
          <w:p w14:paraId="36F6A78C" w14:textId="77777777" w:rsidR="008F0C02" w:rsidRPr="008F0C02" w:rsidRDefault="008F0C02">
            <w:pPr>
              <w:pStyle w:val="Tabele"/>
              <w:jc w:val="right"/>
              <w:rPr>
                <w:color w:val="auto"/>
              </w:rPr>
            </w:pPr>
            <w:r w:rsidRPr="008F0C02">
              <w:rPr>
                <w:color w:val="auto"/>
                <w:szCs w:val="16"/>
              </w:rPr>
              <w:t>6</w:t>
            </w:r>
          </w:p>
        </w:tc>
        <w:tc>
          <w:tcPr>
            <w:tcW w:w="779" w:type="dxa"/>
            <w:shd w:val="clear" w:color="auto" w:fill="C5E0B3"/>
            <w:noWrap/>
            <w:hideMark/>
          </w:tcPr>
          <w:p w14:paraId="2F86640D" w14:textId="77777777" w:rsidR="008F0C02" w:rsidRPr="008F0C02" w:rsidRDefault="008F0C02">
            <w:pPr>
              <w:pStyle w:val="Tabele"/>
              <w:jc w:val="right"/>
              <w:rPr>
                <w:color w:val="auto"/>
              </w:rPr>
            </w:pPr>
            <w:r w:rsidRPr="008F0C02">
              <w:rPr>
                <w:color w:val="auto"/>
                <w:szCs w:val="16"/>
              </w:rPr>
              <w:t>61</w:t>
            </w:r>
          </w:p>
        </w:tc>
        <w:tc>
          <w:tcPr>
            <w:tcW w:w="779" w:type="dxa"/>
            <w:shd w:val="clear" w:color="auto" w:fill="C5E0B3"/>
            <w:noWrap/>
            <w:hideMark/>
          </w:tcPr>
          <w:p w14:paraId="51B9176B" w14:textId="77777777" w:rsidR="008F0C02" w:rsidRPr="008F0C02" w:rsidRDefault="008F0C02">
            <w:pPr>
              <w:pStyle w:val="Tabele"/>
              <w:jc w:val="right"/>
              <w:rPr>
                <w:color w:val="auto"/>
              </w:rPr>
            </w:pPr>
            <w:r w:rsidRPr="008F0C02">
              <w:rPr>
                <w:color w:val="auto"/>
                <w:szCs w:val="16"/>
              </w:rPr>
              <w:t>441</w:t>
            </w:r>
          </w:p>
        </w:tc>
        <w:tc>
          <w:tcPr>
            <w:tcW w:w="779" w:type="dxa"/>
            <w:shd w:val="clear" w:color="auto" w:fill="C5E0B3"/>
            <w:noWrap/>
            <w:hideMark/>
          </w:tcPr>
          <w:p w14:paraId="44C455C3" w14:textId="77777777" w:rsidR="008F0C02" w:rsidRPr="008F0C02" w:rsidRDefault="008F0C02">
            <w:pPr>
              <w:pStyle w:val="Tabele"/>
              <w:jc w:val="right"/>
              <w:rPr>
                <w:color w:val="auto"/>
              </w:rPr>
            </w:pPr>
            <w:r w:rsidRPr="008F0C02">
              <w:rPr>
                <w:color w:val="auto"/>
                <w:szCs w:val="16"/>
              </w:rPr>
              <w:t>342</w:t>
            </w:r>
          </w:p>
        </w:tc>
        <w:tc>
          <w:tcPr>
            <w:tcW w:w="779" w:type="dxa"/>
            <w:noWrap/>
            <w:hideMark/>
          </w:tcPr>
          <w:p w14:paraId="3B1AF747" w14:textId="77777777" w:rsidR="008F0C02" w:rsidRPr="008F0C02" w:rsidRDefault="008F0C02">
            <w:pPr>
              <w:pStyle w:val="Tabele"/>
              <w:jc w:val="right"/>
              <w:rPr>
                <w:color w:val="auto"/>
              </w:rPr>
            </w:pPr>
            <w:r w:rsidRPr="008F0C02">
              <w:rPr>
                <w:rFonts w:cs="Arial"/>
                <w:color w:val="auto"/>
                <w:szCs w:val="16"/>
              </w:rPr>
              <w:t>513</w:t>
            </w:r>
          </w:p>
        </w:tc>
        <w:tc>
          <w:tcPr>
            <w:tcW w:w="779" w:type="dxa"/>
            <w:noWrap/>
            <w:hideMark/>
          </w:tcPr>
          <w:p w14:paraId="148D25AE" w14:textId="77777777" w:rsidR="008F0C02" w:rsidRPr="008F0C02" w:rsidRDefault="008F0C02">
            <w:pPr>
              <w:pStyle w:val="Tabele"/>
              <w:jc w:val="right"/>
              <w:rPr>
                <w:color w:val="auto"/>
              </w:rPr>
            </w:pPr>
            <w:r w:rsidRPr="008F0C02">
              <w:rPr>
                <w:rFonts w:cs="Arial"/>
                <w:color w:val="auto"/>
                <w:szCs w:val="16"/>
              </w:rPr>
              <w:t>448</w:t>
            </w:r>
          </w:p>
        </w:tc>
        <w:tc>
          <w:tcPr>
            <w:tcW w:w="779" w:type="dxa"/>
            <w:noWrap/>
            <w:hideMark/>
          </w:tcPr>
          <w:p w14:paraId="05EB313F" w14:textId="77777777" w:rsidR="008F0C02" w:rsidRPr="008F0C02" w:rsidRDefault="008F0C02">
            <w:pPr>
              <w:pStyle w:val="Tabele"/>
              <w:jc w:val="right"/>
              <w:rPr>
                <w:color w:val="auto"/>
              </w:rPr>
            </w:pPr>
            <w:r w:rsidRPr="008F0C02">
              <w:rPr>
                <w:rFonts w:cs="Arial"/>
                <w:color w:val="auto"/>
                <w:szCs w:val="16"/>
              </w:rPr>
              <w:t>352</w:t>
            </w:r>
          </w:p>
        </w:tc>
        <w:tc>
          <w:tcPr>
            <w:tcW w:w="779" w:type="dxa"/>
            <w:noWrap/>
            <w:hideMark/>
          </w:tcPr>
          <w:p w14:paraId="2ACCF7BC" w14:textId="77777777" w:rsidR="008F0C02" w:rsidRPr="008F0C02" w:rsidRDefault="008F0C02">
            <w:pPr>
              <w:pStyle w:val="Tabele"/>
              <w:jc w:val="right"/>
              <w:rPr>
                <w:color w:val="auto"/>
              </w:rPr>
            </w:pPr>
            <w:r w:rsidRPr="008F0C02">
              <w:rPr>
                <w:rFonts w:cs="Arial"/>
                <w:color w:val="auto"/>
                <w:szCs w:val="16"/>
              </w:rPr>
              <w:t>339</w:t>
            </w:r>
          </w:p>
        </w:tc>
      </w:tr>
      <w:tr w:rsidR="008F0C02" w:rsidRPr="00DB48D3" w14:paraId="56989B90" w14:textId="77777777" w:rsidTr="008F0C02">
        <w:trPr>
          <w:trHeight w:val="227"/>
        </w:trPr>
        <w:tc>
          <w:tcPr>
            <w:tcW w:w="1536" w:type="dxa"/>
            <w:vMerge w:val="restart"/>
          </w:tcPr>
          <w:p w14:paraId="4C4948FD" w14:textId="2A50A850" w:rsidR="008F0C02" w:rsidRPr="008F0C02" w:rsidRDefault="008F0C02">
            <w:pPr>
              <w:pStyle w:val="Tabele"/>
              <w:rPr>
                <w:b/>
                <w:bCs/>
                <w:color w:val="auto"/>
              </w:rPr>
            </w:pPr>
            <w:r w:rsidRPr="008F0C02">
              <w:rPr>
                <w:b/>
                <w:bCs/>
                <w:color w:val="auto"/>
              </w:rPr>
              <w:t>Elektrociepłownie</w:t>
            </w:r>
          </w:p>
        </w:tc>
        <w:tc>
          <w:tcPr>
            <w:tcW w:w="1321" w:type="dxa"/>
            <w:noWrap/>
            <w:hideMark/>
          </w:tcPr>
          <w:p w14:paraId="3281EB27" w14:textId="77777777" w:rsidR="008F0C02" w:rsidRPr="008F0C02" w:rsidRDefault="008F0C02">
            <w:pPr>
              <w:pStyle w:val="Tabele"/>
              <w:rPr>
                <w:color w:val="auto"/>
              </w:rPr>
            </w:pPr>
            <w:r w:rsidRPr="008F0C02">
              <w:rPr>
                <w:color w:val="auto"/>
              </w:rPr>
              <w:t>Węgiel</w:t>
            </w:r>
          </w:p>
        </w:tc>
        <w:tc>
          <w:tcPr>
            <w:tcW w:w="779" w:type="dxa"/>
            <w:shd w:val="clear" w:color="auto" w:fill="C5E0B3"/>
            <w:noWrap/>
            <w:hideMark/>
          </w:tcPr>
          <w:p w14:paraId="3D26F775" w14:textId="77777777" w:rsidR="008F0C02" w:rsidRPr="008F0C02" w:rsidRDefault="008F0C02">
            <w:pPr>
              <w:pStyle w:val="Tabele"/>
              <w:jc w:val="right"/>
              <w:rPr>
                <w:color w:val="auto"/>
              </w:rPr>
            </w:pPr>
            <w:r w:rsidRPr="008F0C02">
              <w:rPr>
                <w:color w:val="auto"/>
                <w:szCs w:val="16"/>
              </w:rPr>
              <w:t>34 392</w:t>
            </w:r>
          </w:p>
        </w:tc>
        <w:tc>
          <w:tcPr>
            <w:tcW w:w="779" w:type="dxa"/>
            <w:shd w:val="clear" w:color="auto" w:fill="C5E0B3"/>
            <w:noWrap/>
            <w:hideMark/>
          </w:tcPr>
          <w:p w14:paraId="1AF01780" w14:textId="77777777" w:rsidR="008F0C02" w:rsidRPr="008F0C02" w:rsidRDefault="008F0C02">
            <w:pPr>
              <w:pStyle w:val="Tabele"/>
              <w:jc w:val="right"/>
              <w:rPr>
                <w:color w:val="auto"/>
              </w:rPr>
            </w:pPr>
            <w:r w:rsidRPr="008F0C02">
              <w:rPr>
                <w:color w:val="auto"/>
                <w:szCs w:val="16"/>
              </w:rPr>
              <w:t>33 935</w:t>
            </w:r>
          </w:p>
        </w:tc>
        <w:tc>
          <w:tcPr>
            <w:tcW w:w="779" w:type="dxa"/>
            <w:shd w:val="clear" w:color="auto" w:fill="C5E0B3"/>
            <w:noWrap/>
            <w:hideMark/>
          </w:tcPr>
          <w:p w14:paraId="07C254BB" w14:textId="77777777" w:rsidR="008F0C02" w:rsidRPr="008F0C02" w:rsidRDefault="008F0C02">
            <w:pPr>
              <w:pStyle w:val="Tabele"/>
              <w:jc w:val="right"/>
              <w:rPr>
                <w:color w:val="auto"/>
              </w:rPr>
            </w:pPr>
            <w:r w:rsidRPr="008F0C02">
              <w:rPr>
                <w:color w:val="auto"/>
                <w:szCs w:val="16"/>
              </w:rPr>
              <w:t>32 375</w:t>
            </w:r>
          </w:p>
        </w:tc>
        <w:tc>
          <w:tcPr>
            <w:tcW w:w="779" w:type="dxa"/>
            <w:shd w:val="clear" w:color="auto" w:fill="C5E0B3"/>
            <w:noWrap/>
            <w:hideMark/>
          </w:tcPr>
          <w:p w14:paraId="45394B7F" w14:textId="77777777" w:rsidR="008F0C02" w:rsidRPr="008F0C02" w:rsidRDefault="008F0C02">
            <w:pPr>
              <w:pStyle w:val="Tabele"/>
              <w:jc w:val="right"/>
              <w:rPr>
                <w:color w:val="auto"/>
              </w:rPr>
            </w:pPr>
            <w:r w:rsidRPr="008F0C02">
              <w:rPr>
                <w:color w:val="auto"/>
                <w:szCs w:val="16"/>
              </w:rPr>
              <w:t>25 695</w:t>
            </w:r>
          </w:p>
        </w:tc>
        <w:tc>
          <w:tcPr>
            <w:tcW w:w="779" w:type="dxa"/>
            <w:noWrap/>
            <w:hideMark/>
          </w:tcPr>
          <w:p w14:paraId="42121E81" w14:textId="77777777" w:rsidR="008F0C02" w:rsidRPr="008F0C02" w:rsidRDefault="008F0C02">
            <w:pPr>
              <w:pStyle w:val="Tabele"/>
              <w:jc w:val="right"/>
              <w:rPr>
                <w:color w:val="auto"/>
              </w:rPr>
            </w:pPr>
            <w:r w:rsidRPr="008F0C02">
              <w:rPr>
                <w:rFonts w:cs="Arial"/>
                <w:color w:val="auto"/>
                <w:szCs w:val="16"/>
              </w:rPr>
              <w:t>20 382</w:t>
            </w:r>
          </w:p>
        </w:tc>
        <w:tc>
          <w:tcPr>
            <w:tcW w:w="779" w:type="dxa"/>
            <w:noWrap/>
            <w:hideMark/>
          </w:tcPr>
          <w:p w14:paraId="4C290CC2" w14:textId="77777777" w:rsidR="008F0C02" w:rsidRPr="008F0C02" w:rsidRDefault="008F0C02">
            <w:pPr>
              <w:pStyle w:val="Tabele"/>
              <w:jc w:val="right"/>
              <w:rPr>
                <w:color w:val="auto"/>
              </w:rPr>
            </w:pPr>
            <w:r w:rsidRPr="008F0C02">
              <w:rPr>
                <w:rFonts w:cs="Arial"/>
                <w:color w:val="auto"/>
                <w:szCs w:val="16"/>
              </w:rPr>
              <w:t>9 913</w:t>
            </w:r>
          </w:p>
        </w:tc>
        <w:tc>
          <w:tcPr>
            <w:tcW w:w="779" w:type="dxa"/>
            <w:noWrap/>
            <w:hideMark/>
          </w:tcPr>
          <w:p w14:paraId="5DDB5CC5" w14:textId="77777777" w:rsidR="008F0C02" w:rsidRPr="008F0C02" w:rsidRDefault="008F0C02">
            <w:pPr>
              <w:pStyle w:val="Tabele"/>
              <w:jc w:val="right"/>
              <w:rPr>
                <w:color w:val="auto"/>
              </w:rPr>
            </w:pPr>
            <w:r w:rsidRPr="008F0C02">
              <w:rPr>
                <w:rFonts w:cs="Arial"/>
                <w:color w:val="auto"/>
                <w:szCs w:val="16"/>
              </w:rPr>
              <w:t>3 550</w:t>
            </w:r>
          </w:p>
        </w:tc>
        <w:tc>
          <w:tcPr>
            <w:tcW w:w="779" w:type="dxa"/>
            <w:noWrap/>
            <w:hideMark/>
          </w:tcPr>
          <w:p w14:paraId="4382D9CB" w14:textId="77777777" w:rsidR="008F0C02" w:rsidRPr="008F0C02" w:rsidRDefault="008F0C02">
            <w:pPr>
              <w:pStyle w:val="Tabele"/>
              <w:jc w:val="right"/>
              <w:rPr>
                <w:color w:val="auto"/>
              </w:rPr>
            </w:pPr>
            <w:r w:rsidRPr="008F0C02">
              <w:rPr>
                <w:rFonts w:cs="Arial"/>
                <w:color w:val="auto"/>
                <w:szCs w:val="16"/>
              </w:rPr>
              <w:t>125</w:t>
            </w:r>
          </w:p>
        </w:tc>
      </w:tr>
      <w:tr w:rsidR="008F0C02" w:rsidRPr="00DB48D3" w14:paraId="6AD284A0" w14:textId="77777777" w:rsidTr="008F0C02">
        <w:trPr>
          <w:trHeight w:val="227"/>
        </w:trPr>
        <w:tc>
          <w:tcPr>
            <w:tcW w:w="1536" w:type="dxa"/>
            <w:vMerge/>
          </w:tcPr>
          <w:p w14:paraId="3794BD74" w14:textId="77777777" w:rsidR="008F0C02" w:rsidRPr="008F0C02" w:rsidRDefault="008F0C02">
            <w:pPr>
              <w:pStyle w:val="Tabele"/>
              <w:rPr>
                <w:b/>
                <w:bCs/>
                <w:color w:val="auto"/>
              </w:rPr>
            </w:pPr>
          </w:p>
        </w:tc>
        <w:tc>
          <w:tcPr>
            <w:tcW w:w="1321" w:type="dxa"/>
            <w:noWrap/>
            <w:hideMark/>
          </w:tcPr>
          <w:p w14:paraId="6034D252" w14:textId="77777777" w:rsidR="008F0C02" w:rsidRPr="008F0C02" w:rsidRDefault="008F0C02">
            <w:pPr>
              <w:pStyle w:val="Tabele"/>
              <w:rPr>
                <w:color w:val="auto"/>
              </w:rPr>
            </w:pPr>
            <w:r w:rsidRPr="008F0C02">
              <w:rPr>
                <w:color w:val="auto"/>
              </w:rPr>
              <w:t>Produkty naftowe</w:t>
            </w:r>
          </w:p>
        </w:tc>
        <w:tc>
          <w:tcPr>
            <w:tcW w:w="779" w:type="dxa"/>
            <w:shd w:val="clear" w:color="auto" w:fill="C5E0B3"/>
            <w:noWrap/>
            <w:hideMark/>
          </w:tcPr>
          <w:p w14:paraId="6575830E" w14:textId="77777777" w:rsidR="008F0C02" w:rsidRPr="008F0C02" w:rsidRDefault="008F0C02">
            <w:pPr>
              <w:pStyle w:val="Tabele"/>
              <w:jc w:val="right"/>
              <w:rPr>
                <w:color w:val="auto"/>
              </w:rPr>
            </w:pPr>
            <w:r w:rsidRPr="008F0C02">
              <w:rPr>
                <w:color w:val="auto"/>
                <w:szCs w:val="16"/>
              </w:rPr>
              <w:t>555</w:t>
            </w:r>
          </w:p>
        </w:tc>
        <w:tc>
          <w:tcPr>
            <w:tcW w:w="779" w:type="dxa"/>
            <w:shd w:val="clear" w:color="auto" w:fill="C5E0B3"/>
            <w:noWrap/>
            <w:hideMark/>
          </w:tcPr>
          <w:p w14:paraId="6831A62C" w14:textId="77777777" w:rsidR="008F0C02" w:rsidRPr="008F0C02" w:rsidRDefault="008F0C02">
            <w:pPr>
              <w:pStyle w:val="Tabele"/>
              <w:jc w:val="right"/>
              <w:rPr>
                <w:color w:val="auto"/>
              </w:rPr>
            </w:pPr>
            <w:r w:rsidRPr="008F0C02">
              <w:rPr>
                <w:color w:val="auto"/>
                <w:szCs w:val="16"/>
              </w:rPr>
              <w:t>563</w:t>
            </w:r>
          </w:p>
        </w:tc>
        <w:tc>
          <w:tcPr>
            <w:tcW w:w="779" w:type="dxa"/>
            <w:shd w:val="clear" w:color="auto" w:fill="C5E0B3"/>
            <w:noWrap/>
            <w:hideMark/>
          </w:tcPr>
          <w:p w14:paraId="53C0CA03" w14:textId="77777777" w:rsidR="008F0C02" w:rsidRPr="008F0C02" w:rsidRDefault="008F0C02">
            <w:pPr>
              <w:pStyle w:val="Tabele"/>
              <w:jc w:val="right"/>
              <w:rPr>
                <w:color w:val="auto"/>
              </w:rPr>
            </w:pPr>
            <w:r w:rsidRPr="008F0C02">
              <w:rPr>
                <w:color w:val="auto"/>
                <w:szCs w:val="16"/>
              </w:rPr>
              <w:t>407</w:t>
            </w:r>
          </w:p>
        </w:tc>
        <w:tc>
          <w:tcPr>
            <w:tcW w:w="779" w:type="dxa"/>
            <w:shd w:val="clear" w:color="auto" w:fill="C5E0B3"/>
            <w:noWrap/>
            <w:hideMark/>
          </w:tcPr>
          <w:p w14:paraId="2612C1BD" w14:textId="77777777" w:rsidR="008F0C02" w:rsidRPr="008F0C02" w:rsidRDefault="008F0C02">
            <w:pPr>
              <w:pStyle w:val="Tabele"/>
              <w:jc w:val="right"/>
              <w:rPr>
                <w:color w:val="auto"/>
              </w:rPr>
            </w:pPr>
            <w:r w:rsidRPr="008F0C02">
              <w:rPr>
                <w:color w:val="auto"/>
                <w:szCs w:val="16"/>
              </w:rPr>
              <w:t>364</w:t>
            </w:r>
          </w:p>
        </w:tc>
        <w:tc>
          <w:tcPr>
            <w:tcW w:w="779" w:type="dxa"/>
            <w:noWrap/>
            <w:hideMark/>
          </w:tcPr>
          <w:p w14:paraId="389F31AC" w14:textId="77777777" w:rsidR="008F0C02" w:rsidRPr="008F0C02" w:rsidRDefault="008F0C02">
            <w:pPr>
              <w:pStyle w:val="Tabele"/>
              <w:jc w:val="right"/>
              <w:rPr>
                <w:color w:val="auto"/>
              </w:rPr>
            </w:pPr>
            <w:r w:rsidRPr="008F0C02">
              <w:rPr>
                <w:rFonts w:cs="Arial"/>
                <w:color w:val="auto"/>
                <w:szCs w:val="16"/>
              </w:rPr>
              <w:t>481</w:t>
            </w:r>
          </w:p>
        </w:tc>
        <w:tc>
          <w:tcPr>
            <w:tcW w:w="779" w:type="dxa"/>
            <w:noWrap/>
            <w:hideMark/>
          </w:tcPr>
          <w:p w14:paraId="4E416E4C" w14:textId="77777777" w:rsidR="008F0C02" w:rsidRPr="008F0C02" w:rsidRDefault="008F0C02">
            <w:pPr>
              <w:pStyle w:val="Tabele"/>
              <w:jc w:val="right"/>
              <w:rPr>
                <w:color w:val="auto"/>
              </w:rPr>
            </w:pPr>
            <w:r w:rsidRPr="008F0C02">
              <w:rPr>
                <w:rFonts w:cs="Arial"/>
                <w:color w:val="auto"/>
                <w:szCs w:val="16"/>
              </w:rPr>
              <w:t>390</w:t>
            </w:r>
          </w:p>
        </w:tc>
        <w:tc>
          <w:tcPr>
            <w:tcW w:w="779" w:type="dxa"/>
            <w:noWrap/>
            <w:hideMark/>
          </w:tcPr>
          <w:p w14:paraId="3F313925" w14:textId="77777777" w:rsidR="008F0C02" w:rsidRPr="008F0C02" w:rsidRDefault="008F0C02">
            <w:pPr>
              <w:pStyle w:val="Tabele"/>
              <w:jc w:val="right"/>
              <w:rPr>
                <w:color w:val="auto"/>
              </w:rPr>
            </w:pPr>
            <w:r w:rsidRPr="008F0C02">
              <w:rPr>
                <w:rFonts w:cs="Arial"/>
                <w:color w:val="auto"/>
                <w:szCs w:val="16"/>
              </w:rPr>
              <w:t>346</w:t>
            </w:r>
          </w:p>
        </w:tc>
        <w:tc>
          <w:tcPr>
            <w:tcW w:w="779" w:type="dxa"/>
            <w:noWrap/>
            <w:hideMark/>
          </w:tcPr>
          <w:p w14:paraId="5E6A0A9E" w14:textId="77777777" w:rsidR="008F0C02" w:rsidRPr="008F0C02" w:rsidRDefault="008F0C02">
            <w:pPr>
              <w:pStyle w:val="Tabele"/>
              <w:jc w:val="right"/>
              <w:rPr>
                <w:color w:val="auto"/>
              </w:rPr>
            </w:pPr>
            <w:r w:rsidRPr="008F0C02">
              <w:rPr>
                <w:rFonts w:cs="Arial"/>
                <w:color w:val="auto"/>
                <w:szCs w:val="16"/>
              </w:rPr>
              <w:t>255</w:t>
            </w:r>
          </w:p>
        </w:tc>
      </w:tr>
      <w:tr w:rsidR="008F0C02" w:rsidRPr="00DB48D3" w14:paraId="3A3CBEF6" w14:textId="77777777" w:rsidTr="008F0C02">
        <w:trPr>
          <w:trHeight w:val="227"/>
        </w:trPr>
        <w:tc>
          <w:tcPr>
            <w:tcW w:w="1536" w:type="dxa"/>
            <w:vMerge/>
          </w:tcPr>
          <w:p w14:paraId="2936E75C" w14:textId="77777777" w:rsidR="008F0C02" w:rsidRPr="008F0C02" w:rsidRDefault="008F0C02">
            <w:pPr>
              <w:pStyle w:val="Tabele"/>
              <w:rPr>
                <w:b/>
                <w:bCs/>
                <w:color w:val="auto"/>
              </w:rPr>
            </w:pPr>
          </w:p>
        </w:tc>
        <w:tc>
          <w:tcPr>
            <w:tcW w:w="1321" w:type="dxa"/>
            <w:noWrap/>
            <w:hideMark/>
          </w:tcPr>
          <w:p w14:paraId="3A568A5E" w14:textId="77777777" w:rsidR="008F0C02" w:rsidRPr="008F0C02" w:rsidRDefault="008F0C02">
            <w:pPr>
              <w:pStyle w:val="Tabele"/>
              <w:rPr>
                <w:color w:val="auto"/>
              </w:rPr>
            </w:pPr>
            <w:r w:rsidRPr="008F0C02">
              <w:rPr>
                <w:color w:val="auto"/>
              </w:rPr>
              <w:t>Gaz</w:t>
            </w:r>
          </w:p>
        </w:tc>
        <w:tc>
          <w:tcPr>
            <w:tcW w:w="779" w:type="dxa"/>
            <w:shd w:val="clear" w:color="auto" w:fill="C5E0B3"/>
            <w:noWrap/>
            <w:hideMark/>
          </w:tcPr>
          <w:p w14:paraId="2506F8BD" w14:textId="77777777" w:rsidR="008F0C02" w:rsidRPr="008F0C02" w:rsidRDefault="008F0C02">
            <w:pPr>
              <w:pStyle w:val="Tabele"/>
              <w:jc w:val="right"/>
              <w:rPr>
                <w:color w:val="auto"/>
              </w:rPr>
            </w:pPr>
            <w:r w:rsidRPr="008F0C02">
              <w:rPr>
                <w:color w:val="auto"/>
                <w:szCs w:val="16"/>
              </w:rPr>
              <w:t>1 182</w:t>
            </w:r>
          </w:p>
        </w:tc>
        <w:tc>
          <w:tcPr>
            <w:tcW w:w="779" w:type="dxa"/>
            <w:shd w:val="clear" w:color="auto" w:fill="C5E0B3"/>
            <w:noWrap/>
            <w:hideMark/>
          </w:tcPr>
          <w:p w14:paraId="1781342B" w14:textId="77777777" w:rsidR="008F0C02" w:rsidRPr="008F0C02" w:rsidRDefault="008F0C02">
            <w:pPr>
              <w:pStyle w:val="Tabele"/>
              <w:jc w:val="right"/>
              <w:rPr>
                <w:color w:val="auto"/>
              </w:rPr>
            </w:pPr>
            <w:r w:rsidRPr="008F0C02">
              <w:rPr>
                <w:color w:val="auto"/>
                <w:szCs w:val="16"/>
              </w:rPr>
              <w:t>1 093</w:t>
            </w:r>
          </w:p>
        </w:tc>
        <w:tc>
          <w:tcPr>
            <w:tcW w:w="779" w:type="dxa"/>
            <w:shd w:val="clear" w:color="auto" w:fill="C5E0B3"/>
            <w:noWrap/>
            <w:hideMark/>
          </w:tcPr>
          <w:p w14:paraId="52BB105D" w14:textId="77777777" w:rsidR="008F0C02" w:rsidRPr="008F0C02" w:rsidRDefault="008F0C02">
            <w:pPr>
              <w:pStyle w:val="Tabele"/>
              <w:jc w:val="right"/>
              <w:rPr>
                <w:color w:val="auto"/>
              </w:rPr>
            </w:pPr>
            <w:r w:rsidRPr="008F0C02">
              <w:rPr>
                <w:color w:val="auto"/>
                <w:szCs w:val="16"/>
              </w:rPr>
              <w:t>1 347</w:t>
            </w:r>
          </w:p>
        </w:tc>
        <w:tc>
          <w:tcPr>
            <w:tcW w:w="779" w:type="dxa"/>
            <w:shd w:val="clear" w:color="auto" w:fill="C5E0B3"/>
            <w:noWrap/>
            <w:hideMark/>
          </w:tcPr>
          <w:p w14:paraId="6D6FA935" w14:textId="77777777" w:rsidR="008F0C02" w:rsidRPr="008F0C02" w:rsidRDefault="008F0C02">
            <w:pPr>
              <w:pStyle w:val="Tabele"/>
              <w:jc w:val="right"/>
              <w:rPr>
                <w:color w:val="auto"/>
              </w:rPr>
            </w:pPr>
            <w:r w:rsidRPr="008F0C02">
              <w:rPr>
                <w:color w:val="auto"/>
                <w:szCs w:val="16"/>
              </w:rPr>
              <w:t>2 959</w:t>
            </w:r>
          </w:p>
        </w:tc>
        <w:tc>
          <w:tcPr>
            <w:tcW w:w="779" w:type="dxa"/>
            <w:noWrap/>
            <w:hideMark/>
          </w:tcPr>
          <w:p w14:paraId="6FBB45E5" w14:textId="77777777" w:rsidR="008F0C02" w:rsidRPr="008F0C02" w:rsidRDefault="008F0C02">
            <w:pPr>
              <w:pStyle w:val="Tabele"/>
              <w:jc w:val="right"/>
              <w:rPr>
                <w:color w:val="auto"/>
              </w:rPr>
            </w:pPr>
            <w:r w:rsidRPr="008F0C02">
              <w:rPr>
                <w:rFonts w:cs="Arial"/>
                <w:color w:val="auto"/>
                <w:szCs w:val="16"/>
              </w:rPr>
              <w:t>4 852</w:t>
            </w:r>
          </w:p>
        </w:tc>
        <w:tc>
          <w:tcPr>
            <w:tcW w:w="779" w:type="dxa"/>
            <w:noWrap/>
            <w:hideMark/>
          </w:tcPr>
          <w:p w14:paraId="7E7554E7" w14:textId="77777777" w:rsidR="008F0C02" w:rsidRPr="008F0C02" w:rsidRDefault="008F0C02">
            <w:pPr>
              <w:pStyle w:val="Tabele"/>
              <w:jc w:val="right"/>
              <w:rPr>
                <w:color w:val="auto"/>
              </w:rPr>
            </w:pPr>
            <w:r w:rsidRPr="008F0C02">
              <w:rPr>
                <w:rFonts w:cs="Arial"/>
                <w:color w:val="auto"/>
                <w:szCs w:val="16"/>
              </w:rPr>
              <w:t>5 618</w:t>
            </w:r>
          </w:p>
        </w:tc>
        <w:tc>
          <w:tcPr>
            <w:tcW w:w="779" w:type="dxa"/>
            <w:noWrap/>
            <w:hideMark/>
          </w:tcPr>
          <w:p w14:paraId="764725B7" w14:textId="77777777" w:rsidR="008F0C02" w:rsidRPr="008F0C02" w:rsidRDefault="008F0C02">
            <w:pPr>
              <w:pStyle w:val="Tabele"/>
              <w:jc w:val="right"/>
              <w:rPr>
                <w:color w:val="auto"/>
              </w:rPr>
            </w:pPr>
            <w:r w:rsidRPr="008F0C02">
              <w:rPr>
                <w:rFonts w:cs="Arial"/>
                <w:color w:val="auto"/>
                <w:szCs w:val="16"/>
              </w:rPr>
              <w:t>3 277</w:t>
            </w:r>
          </w:p>
        </w:tc>
        <w:tc>
          <w:tcPr>
            <w:tcW w:w="779" w:type="dxa"/>
            <w:noWrap/>
            <w:hideMark/>
          </w:tcPr>
          <w:p w14:paraId="227ECACE" w14:textId="77777777" w:rsidR="008F0C02" w:rsidRPr="008F0C02" w:rsidRDefault="008F0C02">
            <w:pPr>
              <w:pStyle w:val="Tabele"/>
              <w:jc w:val="right"/>
              <w:rPr>
                <w:color w:val="auto"/>
              </w:rPr>
            </w:pPr>
            <w:r w:rsidRPr="008F0C02">
              <w:rPr>
                <w:rFonts w:cs="Arial"/>
                <w:color w:val="auto"/>
                <w:szCs w:val="16"/>
              </w:rPr>
              <w:t>2 526</w:t>
            </w:r>
          </w:p>
        </w:tc>
      </w:tr>
      <w:tr w:rsidR="008F0C02" w:rsidRPr="00DB48D3" w14:paraId="119F2AB2" w14:textId="77777777" w:rsidTr="008F0C02">
        <w:trPr>
          <w:trHeight w:val="227"/>
        </w:trPr>
        <w:tc>
          <w:tcPr>
            <w:tcW w:w="1536" w:type="dxa"/>
            <w:vMerge/>
          </w:tcPr>
          <w:p w14:paraId="4776C287" w14:textId="77777777" w:rsidR="008F0C02" w:rsidRPr="008F0C02" w:rsidRDefault="008F0C02">
            <w:pPr>
              <w:pStyle w:val="Tabele"/>
              <w:rPr>
                <w:b/>
                <w:bCs/>
                <w:color w:val="auto"/>
              </w:rPr>
            </w:pPr>
          </w:p>
        </w:tc>
        <w:tc>
          <w:tcPr>
            <w:tcW w:w="1321" w:type="dxa"/>
            <w:noWrap/>
            <w:hideMark/>
          </w:tcPr>
          <w:p w14:paraId="321182BF" w14:textId="77777777" w:rsidR="008F0C02" w:rsidRPr="008F0C02" w:rsidRDefault="008F0C02">
            <w:pPr>
              <w:pStyle w:val="Tabele"/>
              <w:rPr>
                <w:color w:val="auto"/>
              </w:rPr>
            </w:pPr>
            <w:r w:rsidRPr="008F0C02">
              <w:rPr>
                <w:color w:val="auto"/>
              </w:rPr>
              <w:t>OZE, wodór, odpady</w:t>
            </w:r>
          </w:p>
        </w:tc>
        <w:tc>
          <w:tcPr>
            <w:tcW w:w="779" w:type="dxa"/>
            <w:shd w:val="clear" w:color="auto" w:fill="C5E0B3"/>
            <w:noWrap/>
            <w:hideMark/>
          </w:tcPr>
          <w:p w14:paraId="64D19AB9" w14:textId="77777777" w:rsidR="008F0C02" w:rsidRPr="008F0C02" w:rsidRDefault="008F0C02">
            <w:pPr>
              <w:pStyle w:val="Tabele"/>
              <w:jc w:val="right"/>
              <w:rPr>
                <w:color w:val="auto"/>
              </w:rPr>
            </w:pPr>
            <w:r w:rsidRPr="008F0C02">
              <w:rPr>
                <w:color w:val="auto"/>
                <w:szCs w:val="16"/>
              </w:rPr>
              <w:t>435</w:t>
            </w:r>
          </w:p>
        </w:tc>
        <w:tc>
          <w:tcPr>
            <w:tcW w:w="779" w:type="dxa"/>
            <w:shd w:val="clear" w:color="auto" w:fill="C5E0B3"/>
            <w:noWrap/>
            <w:hideMark/>
          </w:tcPr>
          <w:p w14:paraId="58299408" w14:textId="77777777" w:rsidR="008F0C02" w:rsidRPr="008F0C02" w:rsidRDefault="008F0C02">
            <w:pPr>
              <w:pStyle w:val="Tabele"/>
              <w:jc w:val="right"/>
              <w:rPr>
                <w:color w:val="auto"/>
              </w:rPr>
            </w:pPr>
            <w:r w:rsidRPr="008F0C02">
              <w:rPr>
                <w:color w:val="auto"/>
                <w:szCs w:val="16"/>
              </w:rPr>
              <w:t>1 547</w:t>
            </w:r>
          </w:p>
        </w:tc>
        <w:tc>
          <w:tcPr>
            <w:tcW w:w="779" w:type="dxa"/>
            <w:shd w:val="clear" w:color="auto" w:fill="C5E0B3"/>
            <w:noWrap/>
            <w:hideMark/>
          </w:tcPr>
          <w:p w14:paraId="4E20D52A" w14:textId="77777777" w:rsidR="008F0C02" w:rsidRPr="008F0C02" w:rsidRDefault="008F0C02">
            <w:pPr>
              <w:pStyle w:val="Tabele"/>
              <w:jc w:val="right"/>
              <w:rPr>
                <w:color w:val="auto"/>
              </w:rPr>
            </w:pPr>
            <w:r w:rsidRPr="008F0C02">
              <w:rPr>
                <w:color w:val="auto"/>
                <w:szCs w:val="16"/>
              </w:rPr>
              <w:t>2 021</w:t>
            </w:r>
          </w:p>
        </w:tc>
        <w:tc>
          <w:tcPr>
            <w:tcW w:w="779" w:type="dxa"/>
            <w:shd w:val="clear" w:color="auto" w:fill="C5E0B3"/>
            <w:noWrap/>
            <w:hideMark/>
          </w:tcPr>
          <w:p w14:paraId="5C9E996D" w14:textId="77777777" w:rsidR="008F0C02" w:rsidRPr="008F0C02" w:rsidRDefault="008F0C02">
            <w:pPr>
              <w:pStyle w:val="Tabele"/>
              <w:jc w:val="right"/>
              <w:rPr>
                <w:color w:val="auto"/>
              </w:rPr>
            </w:pPr>
            <w:r w:rsidRPr="008F0C02">
              <w:rPr>
                <w:color w:val="auto"/>
                <w:szCs w:val="16"/>
              </w:rPr>
              <w:t>1 981</w:t>
            </w:r>
          </w:p>
        </w:tc>
        <w:tc>
          <w:tcPr>
            <w:tcW w:w="779" w:type="dxa"/>
            <w:noWrap/>
            <w:hideMark/>
          </w:tcPr>
          <w:p w14:paraId="4B70DD63" w14:textId="77777777" w:rsidR="008F0C02" w:rsidRPr="008F0C02" w:rsidRDefault="008F0C02">
            <w:pPr>
              <w:pStyle w:val="Tabele"/>
              <w:jc w:val="right"/>
              <w:rPr>
                <w:color w:val="auto"/>
              </w:rPr>
            </w:pPr>
            <w:r w:rsidRPr="008F0C02">
              <w:rPr>
                <w:rFonts w:cs="Arial"/>
                <w:color w:val="auto"/>
                <w:szCs w:val="16"/>
              </w:rPr>
              <w:t>2 107</w:t>
            </w:r>
          </w:p>
        </w:tc>
        <w:tc>
          <w:tcPr>
            <w:tcW w:w="779" w:type="dxa"/>
            <w:noWrap/>
            <w:hideMark/>
          </w:tcPr>
          <w:p w14:paraId="43EA034B" w14:textId="77777777" w:rsidR="008F0C02" w:rsidRPr="008F0C02" w:rsidRDefault="008F0C02">
            <w:pPr>
              <w:pStyle w:val="Tabele"/>
              <w:jc w:val="right"/>
              <w:rPr>
                <w:color w:val="auto"/>
              </w:rPr>
            </w:pPr>
            <w:r w:rsidRPr="008F0C02">
              <w:rPr>
                <w:rFonts w:cs="Arial"/>
                <w:color w:val="auto"/>
                <w:szCs w:val="16"/>
              </w:rPr>
              <w:t>2 438</w:t>
            </w:r>
          </w:p>
        </w:tc>
        <w:tc>
          <w:tcPr>
            <w:tcW w:w="779" w:type="dxa"/>
            <w:noWrap/>
            <w:hideMark/>
          </w:tcPr>
          <w:p w14:paraId="038D3668" w14:textId="77777777" w:rsidR="008F0C02" w:rsidRPr="008F0C02" w:rsidRDefault="008F0C02">
            <w:pPr>
              <w:pStyle w:val="Tabele"/>
              <w:jc w:val="right"/>
              <w:rPr>
                <w:color w:val="auto"/>
              </w:rPr>
            </w:pPr>
            <w:r w:rsidRPr="008F0C02">
              <w:rPr>
                <w:rFonts w:cs="Arial"/>
                <w:color w:val="auto"/>
                <w:szCs w:val="16"/>
              </w:rPr>
              <w:t>2 411</w:t>
            </w:r>
          </w:p>
        </w:tc>
        <w:tc>
          <w:tcPr>
            <w:tcW w:w="779" w:type="dxa"/>
            <w:noWrap/>
            <w:hideMark/>
          </w:tcPr>
          <w:p w14:paraId="5B6CE54F" w14:textId="77777777" w:rsidR="008F0C02" w:rsidRPr="008F0C02" w:rsidRDefault="008F0C02">
            <w:pPr>
              <w:pStyle w:val="Tabele"/>
              <w:jc w:val="right"/>
              <w:rPr>
                <w:color w:val="auto"/>
              </w:rPr>
            </w:pPr>
            <w:r w:rsidRPr="008F0C02">
              <w:rPr>
                <w:rFonts w:cs="Arial"/>
                <w:color w:val="auto"/>
                <w:szCs w:val="16"/>
              </w:rPr>
              <w:t>4 432</w:t>
            </w:r>
          </w:p>
        </w:tc>
      </w:tr>
      <w:tr w:rsidR="008F0C02" w:rsidRPr="00DB48D3" w14:paraId="6B7A92AD" w14:textId="77777777" w:rsidTr="008F0C02">
        <w:trPr>
          <w:trHeight w:val="227"/>
        </w:trPr>
        <w:tc>
          <w:tcPr>
            <w:tcW w:w="1536" w:type="dxa"/>
            <w:vMerge/>
          </w:tcPr>
          <w:p w14:paraId="2235A9DC" w14:textId="77777777" w:rsidR="008F0C02" w:rsidRPr="008F0C02" w:rsidRDefault="008F0C02">
            <w:pPr>
              <w:pStyle w:val="Tabele"/>
              <w:rPr>
                <w:b/>
                <w:bCs/>
                <w:color w:val="auto"/>
              </w:rPr>
            </w:pPr>
          </w:p>
        </w:tc>
        <w:tc>
          <w:tcPr>
            <w:tcW w:w="1321" w:type="dxa"/>
            <w:noWrap/>
          </w:tcPr>
          <w:p w14:paraId="7FC2236D" w14:textId="77777777" w:rsidR="008F0C02" w:rsidRPr="008F0C02" w:rsidRDefault="008F0C02">
            <w:pPr>
              <w:pStyle w:val="Tabele"/>
              <w:rPr>
                <w:color w:val="auto"/>
              </w:rPr>
            </w:pPr>
            <w:r w:rsidRPr="008F0C02">
              <w:rPr>
                <w:color w:val="auto"/>
              </w:rPr>
              <w:t>Paliwo jądrowe</w:t>
            </w:r>
          </w:p>
        </w:tc>
        <w:tc>
          <w:tcPr>
            <w:tcW w:w="779" w:type="dxa"/>
            <w:shd w:val="clear" w:color="auto" w:fill="C5E0B3"/>
            <w:noWrap/>
          </w:tcPr>
          <w:p w14:paraId="55D609E0" w14:textId="77777777" w:rsidR="008F0C02" w:rsidRPr="008F0C02" w:rsidRDefault="008F0C02">
            <w:pPr>
              <w:pStyle w:val="Tabele"/>
              <w:jc w:val="right"/>
              <w:rPr>
                <w:color w:val="auto"/>
              </w:rPr>
            </w:pPr>
            <w:r w:rsidRPr="008F0C02">
              <w:rPr>
                <w:color w:val="auto"/>
                <w:szCs w:val="16"/>
              </w:rPr>
              <w:t>0</w:t>
            </w:r>
          </w:p>
        </w:tc>
        <w:tc>
          <w:tcPr>
            <w:tcW w:w="779" w:type="dxa"/>
            <w:shd w:val="clear" w:color="auto" w:fill="C5E0B3"/>
            <w:noWrap/>
          </w:tcPr>
          <w:p w14:paraId="0F45CB31" w14:textId="77777777" w:rsidR="008F0C02" w:rsidRPr="008F0C02" w:rsidRDefault="008F0C02">
            <w:pPr>
              <w:pStyle w:val="Tabele"/>
              <w:jc w:val="right"/>
              <w:rPr>
                <w:color w:val="auto"/>
              </w:rPr>
            </w:pPr>
            <w:r w:rsidRPr="008F0C02">
              <w:rPr>
                <w:color w:val="auto"/>
                <w:szCs w:val="16"/>
              </w:rPr>
              <w:t>0</w:t>
            </w:r>
          </w:p>
        </w:tc>
        <w:tc>
          <w:tcPr>
            <w:tcW w:w="779" w:type="dxa"/>
            <w:shd w:val="clear" w:color="auto" w:fill="C5E0B3"/>
            <w:noWrap/>
          </w:tcPr>
          <w:p w14:paraId="0390D119" w14:textId="77777777" w:rsidR="008F0C02" w:rsidRPr="008F0C02" w:rsidRDefault="008F0C02">
            <w:pPr>
              <w:pStyle w:val="Tabele"/>
              <w:jc w:val="right"/>
              <w:rPr>
                <w:color w:val="auto"/>
              </w:rPr>
            </w:pPr>
            <w:r w:rsidRPr="008F0C02">
              <w:rPr>
                <w:color w:val="auto"/>
                <w:szCs w:val="16"/>
              </w:rPr>
              <w:t>0</w:t>
            </w:r>
          </w:p>
        </w:tc>
        <w:tc>
          <w:tcPr>
            <w:tcW w:w="779" w:type="dxa"/>
            <w:shd w:val="clear" w:color="auto" w:fill="C5E0B3"/>
            <w:noWrap/>
          </w:tcPr>
          <w:p w14:paraId="65B26BB2" w14:textId="77777777" w:rsidR="008F0C02" w:rsidRPr="008F0C02" w:rsidRDefault="008F0C02">
            <w:pPr>
              <w:pStyle w:val="Tabele"/>
              <w:jc w:val="right"/>
              <w:rPr>
                <w:color w:val="auto"/>
              </w:rPr>
            </w:pPr>
            <w:r w:rsidRPr="008F0C02">
              <w:rPr>
                <w:color w:val="auto"/>
                <w:szCs w:val="16"/>
              </w:rPr>
              <w:t>0</w:t>
            </w:r>
          </w:p>
        </w:tc>
        <w:tc>
          <w:tcPr>
            <w:tcW w:w="779" w:type="dxa"/>
            <w:noWrap/>
          </w:tcPr>
          <w:p w14:paraId="08DA6DAD" w14:textId="77777777" w:rsidR="008F0C02" w:rsidRPr="008F0C02" w:rsidRDefault="008F0C02">
            <w:pPr>
              <w:pStyle w:val="Tabele"/>
              <w:jc w:val="right"/>
              <w:rPr>
                <w:color w:val="auto"/>
              </w:rPr>
            </w:pPr>
            <w:r w:rsidRPr="008F0C02">
              <w:rPr>
                <w:rFonts w:cs="Arial"/>
                <w:color w:val="auto"/>
                <w:szCs w:val="16"/>
              </w:rPr>
              <w:t>0</w:t>
            </w:r>
          </w:p>
        </w:tc>
        <w:tc>
          <w:tcPr>
            <w:tcW w:w="779" w:type="dxa"/>
            <w:noWrap/>
          </w:tcPr>
          <w:p w14:paraId="3EAE2970" w14:textId="77777777" w:rsidR="008F0C02" w:rsidRPr="008F0C02" w:rsidRDefault="008F0C02">
            <w:pPr>
              <w:pStyle w:val="Tabele"/>
              <w:jc w:val="right"/>
              <w:rPr>
                <w:color w:val="auto"/>
              </w:rPr>
            </w:pPr>
            <w:r w:rsidRPr="008F0C02">
              <w:rPr>
                <w:rFonts w:cs="Arial"/>
                <w:color w:val="auto"/>
                <w:szCs w:val="16"/>
              </w:rPr>
              <w:t>0</w:t>
            </w:r>
          </w:p>
        </w:tc>
        <w:tc>
          <w:tcPr>
            <w:tcW w:w="779" w:type="dxa"/>
            <w:noWrap/>
          </w:tcPr>
          <w:p w14:paraId="3A78923E" w14:textId="77777777" w:rsidR="008F0C02" w:rsidRPr="008F0C02" w:rsidRDefault="008F0C02">
            <w:pPr>
              <w:pStyle w:val="Tabele"/>
              <w:jc w:val="right"/>
              <w:rPr>
                <w:color w:val="auto"/>
              </w:rPr>
            </w:pPr>
            <w:r w:rsidRPr="008F0C02">
              <w:rPr>
                <w:rFonts w:cs="Arial"/>
                <w:color w:val="auto"/>
                <w:szCs w:val="16"/>
              </w:rPr>
              <w:t>0</w:t>
            </w:r>
          </w:p>
        </w:tc>
        <w:tc>
          <w:tcPr>
            <w:tcW w:w="779" w:type="dxa"/>
            <w:noWrap/>
          </w:tcPr>
          <w:p w14:paraId="3E8F2539" w14:textId="77777777" w:rsidR="008F0C02" w:rsidRPr="008F0C02" w:rsidRDefault="008F0C02">
            <w:pPr>
              <w:pStyle w:val="Tabele"/>
              <w:jc w:val="right"/>
              <w:rPr>
                <w:color w:val="auto"/>
              </w:rPr>
            </w:pPr>
            <w:r w:rsidRPr="008F0C02">
              <w:rPr>
                <w:rFonts w:cs="Arial"/>
                <w:color w:val="auto"/>
                <w:szCs w:val="16"/>
              </w:rPr>
              <w:t>6 242</w:t>
            </w:r>
          </w:p>
        </w:tc>
      </w:tr>
      <w:tr w:rsidR="008F0C02" w:rsidRPr="00DB48D3" w14:paraId="68A25A04" w14:textId="77777777" w:rsidTr="008F0C02">
        <w:trPr>
          <w:trHeight w:val="227"/>
        </w:trPr>
        <w:tc>
          <w:tcPr>
            <w:tcW w:w="1536" w:type="dxa"/>
            <w:vMerge w:val="restart"/>
          </w:tcPr>
          <w:p w14:paraId="5859F09B" w14:textId="77777777" w:rsidR="008F0C02" w:rsidRPr="008F0C02" w:rsidRDefault="008F0C02">
            <w:pPr>
              <w:pStyle w:val="Tabele"/>
              <w:rPr>
                <w:b/>
                <w:bCs/>
                <w:color w:val="auto"/>
              </w:rPr>
            </w:pPr>
            <w:r w:rsidRPr="008F0C02">
              <w:rPr>
                <w:b/>
                <w:bCs/>
                <w:color w:val="auto"/>
              </w:rPr>
              <w:t>Ciepłownie</w:t>
            </w:r>
          </w:p>
        </w:tc>
        <w:tc>
          <w:tcPr>
            <w:tcW w:w="1321" w:type="dxa"/>
            <w:noWrap/>
            <w:hideMark/>
          </w:tcPr>
          <w:p w14:paraId="0D704A98" w14:textId="77777777" w:rsidR="008F0C02" w:rsidRPr="008F0C02" w:rsidRDefault="008F0C02">
            <w:pPr>
              <w:pStyle w:val="Tabele"/>
              <w:rPr>
                <w:color w:val="auto"/>
              </w:rPr>
            </w:pPr>
            <w:r w:rsidRPr="008F0C02">
              <w:rPr>
                <w:color w:val="auto"/>
              </w:rPr>
              <w:t>Energia elektr.</w:t>
            </w:r>
          </w:p>
        </w:tc>
        <w:tc>
          <w:tcPr>
            <w:tcW w:w="779" w:type="dxa"/>
            <w:shd w:val="clear" w:color="auto" w:fill="C5E0B3"/>
            <w:noWrap/>
            <w:hideMark/>
          </w:tcPr>
          <w:p w14:paraId="27EA6C5B" w14:textId="77777777" w:rsidR="008F0C02" w:rsidRPr="008F0C02" w:rsidRDefault="008F0C02">
            <w:pPr>
              <w:pStyle w:val="Tabele"/>
              <w:jc w:val="right"/>
              <w:rPr>
                <w:color w:val="auto"/>
              </w:rPr>
            </w:pPr>
            <w:r w:rsidRPr="008F0C02">
              <w:rPr>
                <w:color w:val="auto"/>
                <w:szCs w:val="16"/>
              </w:rPr>
              <w:t>0</w:t>
            </w:r>
          </w:p>
        </w:tc>
        <w:tc>
          <w:tcPr>
            <w:tcW w:w="779" w:type="dxa"/>
            <w:shd w:val="clear" w:color="auto" w:fill="C5E0B3"/>
            <w:noWrap/>
            <w:hideMark/>
          </w:tcPr>
          <w:p w14:paraId="674BAF4E" w14:textId="77777777" w:rsidR="008F0C02" w:rsidRPr="008F0C02" w:rsidRDefault="008F0C02">
            <w:pPr>
              <w:pStyle w:val="Tabele"/>
              <w:jc w:val="right"/>
              <w:rPr>
                <w:color w:val="auto"/>
              </w:rPr>
            </w:pPr>
            <w:r w:rsidRPr="008F0C02">
              <w:rPr>
                <w:color w:val="auto"/>
                <w:szCs w:val="16"/>
              </w:rPr>
              <w:t>0</w:t>
            </w:r>
          </w:p>
        </w:tc>
        <w:tc>
          <w:tcPr>
            <w:tcW w:w="779" w:type="dxa"/>
            <w:shd w:val="clear" w:color="auto" w:fill="C5E0B3"/>
            <w:noWrap/>
            <w:hideMark/>
          </w:tcPr>
          <w:p w14:paraId="5D9131C7" w14:textId="77777777" w:rsidR="008F0C02" w:rsidRPr="008F0C02" w:rsidRDefault="008F0C02">
            <w:pPr>
              <w:pStyle w:val="Tabele"/>
              <w:jc w:val="right"/>
              <w:rPr>
                <w:color w:val="auto"/>
              </w:rPr>
            </w:pPr>
            <w:r w:rsidRPr="008F0C02">
              <w:rPr>
                <w:color w:val="auto"/>
                <w:szCs w:val="16"/>
              </w:rPr>
              <w:t>0</w:t>
            </w:r>
          </w:p>
        </w:tc>
        <w:tc>
          <w:tcPr>
            <w:tcW w:w="779" w:type="dxa"/>
            <w:shd w:val="clear" w:color="auto" w:fill="C5E0B3"/>
            <w:noWrap/>
            <w:hideMark/>
          </w:tcPr>
          <w:p w14:paraId="262F9575" w14:textId="77777777" w:rsidR="008F0C02" w:rsidRPr="008F0C02" w:rsidRDefault="008F0C02">
            <w:pPr>
              <w:pStyle w:val="Tabele"/>
              <w:jc w:val="right"/>
              <w:rPr>
                <w:color w:val="auto"/>
              </w:rPr>
            </w:pPr>
            <w:r w:rsidRPr="008F0C02">
              <w:rPr>
                <w:color w:val="auto"/>
                <w:szCs w:val="16"/>
              </w:rPr>
              <w:t>0</w:t>
            </w:r>
          </w:p>
        </w:tc>
        <w:tc>
          <w:tcPr>
            <w:tcW w:w="779" w:type="dxa"/>
            <w:noWrap/>
            <w:hideMark/>
          </w:tcPr>
          <w:p w14:paraId="0A856E24" w14:textId="77777777" w:rsidR="008F0C02" w:rsidRPr="008F0C02" w:rsidRDefault="008F0C02">
            <w:pPr>
              <w:pStyle w:val="Tabele"/>
              <w:jc w:val="right"/>
              <w:rPr>
                <w:color w:val="auto"/>
              </w:rPr>
            </w:pPr>
            <w:r w:rsidRPr="008F0C02">
              <w:rPr>
                <w:rFonts w:cs="Arial"/>
                <w:color w:val="auto"/>
                <w:szCs w:val="16"/>
              </w:rPr>
              <w:t>27</w:t>
            </w:r>
          </w:p>
        </w:tc>
        <w:tc>
          <w:tcPr>
            <w:tcW w:w="779" w:type="dxa"/>
            <w:noWrap/>
            <w:hideMark/>
          </w:tcPr>
          <w:p w14:paraId="3BDF1D3E" w14:textId="77777777" w:rsidR="008F0C02" w:rsidRPr="008F0C02" w:rsidRDefault="008F0C02">
            <w:pPr>
              <w:pStyle w:val="Tabele"/>
              <w:jc w:val="right"/>
              <w:rPr>
                <w:color w:val="auto"/>
              </w:rPr>
            </w:pPr>
            <w:r w:rsidRPr="008F0C02">
              <w:rPr>
                <w:rFonts w:cs="Arial"/>
                <w:color w:val="auto"/>
                <w:szCs w:val="16"/>
              </w:rPr>
              <w:t>53</w:t>
            </w:r>
          </w:p>
        </w:tc>
        <w:tc>
          <w:tcPr>
            <w:tcW w:w="779" w:type="dxa"/>
            <w:noWrap/>
            <w:hideMark/>
          </w:tcPr>
          <w:p w14:paraId="797195E8" w14:textId="77777777" w:rsidR="008F0C02" w:rsidRPr="008F0C02" w:rsidRDefault="008F0C02">
            <w:pPr>
              <w:pStyle w:val="Tabele"/>
              <w:jc w:val="right"/>
              <w:rPr>
                <w:color w:val="auto"/>
              </w:rPr>
            </w:pPr>
            <w:r w:rsidRPr="008F0C02">
              <w:rPr>
                <w:rFonts w:cs="Arial"/>
                <w:color w:val="auto"/>
                <w:szCs w:val="16"/>
              </w:rPr>
              <w:t>227</w:t>
            </w:r>
          </w:p>
        </w:tc>
        <w:tc>
          <w:tcPr>
            <w:tcW w:w="779" w:type="dxa"/>
            <w:noWrap/>
            <w:hideMark/>
          </w:tcPr>
          <w:p w14:paraId="1590E2F0" w14:textId="77777777" w:rsidR="008F0C02" w:rsidRPr="008F0C02" w:rsidRDefault="008F0C02">
            <w:pPr>
              <w:pStyle w:val="Tabele"/>
              <w:jc w:val="right"/>
              <w:rPr>
                <w:color w:val="auto"/>
              </w:rPr>
            </w:pPr>
            <w:r w:rsidRPr="008F0C02">
              <w:rPr>
                <w:rFonts w:cs="Arial"/>
                <w:color w:val="auto"/>
                <w:szCs w:val="16"/>
              </w:rPr>
              <w:t>355</w:t>
            </w:r>
          </w:p>
        </w:tc>
      </w:tr>
      <w:tr w:rsidR="008F0C02" w:rsidRPr="00DB48D3" w14:paraId="43532A2B" w14:textId="77777777" w:rsidTr="008F0C02">
        <w:trPr>
          <w:trHeight w:val="227"/>
        </w:trPr>
        <w:tc>
          <w:tcPr>
            <w:tcW w:w="1536" w:type="dxa"/>
            <w:vMerge/>
          </w:tcPr>
          <w:p w14:paraId="37644297" w14:textId="77777777" w:rsidR="008F0C02" w:rsidRPr="008F0C02" w:rsidRDefault="008F0C02">
            <w:pPr>
              <w:pStyle w:val="Tabele"/>
              <w:rPr>
                <w:b/>
                <w:bCs/>
                <w:color w:val="auto"/>
              </w:rPr>
            </w:pPr>
          </w:p>
        </w:tc>
        <w:tc>
          <w:tcPr>
            <w:tcW w:w="1321" w:type="dxa"/>
            <w:noWrap/>
          </w:tcPr>
          <w:p w14:paraId="1C5B6D5B" w14:textId="77777777" w:rsidR="008F0C02" w:rsidRPr="008F0C02" w:rsidRDefault="008F0C02">
            <w:pPr>
              <w:pStyle w:val="Tabele"/>
              <w:rPr>
                <w:color w:val="auto"/>
              </w:rPr>
            </w:pPr>
            <w:r w:rsidRPr="008F0C02">
              <w:rPr>
                <w:color w:val="auto"/>
              </w:rPr>
              <w:t>Węgiel</w:t>
            </w:r>
          </w:p>
        </w:tc>
        <w:tc>
          <w:tcPr>
            <w:tcW w:w="779" w:type="dxa"/>
            <w:shd w:val="clear" w:color="auto" w:fill="C5E0B3"/>
            <w:noWrap/>
          </w:tcPr>
          <w:p w14:paraId="7A7EEF02" w14:textId="77777777" w:rsidR="008F0C02" w:rsidRPr="008F0C02" w:rsidRDefault="008F0C02">
            <w:pPr>
              <w:pStyle w:val="Tabele"/>
              <w:jc w:val="right"/>
              <w:rPr>
                <w:color w:val="auto"/>
              </w:rPr>
            </w:pPr>
            <w:r w:rsidRPr="008F0C02">
              <w:rPr>
                <w:color w:val="auto"/>
                <w:szCs w:val="16"/>
              </w:rPr>
              <w:t>3 063</w:t>
            </w:r>
          </w:p>
        </w:tc>
        <w:tc>
          <w:tcPr>
            <w:tcW w:w="779" w:type="dxa"/>
            <w:shd w:val="clear" w:color="auto" w:fill="C5E0B3"/>
            <w:noWrap/>
          </w:tcPr>
          <w:p w14:paraId="72A40D58" w14:textId="77777777" w:rsidR="008F0C02" w:rsidRPr="008F0C02" w:rsidRDefault="008F0C02">
            <w:pPr>
              <w:pStyle w:val="Tabele"/>
              <w:jc w:val="right"/>
              <w:rPr>
                <w:color w:val="auto"/>
              </w:rPr>
            </w:pPr>
            <w:r w:rsidRPr="008F0C02">
              <w:rPr>
                <w:color w:val="auto"/>
                <w:szCs w:val="16"/>
              </w:rPr>
              <w:t>3 360</w:t>
            </w:r>
          </w:p>
        </w:tc>
        <w:tc>
          <w:tcPr>
            <w:tcW w:w="779" w:type="dxa"/>
            <w:shd w:val="clear" w:color="auto" w:fill="C5E0B3"/>
            <w:noWrap/>
          </w:tcPr>
          <w:p w14:paraId="1AA0DF48" w14:textId="77777777" w:rsidR="008F0C02" w:rsidRPr="008F0C02" w:rsidRDefault="008F0C02">
            <w:pPr>
              <w:pStyle w:val="Tabele"/>
              <w:jc w:val="right"/>
              <w:rPr>
                <w:color w:val="auto"/>
              </w:rPr>
            </w:pPr>
            <w:r w:rsidRPr="008F0C02">
              <w:rPr>
                <w:color w:val="auto"/>
                <w:szCs w:val="16"/>
              </w:rPr>
              <w:t>2 403</w:t>
            </w:r>
          </w:p>
        </w:tc>
        <w:tc>
          <w:tcPr>
            <w:tcW w:w="779" w:type="dxa"/>
            <w:shd w:val="clear" w:color="auto" w:fill="C5E0B3"/>
            <w:noWrap/>
          </w:tcPr>
          <w:p w14:paraId="28A29FCE" w14:textId="77777777" w:rsidR="008F0C02" w:rsidRPr="008F0C02" w:rsidRDefault="008F0C02">
            <w:pPr>
              <w:pStyle w:val="Tabele"/>
              <w:jc w:val="right"/>
              <w:rPr>
                <w:color w:val="auto"/>
              </w:rPr>
            </w:pPr>
            <w:r w:rsidRPr="008F0C02">
              <w:rPr>
                <w:color w:val="auto"/>
                <w:szCs w:val="16"/>
              </w:rPr>
              <w:t>2 341</w:t>
            </w:r>
          </w:p>
        </w:tc>
        <w:tc>
          <w:tcPr>
            <w:tcW w:w="779" w:type="dxa"/>
            <w:noWrap/>
          </w:tcPr>
          <w:p w14:paraId="01D962BA" w14:textId="77777777" w:rsidR="008F0C02" w:rsidRPr="008F0C02" w:rsidRDefault="008F0C02">
            <w:pPr>
              <w:pStyle w:val="Tabele"/>
              <w:jc w:val="right"/>
              <w:rPr>
                <w:color w:val="auto"/>
              </w:rPr>
            </w:pPr>
            <w:r w:rsidRPr="008F0C02">
              <w:rPr>
                <w:rFonts w:cs="Arial"/>
                <w:color w:val="auto"/>
                <w:szCs w:val="16"/>
              </w:rPr>
              <w:t>1 750</w:t>
            </w:r>
          </w:p>
        </w:tc>
        <w:tc>
          <w:tcPr>
            <w:tcW w:w="779" w:type="dxa"/>
            <w:noWrap/>
          </w:tcPr>
          <w:p w14:paraId="0BAD3897" w14:textId="77777777" w:rsidR="008F0C02" w:rsidRPr="008F0C02" w:rsidRDefault="008F0C02">
            <w:pPr>
              <w:pStyle w:val="Tabele"/>
              <w:jc w:val="right"/>
              <w:rPr>
                <w:color w:val="auto"/>
              </w:rPr>
            </w:pPr>
            <w:r w:rsidRPr="008F0C02">
              <w:rPr>
                <w:rFonts w:cs="Arial"/>
                <w:color w:val="auto"/>
                <w:szCs w:val="16"/>
              </w:rPr>
              <w:t>858</w:t>
            </w:r>
          </w:p>
        </w:tc>
        <w:tc>
          <w:tcPr>
            <w:tcW w:w="779" w:type="dxa"/>
            <w:noWrap/>
          </w:tcPr>
          <w:p w14:paraId="0F60A31F" w14:textId="77777777" w:rsidR="008F0C02" w:rsidRPr="008F0C02" w:rsidRDefault="008F0C02">
            <w:pPr>
              <w:pStyle w:val="Tabele"/>
              <w:jc w:val="right"/>
              <w:rPr>
                <w:color w:val="auto"/>
              </w:rPr>
            </w:pPr>
            <w:r w:rsidRPr="008F0C02">
              <w:rPr>
                <w:rFonts w:cs="Arial"/>
                <w:color w:val="auto"/>
                <w:szCs w:val="16"/>
              </w:rPr>
              <w:t>397</w:t>
            </w:r>
          </w:p>
        </w:tc>
        <w:tc>
          <w:tcPr>
            <w:tcW w:w="779" w:type="dxa"/>
            <w:noWrap/>
          </w:tcPr>
          <w:p w14:paraId="095E9175" w14:textId="77777777" w:rsidR="008F0C02" w:rsidRPr="008F0C02" w:rsidRDefault="008F0C02">
            <w:pPr>
              <w:pStyle w:val="Tabele"/>
              <w:jc w:val="right"/>
              <w:rPr>
                <w:color w:val="auto"/>
              </w:rPr>
            </w:pPr>
            <w:r w:rsidRPr="008F0C02">
              <w:rPr>
                <w:rFonts w:cs="Arial"/>
                <w:color w:val="auto"/>
                <w:szCs w:val="16"/>
              </w:rPr>
              <w:t>36</w:t>
            </w:r>
          </w:p>
        </w:tc>
      </w:tr>
      <w:tr w:rsidR="008F0C02" w:rsidRPr="00DB48D3" w14:paraId="4AB72F11" w14:textId="77777777" w:rsidTr="008F0C02">
        <w:trPr>
          <w:trHeight w:val="227"/>
        </w:trPr>
        <w:tc>
          <w:tcPr>
            <w:tcW w:w="1536" w:type="dxa"/>
            <w:vMerge/>
          </w:tcPr>
          <w:p w14:paraId="68857B8D" w14:textId="77777777" w:rsidR="008F0C02" w:rsidRPr="008F0C02" w:rsidRDefault="008F0C02">
            <w:pPr>
              <w:pStyle w:val="Tabele"/>
              <w:rPr>
                <w:color w:val="auto"/>
              </w:rPr>
            </w:pPr>
          </w:p>
        </w:tc>
        <w:tc>
          <w:tcPr>
            <w:tcW w:w="1321" w:type="dxa"/>
            <w:noWrap/>
            <w:hideMark/>
          </w:tcPr>
          <w:p w14:paraId="63E1B872" w14:textId="77777777" w:rsidR="008F0C02" w:rsidRPr="008F0C02" w:rsidRDefault="008F0C02">
            <w:pPr>
              <w:pStyle w:val="Tabele"/>
              <w:rPr>
                <w:color w:val="auto"/>
              </w:rPr>
            </w:pPr>
            <w:r w:rsidRPr="008F0C02">
              <w:rPr>
                <w:color w:val="auto"/>
              </w:rPr>
              <w:t>Produkty naftowe</w:t>
            </w:r>
          </w:p>
        </w:tc>
        <w:tc>
          <w:tcPr>
            <w:tcW w:w="779" w:type="dxa"/>
            <w:shd w:val="clear" w:color="auto" w:fill="C5E0B3"/>
            <w:noWrap/>
            <w:hideMark/>
          </w:tcPr>
          <w:p w14:paraId="656DE0A7" w14:textId="77777777" w:rsidR="008F0C02" w:rsidRPr="008F0C02" w:rsidRDefault="008F0C02">
            <w:pPr>
              <w:pStyle w:val="Tabele"/>
              <w:jc w:val="right"/>
              <w:rPr>
                <w:color w:val="auto"/>
              </w:rPr>
            </w:pPr>
            <w:r w:rsidRPr="008F0C02">
              <w:rPr>
                <w:color w:val="auto"/>
                <w:szCs w:val="16"/>
              </w:rPr>
              <w:t>52</w:t>
            </w:r>
          </w:p>
        </w:tc>
        <w:tc>
          <w:tcPr>
            <w:tcW w:w="779" w:type="dxa"/>
            <w:shd w:val="clear" w:color="auto" w:fill="C5E0B3"/>
            <w:noWrap/>
            <w:hideMark/>
          </w:tcPr>
          <w:p w14:paraId="43504E72" w14:textId="77777777" w:rsidR="008F0C02" w:rsidRPr="008F0C02" w:rsidRDefault="008F0C02">
            <w:pPr>
              <w:pStyle w:val="Tabele"/>
              <w:jc w:val="right"/>
              <w:rPr>
                <w:color w:val="auto"/>
              </w:rPr>
            </w:pPr>
            <w:r w:rsidRPr="008F0C02">
              <w:rPr>
                <w:color w:val="auto"/>
                <w:szCs w:val="16"/>
              </w:rPr>
              <w:t>36</w:t>
            </w:r>
          </w:p>
        </w:tc>
        <w:tc>
          <w:tcPr>
            <w:tcW w:w="779" w:type="dxa"/>
            <w:shd w:val="clear" w:color="auto" w:fill="C5E0B3"/>
            <w:noWrap/>
            <w:hideMark/>
          </w:tcPr>
          <w:p w14:paraId="7ADE34D7" w14:textId="77777777" w:rsidR="008F0C02" w:rsidRPr="008F0C02" w:rsidRDefault="008F0C02">
            <w:pPr>
              <w:pStyle w:val="Tabele"/>
              <w:jc w:val="right"/>
              <w:rPr>
                <w:color w:val="auto"/>
              </w:rPr>
            </w:pPr>
            <w:r w:rsidRPr="008F0C02">
              <w:rPr>
                <w:color w:val="auto"/>
                <w:szCs w:val="16"/>
              </w:rPr>
              <w:t>16</w:t>
            </w:r>
          </w:p>
        </w:tc>
        <w:tc>
          <w:tcPr>
            <w:tcW w:w="779" w:type="dxa"/>
            <w:shd w:val="clear" w:color="auto" w:fill="C5E0B3"/>
            <w:noWrap/>
            <w:hideMark/>
          </w:tcPr>
          <w:p w14:paraId="399E1C9C" w14:textId="77777777" w:rsidR="008F0C02" w:rsidRPr="008F0C02" w:rsidRDefault="008F0C02">
            <w:pPr>
              <w:pStyle w:val="Tabele"/>
              <w:jc w:val="right"/>
              <w:rPr>
                <w:color w:val="auto"/>
              </w:rPr>
            </w:pPr>
            <w:r w:rsidRPr="008F0C02">
              <w:rPr>
                <w:color w:val="auto"/>
                <w:szCs w:val="16"/>
              </w:rPr>
              <w:t>20</w:t>
            </w:r>
          </w:p>
        </w:tc>
        <w:tc>
          <w:tcPr>
            <w:tcW w:w="779" w:type="dxa"/>
            <w:noWrap/>
            <w:hideMark/>
          </w:tcPr>
          <w:p w14:paraId="01BC53EF" w14:textId="77777777" w:rsidR="008F0C02" w:rsidRPr="008F0C02" w:rsidRDefault="008F0C02">
            <w:pPr>
              <w:pStyle w:val="Tabele"/>
              <w:jc w:val="right"/>
              <w:rPr>
                <w:color w:val="auto"/>
              </w:rPr>
            </w:pPr>
            <w:r w:rsidRPr="008F0C02">
              <w:rPr>
                <w:rFonts w:cs="Arial"/>
                <w:color w:val="auto"/>
                <w:szCs w:val="16"/>
              </w:rPr>
              <w:t>45</w:t>
            </w:r>
          </w:p>
        </w:tc>
        <w:tc>
          <w:tcPr>
            <w:tcW w:w="779" w:type="dxa"/>
            <w:noWrap/>
            <w:hideMark/>
          </w:tcPr>
          <w:p w14:paraId="30ECA156" w14:textId="77777777" w:rsidR="008F0C02" w:rsidRPr="008F0C02" w:rsidRDefault="008F0C02">
            <w:pPr>
              <w:pStyle w:val="Tabele"/>
              <w:jc w:val="right"/>
              <w:rPr>
                <w:color w:val="auto"/>
              </w:rPr>
            </w:pPr>
            <w:r w:rsidRPr="008F0C02">
              <w:rPr>
                <w:rFonts w:cs="Arial"/>
                <w:color w:val="auto"/>
                <w:szCs w:val="16"/>
              </w:rPr>
              <w:t>32</w:t>
            </w:r>
          </w:p>
        </w:tc>
        <w:tc>
          <w:tcPr>
            <w:tcW w:w="779" w:type="dxa"/>
            <w:noWrap/>
            <w:hideMark/>
          </w:tcPr>
          <w:p w14:paraId="00F62BDA" w14:textId="77777777" w:rsidR="008F0C02" w:rsidRPr="008F0C02" w:rsidRDefault="008F0C02">
            <w:pPr>
              <w:pStyle w:val="Tabele"/>
              <w:jc w:val="right"/>
              <w:rPr>
                <w:color w:val="auto"/>
              </w:rPr>
            </w:pPr>
            <w:r w:rsidRPr="008F0C02">
              <w:rPr>
                <w:rFonts w:cs="Arial"/>
                <w:color w:val="auto"/>
                <w:szCs w:val="16"/>
              </w:rPr>
              <w:t>48</w:t>
            </w:r>
          </w:p>
        </w:tc>
        <w:tc>
          <w:tcPr>
            <w:tcW w:w="779" w:type="dxa"/>
            <w:noWrap/>
            <w:hideMark/>
          </w:tcPr>
          <w:p w14:paraId="7EFCF8DF" w14:textId="77777777" w:rsidR="008F0C02" w:rsidRPr="008F0C02" w:rsidRDefault="008F0C02">
            <w:pPr>
              <w:pStyle w:val="Tabele"/>
              <w:jc w:val="right"/>
              <w:rPr>
                <w:color w:val="auto"/>
              </w:rPr>
            </w:pPr>
            <w:r w:rsidRPr="008F0C02">
              <w:rPr>
                <w:rFonts w:cs="Arial"/>
                <w:color w:val="auto"/>
                <w:szCs w:val="16"/>
              </w:rPr>
              <w:t>38</w:t>
            </w:r>
          </w:p>
        </w:tc>
      </w:tr>
      <w:tr w:rsidR="008F0C02" w:rsidRPr="00DB48D3" w14:paraId="342D80DA" w14:textId="77777777" w:rsidTr="008F0C02">
        <w:trPr>
          <w:trHeight w:val="227"/>
        </w:trPr>
        <w:tc>
          <w:tcPr>
            <w:tcW w:w="1536" w:type="dxa"/>
            <w:vMerge/>
          </w:tcPr>
          <w:p w14:paraId="709577AA" w14:textId="77777777" w:rsidR="008F0C02" w:rsidRPr="008F0C02" w:rsidRDefault="008F0C02">
            <w:pPr>
              <w:pStyle w:val="Tabele"/>
              <w:rPr>
                <w:color w:val="auto"/>
              </w:rPr>
            </w:pPr>
          </w:p>
        </w:tc>
        <w:tc>
          <w:tcPr>
            <w:tcW w:w="1321" w:type="dxa"/>
            <w:noWrap/>
            <w:hideMark/>
          </w:tcPr>
          <w:p w14:paraId="311CA274" w14:textId="77777777" w:rsidR="008F0C02" w:rsidRPr="008F0C02" w:rsidRDefault="008F0C02">
            <w:pPr>
              <w:pStyle w:val="Tabele"/>
              <w:rPr>
                <w:color w:val="auto"/>
              </w:rPr>
            </w:pPr>
            <w:r w:rsidRPr="008F0C02">
              <w:rPr>
                <w:color w:val="auto"/>
              </w:rPr>
              <w:t>Gaz</w:t>
            </w:r>
          </w:p>
        </w:tc>
        <w:tc>
          <w:tcPr>
            <w:tcW w:w="779" w:type="dxa"/>
            <w:shd w:val="clear" w:color="auto" w:fill="C5E0B3"/>
            <w:noWrap/>
            <w:hideMark/>
          </w:tcPr>
          <w:p w14:paraId="329112FC" w14:textId="77777777" w:rsidR="008F0C02" w:rsidRPr="008F0C02" w:rsidRDefault="008F0C02">
            <w:pPr>
              <w:pStyle w:val="Tabele"/>
              <w:jc w:val="right"/>
              <w:rPr>
                <w:color w:val="auto"/>
              </w:rPr>
            </w:pPr>
            <w:r w:rsidRPr="008F0C02">
              <w:rPr>
                <w:color w:val="auto"/>
                <w:szCs w:val="16"/>
              </w:rPr>
              <w:t>295</w:t>
            </w:r>
          </w:p>
        </w:tc>
        <w:tc>
          <w:tcPr>
            <w:tcW w:w="779" w:type="dxa"/>
            <w:shd w:val="clear" w:color="auto" w:fill="C5E0B3"/>
            <w:noWrap/>
            <w:hideMark/>
          </w:tcPr>
          <w:p w14:paraId="02921508" w14:textId="77777777" w:rsidR="008F0C02" w:rsidRPr="008F0C02" w:rsidRDefault="008F0C02">
            <w:pPr>
              <w:pStyle w:val="Tabele"/>
              <w:jc w:val="right"/>
              <w:rPr>
                <w:color w:val="auto"/>
              </w:rPr>
            </w:pPr>
            <w:r w:rsidRPr="008F0C02">
              <w:rPr>
                <w:color w:val="auto"/>
                <w:szCs w:val="16"/>
              </w:rPr>
              <w:t>277</w:t>
            </w:r>
          </w:p>
        </w:tc>
        <w:tc>
          <w:tcPr>
            <w:tcW w:w="779" w:type="dxa"/>
            <w:shd w:val="clear" w:color="auto" w:fill="C5E0B3"/>
            <w:noWrap/>
            <w:hideMark/>
          </w:tcPr>
          <w:p w14:paraId="393D9252" w14:textId="77777777" w:rsidR="008F0C02" w:rsidRPr="008F0C02" w:rsidRDefault="008F0C02">
            <w:pPr>
              <w:pStyle w:val="Tabele"/>
              <w:jc w:val="right"/>
              <w:rPr>
                <w:color w:val="auto"/>
              </w:rPr>
            </w:pPr>
            <w:r w:rsidRPr="008F0C02">
              <w:rPr>
                <w:color w:val="auto"/>
                <w:szCs w:val="16"/>
              </w:rPr>
              <w:t>209</w:t>
            </w:r>
          </w:p>
        </w:tc>
        <w:tc>
          <w:tcPr>
            <w:tcW w:w="779" w:type="dxa"/>
            <w:shd w:val="clear" w:color="auto" w:fill="C5E0B3"/>
            <w:noWrap/>
            <w:hideMark/>
          </w:tcPr>
          <w:p w14:paraId="0A233966" w14:textId="77777777" w:rsidR="008F0C02" w:rsidRPr="008F0C02" w:rsidRDefault="008F0C02">
            <w:pPr>
              <w:pStyle w:val="Tabele"/>
              <w:jc w:val="right"/>
              <w:rPr>
                <w:color w:val="auto"/>
              </w:rPr>
            </w:pPr>
            <w:r w:rsidRPr="008F0C02">
              <w:rPr>
                <w:color w:val="auto"/>
                <w:szCs w:val="16"/>
              </w:rPr>
              <w:t>217</w:t>
            </w:r>
          </w:p>
        </w:tc>
        <w:tc>
          <w:tcPr>
            <w:tcW w:w="779" w:type="dxa"/>
            <w:noWrap/>
            <w:hideMark/>
          </w:tcPr>
          <w:p w14:paraId="045DADDD" w14:textId="77777777" w:rsidR="008F0C02" w:rsidRPr="008F0C02" w:rsidRDefault="008F0C02">
            <w:pPr>
              <w:pStyle w:val="Tabele"/>
              <w:jc w:val="right"/>
              <w:rPr>
                <w:color w:val="auto"/>
              </w:rPr>
            </w:pPr>
            <w:r w:rsidRPr="008F0C02">
              <w:rPr>
                <w:rFonts w:cs="Arial"/>
                <w:color w:val="auto"/>
                <w:szCs w:val="16"/>
              </w:rPr>
              <w:t>511</w:t>
            </w:r>
          </w:p>
        </w:tc>
        <w:tc>
          <w:tcPr>
            <w:tcW w:w="779" w:type="dxa"/>
            <w:noWrap/>
            <w:hideMark/>
          </w:tcPr>
          <w:p w14:paraId="18E3A66B" w14:textId="77777777" w:rsidR="008F0C02" w:rsidRPr="008F0C02" w:rsidRDefault="008F0C02">
            <w:pPr>
              <w:pStyle w:val="Tabele"/>
              <w:jc w:val="right"/>
              <w:rPr>
                <w:color w:val="auto"/>
              </w:rPr>
            </w:pPr>
            <w:r w:rsidRPr="008F0C02">
              <w:rPr>
                <w:rFonts w:cs="Arial"/>
                <w:color w:val="auto"/>
                <w:szCs w:val="16"/>
              </w:rPr>
              <w:t>560</w:t>
            </w:r>
          </w:p>
        </w:tc>
        <w:tc>
          <w:tcPr>
            <w:tcW w:w="779" w:type="dxa"/>
            <w:noWrap/>
            <w:hideMark/>
          </w:tcPr>
          <w:p w14:paraId="70741403" w14:textId="77777777" w:rsidR="008F0C02" w:rsidRPr="008F0C02" w:rsidRDefault="008F0C02">
            <w:pPr>
              <w:pStyle w:val="Tabele"/>
              <w:jc w:val="right"/>
              <w:rPr>
                <w:color w:val="auto"/>
              </w:rPr>
            </w:pPr>
            <w:r w:rsidRPr="008F0C02">
              <w:rPr>
                <w:rFonts w:cs="Arial"/>
                <w:color w:val="auto"/>
                <w:szCs w:val="16"/>
              </w:rPr>
              <w:t>600</w:t>
            </w:r>
          </w:p>
        </w:tc>
        <w:tc>
          <w:tcPr>
            <w:tcW w:w="779" w:type="dxa"/>
            <w:noWrap/>
            <w:hideMark/>
          </w:tcPr>
          <w:p w14:paraId="30309952" w14:textId="77777777" w:rsidR="008F0C02" w:rsidRPr="008F0C02" w:rsidRDefault="008F0C02">
            <w:pPr>
              <w:pStyle w:val="Tabele"/>
              <w:jc w:val="right"/>
              <w:rPr>
                <w:color w:val="auto"/>
              </w:rPr>
            </w:pPr>
            <w:r w:rsidRPr="008F0C02">
              <w:rPr>
                <w:rFonts w:cs="Arial"/>
                <w:color w:val="auto"/>
                <w:szCs w:val="16"/>
              </w:rPr>
              <w:t>527</w:t>
            </w:r>
          </w:p>
        </w:tc>
      </w:tr>
      <w:tr w:rsidR="008F0C02" w:rsidRPr="00DB48D3" w14:paraId="38BF09E9" w14:textId="77777777" w:rsidTr="008F0C02">
        <w:trPr>
          <w:trHeight w:val="227"/>
        </w:trPr>
        <w:tc>
          <w:tcPr>
            <w:tcW w:w="1536" w:type="dxa"/>
            <w:vMerge/>
          </w:tcPr>
          <w:p w14:paraId="50B4EC88" w14:textId="77777777" w:rsidR="008F0C02" w:rsidRPr="008F0C02" w:rsidRDefault="008F0C02">
            <w:pPr>
              <w:pStyle w:val="Tabele"/>
              <w:rPr>
                <w:color w:val="auto"/>
              </w:rPr>
            </w:pPr>
          </w:p>
        </w:tc>
        <w:tc>
          <w:tcPr>
            <w:tcW w:w="1321" w:type="dxa"/>
            <w:noWrap/>
            <w:hideMark/>
          </w:tcPr>
          <w:p w14:paraId="47E3063B" w14:textId="77777777" w:rsidR="008F0C02" w:rsidRPr="008F0C02" w:rsidRDefault="008F0C02">
            <w:pPr>
              <w:pStyle w:val="Tabele"/>
              <w:rPr>
                <w:color w:val="auto"/>
              </w:rPr>
            </w:pPr>
            <w:r w:rsidRPr="008F0C02">
              <w:rPr>
                <w:color w:val="auto"/>
              </w:rPr>
              <w:t>OZE, wodór, odpady</w:t>
            </w:r>
          </w:p>
        </w:tc>
        <w:tc>
          <w:tcPr>
            <w:tcW w:w="779" w:type="dxa"/>
            <w:shd w:val="clear" w:color="auto" w:fill="C5E0B3"/>
            <w:noWrap/>
            <w:hideMark/>
          </w:tcPr>
          <w:p w14:paraId="6B72E3B1" w14:textId="77777777" w:rsidR="008F0C02" w:rsidRPr="008F0C02" w:rsidRDefault="008F0C02">
            <w:pPr>
              <w:pStyle w:val="Tabele"/>
              <w:jc w:val="right"/>
              <w:rPr>
                <w:color w:val="auto"/>
              </w:rPr>
            </w:pPr>
            <w:r w:rsidRPr="008F0C02">
              <w:rPr>
                <w:color w:val="auto"/>
                <w:szCs w:val="16"/>
              </w:rPr>
              <w:t>40</w:t>
            </w:r>
          </w:p>
        </w:tc>
        <w:tc>
          <w:tcPr>
            <w:tcW w:w="779" w:type="dxa"/>
            <w:shd w:val="clear" w:color="auto" w:fill="C5E0B3"/>
            <w:noWrap/>
            <w:hideMark/>
          </w:tcPr>
          <w:p w14:paraId="3195EA79" w14:textId="77777777" w:rsidR="008F0C02" w:rsidRPr="008F0C02" w:rsidRDefault="008F0C02">
            <w:pPr>
              <w:pStyle w:val="Tabele"/>
              <w:jc w:val="right"/>
              <w:rPr>
                <w:color w:val="auto"/>
              </w:rPr>
            </w:pPr>
            <w:r w:rsidRPr="008F0C02">
              <w:rPr>
                <w:color w:val="auto"/>
                <w:szCs w:val="16"/>
              </w:rPr>
              <w:t>47</w:t>
            </w:r>
          </w:p>
        </w:tc>
        <w:tc>
          <w:tcPr>
            <w:tcW w:w="779" w:type="dxa"/>
            <w:shd w:val="clear" w:color="auto" w:fill="C5E0B3"/>
            <w:noWrap/>
            <w:hideMark/>
          </w:tcPr>
          <w:p w14:paraId="5F50F075" w14:textId="77777777" w:rsidR="008F0C02" w:rsidRPr="008F0C02" w:rsidRDefault="008F0C02">
            <w:pPr>
              <w:pStyle w:val="Tabele"/>
              <w:jc w:val="right"/>
              <w:rPr>
                <w:color w:val="auto"/>
              </w:rPr>
            </w:pPr>
            <w:r w:rsidRPr="008F0C02">
              <w:rPr>
                <w:color w:val="auto"/>
                <w:szCs w:val="16"/>
              </w:rPr>
              <w:t>42</w:t>
            </w:r>
          </w:p>
        </w:tc>
        <w:tc>
          <w:tcPr>
            <w:tcW w:w="779" w:type="dxa"/>
            <w:shd w:val="clear" w:color="auto" w:fill="C5E0B3"/>
            <w:noWrap/>
            <w:hideMark/>
          </w:tcPr>
          <w:p w14:paraId="3F25A3CD" w14:textId="77777777" w:rsidR="008F0C02" w:rsidRPr="008F0C02" w:rsidRDefault="008F0C02">
            <w:pPr>
              <w:pStyle w:val="Tabele"/>
              <w:jc w:val="right"/>
              <w:rPr>
                <w:color w:val="auto"/>
              </w:rPr>
            </w:pPr>
            <w:r w:rsidRPr="008F0C02">
              <w:rPr>
                <w:color w:val="auto"/>
                <w:szCs w:val="16"/>
              </w:rPr>
              <w:t>129</w:t>
            </w:r>
          </w:p>
        </w:tc>
        <w:tc>
          <w:tcPr>
            <w:tcW w:w="779" w:type="dxa"/>
            <w:noWrap/>
            <w:hideMark/>
          </w:tcPr>
          <w:p w14:paraId="2209CD83" w14:textId="77777777" w:rsidR="008F0C02" w:rsidRPr="008F0C02" w:rsidRDefault="008F0C02">
            <w:pPr>
              <w:pStyle w:val="Tabele"/>
              <w:jc w:val="right"/>
              <w:rPr>
                <w:color w:val="auto"/>
              </w:rPr>
            </w:pPr>
            <w:r w:rsidRPr="008F0C02">
              <w:rPr>
                <w:rFonts w:cs="Arial"/>
                <w:color w:val="auto"/>
                <w:szCs w:val="16"/>
              </w:rPr>
              <w:t>193</w:t>
            </w:r>
          </w:p>
        </w:tc>
        <w:tc>
          <w:tcPr>
            <w:tcW w:w="779" w:type="dxa"/>
            <w:noWrap/>
            <w:hideMark/>
          </w:tcPr>
          <w:p w14:paraId="6D1DCC7D" w14:textId="77777777" w:rsidR="008F0C02" w:rsidRPr="008F0C02" w:rsidRDefault="008F0C02">
            <w:pPr>
              <w:pStyle w:val="Tabele"/>
              <w:jc w:val="right"/>
              <w:rPr>
                <w:color w:val="auto"/>
              </w:rPr>
            </w:pPr>
            <w:r w:rsidRPr="008F0C02">
              <w:rPr>
                <w:rFonts w:cs="Arial"/>
                <w:color w:val="auto"/>
                <w:szCs w:val="16"/>
              </w:rPr>
              <w:t>245</w:t>
            </w:r>
          </w:p>
        </w:tc>
        <w:tc>
          <w:tcPr>
            <w:tcW w:w="779" w:type="dxa"/>
            <w:noWrap/>
            <w:hideMark/>
          </w:tcPr>
          <w:p w14:paraId="2B3AD691" w14:textId="77777777" w:rsidR="008F0C02" w:rsidRPr="008F0C02" w:rsidRDefault="008F0C02">
            <w:pPr>
              <w:pStyle w:val="Tabele"/>
              <w:jc w:val="right"/>
              <w:rPr>
                <w:color w:val="auto"/>
              </w:rPr>
            </w:pPr>
            <w:r w:rsidRPr="008F0C02">
              <w:rPr>
                <w:rFonts w:cs="Arial"/>
                <w:color w:val="auto"/>
                <w:szCs w:val="16"/>
              </w:rPr>
              <w:t>220</w:t>
            </w:r>
          </w:p>
        </w:tc>
        <w:tc>
          <w:tcPr>
            <w:tcW w:w="779" w:type="dxa"/>
            <w:noWrap/>
            <w:hideMark/>
          </w:tcPr>
          <w:p w14:paraId="0B463599" w14:textId="77777777" w:rsidR="008F0C02" w:rsidRPr="008F0C02" w:rsidRDefault="008F0C02">
            <w:pPr>
              <w:pStyle w:val="Tabele"/>
              <w:jc w:val="right"/>
              <w:rPr>
                <w:color w:val="auto"/>
              </w:rPr>
            </w:pPr>
            <w:r w:rsidRPr="008F0C02">
              <w:rPr>
                <w:rFonts w:cs="Arial"/>
                <w:color w:val="auto"/>
                <w:szCs w:val="16"/>
              </w:rPr>
              <w:t>208</w:t>
            </w:r>
          </w:p>
        </w:tc>
      </w:tr>
    </w:tbl>
    <w:p w14:paraId="42A1AA96" w14:textId="682EE4A4" w:rsidR="005C4144" w:rsidRPr="002C1EBE" w:rsidRDefault="005C4144" w:rsidP="00113A28">
      <w:pPr>
        <w:pStyle w:val="Legenda"/>
      </w:pPr>
      <w:r w:rsidRPr="002C1EBE">
        <w:t>Źródło: Opracowanie własne ARE S</w:t>
      </w:r>
      <w:r>
        <w:t>.</w:t>
      </w:r>
      <w:r w:rsidRPr="002C1EBE">
        <w:t>A</w:t>
      </w:r>
      <w:r>
        <w:t>.</w:t>
      </w:r>
      <w:r w:rsidRPr="002C1EBE">
        <w:t xml:space="preserve"> (MESSAGE-PL)</w:t>
      </w:r>
    </w:p>
    <w:p w14:paraId="4F1A01CD" w14:textId="77777777" w:rsidR="005C4144" w:rsidRDefault="005C4144" w:rsidP="00797A1F">
      <w:pPr>
        <w:pStyle w:val="Nagwek2"/>
      </w:pPr>
      <w:bookmarkStart w:id="343" w:name="_Toc171587324"/>
      <w:bookmarkStart w:id="344" w:name="_Toc174710898"/>
      <w:bookmarkStart w:id="345" w:name="_Toc202966891"/>
      <w:r>
        <w:t>Wsad paliwowy w </w:t>
      </w:r>
      <w:r w:rsidRPr="003C36F2">
        <w:t>pozostałe procesy konwersji</w:t>
      </w:r>
      <w:bookmarkEnd w:id="343"/>
      <w:bookmarkEnd w:id="344"/>
      <w:bookmarkEnd w:id="345"/>
    </w:p>
    <w:p w14:paraId="33C3EFFD" w14:textId="612EDDB3" w:rsidR="005C4144" w:rsidRDefault="00D62E53" w:rsidP="005C4144">
      <w:pPr>
        <w:spacing w:after="120"/>
      </w:pPr>
      <w:bookmarkStart w:id="346" w:name="_Ref156559885"/>
      <w:r w:rsidRPr="003C36F2">
        <w:t>Do sektora przemian energetycznych zaliczane są zakłady przemysłowe,</w:t>
      </w:r>
      <w:r>
        <w:t xml:space="preserve"> w </w:t>
      </w:r>
      <w:r w:rsidRPr="003C36F2">
        <w:t>których realizowane są procesy technologiczne,</w:t>
      </w:r>
      <w:r>
        <w:t xml:space="preserve"> w </w:t>
      </w:r>
      <w:r w:rsidRPr="003C36F2">
        <w:t>których jedna postać energii (przeważnie nośniki energii pierwotnej, np.</w:t>
      </w:r>
      <w:r>
        <w:t> </w:t>
      </w:r>
      <w:r w:rsidRPr="003C36F2">
        <w:t>węgiel) zamieniane są na inną, pochodną postać energii (np. energię elektryczną ciepło, koks, gaz</w:t>
      </w:r>
      <w:r>
        <w:t xml:space="preserve"> z </w:t>
      </w:r>
      <w:r w:rsidRPr="003C36F2">
        <w:t>procesów technologicznych, itp.). Poza elektrowniami, elektrociepłowniami</w:t>
      </w:r>
      <w:r>
        <w:t xml:space="preserve"> i </w:t>
      </w:r>
      <w:r w:rsidRPr="003C36F2">
        <w:t>ciepłowniami, wymienionymi</w:t>
      </w:r>
      <w:r>
        <w:t xml:space="preserve"> w </w:t>
      </w:r>
      <w:r w:rsidRPr="003C36F2">
        <w:t>poprzednim podpunkcie, do sektora przemian energetycznych zaliczane są także: rafinerie, petrochemie, gazownie, koksownie, brykietownie oraz wielkie piece.</w:t>
      </w:r>
      <w:r>
        <w:t xml:space="preserve"> W tabeli </w:t>
      </w:r>
      <w:r w:rsidR="005C4144">
        <w:t>(</w:t>
      </w:r>
      <w:r w:rsidR="00067535">
        <w:fldChar w:fldCharType="begin"/>
      </w:r>
      <w:r w:rsidR="00067535">
        <w:instrText xml:space="preserve"> REF _Ref195871543 \h </w:instrText>
      </w:r>
      <w:r w:rsidR="00067535">
        <w:fldChar w:fldCharType="separate"/>
      </w:r>
      <w:r w:rsidR="00F27D6F">
        <w:t xml:space="preserve">Tabela </w:t>
      </w:r>
      <w:r w:rsidR="00F27D6F">
        <w:rPr>
          <w:noProof/>
        </w:rPr>
        <w:t>2</w:t>
      </w:r>
      <w:r w:rsidR="00F27D6F">
        <w:t>.</w:t>
      </w:r>
      <w:r w:rsidR="00F27D6F">
        <w:rPr>
          <w:noProof/>
        </w:rPr>
        <w:t>9</w:t>
      </w:r>
      <w:r w:rsidR="00067535">
        <w:fldChar w:fldCharType="end"/>
      </w:r>
      <w:r w:rsidR="005C4144">
        <w:t xml:space="preserve">) </w:t>
      </w:r>
      <w:r w:rsidR="00C630A9">
        <w:t>przedstawiono</w:t>
      </w:r>
      <w:r w:rsidR="00C630A9" w:rsidRPr="003C36F2">
        <w:t xml:space="preserve"> łączne zużycie paliw</w:t>
      </w:r>
      <w:r w:rsidR="00C630A9">
        <w:t xml:space="preserve"> w pozostałych procesach konwersji</w:t>
      </w:r>
      <w:r w:rsidR="00C630A9" w:rsidRPr="003C36F2">
        <w:t>.</w:t>
      </w:r>
      <w:r w:rsidR="00C630A9">
        <w:t xml:space="preserve"> Z </w:t>
      </w:r>
      <w:r w:rsidR="00C630A9" w:rsidRPr="003C36F2">
        <w:t xml:space="preserve">zaprezentowanych danych wynika stopniowy </w:t>
      </w:r>
      <w:r w:rsidR="00C630A9">
        <w:t>spadek zużycia paliw, związany głównie z postępującą transformacją energetyczną i stopniowym odejściem od zużycia paliw silnikowych w transporcie (spadek dotyczy ropy naftowej, produktów naftowych i gazu ziemnego w rafineriach)</w:t>
      </w:r>
      <w:r w:rsidR="00C630A9" w:rsidRPr="003C36F2">
        <w:t>.</w:t>
      </w:r>
    </w:p>
    <w:p w14:paraId="1F833BB4" w14:textId="5625B90E" w:rsidR="005C4144" w:rsidRPr="003C36F2" w:rsidRDefault="005C4144" w:rsidP="005C4144">
      <w:pPr>
        <w:pStyle w:val="Legenda"/>
      </w:pPr>
      <w:bookmarkStart w:id="347" w:name="_Ref158372031"/>
      <w:bookmarkStart w:id="348" w:name="_Ref195871543"/>
      <w:bookmarkStart w:id="349" w:name="_Toc171587197"/>
      <w:bookmarkStart w:id="350" w:name="_Toc174710981"/>
      <w:bookmarkStart w:id="351" w:name="_Toc202966984"/>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9</w:t>
      </w:r>
      <w:r w:rsidR="00653D9A">
        <w:rPr>
          <w:noProof/>
        </w:rPr>
        <w:fldChar w:fldCharType="end"/>
      </w:r>
      <w:bookmarkEnd w:id="346"/>
      <w:bookmarkEnd w:id="347"/>
      <w:bookmarkEnd w:id="348"/>
      <w:r>
        <w:t xml:space="preserve">. </w:t>
      </w:r>
      <w:r w:rsidRPr="003C36F2">
        <w:t>Wsad paliwowy</w:t>
      </w:r>
      <w:r>
        <w:t xml:space="preserve"> w </w:t>
      </w:r>
      <w:r w:rsidRPr="003C36F2">
        <w:t>pozostałe procesy konwersji [ktoe]</w:t>
      </w:r>
      <w:bookmarkEnd w:id="349"/>
      <w:bookmarkEnd w:id="350"/>
      <w:bookmarkEnd w:id="351"/>
    </w:p>
    <w:tbl>
      <w:tblPr>
        <w:tblStyle w:val="KPEiK"/>
        <w:tblW w:w="5000" w:type="pct"/>
        <w:tblLayout w:type="fixed"/>
        <w:tblLook w:val="04A0" w:firstRow="1" w:lastRow="0" w:firstColumn="1" w:lastColumn="0" w:noHBand="0" w:noVBand="1"/>
      </w:tblPr>
      <w:tblGrid>
        <w:gridCol w:w="2026"/>
        <w:gridCol w:w="879"/>
        <w:gridCol w:w="880"/>
        <w:gridCol w:w="879"/>
        <w:gridCol w:w="880"/>
        <w:gridCol w:w="880"/>
        <w:gridCol w:w="879"/>
        <w:gridCol w:w="880"/>
        <w:gridCol w:w="879"/>
      </w:tblGrid>
      <w:tr w:rsidR="008F2453" w:rsidRPr="00B87841" w14:paraId="182E60E6" w14:textId="77777777" w:rsidTr="008F2453">
        <w:trPr>
          <w:cnfStyle w:val="100000000000" w:firstRow="1" w:lastRow="0" w:firstColumn="0" w:lastColumn="0" w:oddVBand="0" w:evenVBand="0" w:oddHBand="0" w:evenHBand="0" w:firstRowFirstColumn="0" w:firstRowLastColumn="0" w:lastRowFirstColumn="0" w:lastRowLastColumn="0"/>
          <w:trHeight w:val="228"/>
          <w:tblHeader/>
        </w:trPr>
        <w:tc>
          <w:tcPr>
            <w:tcW w:w="2038" w:type="dxa"/>
            <w:noWrap/>
            <w:hideMark/>
          </w:tcPr>
          <w:p w14:paraId="3869A76C" w14:textId="77777777" w:rsidR="008F2453" w:rsidRPr="00B87841" w:rsidRDefault="008F2453">
            <w:pPr>
              <w:pStyle w:val="Tabele"/>
              <w:jc w:val="center"/>
              <w:rPr>
                <w:b w:val="0"/>
              </w:rPr>
            </w:pPr>
          </w:p>
        </w:tc>
        <w:tc>
          <w:tcPr>
            <w:tcW w:w="884" w:type="dxa"/>
            <w:noWrap/>
            <w:hideMark/>
          </w:tcPr>
          <w:p w14:paraId="48489C3F" w14:textId="77777777" w:rsidR="008F2453" w:rsidRPr="00B87841" w:rsidRDefault="008F2453">
            <w:pPr>
              <w:pStyle w:val="Tabele"/>
              <w:jc w:val="center"/>
              <w:rPr>
                <w:b w:val="0"/>
              </w:rPr>
            </w:pPr>
            <w:r w:rsidRPr="00B87841">
              <w:t>2005</w:t>
            </w:r>
          </w:p>
        </w:tc>
        <w:tc>
          <w:tcPr>
            <w:tcW w:w="885" w:type="dxa"/>
            <w:noWrap/>
            <w:hideMark/>
          </w:tcPr>
          <w:p w14:paraId="249F032A" w14:textId="77777777" w:rsidR="008F2453" w:rsidRPr="00B87841" w:rsidRDefault="008F2453">
            <w:pPr>
              <w:pStyle w:val="Tabele"/>
              <w:jc w:val="center"/>
              <w:rPr>
                <w:b w:val="0"/>
              </w:rPr>
            </w:pPr>
            <w:r w:rsidRPr="00B87841">
              <w:t>2010</w:t>
            </w:r>
          </w:p>
        </w:tc>
        <w:tc>
          <w:tcPr>
            <w:tcW w:w="884" w:type="dxa"/>
            <w:noWrap/>
            <w:hideMark/>
          </w:tcPr>
          <w:p w14:paraId="034939C7" w14:textId="77777777" w:rsidR="008F2453" w:rsidRPr="00B87841" w:rsidRDefault="008F2453">
            <w:pPr>
              <w:pStyle w:val="Tabele"/>
              <w:jc w:val="center"/>
              <w:rPr>
                <w:b w:val="0"/>
              </w:rPr>
            </w:pPr>
            <w:r w:rsidRPr="00B87841">
              <w:t>2015</w:t>
            </w:r>
          </w:p>
        </w:tc>
        <w:tc>
          <w:tcPr>
            <w:tcW w:w="885" w:type="dxa"/>
            <w:noWrap/>
            <w:hideMark/>
          </w:tcPr>
          <w:p w14:paraId="2B3A40C4" w14:textId="77777777" w:rsidR="008F2453" w:rsidRPr="00B87841" w:rsidRDefault="008F2453">
            <w:pPr>
              <w:pStyle w:val="Tabele"/>
              <w:jc w:val="center"/>
              <w:rPr>
                <w:b w:val="0"/>
              </w:rPr>
            </w:pPr>
            <w:r w:rsidRPr="00B87841">
              <w:t>2020</w:t>
            </w:r>
          </w:p>
        </w:tc>
        <w:tc>
          <w:tcPr>
            <w:tcW w:w="885" w:type="dxa"/>
            <w:noWrap/>
            <w:hideMark/>
          </w:tcPr>
          <w:p w14:paraId="74D35EE4" w14:textId="77777777" w:rsidR="008F2453" w:rsidRPr="00B87841" w:rsidRDefault="008F2453">
            <w:pPr>
              <w:pStyle w:val="Tabele"/>
              <w:jc w:val="center"/>
              <w:rPr>
                <w:b w:val="0"/>
              </w:rPr>
            </w:pPr>
            <w:r w:rsidRPr="00B87841">
              <w:t>2025</w:t>
            </w:r>
          </w:p>
        </w:tc>
        <w:tc>
          <w:tcPr>
            <w:tcW w:w="884" w:type="dxa"/>
            <w:noWrap/>
            <w:hideMark/>
          </w:tcPr>
          <w:p w14:paraId="6BEC50CE" w14:textId="77777777" w:rsidR="008F2453" w:rsidRPr="00B87841" w:rsidRDefault="008F2453">
            <w:pPr>
              <w:pStyle w:val="Tabele"/>
              <w:jc w:val="center"/>
              <w:rPr>
                <w:b w:val="0"/>
              </w:rPr>
            </w:pPr>
            <w:r w:rsidRPr="00B87841">
              <w:t>2030</w:t>
            </w:r>
          </w:p>
        </w:tc>
        <w:tc>
          <w:tcPr>
            <w:tcW w:w="885" w:type="dxa"/>
            <w:noWrap/>
            <w:hideMark/>
          </w:tcPr>
          <w:p w14:paraId="63E4D1F7" w14:textId="77777777" w:rsidR="008F2453" w:rsidRPr="00B87841" w:rsidRDefault="008F2453">
            <w:pPr>
              <w:pStyle w:val="Tabele"/>
              <w:jc w:val="center"/>
              <w:rPr>
                <w:b w:val="0"/>
              </w:rPr>
            </w:pPr>
            <w:r w:rsidRPr="00B87841">
              <w:t>2035</w:t>
            </w:r>
          </w:p>
        </w:tc>
        <w:tc>
          <w:tcPr>
            <w:tcW w:w="884" w:type="dxa"/>
          </w:tcPr>
          <w:p w14:paraId="5C57D68E" w14:textId="77777777" w:rsidR="008F2453" w:rsidRPr="00B87841" w:rsidRDefault="008F2453">
            <w:pPr>
              <w:pStyle w:val="Tabele"/>
              <w:jc w:val="center"/>
            </w:pPr>
            <w:r>
              <w:t>2040</w:t>
            </w:r>
          </w:p>
        </w:tc>
      </w:tr>
      <w:tr w:rsidR="008F2453" w:rsidRPr="00F85B97" w14:paraId="39FA75FE" w14:textId="77777777" w:rsidTr="008F2453">
        <w:trPr>
          <w:trHeight w:val="228"/>
        </w:trPr>
        <w:tc>
          <w:tcPr>
            <w:tcW w:w="2038" w:type="dxa"/>
            <w:noWrap/>
            <w:hideMark/>
          </w:tcPr>
          <w:p w14:paraId="464808EF" w14:textId="77777777" w:rsidR="008F2453" w:rsidRPr="008F2453" w:rsidRDefault="008F2453">
            <w:pPr>
              <w:pStyle w:val="Tabele"/>
              <w:rPr>
                <w:color w:val="auto"/>
              </w:rPr>
            </w:pPr>
            <w:r w:rsidRPr="008F2453">
              <w:rPr>
                <w:color w:val="auto"/>
              </w:rPr>
              <w:t>Ropa naftowa</w:t>
            </w:r>
          </w:p>
        </w:tc>
        <w:tc>
          <w:tcPr>
            <w:tcW w:w="884" w:type="dxa"/>
            <w:shd w:val="clear" w:color="auto" w:fill="C5E0B3"/>
            <w:noWrap/>
            <w:vAlign w:val="top"/>
            <w:hideMark/>
          </w:tcPr>
          <w:p w14:paraId="548B8733" w14:textId="77777777" w:rsidR="008F2453" w:rsidRPr="008F2453" w:rsidRDefault="008F2453">
            <w:pPr>
              <w:pStyle w:val="Tabele"/>
              <w:jc w:val="right"/>
              <w:rPr>
                <w:color w:val="auto"/>
              </w:rPr>
            </w:pPr>
            <w:r w:rsidRPr="008F2453">
              <w:rPr>
                <w:color w:val="auto"/>
                <w:szCs w:val="16"/>
              </w:rPr>
              <w:t>18 432</w:t>
            </w:r>
          </w:p>
        </w:tc>
        <w:tc>
          <w:tcPr>
            <w:tcW w:w="885" w:type="dxa"/>
            <w:shd w:val="clear" w:color="auto" w:fill="C5E0B3"/>
            <w:noWrap/>
            <w:vAlign w:val="top"/>
            <w:hideMark/>
          </w:tcPr>
          <w:p w14:paraId="07CE8938" w14:textId="77777777" w:rsidR="008F2453" w:rsidRPr="008F2453" w:rsidRDefault="008F2453">
            <w:pPr>
              <w:pStyle w:val="Tabele"/>
              <w:jc w:val="right"/>
              <w:rPr>
                <w:color w:val="auto"/>
              </w:rPr>
            </w:pPr>
            <w:r w:rsidRPr="008F2453">
              <w:rPr>
                <w:color w:val="auto"/>
                <w:szCs w:val="16"/>
              </w:rPr>
              <w:t>23 188</w:t>
            </w:r>
          </w:p>
        </w:tc>
        <w:tc>
          <w:tcPr>
            <w:tcW w:w="884" w:type="dxa"/>
            <w:shd w:val="clear" w:color="auto" w:fill="C5E0B3"/>
            <w:noWrap/>
            <w:vAlign w:val="top"/>
            <w:hideMark/>
          </w:tcPr>
          <w:p w14:paraId="1972ED15" w14:textId="77777777" w:rsidR="008F2453" w:rsidRPr="008F2453" w:rsidRDefault="008F2453">
            <w:pPr>
              <w:pStyle w:val="Tabele"/>
              <w:jc w:val="right"/>
              <w:rPr>
                <w:color w:val="auto"/>
              </w:rPr>
            </w:pPr>
            <w:r w:rsidRPr="008F2453">
              <w:rPr>
                <w:color w:val="auto"/>
                <w:szCs w:val="16"/>
              </w:rPr>
              <w:t>26 537</w:t>
            </w:r>
          </w:p>
        </w:tc>
        <w:tc>
          <w:tcPr>
            <w:tcW w:w="885" w:type="dxa"/>
            <w:shd w:val="clear" w:color="auto" w:fill="C5E0B3"/>
            <w:noWrap/>
            <w:vAlign w:val="top"/>
            <w:hideMark/>
          </w:tcPr>
          <w:p w14:paraId="68FDF9E5" w14:textId="77777777" w:rsidR="008F2453" w:rsidRPr="008F2453" w:rsidRDefault="008F2453">
            <w:pPr>
              <w:pStyle w:val="Tabele"/>
              <w:jc w:val="right"/>
              <w:rPr>
                <w:color w:val="auto"/>
              </w:rPr>
            </w:pPr>
            <w:r w:rsidRPr="008F2453">
              <w:rPr>
                <w:color w:val="auto"/>
                <w:szCs w:val="16"/>
              </w:rPr>
              <w:t>26 145</w:t>
            </w:r>
          </w:p>
        </w:tc>
        <w:tc>
          <w:tcPr>
            <w:tcW w:w="885" w:type="dxa"/>
            <w:noWrap/>
            <w:hideMark/>
          </w:tcPr>
          <w:p w14:paraId="7268BA07" w14:textId="77777777" w:rsidR="008F2453" w:rsidRPr="008F2453" w:rsidRDefault="008F2453">
            <w:pPr>
              <w:pStyle w:val="Tabele"/>
              <w:jc w:val="right"/>
              <w:rPr>
                <w:color w:val="auto"/>
              </w:rPr>
            </w:pPr>
            <w:r w:rsidRPr="008F2453">
              <w:rPr>
                <w:rFonts w:cs="Arial"/>
                <w:color w:val="auto"/>
                <w:szCs w:val="16"/>
              </w:rPr>
              <w:t>24 306</w:t>
            </w:r>
          </w:p>
        </w:tc>
        <w:tc>
          <w:tcPr>
            <w:tcW w:w="884" w:type="dxa"/>
            <w:noWrap/>
            <w:hideMark/>
          </w:tcPr>
          <w:p w14:paraId="36B597B4" w14:textId="77777777" w:rsidR="008F2453" w:rsidRPr="008F2453" w:rsidRDefault="008F2453">
            <w:pPr>
              <w:pStyle w:val="Tabele"/>
              <w:jc w:val="right"/>
              <w:rPr>
                <w:color w:val="auto"/>
              </w:rPr>
            </w:pPr>
            <w:r w:rsidRPr="008F2453">
              <w:rPr>
                <w:rFonts w:cs="Arial"/>
                <w:color w:val="auto"/>
                <w:szCs w:val="16"/>
              </w:rPr>
              <w:t>22 899</w:t>
            </w:r>
          </w:p>
        </w:tc>
        <w:tc>
          <w:tcPr>
            <w:tcW w:w="885" w:type="dxa"/>
            <w:noWrap/>
            <w:hideMark/>
          </w:tcPr>
          <w:p w14:paraId="6F89A34A" w14:textId="77777777" w:rsidR="008F2453" w:rsidRPr="008F2453" w:rsidRDefault="008F2453">
            <w:pPr>
              <w:pStyle w:val="Tabele"/>
              <w:jc w:val="right"/>
              <w:rPr>
                <w:color w:val="auto"/>
              </w:rPr>
            </w:pPr>
            <w:r w:rsidRPr="008F2453">
              <w:rPr>
                <w:rFonts w:cs="Arial"/>
                <w:color w:val="auto"/>
                <w:szCs w:val="16"/>
              </w:rPr>
              <w:t>21 566</w:t>
            </w:r>
          </w:p>
        </w:tc>
        <w:tc>
          <w:tcPr>
            <w:tcW w:w="884" w:type="dxa"/>
          </w:tcPr>
          <w:p w14:paraId="0E4A31FE" w14:textId="77777777" w:rsidR="008F2453" w:rsidRPr="008F2453" w:rsidRDefault="008F2453">
            <w:pPr>
              <w:pStyle w:val="Tabele"/>
              <w:jc w:val="right"/>
              <w:rPr>
                <w:color w:val="auto"/>
              </w:rPr>
            </w:pPr>
            <w:r w:rsidRPr="008F2453">
              <w:rPr>
                <w:rFonts w:cs="Arial"/>
                <w:color w:val="auto"/>
                <w:szCs w:val="16"/>
              </w:rPr>
              <w:t>19 799</w:t>
            </w:r>
          </w:p>
        </w:tc>
      </w:tr>
      <w:tr w:rsidR="008F2453" w:rsidRPr="00F85B97" w14:paraId="7305B5B4" w14:textId="77777777" w:rsidTr="008F2453">
        <w:trPr>
          <w:trHeight w:val="228"/>
        </w:trPr>
        <w:tc>
          <w:tcPr>
            <w:tcW w:w="2038" w:type="dxa"/>
            <w:noWrap/>
            <w:hideMark/>
          </w:tcPr>
          <w:p w14:paraId="588D6D49" w14:textId="77777777" w:rsidR="008F2453" w:rsidRPr="008F2453" w:rsidRDefault="008F2453">
            <w:pPr>
              <w:pStyle w:val="Tabele"/>
              <w:rPr>
                <w:color w:val="auto"/>
              </w:rPr>
            </w:pPr>
            <w:r w:rsidRPr="008F2453">
              <w:rPr>
                <w:color w:val="auto"/>
              </w:rPr>
              <w:t>Węgiel</w:t>
            </w:r>
          </w:p>
        </w:tc>
        <w:tc>
          <w:tcPr>
            <w:tcW w:w="884" w:type="dxa"/>
            <w:shd w:val="clear" w:color="auto" w:fill="C5E0B3"/>
            <w:noWrap/>
            <w:vAlign w:val="top"/>
            <w:hideMark/>
          </w:tcPr>
          <w:p w14:paraId="44A66575" w14:textId="77777777" w:rsidR="008F2453" w:rsidRPr="008F2453" w:rsidRDefault="008F2453">
            <w:pPr>
              <w:pStyle w:val="Tabele"/>
              <w:jc w:val="right"/>
              <w:rPr>
                <w:color w:val="auto"/>
              </w:rPr>
            </w:pPr>
            <w:r w:rsidRPr="008F2453">
              <w:rPr>
                <w:color w:val="auto"/>
                <w:szCs w:val="16"/>
              </w:rPr>
              <w:t>9 519</w:t>
            </w:r>
          </w:p>
        </w:tc>
        <w:tc>
          <w:tcPr>
            <w:tcW w:w="885" w:type="dxa"/>
            <w:shd w:val="clear" w:color="auto" w:fill="C5E0B3"/>
            <w:noWrap/>
            <w:vAlign w:val="top"/>
            <w:hideMark/>
          </w:tcPr>
          <w:p w14:paraId="3E8F0E79" w14:textId="77777777" w:rsidR="008F2453" w:rsidRPr="008F2453" w:rsidRDefault="008F2453">
            <w:pPr>
              <w:pStyle w:val="Tabele"/>
              <w:jc w:val="right"/>
              <w:rPr>
                <w:color w:val="auto"/>
              </w:rPr>
            </w:pPr>
            <w:r w:rsidRPr="008F2453">
              <w:rPr>
                <w:color w:val="auto"/>
                <w:szCs w:val="16"/>
              </w:rPr>
              <w:t>10 559</w:t>
            </w:r>
          </w:p>
        </w:tc>
        <w:tc>
          <w:tcPr>
            <w:tcW w:w="884" w:type="dxa"/>
            <w:shd w:val="clear" w:color="auto" w:fill="C5E0B3"/>
            <w:noWrap/>
            <w:vAlign w:val="top"/>
            <w:hideMark/>
          </w:tcPr>
          <w:p w14:paraId="112B110D" w14:textId="77777777" w:rsidR="008F2453" w:rsidRPr="008F2453" w:rsidRDefault="008F2453">
            <w:pPr>
              <w:pStyle w:val="Tabele"/>
              <w:jc w:val="right"/>
              <w:rPr>
                <w:color w:val="auto"/>
              </w:rPr>
            </w:pPr>
            <w:r w:rsidRPr="008F2453">
              <w:rPr>
                <w:color w:val="auto"/>
                <w:szCs w:val="16"/>
              </w:rPr>
              <w:t>11 063</w:t>
            </w:r>
          </w:p>
        </w:tc>
        <w:tc>
          <w:tcPr>
            <w:tcW w:w="885" w:type="dxa"/>
            <w:shd w:val="clear" w:color="auto" w:fill="C5E0B3"/>
            <w:noWrap/>
            <w:vAlign w:val="top"/>
            <w:hideMark/>
          </w:tcPr>
          <w:p w14:paraId="3C39D213" w14:textId="77777777" w:rsidR="008F2453" w:rsidRPr="008F2453" w:rsidRDefault="008F2453">
            <w:pPr>
              <w:pStyle w:val="Tabele"/>
              <w:jc w:val="right"/>
              <w:rPr>
                <w:color w:val="auto"/>
              </w:rPr>
            </w:pPr>
            <w:r w:rsidRPr="008F2453">
              <w:rPr>
                <w:color w:val="auto"/>
                <w:szCs w:val="16"/>
              </w:rPr>
              <w:t>8 773</w:t>
            </w:r>
          </w:p>
        </w:tc>
        <w:tc>
          <w:tcPr>
            <w:tcW w:w="885" w:type="dxa"/>
            <w:noWrap/>
            <w:hideMark/>
          </w:tcPr>
          <w:p w14:paraId="113CFF24" w14:textId="77777777" w:rsidR="008F2453" w:rsidRPr="008F2453" w:rsidRDefault="008F2453">
            <w:pPr>
              <w:pStyle w:val="Tabele"/>
              <w:jc w:val="right"/>
              <w:rPr>
                <w:color w:val="auto"/>
              </w:rPr>
            </w:pPr>
            <w:r w:rsidRPr="008F2453">
              <w:rPr>
                <w:rFonts w:cs="Arial"/>
                <w:color w:val="auto"/>
                <w:szCs w:val="16"/>
              </w:rPr>
              <w:t>8 665</w:t>
            </w:r>
          </w:p>
        </w:tc>
        <w:tc>
          <w:tcPr>
            <w:tcW w:w="884" w:type="dxa"/>
            <w:noWrap/>
            <w:hideMark/>
          </w:tcPr>
          <w:p w14:paraId="6C14D28E" w14:textId="77777777" w:rsidR="008F2453" w:rsidRPr="008F2453" w:rsidRDefault="008F2453">
            <w:pPr>
              <w:pStyle w:val="Tabele"/>
              <w:jc w:val="right"/>
              <w:rPr>
                <w:color w:val="auto"/>
              </w:rPr>
            </w:pPr>
            <w:r w:rsidRPr="008F2453">
              <w:rPr>
                <w:rFonts w:cs="Arial"/>
                <w:color w:val="auto"/>
                <w:szCs w:val="16"/>
              </w:rPr>
              <w:t>8 578</w:t>
            </w:r>
          </w:p>
        </w:tc>
        <w:tc>
          <w:tcPr>
            <w:tcW w:w="885" w:type="dxa"/>
            <w:noWrap/>
            <w:hideMark/>
          </w:tcPr>
          <w:p w14:paraId="75DE808D" w14:textId="77777777" w:rsidR="008F2453" w:rsidRPr="008F2453" w:rsidRDefault="008F2453">
            <w:pPr>
              <w:pStyle w:val="Tabele"/>
              <w:jc w:val="right"/>
              <w:rPr>
                <w:color w:val="auto"/>
              </w:rPr>
            </w:pPr>
            <w:r w:rsidRPr="008F2453">
              <w:rPr>
                <w:rFonts w:cs="Arial"/>
                <w:color w:val="auto"/>
                <w:szCs w:val="16"/>
              </w:rPr>
              <w:t>8 465</w:t>
            </w:r>
          </w:p>
        </w:tc>
        <w:tc>
          <w:tcPr>
            <w:tcW w:w="884" w:type="dxa"/>
          </w:tcPr>
          <w:p w14:paraId="73F6A1DF" w14:textId="77777777" w:rsidR="008F2453" w:rsidRPr="008F2453" w:rsidRDefault="008F2453">
            <w:pPr>
              <w:pStyle w:val="Tabele"/>
              <w:jc w:val="right"/>
              <w:rPr>
                <w:color w:val="auto"/>
              </w:rPr>
            </w:pPr>
            <w:r w:rsidRPr="008F2453">
              <w:rPr>
                <w:rFonts w:cs="Arial"/>
                <w:color w:val="auto"/>
                <w:szCs w:val="16"/>
              </w:rPr>
              <w:t>8 172</w:t>
            </w:r>
          </w:p>
        </w:tc>
      </w:tr>
      <w:tr w:rsidR="008F2453" w:rsidRPr="00F85B97" w14:paraId="5CEE2D62" w14:textId="77777777" w:rsidTr="008F2453">
        <w:trPr>
          <w:trHeight w:val="228"/>
        </w:trPr>
        <w:tc>
          <w:tcPr>
            <w:tcW w:w="2038" w:type="dxa"/>
            <w:noWrap/>
            <w:hideMark/>
          </w:tcPr>
          <w:p w14:paraId="3D18B9FE" w14:textId="77777777" w:rsidR="008F2453" w:rsidRPr="008F2453" w:rsidRDefault="008F2453">
            <w:pPr>
              <w:pStyle w:val="Tabele"/>
              <w:rPr>
                <w:color w:val="auto"/>
              </w:rPr>
            </w:pPr>
            <w:r w:rsidRPr="008F2453">
              <w:rPr>
                <w:color w:val="auto"/>
              </w:rPr>
              <w:t>Produkty naftowe</w:t>
            </w:r>
          </w:p>
        </w:tc>
        <w:tc>
          <w:tcPr>
            <w:tcW w:w="884" w:type="dxa"/>
            <w:shd w:val="clear" w:color="auto" w:fill="C5E0B3"/>
            <w:noWrap/>
            <w:vAlign w:val="top"/>
            <w:hideMark/>
          </w:tcPr>
          <w:p w14:paraId="78A42BFF" w14:textId="77777777" w:rsidR="008F2453" w:rsidRPr="008F2453" w:rsidRDefault="008F2453">
            <w:pPr>
              <w:pStyle w:val="Tabele"/>
              <w:jc w:val="right"/>
              <w:rPr>
                <w:color w:val="auto"/>
              </w:rPr>
            </w:pPr>
            <w:r w:rsidRPr="008F2453">
              <w:rPr>
                <w:color w:val="auto"/>
                <w:szCs w:val="16"/>
              </w:rPr>
              <w:t>1 085</w:t>
            </w:r>
          </w:p>
        </w:tc>
        <w:tc>
          <w:tcPr>
            <w:tcW w:w="885" w:type="dxa"/>
            <w:shd w:val="clear" w:color="auto" w:fill="C5E0B3"/>
            <w:noWrap/>
            <w:vAlign w:val="top"/>
            <w:hideMark/>
          </w:tcPr>
          <w:p w14:paraId="4D38D6F6" w14:textId="77777777" w:rsidR="008F2453" w:rsidRPr="008F2453" w:rsidRDefault="008F2453">
            <w:pPr>
              <w:pStyle w:val="Tabele"/>
              <w:jc w:val="right"/>
              <w:rPr>
                <w:color w:val="auto"/>
              </w:rPr>
            </w:pPr>
            <w:r w:rsidRPr="008F2453">
              <w:rPr>
                <w:color w:val="auto"/>
                <w:szCs w:val="16"/>
              </w:rPr>
              <w:t>1 703</w:t>
            </w:r>
          </w:p>
        </w:tc>
        <w:tc>
          <w:tcPr>
            <w:tcW w:w="884" w:type="dxa"/>
            <w:shd w:val="clear" w:color="auto" w:fill="C5E0B3"/>
            <w:noWrap/>
            <w:vAlign w:val="top"/>
            <w:hideMark/>
          </w:tcPr>
          <w:p w14:paraId="189B88FD" w14:textId="77777777" w:rsidR="008F2453" w:rsidRPr="008F2453" w:rsidRDefault="008F2453">
            <w:pPr>
              <w:pStyle w:val="Tabele"/>
              <w:jc w:val="right"/>
              <w:rPr>
                <w:color w:val="auto"/>
              </w:rPr>
            </w:pPr>
            <w:r w:rsidRPr="008F2453">
              <w:rPr>
                <w:color w:val="auto"/>
                <w:szCs w:val="16"/>
              </w:rPr>
              <w:t>1 906</w:t>
            </w:r>
          </w:p>
        </w:tc>
        <w:tc>
          <w:tcPr>
            <w:tcW w:w="885" w:type="dxa"/>
            <w:shd w:val="clear" w:color="auto" w:fill="C5E0B3"/>
            <w:noWrap/>
            <w:vAlign w:val="top"/>
            <w:hideMark/>
          </w:tcPr>
          <w:p w14:paraId="21E321C9" w14:textId="77777777" w:rsidR="008F2453" w:rsidRPr="008F2453" w:rsidRDefault="008F2453">
            <w:pPr>
              <w:pStyle w:val="Tabele"/>
              <w:jc w:val="right"/>
              <w:rPr>
                <w:color w:val="auto"/>
              </w:rPr>
            </w:pPr>
            <w:r w:rsidRPr="008F2453">
              <w:rPr>
                <w:color w:val="auto"/>
                <w:szCs w:val="16"/>
              </w:rPr>
              <w:t>2 697</w:t>
            </w:r>
          </w:p>
        </w:tc>
        <w:tc>
          <w:tcPr>
            <w:tcW w:w="885" w:type="dxa"/>
            <w:noWrap/>
            <w:hideMark/>
          </w:tcPr>
          <w:p w14:paraId="2193E7A0" w14:textId="77777777" w:rsidR="008F2453" w:rsidRPr="008F2453" w:rsidRDefault="008F2453">
            <w:pPr>
              <w:pStyle w:val="Tabele"/>
              <w:jc w:val="right"/>
              <w:rPr>
                <w:color w:val="auto"/>
              </w:rPr>
            </w:pPr>
            <w:r w:rsidRPr="008F2453">
              <w:rPr>
                <w:rFonts w:cs="Arial"/>
                <w:color w:val="auto"/>
                <w:szCs w:val="16"/>
              </w:rPr>
              <w:t>1 560</w:t>
            </w:r>
          </w:p>
        </w:tc>
        <w:tc>
          <w:tcPr>
            <w:tcW w:w="884" w:type="dxa"/>
            <w:noWrap/>
            <w:hideMark/>
          </w:tcPr>
          <w:p w14:paraId="4229A32A" w14:textId="77777777" w:rsidR="008F2453" w:rsidRPr="008F2453" w:rsidRDefault="008F2453">
            <w:pPr>
              <w:pStyle w:val="Tabele"/>
              <w:jc w:val="right"/>
              <w:rPr>
                <w:color w:val="auto"/>
              </w:rPr>
            </w:pPr>
            <w:r w:rsidRPr="008F2453">
              <w:rPr>
                <w:rFonts w:cs="Arial"/>
                <w:color w:val="auto"/>
                <w:szCs w:val="16"/>
              </w:rPr>
              <w:t>1 465</w:t>
            </w:r>
          </w:p>
        </w:tc>
        <w:tc>
          <w:tcPr>
            <w:tcW w:w="885" w:type="dxa"/>
            <w:noWrap/>
            <w:hideMark/>
          </w:tcPr>
          <w:p w14:paraId="52656B62" w14:textId="77777777" w:rsidR="008F2453" w:rsidRPr="008F2453" w:rsidRDefault="008F2453">
            <w:pPr>
              <w:pStyle w:val="Tabele"/>
              <w:jc w:val="right"/>
              <w:rPr>
                <w:color w:val="auto"/>
              </w:rPr>
            </w:pPr>
            <w:r w:rsidRPr="008F2453">
              <w:rPr>
                <w:rFonts w:cs="Arial"/>
                <w:color w:val="auto"/>
                <w:szCs w:val="16"/>
              </w:rPr>
              <w:t>1 375</w:t>
            </w:r>
          </w:p>
        </w:tc>
        <w:tc>
          <w:tcPr>
            <w:tcW w:w="884" w:type="dxa"/>
          </w:tcPr>
          <w:p w14:paraId="17D56260" w14:textId="77777777" w:rsidR="008F2453" w:rsidRPr="008F2453" w:rsidRDefault="008F2453">
            <w:pPr>
              <w:pStyle w:val="Tabele"/>
              <w:jc w:val="right"/>
              <w:rPr>
                <w:color w:val="auto"/>
              </w:rPr>
            </w:pPr>
            <w:r w:rsidRPr="008F2453">
              <w:rPr>
                <w:rFonts w:cs="Arial"/>
                <w:color w:val="auto"/>
                <w:szCs w:val="16"/>
              </w:rPr>
              <w:t>1 267</w:t>
            </w:r>
          </w:p>
        </w:tc>
      </w:tr>
      <w:tr w:rsidR="008F2453" w:rsidRPr="00F85B97" w14:paraId="3D8D9EA9" w14:textId="77777777" w:rsidTr="008F2453">
        <w:trPr>
          <w:trHeight w:val="228"/>
        </w:trPr>
        <w:tc>
          <w:tcPr>
            <w:tcW w:w="2038" w:type="dxa"/>
            <w:noWrap/>
            <w:hideMark/>
          </w:tcPr>
          <w:p w14:paraId="384FE510" w14:textId="77777777" w:rsidR="008F2453" w:rsidRPr="008F2453" w:rsidRDefault="008F2453">
            <w:pPr>
              <w:pStyle w:val="Tabele"/>
              <w:rPr>
                <w:color w:val="auto"/>
              </w:rPr>
            </w:pPr>
            <w:r w:rsidRPr="008F2453">
              <w:rPr>
                <w:color w:val="auto"/>
              </w:rPr>
              <w:t>Gaz</w:t>
            </w:r>
          </w:p>
        </w:tc>
        <w:tc>
          <w:tcPr>
            <w:tcW w:w="884" w:type="dxa"/>
            <w:shd w:val="clear" w:color="auto" w:fill="C5E0B3"/>
            <w:noWrap/>
            <w:vAlign w:val="top"/>
            <w:hideMark/>
          </w:tcPr>
          <w:p w14:paraId="6C137632" w14:textId="77777777" w:rsidR="008F2453" w:rsidRPr="008F2453" w:rsidRDefault="008F2453">
            <w:pPr>
              <w:pStyle w:val="Tabele"/>
              <w:jc w:val="right"/>
              <w:rPr>
                <w:color w:val="auto"/>
              </w:rPr>
            </w:pPr>
            <w:r w:rsidRPr="008F2453">
              <w:rPr>
                <w:color w:val="auto"/>
                <w:szCs w:val="16"/>
              </w:rPr>
              <w:t>204</w:t>
            </w:r>
          </w:p>
        </w:tc>
        <w:tc>
          <w:tcPr>
            <w:tcW w:w="885" w:type="dxa"/>
            <w:shd w:val="clear" w:color="auto" w:fill="C5E0B3"/>
            <w:noWrap/>
            <w:vAlign w:val="top"/>
            <w:hideMark/>
          </w:tcPr>
          <w:p w14:paraId="41AA3EC5" w14:textId="77777777" w:rsidR="008F2453" w:rsidRPr="008F2453" w:rsidRDefault="008F2453">
            <w:pPr>
              <w:pStyle w:val="Tabele"/>
              <w:jc w:val="right"/>
              <w:rPr>
                <w:color w:val="auto"/>
              </w:rPr>
            </w:pPr>
            <w:r w:rsidRPr="008F2453">
              <w:rPr>
                <w:color w:val="auto"/>
                <w:szCs w:val="16"/>
              </w:rPr>
              <w:t>308</w:t>
            </w:r>
          </w:p>
        </w:tc>
        <w:tc>
          <w:tcPr>
            <w:tcW w:w="884" w:type="dxa"/>
            <w:shd w:val="clear" w:color="auto" w:fill="C5E0B3"/>
            <w:noWrap/>
            <w:vAlign w:val="top"/>
            <w:hideMark/>
          </w:tcPr>
          <w:p w14:paraId="3B36E6E8" w14:textId="77777777" w:rsidR="008F2453" w:rsidRPr="008F2453" w:rsidRDefault="008F2453">
            <w:pPr>
              <w:pStyle w:val="Tabele"/>
              <w:jc w:val="right"/>
              <w:rPr>
                <w:color w:val="auto"/>
              </w:rPr>
            </w:pPr>
            <w:r w:rsidRPr="008F2453">
              <w:rPr>
                <w:color w:val="auto"/>
                <w:szCs w:val="16"/>
              </w:rPr>
              <w:t>638</w:t>
            </w:r>
          </w:p>
        </w:tc>
        <w:tc>
          <w:tcPr>
            <w:tcW w:w="885" w:type="dxa"/>
            <w:shd w:val="clear" w:color="auto" w:fill="C5E0B3"/>
            <w:noWrap/>
            <w:vAlign w:val="top"/>
            <w:hideMark/>
          </w:tcPr>
          <w:p w14:paraId="444515DE" w14:textId="77777777" w:rsidR="008F2453" w:rsidRPr="008F2453" w:rsidRDefault="008F2453">
            <w:pPr>
              <w:pStyle w:val="Tabele"/>
              <w:jc w:val="right"/>
              <w:rPr>
                <w:color w:val="auto"/>
              </w:rPr>
            </w:pPr>
            <w:r w:rsidRPr="008F2453">
              <w:rPr>
                <w:color w:val="auto"/>
                <w:szCs w:val="16"/>
              </w:rPr>
              <w:t>558</w:t>
            </w:r>
          </w:p>
        </w:tc>
        <w:tc>
          <w:tcPr>
            <w:tcW w:w="885" w:type="dxa"/>
            <w:noWrap/>
            <w:hideMark/>
          </w:tcPr>
          <w:p w14:paraId="2964B958" w14:textId="77777777" w:rsidR="008F2453" w:rsidRPr="008F2453" w:rsidRDefault="008F2453">
            <w:pPr>
              <w:pStyle w:val="Tabele"/>
              <w:jc w:val="right"/>
              <w:rPr>
                <w:color w:val="auto"/>
              </w:rPr>
            </w:pPr>
            <w:r w:rsidRPr="008F2453">
              <w:rPr>
                <w:rFonts w:cs="Arial"/>
                <w:color w:val="auto"/>
                <w:szCs w:val="16"/>
              </w:rPr>
              <w:t>453</w:t>
            </w:r>
          </w:p>
        </w:tc>
        <w:tc>
          <w:tcPr>
            <w:tcW w:w="884" w:type="dxa"/>
            <w:noWrap/>
            <w:hideMark/>
          </w:tcPr>
          <w:p w14:paraId="18273AB1" w14:textId="77777777" w:rsidR="008F2453" w:rsidRPr="008F2453" w:rsidRDefault="008F2453">
            <w:pPr>
              <w:pStyle w:val="Tabele"/>
              <w:jc w:val="right"/>
              <w:rPr>
                <w:color w:val="auto"/>
              </w:rPr>
            </w:pPr>
            <w:r w:rsidRPr="008F2453">
              <w:rPr>
                <w:rFonts w:cs="Arial"/>
                <w:color w:val="auto"/>
                <w:szCs w:val="16"/>
              </w:rPr>
              <w:t>405</w:t>
            </w:r>
          </w:p>
        </w:tc>
        <w:tc>
          <w:tcPr>
            <w:tcW w:w="885" w:type="dxa"/>
            <w:noWrap/>
            <w:hideMark/>
          </w:tcPr>
          <w:p w14:paraId="340343FC" w14:textId="77777777" w:rsidR="008F2453" w:rsidRPr="008F2453" w:rsidRDefault="008F2453">
            <w:pPr>
              <w:pStyle w:val="Tabele"/>
              <w:jc w:val="right"/>
              <w:rPr>
                <w:color w:val="auto"/>
              </w:rPr>
            </w:pPr>
            <w:r w:rsidRPr="008F2453">
              <w:rPr>
                <w:rFonts w:cs="Arial"/>
                <w:color w:val="auto"/>
                <w:szCs w:val="16"/>
              </w:rPr>
              <w:t>356</w:t>
            </w:r>
          </w:p>
        </w:tc>
        <w:tc>
          <w:tcPr>
            <w:tcW w:w="884" w:type="dxa"/>
          </w:tcPr>
          <w:p w14:paraId="7C53F069" w14:textId="77777777" w:rsidR="008F2453" w:rsidRPr="008F2453" w:rsidRDefault="008F2453">
            <w:pPr>
              <w:pStyle w:val="Tabele"/>
              <w:jc w:val="right"/>
              <w:rPr>
                <w:color w:val="auto"/>
              </w:rPr>
            </w:pPr>
            <w:r w:rsidRPr="008F2453">
              <w:rPr>
                <w:rFonts w:cs="Arial"/>
                <w:color w:val="auto"/>
                <w:szCs w:val="16"/>
              </w:rPr>
              <w:t>306</w:t>
            </w:r>
          </w:p>
        </w:tc>
      </w:tr>
      <w:tr w:rsidR="008F2453" w:rsidRPr="00F85B97" w14:paraId="362F5E13" w14:textId="77777777" w:rsidTr="008F2453">
        <w:trPr>
          <w:trHeight w:val="228"/>
        </w:trPr>
        <w:tc>
          <w:tcPr>
            <w:tcW w:w="2038" w:type="dxa"/>
            <w:noWrap/>
            <w:hideMark/>
          </w:tcPr>
          <w:p w14:paraId="7D0C7BDA" w14:textId="77777777" w:rsidR="008F2453" w:rsidRPr="008F2453" w:rsidRDefault="008F2453">
            <w:pPr>
              <w:pStyle w:val="Tabele"/>
              <w:rPr>
                <w:color w:val="auto"/>
              </w:rPr>
            </w:pPr>
            <w:r w:rsidRPr="008F2453">
              <w:rPr>
                <w:color w:val="auto"/>
              </w:rPr>
              <w:t>OZE, wodór, odpady</w:t>
            </w:r>
          </w:p>
        </w:tc>
        <w:tc>
          <w:tcPr>
            <w:tcW w:w="884" w:type="dxa"/>
            <w:shd w:val="clear" w:color="auto" w:fill="C5E0B3"/>
            <w:noWrap/>
            <w:vAlign w:val="top"/>
            <w:hideMark/>
          </w:tcPr>
          <w:p w14:paraId="62F85ED1" w14:textId="77777777" w:rsidR="008F2453" w:rsidRPr="008F2453" w:rsidRDefault="008F2453">
            <w:pPr>
              <w:pStyle w:val="Tabele"/>
              <w:jc w:val="right"/>
              <w:rPr>
                <w:color w:val="auto"/>
              </w:rPr>
            </w:pPr>
            <w:r w:rsidRPr="008F2453">
              <w:rPr>
                <w:color w:val="auto"/>
                <w:szCs w:val="16"/>
              </w:rPr>
              <w:t>0</w:t>
            </w:r>
          </w:p>
        </w:tc>
        <w:tc>
          <w:tcPr>
            <w:tcW w:w="885" w:type="dxa"/>
            <w:shd w:val="clear" w:color="auto" w:fill="C5E0B3"/>
            <w:noWrap/>
            <w:vAlign w:val="top"/>
            <w:hideMark/>
          </w:tcPr>
          <w:p w14:paraId="6D5A653E" w14:textId="77777777" w:rsidR="008F2453" w:rsidRPr="008F2453" w:rsidRDefault="008F2453">
            <w:pPr>
              <w:pStyle w:val="Tabele"/>
              <w:jc w:val="right"/>
              <w:rPr>
                <w:color w:val="auto"/>
              </w:rPr>
            </w:pPr>
            <w:r w:rsidRPr="008F2453">
              <w:rPr>
                <w:color w:val="auto"/>
                <w:szCs w:val="16"/>
              </w:rPr>
              <w:t>0</w:t>
            </w:r>
          </w:p>
        </w:tc>
        <w:tc>
          <w:tcPr>
            <w:tcW w:w="884" w:type="dxa"/>
            <w:shd w:val="clear" w:color="auto" w:fill="C5E0B3"/>
            <w:noWrap/>
            <w:vAlign w:val="top"/>
            <w:hideMark/>
          </w:tcPr>
          <w:p w14:paraId="3FEAFC40" w14:textId="77777777" w:rsidR="008F2453" w:rsidRPr="008F2453" w:rsidRDefault="008F2453">
            <w:pPr>
              <w:pStyle w:val="Tabele"/>
              <w:jc w:val="right"/>
              <w:rPr>
                <w:color w:val="auto"/>
              </w:rPr>
            </w:pPr>
            <w:r w:rsidRPr="008F2453">
              <w:rPr>
                <w:color w:val="auto"/>
                <w:szCs w:val="16"/>
              </w:rPr>
              <w:t>0</w:t>
            </w:r>
          </w:p>
        </w:tc>
        <w:tc>
          <w:tcPr>
            <w:tcW w:w="885" w:type="dxa"/>
            <w:shd w:val="clear" w:color="auto" w:fill="C5E0B3"/>
            <w:noWrap/>
            <w:vAlign w:val="top"/>
            <w:hideMark/>
          </w:tcPr>
          <w:p w14:paraId="34DBFF7D" w14:textId="77777777" w:rsidR="008F2453" w:rsidRPr="008F2453" w:rsidRDefault="008F2453">
            <w:pPr>
              <w:pStyle w:val="Tabele"/>
              <w:jc w:val="right"/>
              <w:rPr>
                <w:color w:val="auto"/>
              </w:rPr>
            </w:pPr>
            <w:r w:rsidRPr="008F2453">
              <w:rPr>
                <w:color w:val="auto"/>
                <w:szCs w:val="16"/>
              </w:rPr>
              <w:t>0</w:t>
            </w:r>
          </w:p>
        </w:tc>
        <w:tc>
          <w:tcPr>
            <w:tcW w:w="885" w:type="dxa"/>
            <w:noWrap/>
            <w:hideMark/>
          </w:tcPr>
          <w:p w14:paraId="76E528E3" w14:textId="77777777" w:rsidR="008F2453" w:rsidRPr="008F2453" w:rsidRDefault="008F2453">
            <w:pPr>
              <w:pStyle w:val="Tabele"/>
              <w:jc w:val="right"/>
              <w:rPr>
                <w:color w:val="auto"/>
              </w:rPr>
            </w:pPr>
            <w:r w:rsidRPr="008F2453">
              <w:rPr>
                <w:rFonts w:cs="Arial"/>
                <w:color w:val="auto"/>
                <w:szCs w:val="16"/>
              </w:rPr>
              <w:t>0</w:t>
            </w:r>
          </w:p>
        </w:tc>
        <w:tc>
          <w:tcPr>
            <w:tcW w:w="884" w:type="dxa"/>
            <w:noWrap/>
            <w:hideMark/>
          </w:tcPr>
          <w:p w14:paraId="505E7B6F" w14:textId="77777777" w:rsidR="008F2453" w:rsidRPr="008F2453" w:rsidRDefault="008F2453">
            <w:pPr>
              <w:pStyle w:val="Tabele"/>
              <w:jc w:val="right"/>
              <w:rPr>
                <w:color w:val="auto"/>
              </w:rPr>
            </w:pPr>
            <w:r w:rsidRPr="008F2453">
              <w:rPr>
                <w:rFonts w:cs="Arial"/>
                <w:color w:val="auto"/>
                <w:szCs w:val="16"/>
              </w:rPr>
              <w:t>5</w:t>
            </w:r>
          </w:p>
        </w:tc>
        <w:tc>
          <w:tcPr>
            <w:tcW w:w="885" w:type="dxa"/>
            <w:noWrap/>
            <w:hideMark/>
          </w:tcPr>
          <w:p w14:paraId="53B22B9D" w14:textId="77777777" w:rsidR="008F2453" w:rsidRPr="008F2453" w:rsidRDefault="008F2453">
            <w:pPr>
              <w:pStyle w:val="Tabele"/>
              <w:jc w:val="right"/>
              <w:rPr>
                <w:color w:val="auto"/>
              </w:rPr>
            </w:pPr>
            <w:r w:rsidRPr="008F2453">
              <w:rPr>
                <w:rFonts w:cs="Arial"/>
                <w:color w:val="auto"/>
                <w:szCs w:val="16"/>
              </w:rPr>
              <w:t>41</w:t>
            </w:r>
          </w:p>
        </w:tc>
        <w:tc>
          <w:tcPr>
            <w:tcW w:w="884" w:type="dxa"/>
          </w:tcPr>
          <w:p w14:paraId="753FFB27" w14:textId="77777777" w:rsidR="008F2453" w:rsidRPr="008F2453" w:rsidRDefault="008F2453">
            <w:pPr>
              <w:pStyle w:val="Tabele"/>
              <w:jc w:val="right"/>
              <w:rPr>
                <w:color w:val="auto"/>
              </w:rPr>
            </w:pPr>
            <w:r w:rsidRPr="008F2453">
              <w:rPr>
                <w:rFonts w:cs="Arial"/>
                <w:color w:val="auto"/>
                <w:szCs w:val="16"/>
              </w:rPr>
              <w:t>164</w:t>
            </w:r>
          </w:p>
        </w:tc>
      </w:tr>
    </w:tbl>
    <w:p w14:paraId="4022A85F" w14:textId="39F36ADF" w:rsidR="005C4144" w:rsidRPr="00B87841" w:rsidRDefault="005C4144" w:rsidP="00E235C4">
      <w:pPr>
        <w:pStyle w:val="Legenda"/>
      </w:pPr>
      <w:r w:rsidRPr="00B87841">
        <w:t>Źródło: Opracowanie własne ARE S</w:t>
      </w:r>
      <w:r>
        <w:t>.</w:t>
      </w:r>
      <w:r w:rsidRPr="00B87841">
        <w:t>A</w:t>
      </w:r>
      <w:r>
        <w:t>.</w:t>
      </w:r>
      <w:r w:rsidRPr="00B87841">
        <w:t xml:space="preserve"> (STEAM-PL)</w:t>
      </w:r>
    </w:p>
    <w:p w14:paraId="0CA211EB" w14:textId="4438FC9A" w:rsidR="00311507" w:rsidRDefault="005C4144" w:rsidP="00797A1F">
      <w:pPr>
        <w:pStyle w:val="Nagwek2"/>
      </w:pPr>
      <w:bookmarkStart w:id="352" w:name="_Toc507408719"/>
      <w:bookmarkStart w:id="353" w:name="_Toc156465101"/>
      <w:bookmarkStart w:id="354" w:name="_Toc171587325"/>
      <w:bookmarkStart w:id="355" w:name="_Toc174710899"/>
      <w:bookmarkStart w:id="356" w:name="_Toc202966892"/>
      <w:r w:rsidRPr="00B87841">
        <w:t>Udział wytwarzania skojarzonego</w:t>
      </w:r>
      <w:r>
        <w:t xml:space="preserve"> w </w:t>
      </w:r>
      <w:r w:rsidRPr="00B87841">
        <w:t>produkcji energii elektrycznej</w:t>
      </w:r>
      <w:r>
        <w:t xml:space="preserve"> i </w:t>
      </w:r>
      <w:r w:rsidRPr="00B87841">
        <w:t>ciepła</w:t>
      </w:r>
      <w:bookmarkEnd w:id="352"/>
      <w:bookmarkEnd w:id="353"/>
      <w:bookmarkEnd w:id="354"/>
      <w:bookmarkEnd w:id="355"/>
      <w:bookmarkEnd w:id="356"/>
    </w:p>
    <w:p w14:paraId="2D204439" w14:textId="77777777" w:rsidR="00B11237" w:rsidRPr="00B87841" w:rsidRDefault="00B11237" w:rsidP="00B11237">
      <w:pPr>
        <w:spacing w:after="120"/>
      </w:pPr>
      <w:r w:rsidRPr="00B87841">
        <w:t>Rozwój wysokosprawnej kogeneracji</w:t>
      </w:r>
      <w:r>
        <w:t xml:space="preserve"> w </w:t>
      </w:r>
      <w:r w:rsidRPr="00B87841">
        <w:t xml:space="preserve">Polsce jest priorytetowym elementem </w:t>
      </w:r>
      <w:r>
        <w:t xml:space="preserve">obowiązującej Polityki energetycznej Polski do 2040 r. z lutego 2021 r. </w:t>
      </w:r>
      <w:r w:rsidRPr="00B87841">
        <w:t>Niepodważalną zaletą układów skojarzonych jest ich wysoka sprawność energetyczna, pozwalająca na istotne ograniczenie zużycia paliw pierwotnych, co</w:t>
      </w:r>
      <w:r>
        <w:t xml:space="preserve"> w </w:t>
      </w:r>
      <w:r w:rsidRPr="00B87841">
        <w:t>rezultacie przekłada się na redukcję emisji CO</w:t>
      </w:r>
      <w:r w:rsidRPr="00B87841">
        <w:rPr>
          <w:vertAlign w:val="subscript"/>
        </w:rPr>
        <w:t>2</w:t>
      </w:r>
      <w:r>
        <w:t xml:space="preserve"> i </w:t>
      </w:r>
      <w:r w:rsidRPr="00B87841">
        <w:t>innych zanieczyszczeń. Podstawowe oszczędności energetyczne występujące</w:t>
      </w:r>
      <w:r>
        <w:t xml:space="preserve"> w </w:t>
      </w:r>
      <w:r w:rsidRPr="00B87841">
        <w:t>układach skojarzonych, polegają na pełniejszym wykorzystaniu energii dostarczanej</w:t>
      </w:r>
      <w:r>
        <w:t xml:space="preserve"> w </w:t>
      </w:r>
      <w:r w:rsidRPr="00B87841">
        <w:t>paliwie dzięki zagospodarowaniu ciepła odpadowego, towarzyszącemu procesowi rozdzielonego wytwarzania ciepła użytkowego</w:t>
      </w:r>
      <w:r>
        <w:t xml:space="preserve"> i </w:t>
      </w:r>
      <w:r w:rsidRPr="00B87841">
        <w:t>energii elektrycznej.</w:t>
      </w:r>
      <w:r>
        <w:t xml:space="preserve"> W 2020 r. ok. 65</w:t>
      </w:r>
      <w:r w:rsidRPr="00B87841">
        <w:t>%</w:t>
      </w:r>
      <w:r w:rsidRPr="00F85B97">
        <w:rPr>
          <w:vertAlign w:val="superscript"/>
        </w:rPr>
        <w:footnoteReference w:id="15"/>
      </w:r>
      <w:r w:rsidRPr="00B87841">
        <w:t xml:space="preserve"> ciepła użytkowego pochodzi</w:t>
      </w:r>
      <w:r>
        <w:t>ła z </w:t>
      </w:r>
      <w:r w:rsidRPr="00B87841">
        <w:t xml:space="preserve">kogeneracji, natomiast pozostała część ciepła </w:t>
      </w:r>
      <w:r>
        <w:t xml:space="preserve">była </w:t>
      </w:r>
      <w:r w:rsidRPr="00B87841">
        <w:t>produkowana</w:t>
      </w:r>
      <w:r>
        <w:t xml:space="preserve"> w </w:t>
      </w:r>
      <w:r w:rsidRPr="00B87841">
        <w:t>kotłach wodnych (ciepłownie</w:t>
      </w:r>
      <w:r>
        <w:t xml:space="preserve"> i </w:t>
      </w:r>
      <w:r w:rsidRPr="00B87841">
        <w:t xml:space="preserve">kotły ciepłownicze energetyki zawodowej). </w:t>
      </w:r>
    </w:p>
    <w:p w14:paraId="570429B0" w14:textId="7234D48C" w:rsidR="005C4144" w:rsidRPr="00B87841" w:rsidRDefault="00DA5286" w:rsidP="005C4144">
      <w:r w:rsidRPr="00B87841">
        <w:t>W symulacjach modelowych tempo rozwoju kogeneracji</w:t>
      </w:r>
      <w:r>
        <w:t xml:space="preserve"> w </w:t>
      </w:r>
      <w:r w:rsidRPr="00B87841">
        <w:t>Polsce określono stosownie do prognozy zapotrzebowania na ciepło użytkowe</w:t>
      </w:r>
      <w:r>
        <w:t xml:space="preserve"> z </w:t>
      </w:r>
      <w:r w:rsidRPr="00B87841">
        <w:t xml:space="preserve">uwzględnieniem czynników ekonomicznych oraz przy założeniu kontynuacji wsparcia wysokosprawnej kogeneracji. Wyniki obliczeń modelowych </w:t>
      </w:r>
      <w:r w:rsidR="005C4144" w:rsidRPr="00B87841">
        <w:t>(</w:t>
      </w:r>
      <w:r w:rsidR="00067535">
        <w:fldChar w:fldCharType="begin"/>
      </w:r>
      <w:r w:rsidR="00067535">
        <w:instrText xml:space="preserve"> REF _Ref195871567 \h </w:instrText>
      </w:r>
      <w:r w:rsidR="00067535">
        <w:fldChar w:fldCharType="separate"/>
      </w:r>
      <w:r w:rsidR="00F27D6F">
        <w:t xml:space="preserve">Tabela </w:t>
      </w:r>
      <w:r w:rsidR="00F27D6F">
        <w:rPr>
          <w:noProof/>
        </w:rPr>
        <w:t>2</w:t>
      </w:r>
      <w:r w:rsidR="00F27D6F">
        <w:t>.</w:t>
      </w:r>
      <w:r w:rsidR="00F27D6F">
        <w:rPr>
          <w:noProof/>
        </w:rPr>
        <w:t>10</w:t>
      </w:r>
      <w:r w:rsidR="00067535">
        <w:fldChar w:fldCharType="end"/>
      </w:r>
      <w:r w:rsidR="005C4144" w:rsidRPr="00B87841">
        <w:t xml:space="preserve">) </w:t>
      </w:r>
      <w:r w:rsidR="00BF0526" w:rsidRPr="00B87841">
        <w:t xml:space="preserve">wskazują na </w:t>
      </w:r>
      <w:r w:rsidR="00BF0526">
        <w:t>nieznaczny wzrost</w:t>
      </w:r>
      <w:r w:rsidR="00BF0526" w:rsidRPr="00B87841">
        <w:t xml:space="preserve"> udziału energii elektrycznej produkowanej</w:t>
      </w:r>
      <w:r w:rsidR="00BF0526">
        <w:t xml:space="preserve"> w wysokosprawnej kogeneracji z 65</w:t>
      </w:r>
      <w:r w:rsidR="00BF0526" w:rsidRPr="00B87841">
        <w:t>%</w:t>
      </w:r>
      <w:r w:rsidR="00BF0526">
        <w:t xml:space="preserve"> w 2020 r. do 66% w 2030 r., a następnie jego spadek do 43% w 204</w:t>
      </w:r>
      <w:r w:rsidR="00BF0526" w:rsidRPr="00B87841">
        <w:t>0</w:t>
      </w:r>
      <w:r w:rsidR="00BF0526">
        <w:t> r.</w:t>
      </w:r>
      <w:r w:rsidR="00BF0526" w:rsidRPr="00B87841">
        <w:t xml:space="preserve"> Przy określonych</w:t>
      </w:r>
      <w:r w:rsidR="00BF0526">
        <w:t xml:space="preserve"> w </w:t>
      </w:r>
      <w:r w:rsidR="00BF0526" w:rsidRPr="00B87841">
        <w:t xml:space="preserve">pracy założeniach, </w:t>
      </w:r>
      <w:r w:rsidR="00BF0526">
        <w:t xml:space="preserve">wiodącą </w:t>
      </w:r>
      <w:r w:rsidR="00BF0526" w:rsidRPr="00B87841">
        <w:t>technologią są duże elektrociepłownie gazowe (faktem przemawiającym za wyborem takiego rozwiązania jest proekologiczny charakter tych jednostek, dostępno</w:t>
      </w:r>
      <w:r w:rsidR="00BF0526">
        <w:t>ść paliwa oraz konkurencyjność w </w:t>
      </w:r>
      <w:r w:rsidR="00BF0526" w:rsidRPr="00B87841">
        <w:t xml:space="preserve">warunkach rosnących cen uprawnień do emisji </w:t>
      </w:r>
      <w:r w:rsidR="00BF0526">
        <w:t>GHG</w:t>
      </w:r>
      <w:r w:rsidR="00BF0526" w:rsidRPr="00B87841">
        <w:t>).</w:t>
      </w:r>
      <w:r w:rsidR="00BF0526">
        <w:t xml:space="preserve"> W analizie założono, że wszystkie nowe elektrociepłownie na gaz ziemny, przystosowane będą również do </w:t>
      </w:r>
      <w:r w:rsidR="003456AF">
        <w:t xml:space="preserve">spalania </w:t>
      </w:r>
      <w:r w:rsidR="00505D60">
        <w:t>biometanu</w:t>
      </w:r>
      <w:r w:rsidR="002010E8">
        <w:t xml:space="preserve"> wtłaczanego do krajowych sieci gazowych.</w:t>
      </w:r>
      <w:r w:rsidR="00505D60" w:rsidDel="00400468">
        <w:t xml:space="preserve"> </w:t>
      </w:r>
      <w:r w:rsidR="00BF0526">
        <w:t xml:space="preserve">Paliwem, który będzie „zazieleniał” </w:t>
      </w:r>
      <w:r w:rsidR="002010E8">
        <w:t xml:space="preserve">w kolejnych dekadach </w:t>
      </w:r>
      <w:r w:rsidR="00BF0526">
        <w:t xml:space="preserve">ten sektor będzie również </w:t>
      </w:r>
      <w:r w:rsidR="008727C6">
        <w:t>wodór</w:t>
      </w:r>
      <w:r w:rsidR="00BF0526">
        <w:t>.</w:t>
      </w:r>
    </w:p>
    <w:p w14:paraId="020F2FDE" w14:textId="1606B19E" w:rsidR="00381838" w:rsidRPr="00B87841" w:rsidRDefault="005C4144" w:rsidP="00381838">
      <w:pPr>
        <w:pStyle w:val="Legenda"/>
      </w:pPr>
      <w:bookmarkStart w:id="357" w:name="_Ref156560135"/>
      <w:bookmarkStart w:id="358" w:name="_Toc171587198"/>
      <w:bookmarkStart w:id="359" w:name="_Toc174710982"/>
      <w:bookmarkStart w:id="360" w:name="_Ref195871567"/>
      <w:bookmarkStart w:id="361" w:name="_Toc202966985"/>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10</w:t>
      </w:r>
      <w:r w:rsidR="00653D9A">
        <w:rPr>
          <w:noProof/>
        </w:rPr>
        <w:fldChar w:fldCharType="end"/>
      </w:r>
      <w:bookmarkEnd w:id="357"/>
      <w:bookmarkEnd w:id="358"/>
      <w:bookmarkEnd w:id="359"/>
      <w:bookmarkEnd w:id="360"/>
      <w:r w:rsidR="00B55240">
        <w:rPr>
          <w:noProof/>
        </w:rPr>
        <w:t xml:space="preserve"> </w:t>
      </w:r>
      <w:r w:rsidR="00381838" w:rsidRPr="00B87841">
        <w:rPr>
          <w:iCs w:val="0"/>
        </w:rPr>
        <w:t>Procentowy udział wytwarzania skojarzonego</w:t>
      </w:r>
      <w:r w:rsidR="00381838">
        <w:rPr>
          <w:iCs w:val="0"/>
        </w:rPr>
        <w:t xml:space="preserve"> w </w:t>
      </w:r>
      <w:r w:rsidR="00381838" w:rsidRPr="00B87841">
        <w:rPr>
          <w:iCs w:val="0"/>
        </w:rPr>
        <w:t>produkcji energii elektrycznej</w:t>
      </w:r>
      <w:r w:rsidR="00381838">
        <w:rPr>
          <w:iCs w:val="0"/>
        </w:rPr>
        <w:t xml:space="preserve"> i </w:t>
      </w:r>
      <w:r w:rsidR="00381838" w:rsidRPr="00B87841">
        <w:rPr>
          <w:iCs w:val="0"/>
        </w:rPr>
        <w:t>ciepła</w:t>
      </w:r>
      <w:bookmarkEnd w:id="361"/>
    </w:p>
    <w:tbl>
      <w:tblPr>
        <w:tblStyle w:val="KPEiK"/>
        <w:tblW w:w="5000" w:type="pct"/>
        <w:tblLayout w:type="fixed"/>
        <w:tblLook w:val="04A0" w:firstRow="1" w:lastRow="0" w:firstColumn="1" w:lastColumn="0" w:noHBand="0" w:noVBand="1"/>
      </w:tblPr>
      <w:tblGrid>
        <w:gridCol w:w="1864"/>
        <w:gridCol w:w="900"/>
        <w:gridCol w:w="900"/>
        <w:gridCol w:w="900"/>
        <w:gridCol w:w="899"/>
        <w:gridCol w:w="900"/>
        <w:gridCol w:w="900"/>
        <w:gridCol w:w="899"/>
        <w:gridCol w:w="900"/>
      </w:tblGrid>
      <w:tr w:rsidR="00381838" w:rsidRPr="00B87841" w14:paraId="4A685304" w14:textId="77777777" w:rsidTr="00381838">
        <w:trPr>
          <w:cnfStyle w:val="100000000000" w:firstRow="1" w:lastRow="0" w:firstColumn="0" w:lastColumn="0" w:oddVBand="0" w:evenVBand="0" w:oddHBand="0" w:evenHBand="0" w:firstRowFirstColumn="0" w:firstRowLastColumn="0" w:lastRowFirstColumn="0" w:lastRowLastColumn="0"/>
          <w:trHeight w:val="227"/>
          <w:tblHeader/>
        </w:trPr>
        <w:tc>
          <w:tcPr>
            <w:tcW w:w="1885" w:type="dxa"/>
            <w:noWrap/>
            <w:hideMark/>
          </w:tcPr>
          <w:p w14:paraId="1BAC117F" w14:textId="77777777" w:rsidR="00381838" w:rsidRPr="00B87841" w:rsidRDefault="00381838">
            <w:pPr>
              <w:pStyle w:val="Tabele"/>
              <w:jc w:val="center"/>
            </w:pPr>
          </w:p>
        </w:tc>
        <w:tc>
          <w:tcPr>
            <w:tcW w:w="909" w:type="dxa"/>
            <w:hideMark/>
          </w:tcPr>
          <w:p w14:paraId="3327F14F" w14:textId="77777777" w:rsidR="00381838" w:rsidRPr="00B87841" w:rsidRDefault="00381838">
            <w:pPr>
              <w:pStyle w:val="Tabele"/>
              <w:jc w:val="center"/>
              <w:rPr>
                <w:bCs/>
              </w:rPr>
            </w:pPr>
            <w:r w:rsidRPr="00B87841">
              <w:rPr>
                <w:bCs/>
              </w:rPr>
              <w:t>2005</w:t>
            </w:r>
          </w:p>
        </w:tc>
        <w:tc>
          <w:tcPr>
            <w:tcW w:w="910" w:type="dxa"/>
            <w:hideMark/>
          </w:tcPr>
          <w:p w14:paraId="1E6128B6" w14:textId="77777777" w:rsidR="00381838" w:rsidRPr="00B87841" w:rsidRDefault="00381838">
            <w:pPr>
              <w:pStyle w:val="Tabele"/>
              <w:jc w:val="center"/>
              <w:rPr>
                <w:bCs/>
              </w:rPr>
            </w:pPr>
            <w:r w:rsidRPr="00B87841">
              <w:rPr>
                <w:bCs/>
              </w:rPr>
              <w:t>2010</w:t>
            </w:r>
          </w:p>
        </w:tc>
        <w:tc>
          <w:tcPr>
            <w:tcW w:w="910" w:type="dxa"/>
            <w:hideMark/>
          </w:tcPr>
          <w:p w14:paraId="10638CC3" w14:textId="77777777" w:rsidR="00381838" w:rsidRPr="00B87841" w:rsidRDefault="00381838">
            <w:pPr>
              <w:pStyle w:val="Tabele"/>
              <w:jc w:val="center"/>
              <w:rPr>
                <w:bCs/>
              </w:rPr>
            </w:pPr>
            <w:r w:rsidRPr="00B87841">
              <w:rPr>
                <w:bCs/>
              </w:rPr>
              <w:t>2015</w:t>
            </w:r>
          </w:p>
        </w:tc>
        <w:tc>
          <w:tcPr>
            <w:tcW w:w="909" w:type="dxa"/>
            <w:hideMark/>
          </w:tcPr>
          <w:p w14:paraId="561BC29F" w14:textId="77777777" w:rsidR="00381838" w:rsidRPr="00B87841" w:rsidRDefault="00381838">
            <w:pPr>
              <w:pStyle w:val="Tabele"/>
              <w:jc w:val="center"/>
              <w:rPr>
                <w:bCs/>
              </w:rPr>
            </w:pPr>
            <w:r w:rsidRPr="00B87841">
              <w:rPr>
                <w:bCs/>
              </w:rPr>
              <w:t>2020</w:t>
            </w:r>
          </w:p>
        </w:tc>
        <w:tc>
          <w:tcPr>
            <w:tcW w:w="910" w:type="dxa"/>
            <w:hideMark/>
          </w:tcPr>
          <w:p w14:paraId="020626EE" w14:textId="77777777" w:rsidR="00381838" w:rsidRPr="00B87841" w:rsidRDefault="00381838">
            <w:pPr>
              <w:pStyle w:val="Tabele"/>
              <w:jc w:val="center"/>
              <w:rPr>
                <w:bCs/>
              </w:rPr>
            </w:pPr>
            <w:r w:rsidRPr="00B87841">
              <w:rPr>
                <w:bCs/>
              </w:rPr>
              <w:t>2025</w:t>
            </w:r>
          </w:p>
        </w:tc>
        <w:tc>
          <w:tcPr>
            <w:tcW w:w="910" w:type="dxa"/>
            <w:hideMark/>
          </w:tcPr>
          <w:p w14:paraId="411031C8" w14:textId="77777777" w:rsidR="00381838" w:rsidRPr="00B87841" w:rsidRDefault="00381838">
            <w:pPr>
              <w:pStyle w:val="Tabele"/>
              <w:jc w:val="center"/>
              <w:rPr>
                <w:bCs/>
              </w:rPr>
            </w:pPr>
            <w:r w:rsidRPr="00B87841">
              <w:rPr>
                <w:bCs/>
              </w:rPr>
              <w:t>2030</w:t>
            </w:r>
          </w:p>
        </w:tc>
        <w:tc>
          <w:tcPr>
            <w:tcW w:w="909" w:type="dxa"/>
            <w:hideMark/>
          </w:tcPr>
          <w:p w14:paraId="25529DC7" w14:textId="77777777" w:rsidR="00381838" w:rsidRPr="00B87841" w:rsidRDefault="00381838">
            <w:pPr>
              <w:pStyle w:val="Tabele"/>
              <w:jc w:val="center"/>
              <w:rPr>
                <w:bCs/>
              </w:rPr>
            </w:pPr>
            <w:r w:rsidRPr="00B87841">
              <w:rPr>
                <w:bCs/>
              </w:rPr>
              <w:t>2035</w:t>
            </w:r>
          </w:p>
        </w:tc>
        <w:tc>
          <w:tcPr>
            <w:tcW w:w="910" w:type="dxa"/>
          </w:tcPr>
          <w:p w14:paraId="6D7B96C9" w14:textId="77777777" w:rsidR="00381838" w:rsidRPr="00B87841" w:rsidRDefault="00381838">
            <w:pPr>
              <w:pStyle w:val="Tabele"/>
              <w:jc w:val="center"/>
              <w:rPr>
                <w:bCs/>
              </w:rPr>
            </w:pPr>
            <w:r>
              <w:rPr>
                <w:bCs/>
              </w:rPr>
              <w:t>2040</w:t>
            </w:r>
          </w:p>
        </w:tc>
      </w:tr>
      <w:tr w:rsidR="00381838" w:rsidRPr="00B87841" w14:paraId="4A3722DB" w14:textId="77777777" w:rsidTr="00381838">
        <w:trPr>
          <w:trHeight w:val="227"/>
        </w:trPr>
        <w:tc>
          <w:tcPr>
            <w:tcW w:w="1885" w:type="dxa"/>
            <w:hideMark/>
          </w:tcPr>
          <w:p w14:paraId="1F458EE8" w14:textId="77777777" w:rsidR="00381838" w:rsidRPr="00381838" w:rsidRDefault="00381838">
            <w:pPr>
              <w:pStyle w:val="Tabele"/>
              <w:rPr>
                <w:color w:val="auto"/>
              </w:rPr>
            </w:pPr>
            <w:r w:rsidRPr="00381838">
              <w:rPr>
                <w:color w:val="auto"/>
              </w:rPr>
              <w:t>Udział skojarzenia</w:t>
            </w:r>
          </w:p>
        </w:tc>
        <w:tc>
          <w:tcPr>
            <w:tcW w:w="909" w:type="dxa"/>
            <w:shd w:val="clear" w:color="auto" w:fill="C5E0B3"/>
            <w:noWrap/>
            <w:hideMark/>
          </w:tcPr>
          <w:p w14:paraId="4A881493" w14:textId="77777777" w:rsidR="00381838" w:rsidRPr="00381838" w:rsidRDefault="00381838">
            <w:pPr>
              <w:pStyle w:val="Tabele"/>
              <w:jc w:val="right"/>
              <w:rPr>
                <w:color w:val="auto"/>
              </w:rPr>
            </w:pPr>
            <w:r w:rsidRPr="00381838">
              <w:rPr>
                <w:color w:val="auto"/>
                <w:szCs w:val="16"/>
              </w:rPr>
              <w:t>16,8%</w:t>
            </w:r>
          </w:p>
        </w:tc>
        <w:tc>
          <w:tcPr>
            <w:tcW w:w="910" w:type="dxa"/>
            <w:shd w:val="clear" w:color="auto" w:fill="C5E0B3"/>
            <w:noWrap/>
            <w:hideMark/>
          </w:tcPr>
          <w:p w14:paraId="618A3161" w14:textId="77777777" w:rsidR="00381838" w:rsidRPr="00381838" w:rsidRDefault="00381838">
            <w:pPr>
              <w:pStyle w:val="Tabele"/>
              <w:jc w:val="right"/>
              <w:rPr>
                <w:color w:val="auto"/>
              </w:rPr>
            </w:pPr>
            <w:r w:rsidRPr="00381838">
              <w:rPr>
                <w:color w:val="auto"/>
                <w:szCs w:val="16"/>
              </w:rPr>
              <w:t>17,6%</w:t>
            </w:r>
          </w:p>
        </w:tc>
        <w:tc>
          <w:tcPr>
            <w:tcW w:w="910" w:type="dxa"/>
            <w:shd w:val="clear" w:color="auto" w:fill="C5E0B3"/>
            <w:noWrap/>
            <w:hideMark/>
          </w:tcPr>
          <w:p w14:paraId="0D95383F" w14:textId="77777777" w:rsidR="00381838" w:rsidRPr="00381838" w:rsidRDefault="00381838">
            <w:pPr>
              <w:pStyle w:val="Tabele"/>
              <w:jc w:val="right"/>
              <w:rPr>
                <w:color w:val="auto"/>
              </w:rPr>
            </w:pPr>
            <w:r w:rsidRPr="00381838">
              <w:rPr>
                <w:color w:val="auto"/>
                <w:szCs w:val="16"/>
              </w:rPr>
              <w:t>16,2%</w:t>
            </w:r>
          </w:p>
        </w:tc>
        <w:tc>
          <w:tcPr>
            <w:tcW w:w="909" w:type="dxa"/>
            <w:shd w:val="clear" w:color="auto" w:fill="C5E0B3"/>
            <w:noWrap/>
            <w:hideMark/>
          </w:tcPr>
          <w:p w14:paraId="309B92D8" w14:textId="77777777" w:rsidR="00381838" w:rsidRPr="00381838" w:rsidRDefault="00381838">
            <w:pPr>
              <w:pStyle w:val="Tabele"/>
              <w:jc w:val="right"/>
              <w:rPr>
                <w:color w:val="auto"/>
              </w:rPr>
            </w:pPr>
            <w:r w:rsidRPr="00381838">
              <w:rPr>
                <w:color w:val="auto"/>
                <w:szCs w:val="16"/>
              </w:rPr>
              <w:t>20,5%</w:t>
            </w:r>
          </w:p>
        </w:tc>
        <w:tc>
          <w:tcPr>
            <w:tcW w:w="910" w:type="dxa"/>
            <w:noWrap/>
            <w:hideMark/>
          </w:tcPr>
          <w:p w14:paraId="5B5D26A8" w14:textId="77777777" w:rsidR="00381838" w:rsidRPr="00381838" w:rsidRDefault="00381838">
            <w:pPr>
              <w:pStyle w:val="Tabele"/>
              <w:jc w:val="right"/>
              <w:rPr>
                <w:color w:val="auto"/>
              </w:rPr>
            </w:pPr>
            <w:r w:rsidRPr="00381838">
              <w:rPr>
                <w:color w:val="auto"/>
                <w:szCs w:val="16"/>
              </w:rPr>
              <w:t>21,3%</w:t>
            </w:r>
          </w:p>
        </w:tc>
        <w:tc>
          <w:tcPr>
            <w:tcW w:w="910" w:type="dxa"/>
            <w:noWrap/>
            <w:hideMark/>
          </w:tcPr>
          <w:p w14:paraId="1FA0F218" w14:textId="77777777" w:rsidR="00381838" w:rsidRPr="00381838" w:rsidRDefault="00381838">
            <w:pPr>
              <w:pStyle w:val="Tabele"/>
              <w:jc w:val="right"/>
              <w:rPr>
                <w:color w:val="auto"/>
              </w:rPr>
            </w:pPr>
            <w:r w:rsidRPr="00381838">
              <w:rPr>
                <w:color w:val="auto"/>
                <w:szCs w:val="16"/>
              </w:rPr>
              <w:t>21,7%</w:t>
            </w:r>
          </w:p>
        </w:tc>
        <w:tc>
          <w:tcPr>
            <w:tcW w:w="909" w:type="dxa"/>
            <w:noWrap/>
            <w:hideMark/>
          </w:tcPr>
          <w:p w14:paraId="7C744E3E" w14:textId="77777777" w:rsidR="00381838" w:rsidRPr="00381838" w:rsidRDefault="00381838">
            <w:pPr>
              <w:pStyle w:val="Tabele"/>
              <w:jc w:val="right"/>
              <w:rPr>
                <w:color w:val="auto"/>
              </w:rPr>
            </w:pPr>
            <w:r w:rsidRPr="00381838">
              <w:rPr>
                <w:color w:val="auto"/>
                <w:szCs w:val="16"/>
              </w:rPr>
              <w:t>12,7%</w:t>
            </w:r>
          </w:p>
        </w:tc>
        <w:tc>
          <w:tcPr>
            <w:tcW w:w="910" w:type="dxa"/>
          </w:tcPr>
          <w:p w14:paraId="14EAA453" w14:textId="77777777" w:rsidR="00381838" w:rsidRPr="00381838" w:rsidRDefault="00381838">
            <w:pPr>
              <w:pStyle w:val="Tabele"/>
              <w:jc w:val="right"/>
              <w:rPr>
                <w:color w:val="auto"/>
              </w:rPr>
            </w:pPr>
            <w:r w:rsidRPr="00381838">
              <w:rPr>
                <w:color w:val="auto"/>
                <w:szCs w:val="16"/>
              </w:rPr>
              <w:t>8,5%</w:t>
            </w:r>
          </w:p>
        </w:tc>
      </w:tr>
      <w:tr w:rsidR="00381838" w:rsidRPr="00B87841" w14:paraId="2744898E" w14:textId="77777777" w:rsidTr="00381838">
        <w:trPr>
          <w:trHeight w:val="227"/>
        </w:trPr>
        <w:tc>
          <w:tcPr>
            <w:tcW w:w="1885" w:type="dxa"/>
            <w:hideMark/>
          </w:tcPr>
          <w:p w14:paraId="40410E77" w14:textId="77777777" w:rsidR="00381838" w:rsidRPr="00381838" w:rsidRDefault="00381838">
            <w:pPr>
              <w:pStyle w:val="Tabele"/>
              <w:rPr>
                <w:color w:val="auto"/>
              </w:rPr>
            </w:pPr>
            <w:r w:rsidRPr="00381838">
              <w:rPr>
                <w:color w:val="auto"/>
              </w:rPr>
              <w:t>Wysokosprawna kogeneracja</w:t>
            </w:r>
          </w:p>
        </w:tc>
        <w:tc>
          <w:tcPr>
            <w:tcW w:w="909" w:type="dxa"/>
            <w:shd w:val="clear" w:color="auto" w:fill="C5E0B3"/>
            <w:noWrap/>
            <w:hideMark/>
          </w:tcPr>
          <w:p w14:paraId="1AD4BC15" w14:textId="77777777" w:rsidR="00381838" w:rsidRPr="00381838" w:rsidRDefault="00381838">
            <w:pPr>
              <w:pStyle w:val="Tabele"/>
              <w:jc w:val="right"/>
              <w:rPr>
                <w:color w:val="auto"/>
              </w:rPr>
            </w:pPr>
            <w:r w:rsidRPr="00381838">
              <w:rPr>
                <w:color w:val="auto"/>
                <w:szCs w:val="16"/>
              </w:rPr>
              <w:t>63,9%</w:t>
            </w:r>
          </w:p>
        </w:tc>
        <w:tc>
          <w:tcPr>
            <w:tcW w:w="910" w:type="dxa"/>
            <w:shd w:val="clear" w:color="auto" w:fill="C5E0B3"/>
            <w:noWrap/>
            <w:hideMark/>
          </w:tcPr>
          <w:p w14:paraId="6E4024BA" w14:textId="77777777" w:rsidR="00381838" w:rsidRPr="00381838" w:rsidRDefault="00381838">
            <w:pPr>
              <w:pStyle w:val="Tabele"/>
              <w:jc w:val="right"/>
              <w:rPr>
                <w:color w:val="auto"/>
              </w:rPr>
            </w:pPr>
            <w:r w:rsidRPr="00381838">
              <w:rPr>
                <w:color w:val="auto"/>
                <w:szCs w:val="16"/>
              </w:rPr>
              <w:t>61,2%</w:t>
            </w:r>
          </w:p>
        </w:tc>
        <w:tc>
          <w:tcPr>
            <w:tcW w:w="910" w:type="dxa"/>
            <w:shd w:val="clear" w:color="auto" w:fill="C5E0B3"/>
            <w:noWrap/>
            <w:hideMark/>
          </w:tcPr>
          <w:p w14:paraId="2DCDEF21" w14:textId="77777777" w:rsidR="00381838" w:rsidRPr="00381838" w:rsidRDefault="00381838">
            <w:pPr>
              <w:pStyle w:val="Tabele"/>
              <w:jc w:val="right"/>
              <w:rPr>
                <w:color w:val="auto"/>
              </w:rPr>
            </w:pPr>
            <w:r w:rsidRPr="00381838">
              <w:rPr>
                <w:color w:val="auto"/>
                <w:szCs w:val="16"/>
              </w:rPr>
              <w:t>65,1%</w:t>
            </w:r>
          </w:p>
        </w:tc>
        <w:tc>
          <w:tcPr>
            <w:tcW w:w="909" w:type="dxa"/>
            <w:shd w:val="clear" w:color="auto" w:fill="C5E0B3"/>
            <w:noWrap/>
            <w:hideMark/>
          </w:tcPr>
          <w:p w14:paraId="505B8CB2" w14:textId="77777777" w:rsidR="00381838" w:rsidRPr="00381838" w:rsidRDefault="00381838">
            <w:pPr>
              <w:pStyle w:val="Tabele"/>
              <w:jc w:val="right"/>
              <w:rPr>
                <w:color w:val="auto"/>
              </w:rPr>
            </w:pPr>
            <w:r w:rsidRPr="00381838">
              <w:rPr>
                <w:color w:val="auto"/>
                <w:szCs w:val="16"/>
              </w:rPr>
              <w:t>64,7%</w:t>
            </w:r>
          </w:p>
        </w:tc>
        <w:tc>
          <w:tcPr>
            <w:tcW w:w="910" w:type="dxa"/>
            <w:noWrap/>
            <w:hideMark/>
          </w:tcPr>
          <w:p w14:paraId="63315BFC" w14:textId="77777777" w:rsidR="00381838" w:rsidRPr="00381838" w:rsidRDefault="00381838">
            <w:pPr>
              <w:pStyle w:val="Tabele"/>
              <w:jc w:val="right"/>
              <w:rPr>
                <w:color w:val="auto"/>
              </w:rPr>
            </w:pPr>
            <w:r w:rsidRPr="00381838">
              <w:rPr>
                <w:color w:val="auto"/>
                <w:szCs w:val="16"/>
              </w:rPr>
              <w:t>61,0%</w:t>
            </w:r>
          </w:p>
        </w:tc>
        <w:tc>
          <w:tcPr>
            <w:tcW w:w="910" w:type="dxa"/>
            <w:noWrap/>
            <w:hideMark/>
          </w:tcPr>
          <w:p w14:paraId="77A2ABC9" w14:textId="77777777" w:rsidR="00381838" w:rsidRPr="00381838" w:rsidRDefault="00381838">
            <w:pPr>
              <w:pStyle w:val="Tabele"/>
              <w:jc w:val="right"/>
              <w:rPr>
                <w:color w:val="auto"/>
              </w:rPr>
            </w:pPr>
            <w:r w:rsidRPr="00381838">
              <w:rPr>
                <w:color w:val="auto"/>
                <w:szCs w:val="16"/>
              </w:rPr>
              <w:t>66,3%</w:t>
            </w:r>
          </w:p>
        </w:tc>
        <w:tc>
          <w:tcPr>
            <w:tcW w:w="909" w:type="dxa"/>
            <w:noWrap/>
            <w:hideMark/>
          </w:tcPr>
          <w:p w14:paraId="36A524AC" w14:textId="77777777" w:rsidR="00381838" w:rsidRPr="00381838" w:rsidRDefault="00381838">
            <w:pPr>
              <w:pStyle w:val="Tabele"/>
              <w:jc w:val="right"/>
              <w:rPr>
                <w:color w:val="auto"/>
              </w:rPr>
            </w:pPr>
            <w:r w:rsidRPr="00381838">
              <w:rPr>
                <w:color w:val="auto"/>
                <w:szCs w:val="16"/>
              </w:rPr>
              <w:t>51,0%</w:t>
            </w:r>
          </w:p>
        </w:tc>
        <w:tc>
          <w:tcPr>
            <w:tcW w:w="910" w:type="dxa"/>
          </w:tcPr>
          <w:p w14:paraId="787CAEA0" w14:textId="77777777" w:rsidR="00381838" w:rsidRPr="00381838" w:rsidRDefault="00381838">
            <w:pPr>
              <w:pStyle w:val="Tabele"/>
              <w:jc w:val="right"/>
              <w:rPr>
                <w:color w:val="auto"/>
              </w:rPr>
            </w:pPr>
            <w:r w:rsidRPr="00381838">
              <w:rPr>
                <w:color w:val="auto"/>
                <w:szCs w:val="16"/>
              </w:rPr>
              <w:t>43,0%</w:t>
            </w:r>
          </w:p>
        </w:tc>
      </w:tr>
    </w:tbl>
    <w:p w14:paraId="2A692592" w14:textId="03E1FF10" w:rsidR="005C4144" w:rsidRDefault="005C4144" w:rsidP="00381838">
      <w:pPr>
        <w:pStyle w:val="Legenda"/>
      </w:pPr>
      <w:r w:rsidRPr="00B87841">
        <w:t>Źródło: Opracowanie własne ARE S</w:t>
      </w:r>
      <w:r>
        <w:t>.</w:t>
      </w:r>
      <w:r w:rsidRPr="00B87841">
        <w:t>A</w:t>
      </w:r>
      <w:r>
        <w:t>.</w:t>
      </w:r>
      <w:r w:rsidRPr="00B87841">
        <w:t xml:space="preserve"> (MESSAGE-PL)</w:t>
      </w:r>
    </w:p>
    <w:p w14:paraId="51402238" w14:textId="77777777" w:rsidR="005C4144" w:rsidRPr="00B87841" w:rsidRDefault="005C4144" w:rsidP="004255AE">
      <w:pPr>
        <w:pStyle w:val="Nagwek2"/>
      </w:pPr>
      <w:bookmarkStart w:id="362" w:name="_Toc507408720"/>
      <w:bookmarkStart w:id="363" w:name="_Toc156465102"/>
      <w:bookmarkStart w:id="364" w:name="_Toc171587326"/>
      <w:bookmarkStart w:id="365" w:name="_Toc174710900"/>
      <w:bookmarkStart w:id="366" w:name="_Toc202966893"/>
      <w:r w:rsidRPr="00B87841">
        <w:t>Produkcja energii cieplnej</w:t>
      </w:r>
      <w:r>
        <w:t xml:space="preserve"> w </w:t>
      </w:r>
      <w:r w:rsidRPr="00B87841">
        <w:t>elektrowniach, elektrociepłowniach</w:t>
      </w:r>
      <w:r>
        <w:t xml:space="preserve"> i </w:t>
      </w:r>
      <w:r w:rsidRPr="00B87841">
        <w:t>ciepłowniach</w:t>
      </w:r>
      <w:bookmarkEnd w:id="362"/>
      <w:bookmarkEnd w:id="363"/>
      <w:bookmarkEnd w:id="364"/>
      <w:bookmarkEnd w:id="365"/>
      <w:bookmarkEnd w:id="366"/>
    </w:p>
    <w:p w14:paraId="246DA838" w14:textId="198C8923" w:rsidR="00E66ED5" w:rsidRPr="00B87841" w:rsidRDefault="00E66ED5" w:rsidP="00E66ED5">
      <w:pPr>
        <w:spacing w:after="120"/>
      </w:pPr>
      <w:bookmarkStart w:id="367" w:name="_Ref156560324"/>
      <w:bookmarkStart w:id="368" w:name="_Ref158372082"/>
      <w:bookmarkStart w:id="369" w:name="_Toc171587199"/>
      <w:bookmarkStart w:id="370" w:name="_Toc174710983"/>
      <w:r w:rsidRPr="00B87841">
        <w:t>Zgodnie</w:t>
      </w:r>
      <w:r>
        <w:t xml:space="preserve"> z </w:t>
      </w:r>
      <w:r w:rsidRPr="00B87841">
        <w:t>metodyką stosowaną</w:t>
      </w:r>
      <w:r>
        <w:t xml:space="preserve"> w </w:t>
      </w:r>
      <w:r w:rsidRPr="00B87841">
        <w:t>EUROSTAT (wg której przygotowane zostały wszystkie dane statystyczne zaprezentowane</w:t>
      </w:r>
      <w:r>
        <w:t xml:space="preserve"> w </w:t>
      </w:r>
      <w:r w:rsidRPr="00B87841">
        <w:t>raporcie) do elektrociepłowni zaliczane są jednostki, które wytwarzają choćby minimalne wielkości ciepła (również</w:t>
      </w:r>
      <w:r>
        <w:t xml:space="preserve"> w </w:t>
      </w:r>
      <w:r w:rsidRPr="00B87841">
        <w:t>procesach rozdzielonych np.</w:t>
      </w:r>
      <w:r>
        <w:t xml:space="preserve"> w </w:t>
      </w:r>
      <w:r w:rsidRPr="00B87841">
        <w:t>kotłach ciepłowniczych energetyki zawodowej). Naturalną tego konsekwencją jest zakwalifikowanie wszystkich elektrowni produkujących ciepło do grupy elektrociepłowni, zatem</w:t>
      </w:r>
      <w:r>
        <w:t xml:space="preserve"> w </w:t>
      </w:r>
      <w:r w:rsidRPr="00B87841">
        <w:t>pozycji „produkcja ciepła</w:t>
      </w:r>
      <w:r>
        <w:t xml:space="preserve"> w </w:t>
      </w:r>
      <w:r w:rsidRPr="00B87841">
        <w:t>elektrowniach</w:t>
      </w:r>
      <w:r>
        <w:t>” (</w:t>
      </w:r>
      <w:r w:rsidR="001E51BC">
        <w:fldChar w:fldCharType="begin"/>
      </w:r>
      <w:r w:rsidR="001E51BC">
        <w:instrText xml:space="preserve"> REF _Ref195775657 \h </w:instrText>
      </w:r>
      <w:r w:rsidR="001E51BC">
        <w:fldChar w:fldCharType="separate"/>
      </w:r>
      <w:r w:rsidR="00F27D6F">
        <w:t xml:space="preserve">Tabela </w:t>
      </w:r>
      <w:r w:rsidR="00F27D6F">
        <w:rPr>
          <w:noProof/>
        </w:rPr>
        <w:t>2</w:t>
      </w:r>
      <w:r w:rsidR="00F27D6F">
        <w:t>.</w:t>
      </w:r>
      <w:r w:rsidR="00F27D6F">
        <w:rPr>
          <w:noProof/>
        </w:rPr>
        <w:t>11</w:t>
      </w:r>
      <w:r w:rsidR="001E51BC">
        <w:fldChar w:fldCharType="end"/>
      </w:r>
      <w:r w:rsidR="00B832B2">
        <w:t>)</w:t>
      </w:r>
      <w:r w:rsidRPr="00B87841">
        <w:t xml:space="preserve"> wykazywane jest wszędzie „0”. Prognozy produkcji ciepła</w:t>
      </w:r>
      <w:r>
        <w:t xml:space="preserve"> z </w:t>
      </w:r>
      <w:r w:rsidRPr="00B87841">
        <w:t>elektrociepłowni są wynikiem optymalizacji kosztowej przeprowadzonej</w:t>
      </w:r>
      <w:r>
        <w:t xml:space="preserve"> w </w:t>
      </w:r>
      <w:r w:rsidRPr="00B87841">
        <w:t>modelu MESSAGE-PL.</w:t>
      </w:r>
    </w:p>
    <w:p w14:paraId="1DDB3913" w14:textId="4F779684" w:rsidR="005C4144" w:rsidRPr="00B87841" w:rsidRDefault="005C4144" w:rsidP="005C4144">
      <w:pPr>
        <w:pStyle w:val="Legenda"/>
      </w:pPr>
      <w:bookmarkStart w:id="371" w:name="_Ref195775657"/>
      <w:bookmarkStart w:id="372" w:name="_Toc202966986"/>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11</w:t>
      </w:r>
      <w:r w:rsidR="00653D9A">
        <w:rPr>
          <w:noProof/>
        </w:rPr>
        <w:fldChar w:fldCharType="end"/>
      </w:r>
      <w:bookmarkEnd w:id="367"/>
      <w:bookmarkEnd w:id="368"/>
      <w:bookmarkEnd w:id="371"/>
      <w:r>
        <w:t xml:space="preserve">. </w:t>
      </w:r>
      <w:r w:rsidRPr="00B87841">
        <w:t>Produkcja energii cieplnej</w:t>
      </w:r>
      <w:r>
        <w:t xml:space="preserve"> w </w:t>
      </w:r>
      <w:r w:rsidRPr="00B87841">
        <w:t>elektrowniach, elektrociepłowniach</w:t>
      </w:r>
      <w:r>
        <w:t xml:space="preserve"> i </w:t>
      </w:r>
      <w:r w:rsidRPr="00B87841">
        <w:t>ciepłowniach [TJ]</w:t>
      </w:r>
      <w:bookmarkEnd w:id="369"/>
      <w:bookmarkEnd w:id="370"/>
      <w:bookmarkEnd w:id="372"/>
    </w:p>
    <w:tbl>
      <w:tblPr>
        <w:tblStyle w:val="KPEiK"/>
        <w:tblW w:w="4988" w:type="pct"/>
        <w:tblLayout w:type="fixed"/>
        <w:tblLook w:val="04A0" w:firstRow="1" w:lastRow="0" w:firstColumn="1" w:lastColumn="0" w:noHBand="0" w:noVBand="1"/>
      </w:tblPr>
      <w:tblGrid>
        <w:gridCol w:w="1859"/>
        <w:gridCol w:w="897"/>
        <w:gridCol w:w="898"/>
        <w:gridCol w:w="898"/>
        <w:gridCol w:w="897"/>
        <w:gridCol w:w="898"/>
        <w:gridCol w:w="898"/>
        <w:gridCol w:w="897"/>
        <w:gridCol w:w="898"/>
      </w:tblGrid>
      <w:tr w:rsidR="00A06B88" w:rsidRPr="00B87841" w14:paraId="5EA1B87F" w14:textId="77777777" w:rsidTr="0085545F">
        <w:trPr>
          <w:cnfStyle w:val="100000000000" w:firstRow="1" w:lastRow="0" w:firstColumn="0" w:lastColumn="0" w:oddVBand="0" w:evenVBand="0" w:oddHBand="0" w:evenHBand="0" w:firstRowFirstColumn="0" w:firstRowLastColumn="0" w:lastRowFirstColumn="0" w:lastRowLastColumn="0"/>
          <w:trHeight w:val="227"/>
          <w:tblHeader/>
        </w:trPr>
        <w:tc>
          <w:tcPr>
            <w:tcW w:w="1859" w:type="dxa"/>
            <w:noWrap/>
            <w:hideMark/>
          </w:tcPr>
          <w:p w14:paraId="1A322B17" w14:textId="77777777" w:rsidR="00A06B88" w:rsidRPr="00B87841" w:rsidRDefault="00A06B88">
            <w:pPr>
              <w:pStyle w:val="Tabele"/>
              <w:jc w:val="center"/>
            </w:pPr>
          </w:p>
        </w:tc>
        <w:tc>
          <w:tcPr>
            <w:tcW w:w="897" w:type="dxa"/>
            <w:hideMark/>
          </w:tcPr>
          <w:p w14:paraId="11ABC9A1" w14:textId="77777777" w:rsidR="00A06B88" w:rsidRPr="00B87841" w:rsidRDefault="00A06B88">
            <w:pPr>
              <w:pStyle w:val="Tabele"/>
              <w:jc w:val="center"/>
              <w:rPr>
                <w:bCs/>
              </w:rPr>
            </w:pPr>
            <w:r w:rsidRPr="00B87841">
              <w:rPr>
                <w:bCs/>
              </w:rPr>
              <w:t>2005</w:t>
            </w:r>
          </w:p>
        </w:tc>
        <w:tc>
          <w:tcPr>
            <w:tcW w:w="898" w:type="dxa"/>
            <w:hideMark/>
          </w:tcPr>
          <w:p w14:paraId="0662E8C7" w14:textId="77777777" w:rsidR="00A06B88" w:rsidRPr="00B87841" w:rsidRDefault="00A06B88">
            <w:pPr>
              <w:pStyle w:val="Tabele"/>
              <w:jc w:val="center"/>
              <w:rPr>
                <w:bCs/>
              </w:rPr>
            </w:pPr>
            <w:r w:rsidRPr="00B87841">
              <w:rPr>
                <w:bCs/>
              </w:rPr>
              <w:t>2010</w:t>
            </w:r>
          </w:p>
        </w:tc>
        <w:tc>
          <w:tcPr>
            <w:tcW w:w="898" w:type="dxa"/>
            <w:hideMark/>
          </w:tcPr>
          <w:p w14:paraId="1B88D21E" w14:textId="77777777" w:rsidR="00A06B88" w:rsidRPr="00B87841" w:rsidRDefault="00A06B88">
            <w:pPr>
              <w:pStyle w:val="Tabele"/>
              <w:jc w:val="center"/>
              <w:rPr>
                <w:bCs/>
              </w:rPr>
            </w:pPr>
            <w:r w:rsidRPr="00B87841">
              <w:rPr>
                <w:bCs/>
              </w:rPr>
              <w:t>2015</w:t>
            </w:r>
          </w:p>
        </w:tc>
        <w:tc>
          <w:tcPr>
            <w:tcW w:w="897" w:type="dxa"/>
            <w:hideMark/>
          </w:tcPr>
          <w:p w14:paraId="6AF188BC" w14:textId="77777777" w:rsidR="00A06B88" w:rsidRPr="00B87841" w:rsidRDefault="00A06B88">
            <w:pPr>
              <w:pStyle w:val="Tabele"/>
              <w:jc w:val="center"/>
              <w:rPr>
                <w:bCs/>
              </w:rPr>
            </w:pPr>
            <w:r w:rsidRPr="00B87841">
              <w:rPr>
                <w:bCs/>
              </w:rPr>
              <w:t>2020</w:t>
            </w:r>
          </w:p>
        </w:tc>
        <w:tc>
          <w:tcPr>
            <w:tcW w:w="898" w:type="dxa"/>
            <w:hideMark/>
          </w:tcPr>
          <w:p w14:paraId="4F178B35" w14:textId="77777777" w:rsidR="00A06B88" w:rsidRPr="00B87841" w:rsidRDefault="00A06B88">
            <w:pPr>
              <w:pStyle w:val="Tabele"/>
              <w:jc w:val="center"/>
              <w:rPr>
                <w:bCs/>
              </w:rPr>
            </w:pPr>
            <w:r w:rsidRPr="00B87841">
              <w:rPr>
                <w:bCs/>
              </w:rPr>
              <w:t>2025</w:t>
            </w:r>
          </w:p>
        </w:tc>
        <w:tc>
          <w:tcPr>
            <w:tcW w:w="898" w:type="dxa"/>
            <w:hideMark/>
          </w:tcPr>
          <w:p w14:paraId="55445448" w14:textId="77777777" w:rsidR="00A06B88" w:rsidRPr="00B87841" w:rsidRDefault="00A06B88">
            <w:pPr>
              <w:pStyle w:val="Tabele"/>
              <w:jc w:val="center"/>
              <w:rPr>
                <w:bCs/>
              </w:rPr>
            </w:pPr>
            <w:r w:rsidRPr="00B87841">
              <w:rPr>
                <w:bCs/>
              </w:rPr>
              <w:t>2030</w:t>
            </w:r>
          </w:p>
        </w:tc>
        <w:tc>
          <w:tcPr>
            <w:tcW w:w="897" w:type="dxa"/>
            <w:hideMark/>
          </w:tcPr>
          <w:p w14:paraId="39623ACE" w14:textId="77777777" w:rsidR="00A06B88" w:rsidRPr="00B87841" w:rsidRDefault="00A06B88">
            <w:pPr>
              <w:pStyle w:val="Tabele"/>
              <w:jc w:val="center"/>
              <w:rPr>
                <w:bCs/>
              </w:rPr>
            </w:pPr>
            <w:r w:rsidRPr="00B87841">
              <w:rPr>
                <w:bCs/>
              </w:rPr>
              <w:t>2035</w:t>
            </w:r>
          </w:p>
        </w:tc>
        <w:tc>
          <w:tcPr>
            <w:tcW w:w="898" w:type="dxa"/>
          </w:tcPr>
          <w:p w14:paraId="0876B2DA" w14:textId="77777777" w:rsidR="00A06B88" w:rsidRPr="00B87841" w:rsidRDefault="00A06B88">
            <w:pPr>
              <w:pStyle w:val="Tabele"/>
              <w:jc w:val="center"/>
              <w:rPr>
                <w:bCs/>
              </w:rPr>
            </w:pPr>
            <w:r>
              <w:rPr>
                <w:bCs/>
              </w:rPr>
              <w:t>2040</w:t>
            </w:r>
          </w:p>
        </w:tc>
      </w:tr>
      <w:tr w:rsidR="00A06B88" w:rsidRPr="00B87841" w14:paraId="7A426AA5" w14:textId="77777777" w:rsidTr="0085545F">
        <w:trPr>
          <w:trHeight w:val="227"/>
        </w:trPr>
        <w:tc>
          <w:tcPr>
            <w:tcW w:w="1859" w:type="dxa"/>
            <w:noWrap/>
          </w:tcPr>
          <w:p w14:paraId="7D2FD998" w14:textId="77777777" w:rsidR="00A06B88" w:rsidRPr="00A06B88" w:rsidRDefault="00A06B88">
            <w:pPr>
              <w:pStyle w:val="Tabele"/>
              <w:rPr>
                <w:color w:val="auto"/>
              </w:rPr>
            </w:pPr>
            <w:r w:rsidRPr="00A06B88">
              <w:rPr>
                <w:color w:val="auto"/>
              </w:rPr>
              <w:t>Elektrownie*</w:t>
            </w:r>
          </w:p>
        </w:tc>
        <w:tc>
          <w:tcPr>
            <w:tcW w:w="897" w:type="dxa"/>
            <w:shd w:val="clear" w:color="auto" w:fill="C5E0B3"/>
          </w:tcPr>
          <w:p w14:paraId="2FBB86EB" w14:textId="77777777" w:rsidR="00A06B88" w:rsidRPr="00A06B88" w:rsidRDefault="00A06B88">
            <w:pPr>
              <w:pStyle w:val="Tabele"/>
              <w:jc w:val="right"/>
              <w:rPr>
                <w:bCs/>
                <w:color w:val="auto"/>
              </w:rPr>
            </w:pPr>
            <w:r w:rsidRPr="00A06B88">
              <w:rPr>
                <w:bCs/>
                <w:color w:val="auto"/>
                <w:szCs w:val="18"/>
              </w:rPr>
              <w:t>0</w:t>
            </w:r>
          </w:p>
        </w:tc>
        <w:tc>
          <w:tcPr>
            <w:tcW w:w="898" w:type="dxa"/>
            <w:shd w:val="clear" w:color="auto" w:fill="C5E0B3"/>
          </w:tcPr>
          <w:p w14:paraId="4833B206" w14:textId="77777777" w:rsidR="00A06B88" w:rsidRPr="00A06B88" w:rsidRDefault="00A06B88">
            <w:pPr>
              <w:pStyle w:val="Tabele"/>
              <w:jc w:val="right"/>
              <w:rPr>
                <w:bCs/>
                <w:color w:val="auto"/>
              </w:rPr>
            </w:pPr>
            <w:r w:rsidRPr="00A06B88">
              <w:rPr>
                <w:bCs/>
                <w:color w:val="auto"/>
                <w:szCs w:val="18"/>
              </w:rPr>
              <w:t>0</w:t>
            </w:r>
          </w:p>
        </w:tc>
        <w:tc>
          <w:tcPr>
            <w:tcW w:w="898" w:type="dxa"/>
            <w:shd w:val="clear" w:color="auto" w:fill="C5E0B3"/>
          </w:tcPr>
          <w:p w14:paraId="0241630E" w14:textId="77777777" w:rsidR="00A06B88" w:rsidRPr="00A06B88" w:rsidRDefault="00A06B88">
            <w:pPr>
              <w:pStyle w:val="Tabele"/>
              <w:jc w:val="right"/>
              <w:rPr>
                <w:bCs/>
                <w:color w:val="auto"/>
              </w:rPr>
            </w:pPr>
            <w:r w:rsidRPr="00A06B88">
              <w:rPr>
                <w:bCs/>
                <w:color w:val="auto"/>
                <w:szCs w:val="18"/>
              </w:rPr>
              <w:t>0</w:t>
            </w:r>
          </w:p>
        </w:tc>
        <w:tc>
          <w:tcPr>
            <w:tcW w:w="897" w:type="dxa"/>
            <w:shd w:val="clear" w:color="auto" w:fill="C5E0B3"/>
          </w:tcPr>
          <w:p w14:paraId="2181BF85" w14:textId="77777777" w:rsidR="00A06B88" w:rsidRPr="00A06B88" w:rsidRDefault="00A06B88">
            <w:pPr>
              <w:pStyle w:val="Tabele"/>
              <w:jc w:val="right"/>
              <w:rPr>
                <w:bCs/>
                <w:color w:val="auto"/>
              </w:rPr>
            </w:pPr>
            <w:r w:rsidRPr="00A06B88">
              <w:rPr>
                <w:bCs/>
                <w:color w:val="auto"/>
                <w:szCs w:val="18"/>
              </w:rPr>
              <w:t>0</w:t>
            </w:r>
          </w:p>
        </w:tc>
        <w:tc>
          <w:tcPr>
            <w:tcW w:w="898" w:type="dxa"/>
          </w:tcPr>
          <w:p w14:paraId="099D03F9" w14:textId="77777777" w:rsidR="00A06B88" w:rsidRPr="00A06B88" w:rsidRDefault="00A06B88">
            <w:pPr>
              <w:pStyle w:val="Tabele"/>
              <w:jc w:val="right"/>
              <w:rPr>
                <w:bCs/>
                <w:color w:val="auto"/>
                <w:highlight w:val="yellow"/>
              </w:rPr>
            </w:pPr>
            <w:r w:rsidRPr="00A06B88">
              <w:rPr>
                <w:rFonts w:cs="Arial"/>
                <w:color w:val="auto"/>
                <w:szCs w:val="16"/>
              </w:rPr>
              <w:t>0</w:t>
            </w:r>
          </w:p>
        </w:tc>
        <w:tc>
          <w:tcPr>
            <w:tcW w:w="898" w:type="dxa"/>
          </w:tcPr>
          <w:p w14:paraId="67AE29D7" w14:textId="77777777" w:rsidR="00A06B88" w:rsidRPr="00A06B88" w:rsidRDefault="00A06B88">
            <w:pPr>
              <w:pStyle w:val="Tabele"/>
              <w:jc w:val="right"/>
              <w:rPr>
                <w:bCs/>
                <w:color w:val="auto"/>
                <w:highlight w:val="yellow"/>
              </w:rPr>
            </w:pPr>
            <w:r w:rsidRPr="00A06B88">
              <w:rPr>
                <w:rFonts w:cs="Arial"/>
                <w:color w:val="auto"/>
                <w:szCs w:val="16"/>
              </w:rPr>
              <w:t>0</w:t>
            </w:r>
          </w:p>
        </w:tc>
        <w:tc>
          <w:tcPr>
            <w:tcW w:w="897" w:type="dxa"/>
          </w:tcPr>
          <w:p w14:paraId="1F881AC3" w14:textId="77777777" w:rsidR="00A06B88" w:rsidRPr="00A06B88" w:rsidRDefault="00A06B88">
            <w:pPr>
              <w:pStyle w:val="Tabele"/>
              <w:jc w:val="right"/>
              <w:rPr>
                <w:bCs/>
                <w:color w:val="auto"/>
                <w:highlight w:val="yellow"/>
              </w:rPr>
            </w:pPr>
            <w:r w:rsidRPr="00A06B88">
              <w:rPr>
                <w:rFonts w:cs="Arial"/>
                <w:color w:val="auto"/>
                <w:szCs w:val="16"/>
              </w:rPr>
              <w:t>0</w:t>
            </w:r>
          </w:p>
        </w:tc>
        <w:tc>
          <w:tcPr>
            <w:tcW w:w="898" w:type="dxa"/>
          </w:tcPr>
          <w:p w14:paraId="437775C5" w14:textId="77777777" w:rsidR="00A06B88" w:rsidRPr="00A06B88" w:rsidRDefault="00A06B88">
            <w:pPr>
              <w:pStyle w:val="Tabele"/>
              <w:jc w:val="right"/>
              <w:rPr>
                <w:bCs/>
                <w:color w:val="auto"/>
                <w:highlight w:val="yellow"/>
              </w:rPr>
            </w:pPr>
            <w:r w:rsidRPr="00A06B88">
              <w:rPr>
                <w:rFonts w:cs="Arial"/>
                <w:color w:val="auto"/>
                <w:szCs w:val="16"/>
              </w:rPr>
              <w:t>0</w:t>
            </w:r>
          </w:p>
        </w:tc>
      </w:tr>
      <w:tr w:rsidR="00A06B88" w:rsidRPr="00B87841" w14:paraId="637E436C" w14:textId="77777777" w:rsidTr="0085545F">
        <w:trPr>
          <w:trHeight w:val="227"/>
        </w:trPr>
        <w:tc>
          <w:tcPr>
            <w:tcW w:w="1859" w:type="dxa"/>
            <w:hideMark/>
          </w:tcPr>
          <w:p w14:paraId="61023852" w14:textId="77777777" w:rsidR="00A06B88" w:rsidRPr="00A06B88" w:rsidRDefault="00A06B88">
            <w:pPr>
              <w:pStyle w:val="Tabele"/>
              <w:rPr>
                <w:color w:val="auto"/>
              </w:rPr>
            </w:pPr>
            <w:r w:rsidRPr="00A06B88">
              <w:rPr>
                <w:color w:val="auto"/>
              </w:rPr>
              <w:t>Elektrociepłownie</w:t>
            </w:r>
          </w:p>
        </w:tc>
        <w:tc>
          <w:tcPr>
            <w:tcW w:w="897" w:type="dxa"/>
            <w:shd w:val="clear" w:color="auto" w:fill="C5E0B3"/>
            <w:noWrap/>
            <w:hideMark/>
          </w:tcPr>
          <w:p w14:paraId="2D378FB6" w14:textId="77777777" w:rsidR="00A06B88" w:rsidRPr="00A06B88" w:rsidRDefault="00A06B88">
            <w:pPr>
              <w:pStyle w:val="Tabele"/>
              <w:jc w:val="right"/>
              <w:rPr>
                <w:color w:val="auto"/>
              </w:rPr>
            </w:pPr>
            <w:r w:rsidRPr="00A06B88">
              <w:rPr>
                <w:bCs/>
                <w:color w:val="auto"/>
                <w:szCs w:val="18"/>
              </w:rPr>
              <w:t>219 883</w:t>
            </w:r>
          </w:p>
        </w:tc>
        <w:tc>
          <w:tcPr>
            <w:tcW w:w="898" w:type="dxa"/>
            <w:shd w:val="clear" w:color="auto" w:fill="C5E0B3"/>
            <w:noWrap/>
            <w:hideMark/>
          </w:tcPr>
          <w:p w14:paraId="4790FE80" w14:textId="77777777" w:rsidR="00A06B88" w:rsidRPr="00A06B88" w:rsidRDefault="00A06B88">
            <w:pPr>
              <w:pStyle w:val="Tabele"/>
              <w:jc w:val="right"/>
              <w:rPr>
                <w:color w:val="auto"/>
              </w:rPr>
            </w:pPr>
            <w:r w:rsidRPr="00A06B88">
              <w:rPr>
                <w:bCs/>
                <w:color w:val="auto"/>
                <w:szCs w:val="18"/>
              </w:rPr>
              <w:t>205 851</w:t>
            </w:r>
          </w:p>
        </w:tc>
        <w:tc>
          <w:tcPr>
            <w:tcW w:w="898" w:type="dxa"/>
            <w:shd w:val="clear" w:color="auto" w:fill="C5E0B3"/>
            <w:noWrap/>
            <w:hideMark/>
          </w:tcPr>
          <w:p w14:paraId="208055FC" w14:textId="77777777" w:rsidR="00A06B88" w:rsidRPr="00A06B88" w:rsidRDefault="00A06B88">
            <w:pPr>
              <w:pStyle w:val="Tabele"/>
              <w:jc w:val="right"/>
              <w:rPr>
                <w:color w:val="auto"/>
              </w:rPr>
            </w:pPr>
            <w:r w:rsidRPr="00A06B88">
              <w:rPr>
                <w:bCs/>
                <w:color w:val="auto"/>
                <w:szCs w:val="18"/>
              </w:rPr>
              <w:t>185 618</w:t>
            </w:r>
          </w:p>
        </w:tc>
        <w:tc>
          <w:tcPr>
            <w:tcW w:w="897" w:type="dxa"/>
            <w:shd w:val="clear" w:color="auto" w:fill="C5E0B3"/>
            <w:noWrap/>
            <w:hideMark/>
          </w:tcPr>
          <w:p w14:paraId="766F6415" w14:textId="77777777" w:rsidR="00A06B88" w:rsidRPr="00A06B88" w:rsidRDefault="00A06B88">
            <w:pPr>
              <w:pStyle w:val="Tabele"/>
              <w:jc w:val="right"/>
              <w:rPr>
                <w:color w:val="auto"/>
              </w:rPr>
            </w:pPr>
            <w:r w:rsidRPr="00A06B88">
              <w:rPr>
                <w:bCs/>
                <w:color w:val="auto"/>
                <w:szCs w:val="18"/>
              </w:rPr>
              <w:t>186 389</w:t>
            </w:r>
          </w:p>
        </w:tc>
        <w:tc>
          <w:tcPr>
            <w:tcW w:w="898" w:type="dxa"/>
            <w:noWrap/>
            <w:hideMark/>
          </w:tcPr>
          <w:p w14:paraId="2A5F7B08" w14:textId="77777777" w:rsidR="00A06B88" w:rsidRPr="00A06B88" w:rsidRDefault="00A06B88">
            <w:pPr>
              <w:pStyle w:val="Tabele"/>
              <w:jc w:val="right"/>
              <w:rPr>
                <w:color w:val="auto"/>
                <w:highlight w:val="yellow"/>
              </w:rPr>
            </w:pPr>
            <w:r w:rsidRPr="00A06B88">
              <w:rPr>
                <w:rFonts w:cs="Arial"/>
                <w:color w:val="auto"/>
                <w:szCs w:val="16"/>
              </w:rPr>
              <w:t>167 168</w:t>
            </w:r>
          </w:p>
        </w:tc>
        <w:tc>
          <w:tcPr>
            <w:tcW w:w="898" w:type="dxa"/>
            <w:noWrap/>
            <w:hideMark/>
          </w:tcPr>
          <w:p w14:paraId="2BFFB00F" w14:textId="77777777" w:rsidR="00A06B88" w:rsidRPr="00A06B88" w:rsidRDefault="00A06B88">
            <w:pPr>
              <w:pStyle w:val="Tabele"/>
              <w:jc w:val="right"/>
              <w:rPr>
                <w:color w:val="auto"/>
                <w:highlight w:val="yellow"/>
              </w:rPr>
            </w:pPr>
            <w:r w:rsidRPr="00A06B88">
              <w:rPr>
                <w:rFonts w:cs="Arial"/>
                <w:color w:val="auto"/>
                <w:szCs w:val="16"/>
              </w:rPr>
              <w:t>164 199</w:t>
            </w:r>
          </w:p>
        </w:tc>
        <w:tc>
          <w:tcPr>
            <w:tcW w:w="897" w:type="dxa"/>
            <w:noWrap/>
            <w:hideMark/>
          </w:tcPr>
          <w:p w14:paraId="0B11F43D" w14:textId="77777777" w:rsidR="00A06B88" w:rsidRPr="00A06B88" w:rsidRDefault="00A06B88">
            <w:pPr>
              <w:pStyle w:val="Tabele"/>
              <w:jc w:val="right"/>
              <w:rPr>
                <w:color w:val="auto"/>
                <w:highlight w:val="yellow"/>
              </w:rPr>
            </w:pPr>
            <w:r w:rsidRPr="00A06B88">
              <w:rPr>
                <w:rFonts w:cs="Arial"/>
                <w:color w:val="auto"/>
                <w:szCs w:val="16"/>
              </w:rPr>
              <w:t>124 133</w:t>
            </w:r>
          </w:p>
        </w:tc>
        <w:tc>
          <w:tcPr>
            <w:tcW w:w="898" w:type="dxa"/>
          </w:tcPr>
          <w:p w14:paraId="4AD371E5" w14:textId="77777777" w:rsidR="00A06B88" w:rsidRPr="00A06B88" w:rsidRDefault="00A06B88">
            <w:pPr>
              <w:pStyle w:val="Tabele"/>
              <w:jc w:val="right"/>
              <w:rPr>
                <w:color w:val="auto"/>
                <w:highlight w:val="yellow"/>
              </w:rPr>
            </w:pPr>
            <w:r w:rsidRPr="00A06B88">
              <w:rPr>
                <w:rFonts w:cs="Arial"/>
                <w:color w:val="auto"/>
                <w:szCs w:val="16"/>
              </w:rPr>
              <w:t>98 847</w:t>
            </w:r>
          </w:p>
        </w:tc>
      </w:tr>
      <w:tr w:rsidR="00A06B88" w:rsidRPr="00B87841" w14:paraId="60F0C120" w14:textId="77777777" w:rsidTr="0085545F">
        <w:trPr>
          <w:trHeight w:val="227"/>
        </w:trPr>
        <w:tc>
          <w:tcPr>
            <w:tcW w:w="1859" w:type="dxa"/>
          </w:tcPr>
          <w:p w14:paraId="18D1E1B4" w14:textId="77777777" w:rsidR="00A06B88" w:rsidRPr="00A06B88" w:rsidRDefault="00A06B88">
            <w:pPr>
              <w:pStyle w:val="Tabele"/>
              <w:rPr>
                <w:color w:val="auto"/>
              </w:rPr>
            </w:pPr>
            <w:r w:rsidRPr="00A06B88">
              <w:rPr>
                <w:color w:val="auto"/>
              </w:rPr>
              <w:t>Ciepłownie</w:t>
            </w:r>
          </w:p>
        </w:tc>
        <w:tc>
          <w:tcPr>
            <w:tcW w:w="897" w:type="dxa"/>
            <w:shd w:val="clear" w:color="auto" w:fill="C5E0B3"/>
            <w:noWrap/>
          </w:tcPr>
          <w:p w14:paraId="46CC7FAC" w14:textId="77777777" w:rsidR="00A06B88" w:rsidRPr="00A06B88" w:rsidRDefault="00A06B88">
            <w:pPr>
              <w:pStyle w:val="Tabele"/>
              <w:jc w:val="right"/>
              <w:rPr>
                <w:color w:val="auto"/>
              </w:rPr>
            </w:pPr>
            <w:r w:rsidRPr="00A06B88">
              <w:rPr>
                <w:color w:val="auto"/>
                <w:szCs w:val="18"/>
              </w:rPr>
              <w:t>116 508</w:t>
            </w:r>
          </w:p>
        </w:tc>
        <w:tc>
          <w:tcPr>
            <w:tcW w:w="898" w:type="dxa"/>
            <w:shd w:val="clear" w:color="auto" w:fill="C5E0B3"/>
            <w:noWrap/>
          </w:tcPr>
          <w:p w14:paraId="2E4AB5B0" w14:textId="77777777" w:rsidR="00A06B88" w:rsidRPr="00A06B88" w:rsidRDefault="00A06B88">
            <w:pPr>
              <w:pStyle w:val="Tabele"/>
              <w:jc w:val="right"/>
              <w:rPr>
                <w:color w:val="auto"/>
              </w:rPr>
            </w:pPr>
            <w:r w:rsidRPr="00A06B88">
              <w:rPr>
                <w:color w:val="auto"/>
                <w:szCs w:val="18"/>
              </w:rPr>
              <w:t>129 980</w:t>
            </w:r>
          </w:p>
        </w:tc>
        <w:tc>
          <w:tcPr>
            <w:tcW w:w="898" w:type="dxa"/>
            <w:shd w:val="clear" w:color="auto" w:fill="C5E0B3"/>
            <w:noWrap/>
          </w:tcPr>
          <w:p w14:paraId="0328F05E" w14:textId="77777777" w:rsidR="00A06B88" w:rsidRPr="00A06B88" w:rsidRDefault="00A06B88">
            <w:pPr>
              <w:pStyle w:val="Tabele"/>
              <w:jc w:val="right"/>
              <w:rPr>
                <w:color w:val="auto"/>
              </w:rPr>
            </w:pPr>
            <w:r w:rsidRPr="00A06B88">
              <w:rPr>
                <w:bCs/>
                <w:color w:val="auto"/>
                <w:szCs w:val="18"/>
              </w:rPr>
              <w:t>95 274</w:t>
            </w:r>
          </w:p>
        </w:tc>
        <w:tc>
          <w:tcPr>
            <w:tcW w:w="897" w:type="dxa"/>
            <w:shd w:val="clear" w:color="auto" w:fill="C5E0B3"/>
            <w:noWrap/>
          </w:tcPr>
          <w:p w14:paraId="5499E7F1" w14:textId="77777777" w:rsidR="00A06B88" w:rsidRPr="00A06B88" w:rsidRDefault="00A06B88">
            <w:pPr>
              <w:pStyle w:val="Tabele"/>
              <w:jc w:val="right"/>
              <w:rPr>
                <w:color w:val="auto"/>
              </w:rPr>
            </w:pPr>
            <w:r w:rsidRPr="00A06B88">
              <w:rPr>
                <w:bCs/>
                <w:color w:val="auto"/>
                <w:szCs w:val="18"/>
              </w:rPr>
              <w:t>99 553</w:t>
            </w:r>
          </w:p>
        </w:tc>
        <w:tc>
          <w:tcPr>
            <w:tcW w:w="898" w:type="dxa"/>
            <w:noWrap/>
          </w:tcPr>
          <w:p w14:paraId="2F63DF52" w14:textId="77777777" w:rsidR="00A06B88" w:rsidRPr="00A06B88" w:rsidRDefault="00A06B88">
            <w:pPr>
              <w:pStyle w:val="Tabele"/>
              <w:jc w:val="right"/>
              <w:rPr>
                <w:color w:val="auto"/>
                <w:highlight w:val="yellow"/>
              </w:rPr>
            </w:pPr>
            <w:r w:rsidRPr="00A06B88">
              <w:rPr>
                <w:rFonts w:cs="Arial"/>
                <w:color w:val="auto"/>
                <w:szCs w:val="16"/>
              </w:rPr>
              <w:t>103 642</w:t>
            </w:r>
          </w:p>
        </w:tc>
        <w:tc>
          <w:tcPr>
            <w:tcW w:w="898" w:type="dxa"/>
            <w:noWrap/>
          </w:tcPr>
          <w:p w14:paraId="257B244F" w14:textId="77777777" w:rsidR="00A06B88" w:rsidRPr="00A06B88" w:rsidRDefault="00A06B88">
            <w:pPr>
              <w:pStyle w:val="Tabele"/>
              <w:jc w:val="right"/>
              <w:rPr>
                <w:color w:val="auto"/>
                <w:highlight w:val="yellow"/>
              </w:rPr>
            </w:pPr>
            <w:r w:rsidRPr="00A06B88">
              <w:rPr>
                <w:rFonts w:cs="Arial"/>
                <w:color w:val="auto"/>
                <w:szCs w:val="16"/>
              </w:rPr>
              <w:t>76 953</w:t>
            </w:r>
          </w:p>
        </w:tc>
        <w:tc>
          <w:tcPr>
            <w:tcW w:w="897" w:type="dxa"/>
            <w:noWrap/>
          </w:tcPr>
          <w:p w14:paraId="002CA42C" w14:textId="77777777" w:rsidR="00A06B88" w:rsidRPr="00A06B88" w:rsidRDefault="00A06B88">
            <w:pPr>
              <w:pStyle w:val="Tabele"/>
              <w:jc w:val="right"/>
              <w:rPr>
                <w:color w:val="auto"/>
                <w:highlight w:val="yellow"/>
              </w:rPr>
            </w:pPr>
            <w:r w:rsidRPr="00A06B88">
              <w:rPr>
                <w:rFonts w:cs="Arial"/>
                <w:color w:val="auto"/>
                <w:szCs w:val="16"/>
              </w:rPr>
              <w:t>84 181</w:t>
            </w:r>
          </w:p>
        </w:tc>
        <w:tc>
          <w:tcPr>
            <w:tcW w:w="898" w:type="dxa"/>
          </w:tcPr>
          <w:p w14:paraId="4BA2EBAC" w14:textId="77777777" w:rsidR="00A06B88" w:rsidRPr="00A06B88" w:rsidRDefault="00A06B88">
            <w:pPr>
              <w:pStyle w:val="Tabele"/>
              <w:jc w:val="right"/>
              <w:rPr>
                <w:color w:val="auto"/>
                <w:highlight w:val="yellow"/>
              </w:rPr>
            </w:pPr>
            <w:r w:rsidRPr="00A06B88">
              <w:rPr>
                <w:rFonts w:cs="Arial"/>
                <w:color w:val="auto"/>
                <w:szCs w:val="16"/>
              </w:rPr>
              <w:t>95 908</w:t>
            </w:r>
          </w:p>
        </w:tc>
      </w:tr>
    </w:tbl>
    <w:p w14:paraId="0F2DC431" w14:textId="77777777" w:rsidR="00944140" w:rsidRDefault="00944140" w:rsidP="00944140">
      <w:pPr>
        <w:pStyle w:val="adnotacje"/>
      </w:pPr>
      <w:r>
        <w:t>* Z</w:t>
      </w:r>
      <w:r w:rsidRPr="000077C3">
        <w:t>godnie z metodyką stosowaną przez Eurostat każda elek</w:t>
      </w:r>
      <w:r>
        <w:t>t</w:t>
      </w:r>
      <w:r w:rsidRPr="000077C3">
        <w:t xml:space="preserve">rownia </w:t>
      </w:r>
      <w:r>
        <w:t xml:space="preserve">produkująca ciepło na potrzeby komercyjne </w:t>
      </w:r>
      <w:r w:rsidRPr="000077C3">
        <w:t>to elektrociepłownia, dlatego emisje z</w:t>
      </w:r>
      <w:r>
        <w:t xml:space="preserve"> elektrowni są uwzględnione w </w:t>
      </w:r>
      <w:r w:rsidRPr="000077C3">
        <w:t>pozycji “elektrociepłownie”</w:t>
      </w:r>
      <w:r w:rsidRPr="00A17B16">
        <w:t xml:space="preserve"> </w:t>
      </w:r>
    </w:p>
    <w:p w14:paraId="6BA8C596" w14:textId="752B9A3D" w:rsidR="005C4144" w:rsidRDefault="005C4144" w:rsidP="00944140">
      <w:pPr>
        <w:pStyle w:val="Legenda"/>
      </w:pPr>
      <w:r w:rsidRPr="00B87841">
        <w:t>Źródło: Opracowanie własne ARE S</w:t>
      </w:r>
      <w:r>
        <w:t>.</w:t>
      </w:r>
      <w:r w:rsidRPr="00B87841">
        <w:t>A</w:t>
      </w:r>
      <w:r>
        <w:t>.</w:t>
      </w:r>
      <w:r w:rsidRPr="00B87841">
        <w:t xml:space="preserve"> (MESSAGE-PL)</w:t>
      </w:r>
    </w:p>
    <w:p w14:paraId="71744B12" w14:textId="77777777" w:rsidR="004F619C" w:rsidRDefault="004F619C" w:rsidP="004F619C"/>
    <w:p w14:paraId="59FC2B3D" w14:textId="2B686F2A" w:rsidR="000F29FC" w:rsidRDefault="00A119E3" w:rsidP="004F619C">
      <w:r>
        <w:t>Na r</w:t>
      </w:r>
      <w:r w:rsidR="000F29FC">
        <w:t>ysunk</w:t>
      </w:r>
      <w:r>
        <w:t>u</w:t>
      </w:r>
      <w:r w:rsidR="000F29FC">
        <w:t xml:space="preserve"> </w:t>
      </w:r>
      <w:r w:rsidR="0035322B">
        <w:t xml:space="preserve">i tabeli </w:t>
      </w:r>
      <w:r w:rsidRPr="007816A1">
        <w:rPr>
          <w:szCs w:val="20"/>
        </w:rPr>
        <w:t>poniżej (</w:t>
      </w:r>
      <w:r w:rsidR="007816A1" w:rsidRPr="00D04F4D">
        <w:fldChar w:fldCharType="begin"/>
      </w:r>
      <w:r w:rsidR="007816A1" w:rsidRPr="007816A1">
        <w:rPr>
          <w:szCs w:val="20"/>
        </w:rPr>
        <w:instrText xml:space="preserve"> REF _Ref197443873 \h  \* MERGEFORMAT </w:instrText>
      </w:r>
      <w:r w:rsidR="007816A1" w:rsidRPr="00D04F4D">
        <w:fldChar w:fldCharType="separate"/>
      </w:r>
      <w:r w:rsidR="00F27D6F" w:rsidRPr="00F27D6F">
        <w:t>Rysunek 2.5</w:t>
      </w:r>
      <w:r w:rsidR="007816A1" w:rsidRPr="00D04F4D">
        <w:fldChar w:fldCharType="end"/>
      </w:r>
      <w:r w:rsidR="0035322B" w:rsidRPr="00D04F4D">
        <w:t xml:space="preserve">, </w:t>
      </w:r>
      <w:r w:rsidR="00D04F4D" w:rsidRPr="00D04F4D">
        <w:fldChar w:fldCharType="begin"/>
      </w:r>
      <w:r w:rsidR="00D04F4D" w:rsidRPr="00D04F4D">
        <w:instrText xml:space="preserve"> REF _Ref200727874 \h </w:instrText>
      </w:r>
      <w:r w:rsidR="00D04F4D">
        <w:instrText xml:space="preserve"> \* MERGEFORMAT </w:instrText>
      </w:r>
      <w:r w:rsidR="00D04F4D" w:rsidRPr="00D04F4D">
        <w:fldChar w:fldCharType="separate"/>
      </w:r>
      <w:r w:rsidR="00F27D6F" w:rsidRPr="00F27D6F">
        <w:t>Tabela 2.12</w:t>
      </w:r>
      <w:r w:rsidR="00D04F4D" w:rsidRPr="00D04F4D">
        <w:fldChar w:fldCharType="end"/>
      </w:r>
      <w:r w:rsidRPr="00D04F4D">
        <w:t>)</w:t>
      </w:r>
      <w:r w:rsidR="000F29FC" w:rsidRPr="00D04F4D">
        <w:t xml:space="preserve"> przedstawi</w:t>
      </w:r>
      <w:r w:rsidRPr="00D04F4D">
        <w:t>ona</w:t>
      </w:r>
      <w:r w:rsidRPr="007816A1">
        <w:t xml:space="preserve"> </w:t>
      </w:r>
      <w:r>
        <w:t>została</w:t>
      </w:r>
      <w:r w:rsidR="000F29FC" w:rsidRPr="000F29FC">
        <w:t xml:space="preserve"> struktur</w:t>
      </w:r>
      <w:r>
        <w:t>a</w:t>
      </w:r>
      <w:r w:rsidR="000F29FC" w:rsidRPr="000F29FC">
        <w:t xml:space="preserve"> produkcji ciepła systemowego</w:t>
      </w:r>
      <w:r>
        <w:t>.</w:t>
      </w:r>
      <w:r w:rsidR="001634C0">
        <w:t xml:space="preserve"> Wyraźnie spada </w:t>
      </w:r>
      <w:r w:rsidR="00D363FF">
        <w:t xml:space="preserve">produkcja ciepła z </w:t>
      </w:r>
      <w:r w:rsidR="001634C0">
        <w:t>paliw węglowych, któr</w:t>
      </w:r>
      <w:r w:rsidR="00D363FF">
        <w:t>a</w:t>
      </w:r>
      <w:r w:rsidR="001634C0">
        <w:t xml:space="preserve"> w 2030 r. s</w:t>
      </w:r>
      <w:r w:rsidR="00D363FF">
        <w:t xml:space="preserve">tanowi mniej niż połowę wartości z 2020 r. </w:t>
      </w:r>
      <w:r w:rsidR="006A7773">
        <w:t xml:space="preserve">W </w:t>
      </w:r>
      <w:r w:rsidR="00EC457C">
        <w:t xml:space="preserve">2040 r. pozostają śladowe ilości </w:t>
      </w:r>
      <w:r w:rsidR="00D618CE">
        <w:t>ciepła z węgla</w:t>
      </w:r>
      <w:r w:rsidR="006A7773">
        <w:t xml:space="preserve">. </w:t>
      </w:r>
      <w:r w:rsidR="00C71AD0">
        <w:t xml:space="preserve">Około 2030 r. nastąpi szczytowe wykorzystanie gazu ziemnego, do czego przyczynią się </w:t>
      </w:r>
      <w:r w:rsidR="00DA7291">
        <w:t xml:space="preserve">już przede wszystkim inwestycje, co do których decyzja o budowie już zapadła. </w:t>
      </w:r>
      <w:r w:rsidR="00A12A03">
        <w:t xml:space="preserve">To najczęściej efekt zmiany źródła węglowego na </w:t>
      </w:r>
      <w:r w:rsidR="000E55A9">
        <w:t xml:space="preserve">gazowe lub skutek zwiększania istniejących mocy w poszczególnych systemach. </w:t>
      </w:r>
      <w:r w:rsidR="00592BE7">
        <w:t xml:space="preserve">Podobnie </w:t>
      </w:r>
      <w:r w:rsidR="00D84B7F">
        <w:t>sytuacja wygląda w</w:t>
      </w:r>
      <w:r w:rsidR="00E86A83">
        <w:t> o</w:t>
      </w:r>
      <w:r w:rsidR="00D84B7F">
        <w:t>dniesieniu do biomasy. Wzrost produkcji wywołany jest już podjętymi decyzjami dotyczącymi budowy</w:t>
      </w:r>
      <w:r w:rsidR="00E86A83">
        <w:t xml:space="preserve">. Niekiedy będą to również źródła uzupełniające </w:t>
      </w:r>
      <w:r w:rsidR="00247ED6">
        <w:t>dla pomp ciepła, kotłów elektrodowych, czy geotermii</w:t>
      </w:r>
      <w:r w:rsidR="00F36046">
        <w:t xml:space="preserve">. W dalszej perspektywie trendem jest elektryfikacja ciepłownictwa, </w:t>
      </w:r>
      <w:r w:rsidR="0051061A">
        <w:t>w oparciu o sieci niskotemperaturowe. Aby móc dostarczać ciepło systemowe o niższych parametrach niezbędna jest kons</w:t>
      </w:r>
      <w:r w:rsidR="000352A5">
        <w:t>e</w:t>
      </w:r>
      <w:r w:rsidR="0051061A">
        <w:t>kw</w:t>
      </w:r>
      <w:r w:rsidR="000352A5">
        <w:t>e</w:t>
      </w:r>
      <w:r w:rsidR="0051061A">
        <w:t xml:space="preserve">ntna termomodernizacja, a w </w:t>
      </w:r>
      <w:r w:rsidR="00413DC3">
        <w:t>szczególnoś</w:t>
      </w:r>
      <w:r w:rsidR="003D1B5E">
        <w:t xml:space="preserve">ci zapewniające dostosowanie </w:t>
      </w:r>
      <w:r w:rsidR="0051061A">
        <w:t>do</w:t>
      </w:r>
      <w:r w:rsidR="000352A5">
        <w:t xml:space="preserve"> odbioru ciepła o niskiej temperaturze. Niezbędne mogą być także </w:t>
      </w:r>
      <w:r w:rsidR="00681F20">
        <w:t>dodatkowe grzałki, boostery czy</w:t>
      </w:r>
      <w:r w:rsidR="0051061A">
        <w:t xml:space="preserve"> </w:t>
      </w:r>
      <w:r w:rsidR="00681F20">
        <w:t>inne rozwiązania zwiększające temperaturę czynnika grzewczego.</w:t>
      </w:r>
    </w:p>
    <w:p w14:paraId="182046BC" w14:textId="3DFD6D7B" w:rsidR="00686F5A" w:rsidRPr="00686F5A" w:rsidRDefault="00686F5A" w:rsidP="004F619C">
      <w:pPr>
        <w:rPr>
          <w:i/>
          <w:iCs/>
          <w:color w:val="44546A" w:themeColor="text2"/>
          <w:sz w:val="18"/>
          <w:szCs w:val="18"/>
        </w:rPr>
      </w:pPr>
      <w:bookmarkStart w:id="373" w:name="_Ref200727874"/>
      <w:bookmarkStart w:id="374" w:name="_Toc202966987"/>
      <w:r w:rsidRPr="00686F5A">
        <w:rPr>
          <w:i/>
          <w:iCs/>
          <w:color w:val="44546A" w:themeColor="text2"/>
          <w:sz w:val="18"/>
          <w:szCs w:val="18"/>
        </w:rPr>
        <w:t xml:space="preserve">Tabela </w:t>
      </w:r>
      <w:r w:rsidRPr="00686F5A">
        <w:rPr>
          <w:i/>
          <w:iCs/>
          <w:color w:val="44546A" w:themeColor="text2"/>
          <w:sz w:val="18"/>
          <w:szCs w:val="18"/>
        </w:rPr>
        <w:fldChar w:fldCharType="begin"/>
      </w:r>
      <w:r w:rsidRPr="00686F5A">
        <w:rPr>
          <w:i/>
          <w:iCs/>
          <w:color w:val="44546A" w:themeColor="text2"/>
          <w:sz w:val="18"/>
          <w:szCs w:val="18"/>
        </w:rPr>
        <w:instrText xml:space="preserve"> STYLEREF 1 \s </w:instrText>
      </w:r>
      <w:r w:rsidRPr="00686F5A">
        <w:rPr>
          <w:i/>
          <w:iCs/>
          <w:color w:val="44546A" w:themeColor="text2"/>
          <w:sz w:val="18"/>
          <w:szCs w:val="18"/>
        </w:rPr>
        <w:fldChar w:fldCharType="separate"/>
      </w:r>
      <w:r w:rsidR="00F27D6F">
        <w:rPr>
          <w:i/>
          <w:iCs/>
          <w:noProof/>
          <w:color w:val="44546A" w:themeColor="text2"/>
          <w:sz w:val="18"/>
          <w:szCs w:val="18"/>
        </w:rPr>
        <w:t>2</w:t>
      </w:r>
      <w:r w:rsidRPr="00686F5A">
        <w:rPr>
          <w:i/>
          <w:iCs/>
          <w:color w:val="44546A" w:themeColor="text2"/>
          <w:sz w:val="18"/>
          <w:szCs w:val="18"/>
        </w:rPr>
        <w:fldChar w:fldCharType="end"/>
      </w:r>
      <w:r w:rsidRPr="00686F5A">
        <w:rPr>
          <w:i/>
          <w:iCs/>
          <w:color w:val="44546A" w:themeColor="text2"/>
          <w:sz w:val="18"/>
          <w:szCs w:val="18"/>
        </w:rPr>
        <w:t>.</w:t>
      </w:r>
      <w:r w:rsidRPr="00686F5A">
        <w:rPr>
          <w:i/>
          <w:iCs/>
          <w:color w:val="44546A" w:themeColor="text2"/>
          <w:sz w:val="18"/>
          <w:szCs w:val="18"/>
        </w:rPr>
        <w:fldChar w:fldCharType="begin"/>
      </w:r>
      <w:r w:rsidRPr="00686F5A">
        <w:rPr>
          <w:i/>
          <w:iCs/>
          <w:color w:val="44546A" w:themeColor="text2"/>
          <w:sz w:val="18"/>
          <w:szCs w:val="18"/>
        </w:rPr>
        <w:instrText xml:space="preserve"> SEQ Tabela \* ARABIC \s 1 </w:instrText>
      </w:r>
      <w:r w:rsidRPr="00686F5A">
        <w:rPr>
          <w:i/>
          <w:iCs/>
          <w:color w:val="44546A" w:themeColor="text2"/>
          <w:sz w:val="18"/>
          <w:szCs w:val="18"/>
        </w:rPr>
        <w:fldChar w:fldCharType="separate"/>
      </w:r>
      <w:r w:rsidR="00F27D6F">
        <w:rPr>
          <w:i/>
          <w:iCs/>
          <w:noProof/>
          <w:color w:val="44546A" w:themeColor="text2"/>
          <w:sz w:val="18"/>
          <w:szCs w:val="18"/>
        </w:rPr>
        <w:t>12</w:t>
      </w:r>
      <w:r w:rsidRPr="00686F5A">
        <w:rPr>
          <w:i/>
          <w:iCs/>
          <w:color w:val="44546A" w:themeColor="text2"/>
          <w:sz w:val="18"/>
          <w:szCs w:val="18"/>
        </w:rPr>
        <w:fldChar w:fldCharType="end"/>
      </w:r>
      <w:bookmarkEnd w:id="373"/>
      <w:r w:rsidRPr="00686F5A">
        <w:rPr>
          <w:i/>
          <w:iCs/>
          <w:color w:val="44546A" w:themeColor="text2"/>
          <w:sz w:val="18"/>
          <w:szCs w:val="18"/>
        </w:rPr>
        <w:t>. Produkcja energii cieplnej w elektrowniach, elektrociepłowniach i ciepłowniach</w:t>
      </w:r>
      <w:r w:rsidR="009D11E5">
        <w:rPr>
          <w:i/>
          <w:iCs/>
          <w:color w:val="44546A" w:themeColor="text2"/>
          <w:sz w:val="18"/>
          <w:szCs w:val="18"/>
        </w:rPr>
        <w:t xml:space="preserve"> (ciepłownictwie systemowym) w podziale na paliwa</w:t>
      </w:r>
      <w:r w:rsidR="00D618CE">
        <w:rPr>
          <w:i/>
          <w:iCs/>
          <w:color w:val="44546A" w:themeColor="text2"/>
          <w:sz w:val="18"/>
          <w:szCs w:val="18"/>
        </w:rPr>
        <w:t xml:space="preserve"> [TJ]</w:t>
      </w:r>
      <w:bookmarkEnd w:id="374"/>
    </w:p>
    <w:tbl>
      <w:tblPr>
        <w:tblStyle w:val="KPEiK"/>
        <w:tblW w:w="4712" w:type="pct"/>
        <w:tblLayout w:type="fixed"/>
        <w:tblLook w:val="04A0" w:firstRow="1" w:lastRow="0" w:firstColumn="1" w:lastColumn="0" w:noHBand="0" w:noVBand="1"/>
      </w:tblPr>
      <w:tblGrid>
        <w:gridCol w:w="2502"/>
        <w:gridCol w:w="1207"/>
        <w:gridCol w:w="1208"/>
        <w:gridCol w:w="1208"/>
        <w:gridCol w:w="1207"/>
        <w:gridCol w:w="1208"/>
      </w:tblGrid>
      <w:tr w:rsidR="00212F95" w:rsidRPr="00B87841" w14:paraId="37AC33BC" w14:textId="77777777" w:rsidTr="00212F95">
        <w:trPr>
          <w:cnfStyle w:val="100000000000" w:firstRow="1" w:lastRow="0" w:firstColumn="0" w:lastColumn="0" w:oddVBand="0" w:evenVBand="0" w:oddHBand="0" w:evenHBand="0" w:firstRowFirstColumn="0" w:firstRowLastColumn="0" w:lastRowFirstColumn="0" w:lastRowLastColumn="0"/>
          <w:trHeight w:val="229"/>
          <w:tblHeader/>
        </w:trPr>
        <w:tc>
          <w:tcPr>
            <w:tcW w:w="2502" w:type="dxa"/>
            <w:noWrap/>
            <w:hideMark/>
          </w:tcPr>
          <w:p w14:paraId="65C6DF35" w14:textId="77777777" w:rsidR="00212F95" w:rsidRPr="00B87841" w:rsidRDefault="00212F95">
            <w:pPr>
              <w:pStyle w:val="Tabele"/>
              <w:jc w:val="center"/>
            </w:pPr>
          </w:p>
        </w:tc>
        <w:tc>
          <w:tcPr>
            <w:tcW w:w="1207" w:type="dxa"/>
            <w:hideMark/>
          </w:tcPr>
          <w:p w14:paraId="32DCC22A" w14:textId="77777777" w:rsidR="00212F95" w:rsidRPr="00B87841" w:rsidRDefault="00212F95">
            <w:pPr>
              <w:pStyle w:val="Tabele"/>
              <w:jc w:val="center"/>
              <w:rPr>
                <w:bCs/>
              </w:rPr>
            </w:pPr>
            <w:r w:rsidRPr="00B87841">
              <w:rPr>
                <w:bCs/>
              </w:rPr>
              <w:t>2020</w:t>
            </w:r>
          </w:p>
        </w:tc>
        <w:tc>
          <w:tcPr>
            <w:tcW w:w="1208" w:type="dxa"/>
            <w:hideMark/>
          </w:tcPr>
          <w:p w14:paraId="5A11870B" w14:textId="77777777" w:rsidR="00212F95" w:rsidRPr="00B87841" w:rsidRDefault="00212F95">
            <w:pPr>
              <w:pStyle w:val="Tabele"/>
              <w:jc w:val="center"/>
              <w:rPr>
                <w:bCs/>
              </w:rPr>
            </w:pPr>
            <w:r w:rsidRPr="00B87841">
              <w:rPr>
                <w:bCs/>
              </w:rPr>
              <w:t>2025</w:t>
            </w:r>
          </w:p>
        </w:tc>
        <w:tc>
          <w:tcPr>
            <w:tcW w:w="1208" w:type="dxa"/>
            <w:hideMark/>
          </w:tcPr>
          <w:p w14:paraId="6D769D44" w14:textId="77777777" w:rsidR="00212F95" w:rsidRPr="00B87841" w:rsidRDefault="00212F95">
            <w:pPr>
              <w:pStyle w:val="Tabele"/>
              <w:jc w:val="center"/>
              <w:rPr>
                <w:bCs/>
              </w:rPr>
            </w:pPr>
            <w:r w:rsidRPr="00B87841">
              <w:rPr>
                <w:bCs/>
              </w:rPr>
              <w:t>2030</w:t>
            </w:r>
          </w:p>
        </w:tc>
        <w:tc>
          <w:tcPr>
            <w:tcW w:w="1207" w:type="dxa"/>
            <w:hideMark/>
          </w:tcPr>
          <w:p w14:paraId="7A7C2599" w14:textId="77777777" w:rsidR="00212F95" w:rsidRPr="00B87841" w:rsidRDefault="00212F95">
            <w:pPr>
              <w:pStyle w:val="Tabele"/>
              <w:jc w:val="center"/>
              <w:rPr>
                <w:bCs/>
              </w:rPr>
            </w:pPr>
            <w:r w:rsidRPr="00B87841">
              <w:rPr>
                <w:bCs/>
              </w:rPr>
              <w:t>2035</w:t>
            </w:r>
          </w:p>
        </w:tc>
        <w:tc>
          <w:tcPr>
            <w:tcW w:w="1208" w:type="dxa"/>
          </w:tcPr>
          <w:p w14:paraId="07BB4E01" w14:textId="77777777" w:rsidR="00212F95" w:rsidRPr="00B87841" w:rsidRDefault="00212F95">
            <w:pPr>
              <w:pStyle w:val="Tabele"/>
              <w:jc w:val="center"/>
              <w:rPr>
                <w:bCs/>
              </w:rPr>
            </w:pPr>
            <w:r>
              <w:rPr>
                <w:bCs/>
              </w:rPr>
              <w:t>2040</w:t>
            </w:r>
          </w:p>
        </w:tc>
      </w:tr>
      <w:tr w:rsidR="00212F95" w:rsidRPr="00B87841" w14:paraId="32C21357" w14:textId="77777777" w:rsidTr="053D9AD0">
        <w:trPr>
          <w:trHeight w:val="229"/>
        </w:trPr>
        <w:tc>
          <w:tcPr>
            <w:tcW w:w="2502" w:type="dxa"/>
            <w:noWrap/>
          </w:tcPr>
          <w:p w14:paraId="6449960D" w14:textId="6DA0AD01" w:rsidR="00212F95" w:rsidRPr="00A06B88" w:rsidRDefault="00212F95" w:rsidP="00212F95">
            <w:pPr>
              <w:pStyle w:val="Tabele"/>
              <w:rPr>
                <w:color w:val="auto"/>
              </w:rPr>
            </w:pPr>
            <w:r>
              <w:rPr>
                <w:rFonts w:cs="Arial"/>
                <w:color w:val="000000"/>
                <w:szCs w:val="16"/>
              </w:rPr>
              <w:t>Węgiel</w:t>
            </w:r>
          </w:p>
        </w:tc>
        <w:tc>
          <w:tcPr>
            <w:tcW w:w="1207" w:type="dxa"/>
            <w:shd w:val="clear" w:color="auto" w:fill="C5E0B3" w:themeFill="accent6" w:themeFillTint="66"/>
          </w:tcPr>
          <w:p w14:paraId="2ACDBA2F" w14:textId="4819DED2" w:rsidR="00212F95" w:rsidRPr="00A06B88" w:rsidRDefault="00212F95" w:rsidP="00212F95">
            <w:pPr>
              <w:pStyle w:val="Tabele"/>
              <w:jc w:val="right"/>
              <w:rPr>
                <w:bCs/>
                <w:color w:val="auto"/>
              </w:rPr>
            </w:pPr>
            <w:r>
              <w:rPr>
                <w:rFonts w:cs="Arial"/>
                <w:color w:val="000000"/>
                <w:szCs w:val="16"/>
              </w:rPr>
              <w:t>225 854</w:t>
            </w:r>
          </w:p>
        </w:tc>
        <w:tc>
          <w:tcPr>
            <w:tcW w:w="1208" w:type="dxa"/>
          </w:tcPr>
          <w:p w14:paraId="316C6C46" w14:textId="23860804" w:rsidR="00212F95" w:rsidRPr="00A06B88" w:rsidRDefault="00212F95" w:rsidP="00212F95">
            <w:pPr>
              <w:pStyle w:val="Tabele"/>
              <w:jc w:val="right"/>
              <w:rPr>
                <w:bCs/>
                <w:color w:val="auto"/>
                <w:highlight w:val="yellow"/>
              </w:rPr>
            </w:pPr>
            <w:r>
              <w:rPr>
                <w:rFonts w:cs="Arial"/>
                <w:color w:val="000000"/>
                <w:szCs w:val="16"/>
              </w:rPr>
              <w:t>160 737</w:t>
            </w:r>
          </w:p>
        </w:tc>
        <w:tc>
          <w:tcPr>
            <w:tcW w:w="1208" w:type="dxa"/>
          </w:tcPr>
          <w:p w14:paraId="2782930C" w14:textId="67EE403E" w:rsidR="00212F95" w:rsidRPr="00A06B88" w:rsidRDefault="00212F95" w:rsidP="00212F95">
            <w:pPr>
              <w:pStyle w:val="Tabele"/>
              <w:jc w:val="right"/>
              <w:rPr>
                <w:bCs/>
                <w:color w:val="auto"/>
                <w:highlight w:val="yellow"/>
              </w:rPr>
            </w:pPr>
            <w:r>
              <w:rPr>
                <w:rFonts w:cs="Arial"/>
                <w:color w:val="000000"/>
                <w:szCs w:val="16"/>
              </w:rPr>
              <w:t>97 119</w:t>
            </w:r>
          </w:p>
        </w:tc>
        <w:tc>
          <w:tcPr>
            <w:tcW w:w="1207" w:type="dxa"/>
          </w:tcPr>
          <w:p w14:paraId="574FF020" w14:textId="3A236C9B" w:rsidR="00212F95" w:rsidRPr="00A06B88" w:rsidRDefault="00212F95" w:rsidP="00212F95">
            <w:pPr>
              <w:pStyle w:val="Tabele"/>
              <w:jc w:val="right"/>
              <w:rPr>
                <w:bCs/>
                <w:color w:val="auto"/>
                <w:highlight w:val="yellow"/>
              </w:rPr>
            </w:pPr>
            <w:r>
              <w:rPr>
                <w:rFonts w:cs="Arial"/>
                <w:color w:val="000000"/>
                <w:szCs w:val="16"/>
              </w:rPr>
              <w:t>49 110</w:t>
            </w:r>
          </w:p>
        </w:tc>
        <w:tc>
          <w:tcPr>
            <w:tcW w:w="1208" w:type="dxa"/>
          </w:tcPr>
          <w:p w14:paraId="30BBE161" w14:textId="7C0A473A" w:rsidR="00212F95" w:rsidRPr="00A06B88" w:rsidRDefault="00212F95" w:rsidP="00212F95">
            <w:pPr>
              <w:pStyle w:val="Tabele"/>
              <w:jc w:val="right"/>
              <w:rPr>
                <w:bCs/>
                <w:color w:val="auto"/>
                <w:highlight w:val="yellow"/>
              </w:rPr>
            </w:pPr>
            <w:r>
              <w:rPr>
                <w:rFonts w:cs="Arial"/>
                <w:color w:val="000000"/>
                <w:szCs w:val="16"/>
              </w:rPr>
              <w:t>81</w:t>
            </w:r>
          </w:p>
        </w:tc>
      </w:tr>
      <w:tr w:rsidR="008E64F4" w:rsidRPr="00B87841" w14:paraId="427C53FF" w14:textId="77777777" w:rsidTr="053D9AD0">
        <w:trPr>
          <w:trHeight w:val="229"/>
        </w:trPr>
        <w:tc>
          <w:tcPr>
            <w:tcW w:w="2502" w:type="dxa"/>
          </w:tcPr>
          <w:p w14:paraId="5A6CC6EC" w14:textId="315B82DE" w:rsidR="008E64F4" w:rsidRPr="00A06B88" w:rsidRDefault="008E64F4" w:rsidP="008E64F4">
            <w:pPr>
              <w:pStyle w:val="Tabele"/>
              <w:rPr>
                <w:color w:val="auto"/>
              </w:rPr>
            </w:pPr>
            <w:r>
              <w:rPr>
                <w:rFonts w:cs="Arial"/>
                <w:color w:val="000000"/>
                <w:szCs w:val="16"/>
              </w:rPr>
              <w:t>Gaz ziemny</w:t>
            </w:r>
          </w:p>
        </w:tc>
        <w:tc>
          <w:tcPr>
            <w:tcW w:w="1207" w:type="dxa"/>
            <w:shd w:val="clear" w:color="auto" w:fill="C5E0B3" w:themeFill="accent6" w:themeFillTint="66"/>
            <w:noWrap/>
          </w:tcPr>
          <w:p w14:paraId="3851E96D" w14:textId="1EB84FCC" w:rsidR="008E64F4" w:rsidRPr="00A06B88" w:rsidRDefault="008E64F4" w:rsidP="008E64F4">
            <w:pPr>
              <w:pStyle w:val="Tabele"/>
              <w:jc w:val="right"/>
              <w:rPr>
                <w:color w:val="auto"/>
              </w:rPr>
            </w:pPr>
            <w:r>
              <w:rPr>
                <w:rFonts w:cs="Arial"/>
                <w:color w:val="000000"/>
                <w:szCs w:val="16"/>
              </w:rPr>
              <w:t>29 843</w:t>
            </w:r>
          </w:p>
        </w:tc>
        <w:tc>
          <w:tcPr>
            <w:tcW w:w="1208" w:type="dxa"/>
            <w:noWrap/>
          </w:tcPr>
          <w:p w14:paraId="3974CFF1" w14:textId="1FDA1416" w:rsidR="008E64F4" w:rsidRPr="00A06B88" w:rsidRDefault="008E64F4" w:rsidP="008E64F4">
            <w:pPr>
              <w:pStyle w:val="Tabele"/>
              <w:jc w:val="right"/>
              <w:rPr>
                <w:color w:val="auto"/>
                <w:highlight w:val="yellow"/>
              </w:rPr>
            </w:pPr>
            <w:r>
              <w:rPr>
                <w:rFonts w:cs="Arial"/>
                <w:color w:val="000000"/>
                <w:szCs w:val="16"/>
              </w:rPr>
              <w:t>73 341</w:t>
            </w:r>
          </w:p>
        </w:tc>
        <w:tc>
          <w:tcPr>
            <w:tcW w:w="1208" w:type="dxa"/>
            <w:noWrap/>
          </w:tcPr>
          <w:p w14:paraId="515A261E" w14:textId="0C4154B4" w:rsidR="008E64F4" w:rsidRPr="00A06B88" w:rsidRDefault="008E64F4" w:rsidP="008E64F4">
            <w:pPr>
              <w:pStyle w:val="Tabele"/>
              <w:jc w:val="right"/>
              <w:rPr>
                <w:color w:val="auto"/>
                <w:highlight w:val="yellow"/>
              </w:rPr>
            </w:pPr>
            <w:r>
              <w:rPr>
                <w:rFonts w:cs="Arial"/>
                <w:color w:val="000000"/>
                <w:szCs w:val="16"/>
              </w:rPr>
              <w:t>95 059</w:t>
            </w:r>
          </w:p>
        </w:tc>
        <w:tc>
          <w:tcPr>
            <w:tcW w:w="1207" w:type="dxa"/>
            <w:noWrap/>
          </w:tcPr>
          <w:p w14:paraId="0A753760" w14:textId="5BB640E7" w:rsidR="008E64F4" w:rsidRPr="00A06B88" w:rsidRDefault="008E64F4" w:rsidP="008E64F4">
            <w:pPr>
              <w:pStyle w:val="Tabele"/>
              <w:jc w:val="right"/>
              <w:rPr>
                <w:color w:val="auto"/>
                <w:highlight w:val="yellow"/>
              </w:rPr>
            </w:pPr>
            <w:r>
              <w:rPr>
                <w:color w:val="000000"/>
                <w:szCs w:val="16"/>
              </w:rPr>
              <w:t>77 036</w:t>
            </w:r>
          </w:p>
        </w:tc>
        <w:tc>
          <w:tcPr>
            <w:tcW w:w="1208" w:type="dxa"/>
          </w:tcPr>
          <w:p w14:paraId="4DDA159F" w14:textId="79E4BA4D" w:rsidR="008E64F4" w:rsidRPr="00A06B88" w:rsidRDefault="008E64F4" w:rsidP="008E64F4">
            <w:pPr>
              <w:pStyle w:val="Tabele"/>
              <w:jc w:val="right"/>
              <w:rPr>
                <w:color w:val="auto"/>
                <w:highlight w:val="yellow"/>
              </w:rPr>
            </w:pPr>
            <w:r>
              <w:rPr>
                <w:color w:val="000000"/>
                <w:szCs w:val="16"/>
              </w:rPr>
              <w:t>57 503</w:t>
            </w:r>
          </w:p>
        </w:tc>
      </w:tr>
      <w:tr w:rsidR="00212F95" w:rsidRPr="00B87841" w14:paraId="681CBE97" w14:textId="77777777" w:rsidTr="053D9AD0">
        <w:trPr>
          <w:trHeight w:val="229"/>
        </w:trPr>
        <w:tc>
          <w:tcPr>
            <w:tcW w:w="2502" w:type="dxa"/>
          </w:tcPr>
          <w:p w14:paraId="36AF324E" w14:textId="42A15B95" w:rsidR="00212F95" w:rsidRPr="00A06B88" w:rsidRDefault="00212F95" w:rsidP="00212F95">
            <w:pPr>
              <w:pStyle w:val="Tabele"/>
              <w:tabs>
                <w:tab w:val="left" w:pos="209"/>
              </w:tabs>
              <w:rPr>
                <w:color w:val="auto"/>
              </w:rPr>
            </w:pPr>
            <w:r>
              <w:rPr>
                <w:rFonts w:cs="Arial"/>
                <w:color w:val="000000"/>
                <w:szCs w:val="16"/>
              </w:rPr>
              <w:t>Olej</w:t>
            </w:r>
          </w:p>
        </w:tc>
        <w:tc>
          <w:tcPr>
            <w:tcW w:w="1207" w:type="dxa"/>
            <w:shd w:val="clear" w:color="auto" w:fill="C5E0B3" w:themeFill="accent6" w:themeFillTint="66"/>
            <w:noWrap/>
          </w:tcPr>
          <w:p w14:paraId="1798A2D7" w14:textId="43432A89" w:rsidR="00212F95" w:rsidRPr="00A06B88" w:rsidRDefault="00212F95" w:rsidP="00212F95">
            <w:pPr>
              <w:pStyle w:val="Tabele"/>
              <w:jc w:val="right"/>
              <w:rPr>
                <w:color w:val="auto"/>
              </w:rPr>
            </w:pPr>
            <w:r>
              <w:rPr>
                <w:rFonts w:cs="Arial"/>
                <w:color w:val="000000"/>
                <w:szCs w:val="16"/>
              </w:rPr>
              <w:t>3 336</w:t>
            </w:r>
          </w:p>
        </w:tc>
        <w:tc>
          <w:tcPr>
            <w:tcW w:w="1208" w:type="dxa"/>
            <w:noWrap/>
          </w:tcPr>
          <w:p w14:paraId="55ABE068" w14:textId="02C3A795" w:rsidR="00212F95" w:rsidRPr="00A06B88" w:rsidRDefault="00212F95" w:rsidP="00212F95">
            <w:pPr>
              <w:pStyle w:val="Tabele"/>
              <w:jc w:val="right"/>
              <w:rPr>
                <w:color w:val="auto"/>
                <w:highlight w:val="yellow"/>
              </w:rPr>
            </w:pPr>
            <w:r>
              <w:rPr>
                <w:rFonts w:cs="Arial"/>
                <w:color w:val="000000"/>
                <w:szCs w:val="16"/>
              </w:rPr>
              <w:t>3 200</w:t>
            </w:r>
          </w:p>
        </w:tc>
        <w:tc>
          <w:tcPr>
            <w:tcW w:w="1208" w:type="dxa"/>
            <w:noWrap/>
          </w:tcPr>
          <w:p w14:paraId="3DCCC881" w14:textId="2700C27E" w:rsidR="00212F95" w:rsidRPr="00A06B88" w:rsidRDefault="00212F95" w:rsidP="00212F95">
            <w:pPr>
              <w:pStyle w:val="Tabele"/>
              <w:jc w:val="right"/>
              <w:rPr>
                <w:color w:val="auto"/>
                <w:highlight w:val="yellow"/>
              </w:rPr>
            </w:pPr>
            <w:r>
              <w:rPr>
                <w:rFonts w:cs="Arial"/>
                <w:color w:val="000000"/>
                <w:szCs w:val="16"/>
              </w:rPr>
              <w:t>2 580</w:t>
            </w:r>
          </w:p>
        </w:tc>
        <w:tc>
          <w:tcPr>
            <w:tcW w:w="1207" w:type="dxa"/>
            <w:noWrap/>
          </w:tcPr>
          <w:p w14:paraId="7434C4B7" w14:textId="63321A90" w:rsidR="00212F95" w:rsidRPr="00A06B88" w:rsidRDefault="00212F95" w:rsidP="00212F95">
            <w:pPr>
              <w:pStyle w:val="Tabele"/>
              <w:jc w:val="right"/>
              <w:rPr>
                <w:color w:val="auto"/>
                <w:highlight w:val="yellow"/>
              </w:rPr>
            </w:pPr>
            <w:r>
              <w:rPr>
                <w:rFonts w:cs="Arial"/>
                <w:color w:val="000000"/>
                <w:szCs w:val="16"/>
              </w:rPr>
              <w:t>3 407</w:t>
            </w:r>
          </w:p>
        </w:tc>
        <w:tc>
          <w:tcPr>
            <w:tcW w:w="1208" w:type="dxa"/>
          </w:tcPr>
          <w:p w14:paraId="276BA81A" w14:textId="1431FF66" w:rsidR="00212F95" w:rsidRPr="00A06B88" w:rsidRDefault="00212F95" w:rsidP="00212F95">
            <w:pPr>
              <w:pStyle w:val="Tabele"/>
              <w:jc w:val="right"/>
              <w:rPr>
                <w:color w:val="auto"/>
                <w:highlight w:val="yellow"/>
              </w:rPr>
            </w:pPr>
            <w:r>
              <w:rPr>
                <w:rFonts w:cs="Arial"/>
                <w:color w:val="000000"/>
                <w:szCs w:val="16"/>
              </w:rPr>
              <w:t>2 197</w:t>
            </w:r>
          </w:p>
        </w:tc>
      </w:tr>
      <w:tr w:rsidR="00212F95" w:rsidRPr="00B87841" w14:paraId="1F558499" w14:textId="77777777" w:rsidTr="053D9AD0">
        <w:trPr>
          <w:trHeight w:val="229"/>
        </w:trPr>
        <w:tc>
          <w:tcPr>
            <w:tcW w:w="2502" w:type="dxa"/>
          </w:tcPr>
          <w:p w14:paraId="2F83F76C" w14:textId="5D1FB3E9" w:rsidR="00212F95" w:rsidRPr="00A06B88" w:rsidRDefault="00212F95" w:rsidP="00212F95">
            <w:pPr>
              <w:pStyle w:val="Tabele"/>
              <w:tabs>
                <w:tab w:val="left" w:pos="209"/>
              </w:tabs>
              <w:rPr>
                <w:color w:val="auto"/>
              </w:rPr>
            </w:pPr>
            <w:r>
              <w:rPr>
                <w:rFonts w:cs="Arial"/>
                <w:color w:val="000000"/>
                <w:szCs w:val="16"/>
              </w:rPr>
              <w:t>Biomasa</w:t>
            </w:r>
          </w:p>
        </w:tc>
        <w:tc>
          <w:tcPr>
            <w:tcW w:w="1207" w:type="dxa"/>
            <w:shd w:val="clear" w:color="auto" w:fill="C5E0B3" w:themeFill="accent6" w:themeFillTint="66"/>
            <w:noWrap/>
          </w:tcPr>
          <w:p w14:paraId="328E2FD3" w14:textId="2445D2E7" w:rsidR="00212F95" w:rsidRPr="00A06B88" w:rsidRDefault="00212F95" w:rsidP="00212F95">
            <w:pPr>
              <w:pStyle w:val="Tabele"/>
              <w:jc w:val="right"/>
              <w:rPr>
                <w:color w:val="auto"/>
              </w:rPr>
            </w:pPr>
            <w:r>
              <w:rPr>
                <w:rFonts w:cs="Arial"/>
                <w:color w:val="000000"/>
                <w:szCs w:val="16"/>
              </w:rPr>
              <w:t>19 868</w:t>
            </w:r>
          </w:p>
        </w:tc>
        <w:tc>
          <w:tcPr>
            <w:tcW w:w="1208" w:type="dxa"/>
            <w:noWrap/>
          </w:tcPr>
          <w:p w14:paraId="13CD81C1" w14:textId="25B8B8EB" w:rsidR="00212F95" w:rsidRPr="00A06B88" w:rsidRDefault="00212F95" w:rsidP="00212F95">
            <w:pPr>
              <w:pStyle w:val="Tabele"/>
              <w:jc w:val="right"/>
              <w:rPr>
                <w:color w:val="auto"/>
                <w:highlight w:val="yellow"/>
              </w:rPr>
            </w:pPr>
            <w:r>
              <w:rPr>
                <w:rFonts w:cs="Arial"/>
                <w:color w:val="000000"/>
                <w:szCs w:val="16"/>
              </w:rPr>
              <w:t>20 905</w:t>
            </w:r>
          </w:p>
        </w:tc>
        <w:tc>
          <w:tcPr>
            <w:tcW w:w="1208" w:type="dxa"/>
            <w:noWrap/>
          </w:tcPr>
          <w:p w14:paraId="4DF78342" w14:textId="3A9AD069" w:rsidR="00212F95" w:rsidRPr="00A06B88" w:rsidRDefault="00212F95" w:rsidP="00212F95">
            <w:pPr>
              <w:pStyle w:val="Tabele"/>
              <w:jc w:val="right"/>
              <w:rPr>
                <w:color w:val="auto"/>
                <w:highlight w:val="yellow"/>
              </w:rPr>
            </w:pPr>
            <w:r>
              <w:rPr>
                <w:rFonts w:cs="Arial"/>
                <w:color w:val="000000"/>
                <w:szCs w:val="16"/>
              </w:rPr>
              <w:t>24 384</w:t>
            </w:r>
          </w:p>
        </w:tc>
        <w:tc>
          <w:tcPr>
            <w:tcW w:w="1207" w:type="dxa"/>
            <w:noWrap/>
          </w:tcPr>
          <w:p w14:paraId="2B735305" w14:textId="603A1918" w:rsidR="00212F95" w:rsidRPr="00A06B88" w:rsidRDefault="00212F95" w:rsidP="00212F95">
            <w:pPr>
              <w:pStyle w:val="Tabele"/>
              <w:jc w:val="right"/>
              <w:rPr>
                <w:color w:val="auto"/>
                <w:highlight w:val="yellow"/>
              </w:rPr>
            </w:pPr>
            <w:r>
              <w:rPr>
                <w:rFonts w:cs="Arial"/>
                <w:color w:val="000000"/>
                <w:szCs w:val="16"/>
              </w:rPr>
              <w:t>27 149</w:t>
            </w:r>
          </w:p>
        </w:tc>
        <w:tc>
          <w:tcPr>
            <w:tcW w:w="1208" w:type="dxa"/>
          </w:tcPr>
          <w:p w14:paraId="0244AAB5" w14:textId="2FE19C77" w:rsidR="00212F95" w:rsidRPr="00A06B88" w:rsidRDefault="00212F95" w:rsidP="00212F95">
            <w:pPr>
              <w:pStyle w:val="Tabele"/>
              <w:jc w:val="right"/>
              <w:rPr>
                <w:color w:val="auto"/>
                <w:highlight w:val="yellow"/>
              </w:rPr>
            </w:pPr>
            <w:r>
              <w:rPr>
                <w:rFonts w:cs="Arial"/>
                <w:color w:val="000000"/>
                <w:szCs w:val="16"/>
              </w:rPr>
              <w:t>18 893</w:t>
            </w:r>
          </w:p>
        </w:tc>
      </w:tr>
      <w:tr w:rsidR="00212F95" w:rsidRPr="00B87841" w14:paraId="2832D9FB" w14:textId="77777777" w:rsidTr="053D9AD0">
        <w:trPr>
          <w:trHeight w:val="229"/>
        </w:trPr>
        <w:tc>
          <w:tcPr>
            <w:tcW w:w="2502" w:type="dxa"/>
          </w:tcPr>
          <w:p w14:paraId="7775D4F1" w14:textId="48C2C543" w:rsidR="00212F95" w:rsidRPr="00A06B88" w:rsidRDefault="00EA2B4C" w:rsidP="00212F95">
            <w:pPr>
              <w:pStyle w:val="Tabele"/>
              <w:tabs>
                <w:tab w:val="left" w:pos="209"/>
              </w:tabs>
              <w:rPr>
                <w:rFonts w:cs="Arial"/>
                <w:color w:val="000000" w:themeColor="text1"/>
              </w:rPr>
            </w:pPr>
            <w:r>
              <w:rPr>
                <w:rFonts w:cs="Arial"/>
                <w:color w:val="000000" w:themeColor="text1"/>
              </w:rPr>
              <w:t>Biometan, b</w:t>
            </w:r>
            <w:r w:rsidR="00212F95" w:rsidRPr="053D9AD0">
              <w:rPr>
                <w:rFonts w:cs="Arial"/>
                <w:color w:val="000000" w:themeColor="text1"/>
              </w:rPr>
              <w:t>iogaz</w:t>
            </w:r>
            <w:r w:rsidR="006F743A">
              <w:rPr>
                <w:rFonts w:cs="Arial"/>
                <w:color w:val="000000" w:themeColor="text1"/>
              </w:rPr>
              <w:t>, wodór</w:t>
            </w:r>
          </w:p>
        </w:tc>
        <w:tc>
          <w:tcPr>
            <w:tcW w:w="1207" w:type="dxa"/>
            <w:shd w:val="clear" w:color="auto" w:fill="C5E0B3" w:themeFill="accent6" w:themeFillTint="66"/>
            <w:noWrap/>
          </w:tcPr>
          <w:p w14:paraId="7DFA5C23" w14:textId="0C6AF6A6" w:rsidR="00212F95" w:rsidRPr="00A06B88" w:rsidRDefault="00212F95" w:rsidP="00212F95">
            <w:pPr>
              <w:pStyle w:val="Tabele"/>
              <w:jc w:val="right"/>
              <w:rPr>
                <w:color w:val="auto"/>
              </w:rPr>
            </w:pPr>
            <w:r>
              <w:rPr>
                <w:rFonts w:cs="Arial"/>
                <w:color w:val="000000"/>
                <w:szCs w:val="16"/>
              </w:rPr>
              <w:t>835</w:t>
            </w:r>
          </w:p>
        </w:tc>
        <w:tc>
          <w:tcPr>
            <w:tcW w:w="1208" w:type="dxa"/>
            <w:noWrap/>
          </w:tcPr>
          <w:p w14:paraId="08ADA2D4" w14:textId="7E8501F6" w:rsidR="00212F95" w:rsidRPr="00A06B88" w:rsidRDefault="00212F95" w:rsidP="00212F95">
            <w:pPr>
              <w:pStyle w:val="Tabele"/>
              <w:jc w:val="right"/>
              <w:rPr>
                <w:color w:val="auto"/>
                <w:highlight w:val="yellow"/>
              </w:rPr>
            </w:pPr>
            <w:r>
              <w:rPr>
                <w:rFonts w:cs="Arial"/>
                <w:color w:val="000000"/>
                <w:szCs w:val="16"/>
              </w:rPr>
              <w:t>2 523</w:t>
            </w:r>
          </w:p>
        </w:tc>
        <w:tc>
          <w:tcPr>
            <w:tcW w:w="1208" w:type="dxa"/>
            <w:noWrap/>
          </w:tcPr>
          <w:p w14:paraId="084C5917" w14:textId="4FA93B65" w:rsidR="00212F95" w:rsidRPr="00A06B88" w:rsidRDefault="00212F95" w:rsidP="00212F95">
            <w:pPr>
              <w:pStyle w:val="Tabele"/>
              <w:jc w:val="right"/>
              <w:rPr>
                <w:color w:val="auto"/>
                <w:highlight w:val="yellow"/>
              </w:rPr>
            </w:pPr>
            <w:r>
              <w:rPr>
                <w:rFonts w:cs="Arial"/>
                <w:color w:val="000000"/>
                <w:szCs w:val="16"/>
              </w:rPr>
              <w:t>4 852</w:t>
            </w:r>
          </w:p>
        </w:tc>
        <w:tc>
          <w:tcPr>
            <w:tcW w:w="1207" w:type="dxa"/>
            <w:noWrap/>
          </w:tcPr>
          <w:p w14:paraId="74027210" w14:textId="7316788C" w:rsidR="00212F95" w:rsidRPr="00A06B88" w:rsidRDefault="00DB022F" w:rsidP="00212F95">
            <w:pPr>
              <w:pStyle w:val="Tabele"/>
              <w:jc w:val="right"/>
              <w:rPr>
                <w:color w:val="auto"/>
                <w:highlight w:val="yellow"/>
              </w:rPr>
            </w:pPr>
            <w:r>
              <w:rPr>
                <w:rFonts w:cs="Arial"/>
                <w:color w:val="000000"/>
                <w:szCs w:val="16"/>
              </w:rPr>
              <w:t xml:space="preserve">10 </w:t>
            </w:r>
            <w:r w:rsidR="008C42F2">
              <w:rPr>
                <w:rFonts w:cs="Arial"/>
                <w:color w:val="000000"/>
                <w:szCs w:val="16"/>
              </w:rPr>
              <w:t>879</w:t>
            </w:r>
          </w:p>
        </w:tc>
        <w:tc>
          <w:tcPr>
            <w:tcW w:w="1208" w:type="dxa"/>
          </w:tcPr>
          <w:p w14:paraId="1CDEBE2F" w14:textId="401B9190" w:rsidR="00212F95" w:rsidRPr="00A06B88" w:rsidRDefault="00F16186" w:rsidP="00212F95">
            <w:pPr>
              <w:pStyle w:val="Tabele"/>
              <w:jc w:val="right"/>
              <w:rPr>
                <w:color w:val="auto"/>
                <w:highlight w:val="yellow"/>
              </w:rPr>
            </w:pPr>
            <w:r>
              <w:rPr>
                <w:rFonts w:cs="Arial"/>
                <w:color w:val="000000"/>
                <w:szCs w:val="16"/>
              </w:rPr>
              <w:t>46 900</w:t>
            </w:r>
          </w:p>
        </w:tc>
      </w:tr>
      <w:tr w:rsidR="00212F95" w:rsidRPr="00B87841" w14:paraId="5B847DC4" w14:textId="77777777" w:rsidTr="053D9AD0">
        <w:trPr>
          <w:trHeight w:val="229"/>
        </w:trPr>
        <w:tc>
          <w:tcPr>
            <w:tcW w:w="2502" w:type="dxa"/>
          </w:tcPr>
          <w:p w14:paraId="698896F1" w14:textId="7CAC2124" w:rsidR="00212F95" w:rsidRPr="00061B95" w:rsidRDefault="00212F95" w:rsidP="00212F95">
            <w:pPr>
              <w:pStyle w:val="Tabele"/>
              <w:tabs>
                <w:tab w:val="left" w:pos="209"/>
              </w:tabs>
              <w:rPr>
                <w:color w:val="auto"/>
              </w:rPr>
            </w:pPr>
          </w:p>
        </w:tc>
        <w:tc>
          <w:tcPr>
            <w:tcW w:w="1207" w:type="dxa"/>
            <w:shd w:val="clear" w:color="auto" w:fill="C5E0B3" w:themeFill="accent6" w:themeFillTint="66"/>
            <w:noWrap/>
          </w:tcPr>
          <w:p w14:paraId="26AF1733" w14:textId="72806E7E" w:rsidR="00212F95" w:rsidRPr="00061B95" w:rsidRDefault="00212F95" w:rsidP="00212F95">
            <w:pPr>
              <w:pStyle w:val="Tabele"/>
              <w:jc w:val="right"/>
              <w:rPr>
                <w:color w:val="auto"/>
              </w:rPr>
            </w:pPr>
          </w:p>
        </w:tc>
        <w:tc>
          <w:tcPr>
            <w:tcW w:w="1208" w:type="dxa"/>
            <w:noWrap/>
          </w:tcPr>
          <w:p w14:paraId="2619D3C0" w14:textId="441BC0E6" w:rsidR="00212F95" w:rsidRPr="00061B95" w:rsidRDefault="00212F95" w:rsidP="00212F95">
            <w:pPr>
              <w:pStyle w:val="Tabele"/>
              <w:jc w:val="right"/>
              <w:rPr>
                <w:color w:val="auto"/>
                <w:highlight w:val="yellow"/>
              </w:rPr>
            </w:pPr>
          </w:p>
        </w:tc>
        <w:tc>
          <w:tcPr>
            <w:tcW w:w="1208" w:type="dxa"/>
            <w:noWrap/>
          </w:tcPr>
          <w:p w14:paraId="47DD2685" w14:textId="77C40B65" w:rsidR="00212F95" w:rsidRPr="00061B95" w:rsidRDefault="00212F95" w:rsidP="00212F95">
            <w:pPr>
              <w:pStyle w:val="Tabele"/>
              <w:jc w:val="right"/>
              <w:rPr>
                <w:color w:val="auto"/>
                <w:highlight w:val="yellow"/>
              </w:rPr>
            </w:pPr>
          </w:p>
        </w:tc>
        <w:tc>
          <w:tcPr>
            <w:tcW w:w="1207" w:type="dxa"/>
            <w:noWrap/>
          </w:tcPr>
          <w:p w14:paraId="0A1B97E2" w14:textId="36F62BB6" w:rsidR="00212F95" w:rsidRPr="00061B95" w:rsidRDefault="00212F95" w:rsidP="00212F95">
            <w:pPr>
              <w:pStyle w:val="Tabele"/>
              <w:jc w:val="right"/>
              <w:rPr>
                <w:color w:val="auto"/>
                <w:highlight w:val="yellow"/>
              </w:rPr>
            </w:pPr>
          </w:p>
        </w:tc>
        <w:tc>
          <w:tcPr>
            <w:tcW w:w="1208" w:type="dxa"/>
          </w:tcPr>
          <w:p w14:paraId="5F9E6B3A" w14:textId="1CF7AF13" w:rsidR="00212F95" w:rsidRPr="00061B95" w:rsidRDefault="00212F95" w:rsidP="00212F95">
            <w:pPr>
              <w:pStyle w:val="Tabele"/>
              <w:jc w:val="right"/>
              <w:rPr>
                <w:color w:val="auto"/>
                <w:highlight w:val="yellow"/>
              </w:rPr>
            </w:pPr>
          </w:p>
        </w:tc>
      </w:tr>
      <w:tr w:rsidR="00212F95" w:rsidRPr="00B87841" w14:paraId="6E0FB675" w14:textId="77777777" w:rsidTr="053D9AD0">
        <w:trPr>
          <w:trHeight w:val="229"/>
        </w:trPr>
        <w:tc>
          <w:tcPr>
            <w:tcW w:w="2502" w:type="dxa"/>
          </w:tcPr>
          <w:p w14:paraId="29F128BC" w14:textId="1A0506B9" w:rsidR="00212F95" w:rsidRPr="00A06B88" w:rsidRDefault="00212F95" w:rsidP="00212F95">
            <w:pPr>
              <w:pStyle w:val="Tabele"/>
              <w:tabs>
                <w:tab w:val="left" w:pos="209"/>
              </w:tabs>
              <w:rPr>
                <w:color w:val="auto"/>
              </w:rPr>
            </w:pPr>
            <w:r>
              <w:rPr>
                <w:rFonts w:cs="Arial"/>
                <w:color w:val="000000"/>
                <w:szCs w:val="16"/>
              </w:rPr>
              <w:t>Geotermia</w:t>
            </w:r>
          </w:p>
        </w:tc>
        <w:tc>
          <w:tcPr>
            <w:tcW w:w="1207" w:type="dxa"/>
            <w:shd w:val="clear" w:color="auto" w:fill="C5E0B3" w:themeFill="accent6" w:themeFillTint="66"/>
            <w:noWrap/>
          </w:tcPr>
          <w:p w14:paraId="419D3842" w14:textId="4DDFB2F6" w:rsidR="00212F95" w:rsidRPr="00A06B88" w:rsidRDefault="00212F95" w:rsidP="00212F95">
            <w:pPr>
              <w:pStyle w:val="Tabele"/>
              <w:jc w:val="right"/>
              <w:rPr>
                <w:color w:val="auto"/>
              </w:rPr>
            </w:pPr>
            <w:r>
              <w:rPr>
                <w:rFonts w:cs="Arial"/>
                <w:color w:val="000000"/>
                <w:szCs w:val="16"/>
              </w:rPr>
              <w:t>712</w:t>
            </w:r>
          </w:p>
        </w:tc>
        <w:tc>
          <w:tcPr>
            <w:tcW w:w="1208" w:type="dxa"/>
            <w:noWrap/>
          </w:tcPr>
          <w:p w14:paraId="47840495" w14:textId="19E15359" w:rsidR="00212F95" w:rsidRPr="00A06B88" w:rsidRDefault="00212F95" w:rsidP="00212F95">
            <w:pPr>
              <w:pStyle w:val="Tabele"/>
              <w:jc w:val="right"/>
              <w:rPr>
                <w:color w:val="auto"/>
                <w:highlight w:val="yellow"/>
              </w:rPr>
            </w:pPr>
            <w:r>
              <w:rPr>
                <w:rFonts w:cs="Arial"/>
                <w:color w:val="000000"/>
                <w:szCs w:val="16"/>
              </w:rPr>
              <w:t>2 088</w:t>
            </w:r>
          </w:p>
        </w:tc>
        <w:tc>
          <w:tcPr>
            <w:tcW w:w="1208" w:type="dxa"/>
            <w:noWrap/>
          </w:tcPr>
          <w:p w14:paraId="2EB0A258" w14:textId="744737D9" w:rsidR="00212F95" w:rsidRPr="00A06B88" w:rsidRDefault="00212F95" w:rsidP="00212F95">
            <w:pPr>
              <w:pStyle w:val="Tabele"/>
              <w:jc w:val="right"/>
              <w:rPr>
                <w:color w:val="auto"/>
                <w:highlight w:val="yellow"/>
              </w:rPr>
            </w:pPr>
            <w:r>
              <w:rPr>
                <w:rFonts w:cs="Arial"/>
                <w:color w:val="000000"/>
                <w:szCs w:val="16"/>
              </w:rPr>
              <w:t>2 283</w:t>
            </w:r>
          </w:p>
        </w:tc>
        <w:tc>
          <w:tcPr>
            <w:tcW w:w="1207" w:type="dxa"/>
            <w:noWrap/>
          </w:tcPr>
          <w:p w14:paraId="4950D81E" w14:textId="6B367AB6" w:rsidR="00212F95" w:rsidRPr="00A06B88" w:rsidRDefault="00212F95" w:rsidP="00212F95">
            <w:pPr>
              <w:pStyle w:val="Tabele"/>
              <w:jc w:val="right"/>
              <w:rPr>
                <w:color w:val="auto"/>
                <w:highlight w:val="yellow"/>
              </w:rPr>
            </w:pPr>
            <w:r>
              <w:rPr>
                <w:rFonts w:cs="Arial"/>
                <w:color w:val="000000"/>
                <w:szCs w:val="16"/>
              </w:rPr>
              <w:t>2 982</w:t>
            </w:r>
          </w:p>
        </w:tc>
        <w:tc>
          <w:tcPr>
            <w:tcW w:w="1208" w:type="dxa"/>
          </w:tcPr>
          <w:p w14:paraId="3D7FE20C" w14:textId="240E9420" w:rsidR="00212F95" w:rsidRPr="00A06B88" w:rsidRDefault="00212F95" w:rsidP="00212F95">
            <w:pPr>
              <w:pStyle w:val="Tabele"/>
              <w:jc w:val="right"/>
              <w:rPr>
                <w:color w:val="auto"/>
                <w:highlight w:val="yellow"/>
              </w:rPr>
            </w:pPr>
            <w:r>
              <w:rPr>
                <w:rFonts w:cs="Arial"/>
                <w:color w:val="000000"/>
                <w:szCs w:val="16"/>
              </w:rPr>
              <w:t>4 009</w:t>
            </w:r>
          </w:p>
        </w:tc>
      </w:tr>
      <w:tr w:rsidR="00212F95" w:rsidRPr="00B87841" w14:paraId="1647716A" w14:textId="77777777" w:rsidTr="053D9AD0">
        <w:trPr>
          <w:trHeight w:val="229"/>
        </w:trPr>
        <w:tc>
          <w:tcPr>
            <w:tcW w:w="2502" w:type="dxa"/>
          </w:tcPr>
          <w:p w14:paraId="2E877F94" w14:textId="5E555AC7" w:rsidR="00212F95" w:rsidRPr="00A06B88" w:rsidRDefault="00212F95" w:rsidP="00212F95">
            <w:pPr>
              <w:pStyle w:val="Tabele"/>
              <w:tabs>
                <w:tab w:val="left" w:pos="209"/>
              </w:tabs>
              <w:rPr>
                <w:color w:val="auto"/>
              </w:rPr>
            </w:pPr>
            <w:r>
              <w:rPr>
                <w:rFonts w:cs="Arial"/>
                <w:color w:val="000000"/>
                <w:szCs w:val="16"/>
              </w:rPr>
              <w:t>Odpady</w:t>
            </w:r>
          </w:p>
        </w:tc>
        <w:tc>
          <w:tcPr>
            <w:tcW w:w="1207" w:type="dxa"/>
            <w:shd w:val="clear" w:color="auto" w:fill="C5E0B3" w:themeFill="accent6" w:themeFillTint="66"/>
            <w:noWrap/>
          </w:tcPr>
          <w:p w14:paraId="7C71F673" w14:textId="0B886541" w:rsidR="00212F95" w:rsidRPr="00A06B88" w:rsidRDefault="00212F95" w:rsidP="00212F95">
            <w:pPr>
              <w:pStyle w:val="Tabele"/>
              <w:jc w:val="right"/>
              <w:rPr>
                <w:color w:val="auto"/>
              </w:rPr>
            </w:pPr>
            <w:r>
              <w:rPr>
                <w:rFonts w:cs="Arial"/>
                <w:color w:val="000000"/>
                <w:szCs w:val="16"/>
              </w:rPr>
              <w:t>4 853</w:t>
            </w:r>
          </w:p>
        </w:tc>
        <w:tc>
          <w:tcPr>
            <w:tcW w:w="1208" w:type="dxa"/>
            <w:noWrap/>
          </w:tcPr>
          <w:p w14:paraId="3B089CE7" w14:textId="0AA123BE" w:rsidR="00212F95" w:rsidRPr="00A06B88" w:rsidRDefault="00212F95" w:rsidP="00212F95">
            <w:pPr>
              <w:pStyle w:val="Tabele"/>
              <w:jc w:val="right"/>
              <w:rPr>
                <w:color w:val="auto"/>
                <w:highlight w:val="yellow"/>
              </w:rPr>
            </w:pPr>
            <w:r>
              <w:rPr>
                <w:rFonts w:cs="Arial"/>
                <w:color w:val="000000"/>
                <w:szCs w:val="16"/>
              </w:rPr>
              <w:t>6 518</w:t>
            </w:r>
          </w:p>
        </w:tc>
        <w:tc>
          <w:tcPr>
            <w:tcW w:w="1208" w:type="dxa"/>
            <w:noWrap/>
          </w:tcPr>
          <w:p w14:paraId="54781EF6" w14:textId="62E4DB2E" w:rsidR="00212F95" w:rsidRPr="00A06B88" w:rsidRDefault="00212F95" w:rsidP="00212F95">
            <w:pPr>
              <w:pStyle w:val="Tabele"/>
              <w:jc w:val="right"/>
              <w:rPr>
                <w:color w:val="auto"/>
                <w:highlight w:val="yellow"/>
              </w:rPr>
            </w:pPr>
            <w:r>
              <w:rPr>
                <w:rFonts w:cs="Arial"/>
                <w:color w:val="000000"/>
                <w:szCs w:val="16"/>
              </w:rPr>
              <w:t>8 190</w:t>
            </w:r>
          </w:p>
        </w:tc>
        <w:tc>
          <w:tcPr>
            <w:tcW w:w="1207" w:type="dxa"/>
            <w:noWrap/>
          </w:tcPr>
          <w:p w14:paraId="1F48A36D" w14:textId="00B96588" w:rsidR="00212F95" w:rsidRPr="00A06B88" w:rsidRDefault="00212F95" w:rsidP="00212F95">
            <w:pPr>
              <w:pStyle w:val="Tabele"/>
              <w:jc w:val="right"/>
              <w:rPr>
                <w:color w:val="auto"/>
                <w:highlight w:val="yellow"/>
              </w:rPr>
            </w:pPr>
            <w:r>
              <w:rPr>
                <w:rFonts w:cs="Arial"/>
                <w:color w:val="000000"/>
                <w:szCs w:val="16"/>
              </w:rPr>
              <w:t>8 510</w:t>
            </w:r>
          </w:p>
        </w:tc>
        <w:tc>
          <w:tcPr>
            <w:tcW w:w="1208" w:type="dxa"/>
          </w:tcPr>
          <w:p w14:paraId="40B26131" w14:textId="6378C282" w:rsidR="00212F95" w:rsidRPr="00A06B88" w:rsidRDefault="00212F95" w:rsidP="00212F95">
            <w:pPr>
              <w:pStyle w:val="Tabele"/>
              <w:jc w:val="right"/>
              <w:rPr>
                <w:color w:val="auto"/>
                <w:highlight w:val="yellow"/>
              </w:rPr>
            </w:pPr>
            <w:r>
              <w:rPr>
                <w:rFonts w:cs="Arial"/>
                <w:color w:val="000000"/>
                <w:szCs w:val="16"/>
              </w:rPr>
              <w:t>6 927</w:t>
            </w:r>
          </w:p>
        </w:tc>
      </w:tr>
      <w:tr w:rsidR="00212F95" w:rsidRPr="00B87841" w14:paraId="223FC370" w14:textId="77777777" w:rsidTr="053D9AD0">
        <w:trPr>
          <w:trHeight w:val="229"/>
        </w:trPr>
        <w:tc>
          <w:tcPr>
            <w:tcW w:w="2502" w:type="dxa"/>
          </w:tcPr>
          <w:p w14:paraId="2EFFCC0A" w14:textId="65042A17" w:rsidR="00212F95" w:rsidRPr="00061B95" w:rsidRDefault="00212F95" w:rsidP="00212F95">
            <w:pPr>
              <w:pStyle w:val="Tabele"/>
              <w:tabs>
                <w:tab w:val="left" w:pos="209"/>
              </w:tabs>
              <w:rPr>
                <w:color w:val="auto"/>
              </w:rPr>
            </w:pPr>
          </w:p>
        </w:tc>
        <w:tc>
          <w:tcPr>
            <w:tcW w:w="1207" w:type="dxa"/>
            <w:shd w:val="clear" w:color="auto" w:fill="C5E0B3" w:themeFill="accent6" w:themeFillTint="66"/>
            <w:noWrap/>
          </w:tcPr>
          <w:p w14:paraId="4996F01B" w14:textId="6BCFAB6A" w:rsidR="00212F95" w:rsidRPr="00061B95" w:rsidRDefault="00212F95" w:rsidP="00212F95">
            <w:pPr>
              <w:pStyle w:val="Tabele"/>
              <w:jc w:val="right"/>
              <w:rPr>
                <w:color w:val="auto"/>
              </w:rPr>
            </w:pPr>
          </w:p>
        </w:tc>
        <w:tc>
          <w:tcPr>
            <w:tcW w:w="1208" w:type="dxa"/>
            <w:noWrap/>
          </w:tcPr>
          <w:p w14:paraId="3E862499" w14:textId="18EFF367" w:rsidR="00212F95" w:rsidRPr="00061B95" w:rsidRDefault="00212F95" w:rsidP="00212F95">
            <w:pPr>
              <w:pStyle w:val="Tabele"/>
              <w:jc w:val="right"/>
              <w:rPr>
                <w:color w:val="auto"/>
                <w:highlight w:val="yellow"/>
              </w:rPr>
            </w:pPr>
          </w:p>
        </w:tc>
        <w:tc>
          <w:tcPr>
            <w:tcW w:w="1208" w:type="dxa"/>
            <w:noWrap/>
          </w:tcPr>
          <w:p w14:paraId="3B36C937" w14:textId="48596D7D" w:rsidR="00212F95" w:rsidRPr="00061B95" w:rsidRDefault="00212F95" w:rsidP="00212F95">
            <w:pPr>
              <w:pStyle w:val="Tabele"/>
              <w:jc w:val="right"/>
              <w:rPr>
                <w:color w:val="auto"/>
                <w:highlight w:val="yellow"/>
              </w:rPr>
            </w:pPr>
          </w:p>
        </w:tc>
        <w:tc>
          <w:tcPr>
            <w:tcW w:w="1207" w:type="dxa"/>
            <w:noWrap/>
          </w:tcPr>
          <w:p w14:paraId="3FD20F55" w14:textId="29CA41A8" w:rsidR="00212F95" w:rsidRPr="00061B95" w:rsidRDefault="00212F95" w:rsidP="00212F95">
            <w:pPr>
              <w:pStyle w:val="Tabele"/>
              <w:jc w:val="right"/>
              <w:rPr>
                <w:color w:val="auto"/>
                <w:highlight w:val="yellow"/>
              </w:rPr>
            </w:pPr>
          </w:p>
        </w:tc>
        <w:tc>
          <w:tcPr>
            <w:tcW w:w="1208" w:type="dxa"/>
          </w:tcPr>
          <w:p w14:paraId="78A30D3D" w14:textId="4F459D6D" w:rsidR="00212F95" w:rsidRPr="00061B95" w:rsidRDefault="00212F95" w:rsidP="00212F95">
            <w:pPr>
              <w:pStyle w:val="Tabele"/>
              <w:jc w:val="right"/>
              <w:rPr>
                <w:color w:val="auto"/>
                <w:highlight w:val="yellow"/>
              </w:rPr>
            </w:pPr>
          </w:p>
        </w:tc>
      </w:tr>
      <w:tr w:rsidR="00212F95" w:rsidRPr="00B87841" w14:paraId="16C11AD6" w14:textId="77777777" w:rsidTr="053D9AD0">
        <w:trPr>
          <w:trHeight w:val="229"/>
        </w:trPr>
        <w:tc>
          <w:tcPr>
            <w:tcW w:w="2502" w:type="dxa"/>
          </w:tcPr>
          <w:p w14:paraId="03778A94" w14:textId="7E45BE16" w:rsidR="00212F95" w:rsidRPr="00A06B88" w:rsidRDefault="00212F95" w:rsidP="00212F95">
            <w:pPr>
              <w:pStyle w:val="Tabele"/>
              <w:tabs>
                <w:tab w:val="left" w:pos="209"/>
              </w:tabs>
              <w:rPr>
                <w:color w:val="auto"/>
              </w:rPr>
            </w:pPr>
            <w:r>
              <w:rPr>
                <w:rFonts w:cs="Arial"/>
                <w:color w:val="000000"/>
                <w:szCs w:val="16"/>
              </w:rPr>
              <w:t>Kotły elektrodowe</w:t>
            </w:r>
          </w:p>
        </w:tc>
        <w:tc>
          <w:tcPr>
            <w:tcW w:w="1207" w:type="dxa"/>
            <w:shd w:val="clear" w:color="auto" w:fill="C5E0B3" w:themeFill="accent6" w:themeFillTint="66"/>
            <w:noWrap/>
          </w:tcPr>
          <w:p w14:paraId="1D82DF80" w14:textId="549A5A49" w:rsidR="00212F95" w:rsidRPr="00A06B88" w:rsidRDefault="00212F95" w:rsidP="00212F95">
            <w:pPr>
              <w:pStyle w:val="Tabele"/>
              <w:jc w:val="right"/>
              <w:rPr>
                <w:color w:val="auto"/>
              </w:rPr>
            </w:pPr>
            <w:r>
              <w:rPr>
                <w:rFonts w:cs="Arial"/>
                <w:color w:val="000000"/>
                <w:szCs w:val="16"/>
              </w:rPr>
              <w:t>0</w:t>
            </w:r>
          </w:p>
        </w:tc>
        <w:tc>
          <w:tcPr>
            <w:tcW w:w="1208" w:type="dxa"/>
            <w:noWrap/>
          </w:tcPr>
          <w:p w14:paraId="40C4F742" w14:textId="40868BF2" w:rsidR="00212F95" w:rsidRPr="00A06B88" w:rsidRDefault="00212F95" w:rsidP="00212F95">
            <w:pPr>
              <w:pStyle w:val="Tabele"/>
              <w:jc w:val="right"/>
              <w:rPr>
                <w:color w:val="auto"/>
                <w:highlight w:val="yellow"/>
              </w:rPr>
            </w:pPr>
            <w:r>
              <w:rPr>
                <w:rFonts w:cs="Arial"/>
                <w:color w:val="000000"/>
                <w:szCs w:val="16"/>
              </w:rPr>
              <w:t>1 089</w:t>
            </w:r>
          </w:p>
        </w:tc>
        <w:tc>
          <w:tcPr>
            <w:tcW w:w="1208" w:type="dxa"/>
            <w:noWrap/>
          </w:tcPr>
          <w:p w14:paraId="5F4E7CEF" w14:textId="04B38C33" w:rsidR="00212F95" w:rsidRPr="00A06B88" w:rsidRDefault="00212F95" w:rsidP="00212F95">
            <w:pPr>
              <w:pStyle w:val="Tabele"/>
              <w:jc w:val="right"/>
              <w:rPr>
                <w:color w:val="auto"/>
                <w:highlight w:val="yellow"/>
              </w:rPr>
            </w:pPr>
            <w:r>
              <w:rPr>
                <w:rFonts w:cs="Arial"/>
                <w:color w:val="000000"/>
                <w:szCs w:val="16"/>
              </w:rPr>
              <w:t>2 163</w:t>
            </w:r>
          </w:p>
        </w:tc>
        <w:tc>
          <w:tcPr>
            <w:tcW w:w="1207" w:type="dxa"/>
            <w:noWrap/>
          </w:tcPr>
          <w:p w14:paraId="611BD47C" w14:textId="7716265D" w:rsidR="00212F95" w:rsidRPr="00A06B88" w:rsidRDefault="00212F95" w:rsidP="00212F95">
            <w:pPr>
              <w:pStyle w:val="Tabele"/>
              <w:jc w:val="right"/>
              <w:rPr>
                <w:color w:val="auto"/>
                <w:highlight w:val="yellow"/>
              </w:rPr>
            </w:pPr>
            <w:r>
              <w:rPr>
                <w:rFonts w:cs="Arial"/>
                <w:color w:val="000000"/>
                <w:szCs w:val="16"/>
              </w:rPr>
              <w:t>9 324</w:t>
            </w:r>
          </w:p>
        </w:tc>
        <w:tc>
          <w:tcPr>
            <w:tcW w:w="1208" w:type="dxa"/>
          </w:tcPr>
          <w:p w14:paraId="03B375F6" w14:textId="27CAB393" w:rsidR="00212F95" w:rsidRPr="00A06B88" w:rsidRDefault="00212F95" w:rsidP="00212F95">
            <w:pPr>
              <w:pStyle w:val="Tabele"/>
              <w:jc w:val="right"/>
              <w:rPr>
                <w:color w:val="auto"/>
                <w:highlight w:val="yellow"/>
              </w:rPr>
            </w:pPr>
            <w:r>
              <w:rPr>
                <w:rFonts w:cs="Arial"/>
                <w:color w:val="000000"/>
                <w:szCs w:val="16"/>
              </w:rPr>
              <w:t>14 574</w:t>
            </w:r>
          </w:p>
        </w:tc>
      </w:tr>
      <w:tr w:rsidR="00212F95" w:rsidRPr="00B87841" w14:paraId="20AEFE11" w14:textId="77777777" w:rsidTr="053D9AD0">
        <w:trPr>
          <w:trHeight w:val="229"/>
        </w:trPr>
        <w:tc>
          <w:tcPr>
            <w:tcW w:w="2502" w:type="dxa"/>
          </w:tcPr>
          <w:p w14:paraId="31C89C32" w14:textId="2657D68F" w:rsidR="00212F95" w:rsidRPr="00A06B88" w:rsidRDefault="00212F95" w:rsidP="00212F95">
            <w:pPr>
              <w:pStyle w:val="Tabele"/>
              <w:rPr>
                <w:color w:val="auto"/>
              </w:rPr>
            </w:pPr>
            <w:r>
              <w:rPr>
                <w:rFonts w:cs="Arial"/>
                <w:color w:val="000000"/>
                <w:szCs w:val="16"/>
              </w:rPr>
              <w:t>Kolektory słoneczne</w:t>
            </w:r>
          </w:p>
        </w:tc>
        <w:tc>
          <w:tcPr>
            <w:tcW w:w="1207" w:type="dxa"/>
            <w:shd w:val="clear" w:color="auto" w:fill="C5E0B3" w:themeFill="accent6" w:themeFillTint="66"/>
            <w:noWrap/>
          </w:tcPr>
          <w:p w14:paraId="10A1BE71" w14:textId="12CF02B8" w:rsidR="00212F95" w:rsidRPr="00A06B88" w:rsidRDefault="00212F95" w:rsidP="00212F95">
            <w:pPr>
              <w:pStyle w:val="Tabele"/>
              <w:jc w:val="right"/>
              <w:rPr>
                <w:color w:val="auto"/>
              </w:rPr>
            </w:pPr>
            <w:r>
              <w:rPr>
                <w:rFonts w:cs="Arial"/>
                <w:color w:val="000000"/>
                <w:szCs w:val="16"/>
              </w:rPr>
              <w:t>0</w:t>
            </w:r>
          </w:p>
        </w:tc>
        <w:tc>
          <w:tcPr>
            <w:tcW w:w="1208" w:type="dxa"/>
            <w:noWrap/>
          </w:tcPr>
          <w:p w14:paraId="2813BC76" w14:textId="2AA80D5C" w:rsidR="00212F95" w:rsidRPr="00A06B88" w:rsidRDefault="00212F95" w:rsidP="00212F95">
            <w:pPr>
              <w:pStyle w:val="Tabele"/>
              <w:jc w:val="right"/>
              <w:rPr>
                <w:color w:val="auto"/>
                <w:highlight w:val="yellow"/>
              </w:rPr>
            </w:pPr>
            <w:r>
              <w:rPr>
                <w:rFonts w:cs="Arial"/>
                <w:color w:val="000000"/>
                <w:szCs w:val="16"/>
              </w:rPr>
              <w:t>0</w:t>
            </w:r>
          </w:p>
        </w:tc>
        <w:tc>
          <w:tcPr>
            <w:tcW w:w="1208" w:type="dxa"/>
            <w:noWrap/>
          </w:tcPr>
          <w:p w14:paraId="1831B251" w14:textId="0C1544F6" w:rsidR="00212F95" w:rsidRPr="00A06B88" w:rsidRDefault="00212F95" w:rsidP="00212F95">
            <w:pPr>
              <w:pStyle w:val="Tabele"/>
              <w:jc w:val="right"/>
              <w:rPr>
                <w:color w:val="auto"/>
                <w:highlight w:val="yellow"/>
              </w:rPr>
            </w:pPr>
            <w:r>
              <w:rPr>
                <w:rFonts w:cs="Arial"/>
                <w:color w:val="000000"/>
                <w:szCs w:val="16"/>
              </w:rPr>
              <w:t>195</w:t>
            </w:r>
          </w:p>
        </w:tc>
        <w:tc>
          <w:tcPr>
            <w:tcW w:w="1207" w:type="dxa"/>
            <w:noWrap/>
          </w:tcPr>
          <w:p w14:paraId="459290C9" w14:textId="2703503C" w:rsidR="00212F95" w:rsidRPr="00A06B88" w:rsidRDefault="00212F95" w:rsidP="00212F95">
            <w:pPr>
              <w:pStyle w:val="Tabele"/>
              <w:jc w:val="right"/>
              <w:rPr>
                <w:color w:val="auto"/>
                <w:highlight w:val="yellow"/>
              </w:rPr>
            </w:pPr>
            <w:r>
              <w:rPr>
                <w:rFonts w:cs="Arial"/>
                <w:color w:val="000000"/>
                <w:szCs w:val="16"/>
              </w:rPr>
              <w:t>1 243</w:t>
            </w:r>
          </w:p>
        </w:tc>
        <w:tc>
          <w:tcPr>
            <w:tcW w:w="1208" w:type="dxa"/>
          </w:tcPr>
          <w:p w14:paraId="22C9542D" w14:textId="4529D07C" w:rsidR="00212F95" w:rsidRPr="00A06B88" w:rsidRDefault="00212F95" w:rsidP="00212F95">
            <w:pPr>
              <w:pStyle w:val="Tabele"/>
              <w:jc w:val="right"/>
              <w:rPr>
                <w:color w:val="auto"/>
                <w:highlight w:val="yellow"/>
              </w:rPr>
            </w:pPr>
            <w:r>
              <w:rPr>
                <w:rFonts w:cs="Arial"/>
                <w:color w:val="000000"/>
                <w:szCs w:val="16"/>
              </w:rPr>
              <w:t>2 367</w:t>
            </w:r>
          </w:p>
        </w:tc>
      </w:tr>
      <w:tr w:rsidR="00932A8E" w:rsidRPr="00B87841" w14:paraId="1C422BD5" w14:textId="77777777" w:rsidTr="053D9AD0">
        <w:trPr>
          <w:trHeight w:val="229"/>
        </w:trPr>
        <w:tc>
          <w:tcPr>
            <w:tcW w:w="2502" w:type="dxa"/>
          </w:tcPr>
          <w:p w14:paraId="036E8779" w14:textId="0AD13340" w:rsidR="00932A8E" w:rsidRDefault="00932A8E" w:rsidP="00932A8E">
            <w:pPr>
              <w:pStyle w:val="Tabele"/>
              <w:rPr>
                <w:rFonts w:cs="Arial"/>
                <w:color w:val="000000"/>
                <w:szCs w:val="16"/>
              </w:rPr>
            </w:pPr>
            <w:r>
              <w:rPr>
                <w:rFonts w:cs="Arial"/>
                <w:color w:val="000000"/>
                <w:szCs w:val="16"/>
              </w:rPr>
              <w:t>Pompy ciepła</w:t>
            </w:r>
          </w:p>
        </w:tc>
        <w:tc>
          <w:tcPr>
            <w:tcW w:w="1207" w:type="dxa"/>
            <w:shd w:val="clear" w:color="auto" w:fill="C5E0B3" w:themeFill="accent6" w:themeFillTint="66"/>
            <w:noWrap/>
          </w:tcPr>
          <w:p w14:paraId="424FD45F" w14:textId="16A7E489" w:rsidR="00932A8E" w:rsidRDefault="00932A8E" w:rsidP="00932A8E">
            <w:pPr>
              <w:pStyle w:val="Tabele"/>
              <w:jc w:val="right"/>
              <w:rPr>
                <w:rFonts w:cs="Arial"/>
                <w:color w:val="000000"/>
                <w:szCs w:val="16"/>
              </w:rPr>
            </w:pPr>
            <w:r>
              <w:rPr>
                <w:rFonts w:cs="Arial"/>
                <w:color w:val="000000"/>
                <w:szCs w:val="16"/>
              </w:rPr>
              <w:t>0</w:t>
            </w:r>
          </w:p>
        </w:tc>
        <w:tc>
          <w:tcPr>
            <w:tcW w:w="1208" w:type="dxa"/>
            <w:noWrap/>
          </w:tcPr>
          <w:p w14:paraId="0B9308D2" w14:textId="41F71DC8" w:rsidR="00932A8E" w:rsidRDefault="00932A8E" w:rsidP="00932A8E">
            <w:pPr>
              <w:pStyle w:val="Tabele"/>
              <w:jc w:val="right"/>
              <w:rPr>
                <w:rFonts w:cs="Arial"/>
                <w:color w:val="000000"/>
                <w:szCs w:val="16"/>
              </w:rPr>
            </w:pPr>
            <w:r>
              <w:rPr>
                <w:rFonts w:cs="Arial"/>
                <w:color w:val="000000"/>
                <w:szCs w:val="16"/>
              </w:rPr>
              <w:t>408</w:t>
            </w:r>
          </w:p>
        </w:tc>
        <w:tc>
          <w:tcPr>
            <w:tcW w:w="1208" w:type="dxa"/>
            <w:noWrap/>
          </w:tcPr>
          <w:p w14:paraId="22C61EA2" w14:textId="403E5C78" w:rsidR="00932A8E" w:rsidRDefault="00932A8E" w:rsidP="00932A8E">
            <w:pPr>
              <w:pStyle w:val="Tabele"/>
              <w:jc w:val="right"/>
              <w:rPr>
                <w:rFonts w:cs="Arial"/>
                <w:color w:val="000000"/>
                <w:szCs w:val="16"/>
              </w:rPr>
            </w:pPr>
            <w:r>
              <w:rPr>
                <w:rFonts w:cs="Arial"/>
                <w:color w:val="000000"/>
                <w:szCs w:val="16"/>
              </w:rPr>
              <w:t>4 327</w:t>
            </w:r>
          </w:p>
        </w:tc>
        <w:tc>
          <w:tcPr>
            <w:tcW w:w="1207" w:type="dxa"/>
            <w:noWrap/>
          </w:tcPr>
          <w:p w14:paraId="2591E520" w14:textId="336E4721" w:rsidR="00932A8E" w:rsidRDefault="00932A8E" w:rsidP="00932A8E">
            <w:pPr>
              <w:pStyle w:val="Tabele"/>
              <w:jc w:val="right"/>
              <w:rPr>
                <w:rFonts w:cs="Arial"/>
                <w:color w:val="000000"/>
                <w:szCs w:val="16"/>
              </w:rPr>
            </w:pPr>
            <w:r>
              <w:rPr>
                <w:rFonts w:cs="Arial"/>
                <w:color w:val="000000"/>
                <w:szCs w:val="16"/>
              </w:rPr>
              <w:t>18 676</w:t>
            </w:r>
          </w:p>
        </w:tc>
        <w:tc>
          <w:tcPr>
            <w:tcW w:w="1208" w:type="dxa"/>
          </w:tcPr>
          <w:p w14:paraId="690FBFE9" w14:textId="5D924F5D" w:rsidR="00932A8E" w:rsidRDefault="00932A8E" w:rsidP="00932A8E">
            <w:pPr>
              <w:pStyle w:val="Tabele"/>
              <w:jc w:val="right"/>
              <w:rPr>
                <w:rFonts w:cs="Arial"/>
                <w:color w:val="000000"/>
                <w:szCs w:val="16"/>
              </w:rPr>
            </w:pPr>
            <w:r>
              <w:rPr>
                <w:rFonts w:cs="Arial"/>
                <w:color w:val="000000"/>
                <w:szCs w:val="16"/>
              </w:rPr>
              <w:t>41 303</w:t>
            </w:r>
          </w:p>
        </w:tc>
      </w:tr>
      <w:tr w:rsidR="00932A8E" w:rsidRPr="00B87841" w14:paraId="333FD457" w14:textId="77777777" w:rsidTr="053D9AD0">
        <w:trPr>
          <w:trHeight w:val="229"/>
        </w:trPr>
        <w:tc>
          <w:tcPr>
            <w:tcW w:w="2502" w:type="dxa"/>
          </w:tcPr>
          <w:p w14:paraId="41EBE8AD" w14:textId="28AB872B" w:rsidR="00932A8E" w:rsidRDefault="00932A8E" w:rsidP="00932A8E">
            <w:pPr>
              <w:pStyle w:val="Tabele"/>
              <w:rPr>
                <w:rFonts w:cs="Arial"/>
                <w:color w:val="000000"/>
                <w:szCs w:val="16"/>
              </w:rPr>
            </w:pPr>
            <w:r>
              <w:rPr>
                <w:rFonts w:cs="Arial"/>
                <w:color w:val="000000"/>
                <w:szCs w:val="16"/>
              </w:rPr>
              <w:t>Paliwo jądrowe, ciepło odpadowe</w:t>
            </w:r>
          </w:p>
        </w:tc>
        <w:tc>
          <w:tcPr>
            <w:tcW w:w="1207" w:type="dxa"/>
            <w:shd w:val="clear" w:color="auto" w:fill="C5E0B3" w:themeFill="accent6" w:themeFillTint="66"/>
            <w:noWrap/>
          </w:tcPr>
          <w:p w14:paraId="1249FE5B" w14:textId="576D4FB7" w:rsidR="00932A8E" w:rsidRDefault="00932A8E" w:rsidP="00932A8E">
            <w:pPr>
              <w:pStyle w:val="Tabele"/>
              <w:jc w:val="right"/>
              <w:rPr>
                <w:rFonts w:cs="Arial"/>
                <w:color w:val="000000"/>
                <w:szCs w:val="16"/>
              </w:rPr>
            </w:pPr>
            <w:r>
              <w:rPr>
                <w:rFonts w:cs="Arial"/>
                <w:color w:val="000000"/>
                <w:szCs w:val="16"/>
              </w:rPr>
              <w:t>641</w:t>
            </w:r>
          </w:p>
        </w:tc>
        <w:tc>
          <w:tcPr>
            <w:tcW w:w="1208" w:type="dxa"/>
            <w:noWrap/>
          </w:tcPr>
          <w:p w14:paraId="3BAFA3CE" w14:textId="17980A2E" w:rsidR="00932A8E" w:rsidRDefault="00932A8E" w:rsidP="00932A8E">
            <w:pPr>
              <w:pStyle w:val="Tabele"/>
              <w:jc w:val="right"/>
              <w:rPr>
                <w:rFonts w:cs="Arial"/>
                <w:color w:val="000000"/>
                <w:szCs w:val="16"/>
              </w:rPr>
            </w:pPr>
            <w:r>
              <w:rPr>
                <w:rFonts w:cs="Arial"/>
                <w:color w:val="000000"/>
                <w:szCs w:val="16"/>
              </w:rPr>
              <w:t>0</w:t>
            </w:r>
          </w:p>
        </w:tc>
        <w:tc>
          <w:tcPr>
            <w:tcW w:w="1208" w:type="dxa"/>
            <w:noWrap/>
          </w:tcPr>
          <w:p w14:paraId="5C2BD8E5" w14:textId="3ECB535D" w:rsidR="00932A8E" w:rsidRDefault="00932A8E" w:rsidP="00932A8E">
            <w:pPr>
              <w:pStyle w:val="Tabele"/>
              <w:jc w:val="right"/>
              <w:rPr>
                <w:rFonts w:cs="Arial"/>
                <w:color w:val="000000"/>
                <w:szCs w:val="16"/>
              </w:rPr>
            </w:pPr>
            <w:r>
              <w:rPr>
                <w:rFonts w:cs="Arial"/>
                <w:color w:val="000000"/>
                <w:szCs w:val="16"/>
              </w:rPr>
              <w:t>0</w:t>
            </w:r>
          </w:p>
        </w:tc>
        <w:tc>
          <w:tcPr>
            <w:tcW w:w="1207" w:type="dxa"/>
            <w:noWrap/>
          </w:tcPr>
          <w:p w14:paraId="192CB8D6" w14:textId="1949E9A9" w:rsidR="00932A8E" w:rsidRDefault="00932A8E" w:rsidP="00932A8E">
            <w:pPr>
              <w:pStyle w:val="Tabele"/>
              <w:jc w:val="right"/>
              <w:rPr>
                <w:rFonts w:cs="Arial"/>
                <w:color w:val="000000"/>
                <w:szCs w:val="16"/>
              </w:rPr>
            </w:pPr>
            <w:r>
              <w:rPr>
                <w:rFonts w:cs="Arial"/>
                <w:color w:val="000000"/>
                <w:szCs w:val="16"/>
              </w:rPr>
              <w:t>0</w:t>
            </w:r>
          </w:p>
        </w:tc>
        <w:tc>
          <w:tcPr>
            <w:tcW w:w="1208" w:type="dxa"/>
          </w:tcPr>
          <w:p w14:paraId="63BBB5F1" w14:textId="50FB908E" w:rsidR="00932A8E" w:rsidRDefault="00932A8E" w:rsidP="00932A8E">
            <w:pPr>
              <w:pStyle w:val="Tabele"/>
              <w:jc w:val="right"/>
              <w:rPr>
                <w:rFonts w:cs="Arial"/>
                <w:color w:val="000000"/>
                <w:szCs w:val="16"/>
              </w:rPr>
            </w:pPr>
            <w:r>
              <w:rPr>
                <w:rFonts w:cs="Arial"/>
                <w:color w:val="000000"/>
                <w:szCs w:val="16"/>
              </w:rPr>
              <w:t>0</w:t>
            </w:r>
          </w:p>
        </w:tc>
      </w:tr>
      <w:tr w:rsidR="00932A8E" w:rsidRPr="00B87841" w14:paraId="0B51513C" w14:textId="77777777" w:rsidTr="053D9AD0">
        <w:trPr>
          <w:trHeight w:val="229"/>
        </w:trPr>
        <w:tc>
          <w:tcPr>
            <w:tcW w:w="2502" w:type="dxa"/>
          </w:tcPr>
          <w:p w14:paraId="03366126" w14:textId="4395A7D3" w:rsidR="00932A8E" w:rsidRDefault="00932A8E" w:rsidP="00932A8E">
            <w:pPr>
              <w:pStyle w:val="Tabele"/>
              <w:rPr>
                <w:rFonts w:cs="Arial"/>
                <w:color w:val="000000"/>
                <w:szCs w:val="16"/>
              </w:rPr>
            </w:pPr>
            <w:r>
              <w:rPr>
                <w:rFonts w:cs="Arial"/>
                <w:b/>
                <w:bCs/>
                <w:color w:val="000000"/>
                <w:szCs w:val="16"/>
              </w:rPr>
              <w:t>RAZEM</w:t>
            </w:r>
          </w:p>
        </w:tc>
        <w:tc>
          <w:tcPr>
            <w:tcW w:w="1207" w:type="dxa"/>
            <w:shd w:val="clear" w:color="auto" w:fill="C5E0B3" w:themeFill="accent6" w:themeFillTint="66"/>
            <w:noWrap/>
          </w:tcPr>
          <w:p w14:paraId="5839A607" w14:textId="5F5422AA" w:rsidR="00932A8E" w:rsidRDefault="00932A8E" w:rsidP="00932A8E">
            <w:pPr>
              <w:pStyle w:val="Tabele"/>
              <w:jc w:val="right"/>
              <w:rPr>
                <w:rFonts w:cs="Arial"/>
                <w:color w:val="000000"/>
                <w:szCs w:val="16"/>
              </w:rPr>
            </w:pPr>
            <w:r>
              <w:rPr>
                <w:rFonts w:cs="Arial"/>
                <w:b/>
                <w:bCs/>
                <w:color w:val="000000"/>
                <w:szCs w:val="16"/>
              </w:rPr>
              <w:t>285 942</w:t>
            </w:r>
          </w:p>
        </w:tc>
        <w:tc>
          <w:tcPr>
            <w:tcW w:w="1208" w:type="dxa"/>
            <w:noWrap/>
          </w:tcPr>
          <w:p w14:paraId="36A32F5D" w14:textId="27B21FB0" w:rsidR="00932A8E" w:rsidRDefault="00932A8E" w:rsidP="00932A8E">
            <w:pPr>
              <w:pStyle w:val="Tabele"/>
              <w:jc w:val="right"/>
              <w:rPr>
                <w:rFonts w:cs="Arial"/>
                <w:color w:val="000000"/>
                <w:szCs w:val="16"/>
              </w:rPr>
            </w:pPr>
            <w:r>
              <w:rPr>
                <w:rFonts w:cs="Arial"/>
                <w:b/>
                <w:bCs/>
                <w:color w:val="000000"/>
                <w:szCs w:val="16"/>
              </w:rPr>
              <w:t>270</w:t>
            </w:r>
            <w:r w:rsidR="00D04F4D">
              <w:rPr>
                <w:rFonts w:cs="Arial"/>
                <w:b/>
                <w:bCs/>
                <w:color w:val="000000"/>
                <w:szCs w:val="16"/>
              </w:rPr>
              <w:t xml:space="preserve"> </w:t>
            </w:r>
            <w:r>
              <w:rPr>
                <w:rFonts w:cs="Arial"/>
                <w:b/>
                <w:bCs/>
                <w:color w:val="000000"/>
                <w:szCs w:val="16"/>
              </w:rPr>
              <w:t xml:space="preserve"> 810</w:t>
            </w:r>
          </w:p>
        </w:tc>
        <w:tc>
          <w:tcPr>
            <w:tcW w:w="1208" w:type="dxa"/>
            <w:noWrap/>
          </w:tcPr>
          <w:p w14:paraId="2D5CE4F1" w14:textId="0113E403" w:rsidR="00932A8E" w:rsidRDefault="00932A8E" w:rsidP="00932A8E">
            <w:pPr>
              <w:pStyle w:val="Tabele"/>
              <w:jc w:val="right"/>
              <w:rPr>
                <w:rFonts w:cs="Arial"/>
                <w:color w:val="000000"/>
                <w:szCs w:val="16"/>
              </w:rPr>
            </w:pPr>
            <w:r>
              <w:rPr>
                <w:rFonts w:cs="Arial"/>
                <w:b/>
                <w:bCs/>
                <w:color w:val="000000"/>
                <w:szCs w:val="16"/>
              </w:rPr>
              <w:t>241 152</w:t>
            </w:r>
          </w:p>
        </w:tc>
        <w:tc>
          <w:tcPr>
            <w:tcW w:w="1207" w:type="dxa"/>
            <w:noWrap/>
          </w:tcPr>
          <w:p w14:paraId="5FC7C971" w14:textId="3CB53ECE" w:rsidR="00932A8E" w:rsidRDefault="00FC453E" w:rsidP="00932A8E">
            <w:pPr>
              <w:pStyle w:val="Tabele"/>
              <w:jc w:val="right"/>
              <w:rPr>
                <w:rFonts w:cs="Arial"/>
                <w:color w:val="000000"/>
                <w:szCs w:val="16"/>
              </w:rPr>
            </w:pPr>
            <w:r>
              <w:rPr>
                <w:rFonts w:cs="Arial"/>
                <w:b/>
                <w:bCs/>
                <w:color w:val="000000"/>
                <w:szCs w:val="16"/>
              </w:rPr>
              <w:t>208 314</w:t>
            </w:r>
          </w:p>
        </w:tc>
        <w:tc>
          <w:tcPr>
            <w:tcW w:w="1208" w:type="dxa"/>
          </w:tcPr>
          <w:p w14:paraId="0E87D05E" w14:textId="1037475F" w:rsidR="00932A8E" w:rsidRDefault="00FC453E" w:rsidP="00932A8E">
            <w:pPr>
              <w:pStyle w:val="Tabele"/>
              <w:jc w:val="right"/>
              <w:rPr>
                <w:rFonts w:cs="Arial"/>
                <w:color w:val="000000"/>
                <w:szCs w:val="16"/>
              </w:rPr>
            </w:pPr>
            <w:r>
              <w:rPr>
                <w:rFonts w:cs="Arial"/>
                <w:b/>
                <w:bCs/>
                <w:color w:val="000000"/>
                <w:szCs w:val="16"/>
              </w:rPr>
              <w:t>194 755</w:t>
            </w:r>
          </w:p>
        </w:tc>
      </w:tr>
    </w:tbl>
    <w:p w14:paraId="037F16E8" w14:textId="77777777" w:rsidR="0035322B" w:rsidRDefault="0035322B" w:rsidP="004F619C"/>
    <w:p w14:paraId="6A401F51" w14:textId="4EA6A7BA" w:rsidR="004F619C" w:rsidRDefault="004F619C" w:rsidP="004F619C"/>
    <w:p w14:paraId="4C9053B5" w14:textId="23C3BFAF" w:rsidR="0065018B" w:rsidRDefault="0065018B" w:rsidP="004F619C">
      <w:pPr>
        <w:rPr>
          <w:i/>
          <w:color w:val="44546A" w:themeColor="text2"/>
          <w:sz w:val="18"/>
          <w:szCs w:val="18"/>
        </w:rPr>
      </w:pPr>
      <w:bookmarkStart w:id="375" w:name="_Ref197443873"/>
      <w:bookmarkStart w:id="376" w:name="_Toc202967046"/>
      <w:r w:rsidRPr="00262653">
        <w:rPr>
          <w:i/>
          <w:iCs/>
          <w:color w:val="44546A" w:themeColor="text2"/>
          <w:sz w:val="18"/>
          <w:szCs w:val="18"/>
        </w:rPr>
        <w:t xml:space="preserve">Rysunek </w:t>
      </w:r>
      <w:r w:rsidRPr="00262653">
        <w:rPr>
          <w:i/>
          <w:iCs/>
          <w:noProof/>
          <w:color w:val="44546A" w:themeColor="text2"/>
          <w:sz w:val="18"/>
          <w:szCs w:val="18"/>
        </w:rPr>
        <w:fldChar w:fldCharType="begin"/>
      </w:r>
      <w:r w:rsidRPr="00262653">
        <w:rPr>
          <w:i/>
          <w:iCs/>
          <w:noProof/>
          <w:color w:val="44546A" w:themeColor="text2"/>
          <w:sz w:val="18"/>
          <w:szCs w:val="18"/>
        </w:rPr>
        <w:instrText xml:space="preserve"> STYLEREF 1 \s </w:instrText>
      </w:r>
      <w:r w:rsidRPr="00262653">
        <w:rPr>
          <w:i/>
          <w:iCs/>
          <w:noProof/>
          <w:color w:val="44546A" w:themeColor="text2"/>
          <w:sz w:val="18"/>
          <w:szCs w:val="18"/>
        </w:rPr>
        <w:fldChar w:fldCharType="separate"/>
      </w:r>
      <w:r w:rsidR="00F27D6F">
        <w:rPr>
          <w:i/>
          <w:iCs/>
          <w:noProof/>
          <w:color w:val="44546A" w:themeColor="text2"/>
          <w:sz w:val="18"/>
          <w:szCs w:val="18"/>
        </w:rPr>
        <w:t>2</w:t>
      </w:r>
      <w:r w:rsidRPr="00262653">
        <w:rPr>
          <w:i/>
          <w:iCs/>
          <w:noProof/>
          <w:color w:val="44546A" w:themeColor="text2"/>
          <w:sz w:val="18"/>
          <w:szCs w:val="18"/>
        </w:rPr>
        <w:fldChar w:fldCharType="end"/>
      </w:r>
      <w:r w:rsidRPr="00262653">
        <w:rPr>
          <w:i/>
          <w:iCs/>
          <w:color w:val="44546A" w:themeColor="text2"/>
          <w:sz w:val="18"/>
          <w:szCs w:val="18"/>
        </w:rPr>
        <w:t>.</w:t>
      </w:r>
      <w:r w:rsidRPr="00262653">
        <w:rPr>
          <w:i/>
          <w:iCs/>
          <w:noProof/>
          <w:color w:val="44546A" w:themeColor="text2"/>
          <w:sz w:val="18"/>
          <w:szCs w:val="18"/>
        </w:rPr>
        <w:fldChar w:fldCharType="begin"/>
      </w:r>
      <w:r w:rsidRPr="00262653">
        <w:rPr>
          <w:i/>
          <w:iCs/>
          <w:noProof/>
          <w:color w:val="44546A" w:themeColor="text2"/>
          <w:sz w:val="18"/>
          <w:szCs w:val="18"/>
        </w:rPr>
        <w:instrText xml:space="preserve"> SEQ Rysunek \* ARABIC \s 1 </w:instrText>
      </w:r>
      <w:r w:rsidRPr="00262653">
        <w:rPr>
          <w:i/>
          <w:iCs/>
          <w:noProof/>
          <w:color w:val="44546A" w:themeColor="text2"/>
          <w:sz w:val="18"/>
          <w:szCs w:val="18"/>
        </w:rPr>
        <w:fldChar w:fldCharType="separate"/>
      </w:r>
      <w:r w:rsidR="00F27D6F">
        <w:rPr>
          <w:i/>
          <w:iCs/>
          <w:noProof/>
          <w:color w:val="44546A" w:themeColor="text2"/>
          <w:sz w:val="18"/>
          <w:szCs w:val="18"/>
        </w:rPr>
        <w:t>5</w:t>
      </w:r>
      <w:r w:rsidRPr="00262653">
        <w:rPr>
          <w:i/>
          <w:iCs/>
          <w:noProof/>
          <w:color w:val="44546A" w:themeColor="text2"/>
          <w:sz w:val="18"/>
          <w:szCs w:val="18"/>
        </w:rPr>
        <w:fldChar w:fldCharType="end"/>
      </w:r>
      <w:bookmarkEnd w:id="375"/>
      <w:r w:rsidRPr="00262653">
        <w:rPr>
          <w:i/>
          <w:iCs/>
          <w:color w:val="44546A" w:themeColor="text2"/>
          <w:sz w:val="18"/>
          <w:szCs w:val="18"/>
        </w:rPr>
        <w:t xml:space="preserve">. </w:t>
      </w:r>
      <w:r w:rsidR="009501EC">
        <w:rPr>
          <w:i/>
          <w:iCs/>
          <w:color w:val="44546A" w:themeColor="text2"/>
          <w:sz w:val="18"/>
          <w:szCs w:val="18"/>
        </w:rPr>
        <w:t>Produ</w:t>
      </w:r>
      <w:r w:rsidR="00FC3808">
        <w:rPr>
          <w:i/>
          <w:iCs/>
          <w:color w:val="44546A" w:themeColor="text2"/>
          <w:sz w:val="18"/>
          <w:szCs w:val="18"/>
        </w:rPr>
        <w:t xml:space="preserve">kcja </w:t>
      </w:r>
      <w:r w:rsidR="00FC3808" w:rsidRPr="00390994">
        <w:rPr>
          <w:i/>
          <w:color w:val="44546A" w:themeColor="text2"/>
          <w:sz w:val="18"/>
          <w:szCs w:val="18"/>
          <w:u w:val="single"/>
        </w:rPr>
        <w:t xml:space="preserve">ciepła </w:t>
      </w:r>
      <w:r w:rsidR="00E413BF" w:rsidRPr="00390994">
        <w:rPr>
          <w:i/>
          <w:color w:val="44546A" w:themeColor="text2"/>
          <w:sz w:val="18"/>
          <w:szCs w:val="18"/>
          <w:u w:val="single"/>
        </w:rPr>
        <w:t>systemowego</w:t>
      </w:r>
      <w:r w:rsidR="00E413BF">
        <w:rPr>
          <w:i/>
          <w:iCs/>
          <w:color w:val="44546A" w:themeColor="text2"/>
          <w:sz w:val="18"/>
          <w:szCs w:val="18"/>
        </w:rPr>
        <w:t xml:space="preserve"> w podziale </w:t>
      </w:r>
      <w:r w:rsidRPr="00262653">
        <w:rPr>
          <w:i/>
          <w:iCs/>
          <w:color w:val="44546A" w:themeColor="text2"/>
          <w:sz w:val="18"/>
          <w:szCs w:val="18"/>
        </w:rPr>
        <w:t>na paliwa</w:t>
      </w:r>
      <w:r w:rsidR="00A33A38">
        <w:rPr>
          <w:i/>
          <w:iCs/>
          <w:color w:val="44546A" w:themeColor="text2"/>
          <w:sz w:val="18"/>
          <w:szCs w:val="18"/>
        </w:rPr>
        <w:t xml:space="preserve"> [PJ]</w:t>
      </w:r>
      <w:bookmarkEnd w:id="376"/>
    </w:p>
    <w:p w14:paraId="7416DC42" w14:textId="3D968C36" w:rsidR="007E4123" w:rsidRPr="00775C2E" w:rsidRDefault="00330353" w:rsidP="004F619C">
      <w:pPr>
        <w:rPr>
          <w:sz w:val="18"/>
          <w:szCs w:val="18"/>
        </w:rPr>
      </w:pPr>
      <w:r>
        <w:rPr>
          <w:noProof/>
        </w:rPr>
        <w:drawing>
          <wp:inline distT="0" distB="0" distL="0" distR="0" wp14:anchorId="538DD0C1" wp14:editId="69E380B4">
            <wp:extent cx="5760720" cy="2766695"/>
            <wp:effectExtent l="0" t="0" r="0" b="0"/>
            <wp:docPr id="714750075" name="Wykres 1">
              <a:extLst xmlns:a="http://schemas.openxmlformats.org/drawingml/2006/main">
                <a:ext uri="{FF2B5EF4-FFF2-40B4-BE49-F238E27FC236}">
                  <a16:creationId xmlns:a16="http://schemas.microsoft.com/office/drawing/2014/main" id="{C26CA74E-F9EE-4CB4-8972-4C5B997779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4B0EFD2" w14:textId="02DAE007" w:rsidR="005C4144" w:rsidRPr="00B87841" w:rsidRDefault="005C4144" w:rsidP="00200ADD">
      <w:pPr>
        <w:pStyle w:val="Nagwek2"/>
      </w:pPr>
      <w:bookmarkStart w:id="377" w:name="_Toc171587327"/>
      <w:bookmarkStart w:id="378" w:name="_Toc174710901"/>
      <w:bookmarkStart w:id="379" w:name="_Toc202966894"/>
      <w:r w:rsidRPr="00B87841">
        <w:t>Produkcja energii cieplnej</w:t>
      </w:r>
      <w:r>
        <w:t xml:space="preserve"> wytworzonej w</w:t>
      </w:r>
      <w:r w:rsidR="00200ADD">
        <w:t> </w:t>
      </w:r>
      <w:r>
        <w:t>indywidualnych źródłach ciepła</w:t>
      </w:r>
      <w:bookmarkEnd w:id="377"/>
      <w:bookmarkEnd w:id="378"/>
      <w:bookmarkEnd w:id="379"/>
    </w:p>
    <w:p w14:paraId="52ED2D85" w14:textId="5B79ABAD" w:rsidR="005C4144" w:rsidRPr="00A00F54" w:rsidRDefault="005C4144" w:rsidP="005C4144">
      <w:r>
        <w:t>W tabeli (</w:t>
      </w:r>
      <w:r w:rsidR="002352FB">
        <w:fldChar w:fldCharType="begin"/>
      </w:r>
      <w:r w:rsidR="002352FB">
        <w:instrText xml:space="preserve"> REF _Ref195871631 \h </w:instrText>
      </w:r>
      <w:r w:rsidR="002352FB">
        <w:fldChar w:fldCharType="separate"/>
      </w:r>
      <w:r w:rsidR="00F27D6F">
        <w:t xml:space="preserve">Tabela </w:t>
      </w:r>
      <w:r w:rsidR="00F27D6F">
        <w:rPr>
          <w:noProof/>
        </w:rPr>
        <w:t>2</w:t>
      </w:r>
      <w:r w:rsidR="00F27D6F">
        <w:t>.</w:t>
      </w:r>
      <w:r w:rsidR="00F27D6F">
        <w:rPr>
          <w:noProof/>
        </w:rPr>
        <w:t>13</w:t>
      </w:r>
      <w:r w:rsidR="002352FB">
        <w:fldChar w:fldCharType="end"/>
      </w:r>
      <w:r>
        <w:t xml:space="preserve">) </w:t>
      </w:r>
      <w:r w:rsidR="000E0A4D">
        <w:t>przedstawiono produkcję energii cieplnej wytworzonej w indywidualnych źródłach ciepła w podziale na sektory. Zgodnie z otrzymanymi wynikami prognoz, produkcja ciepła w indywidualnych źródłach ciepła spada w rozpatrywanym horyzoncie czasowym z poziomu ok. 9</w:t>
      </w:r>
      <w:r w:rsidR="00D852DB">
        <w:t>75</w:t>
      </w:r>
      <w:r w:rsidR="000E0A4D">
        <w:t xml:space="preserve"> PJ w 2020 r. do 860 PJ w 2030 r. i 720 PJ w 2040 r. Główną przyczyną tego spadku są założenia odnośnie </w:t>
      </w:r>
      <w:r w:rsidR="00734407">
        <w:t xml:space="preserve">do </w:t>
      </w:r>
      <w:r w:rsidR="000E0A4D">
        <w:t xml:space="preserve">tempa i zakresu termomodernizacji budynków. Osiągnięcie takich rezultatów wymaga przeprowadzenia kompleksowej termomodernizacji budynków wielorodzinnych i jednorodzinnych, zgodnie z założeniami KPRB (obecnie na etapie projektu). W tabeli </w:t>
      </w:r>
      <w:r>
        <w:t>(</w:t>
      </w:r>
      <w:r w:rsidR="002352FB">
        <w:fldChar w:fldCharType="begin"/>
      </w:r>
      <w:r w:rsidR="002352FB">
        <w:instrText xml:space="preserve"> REF _Ref195871653 \h </w:instrText>
      </w:r>
      <w:r w:rsidR="002352FB">
        <w:fldChar w:fldCharType="separate"/>
      </w:r>
      <w:r w:rsidR="00F27D6F">
        <w:t xml:space="preserve">Tabela </w:t>
      </w:r>
      <w:r w:rsidR="00F27D6F">
        <w:rPr>
          <w:noProof/>
        </w:rPr>
        <w:t>2</w:t>
      </w:r>
      <w:r w:rsidR="00F27D6F">
        <w:t>.</w:t>
      </w:r>
      <w:r w:rsidR="00F27D6F">
        <w:rPr>
          <w:noProof/>
        </w:rPr>
        <w:t>14</w:t>
      </w:r>
      <w:r w:rsidR="002352FB">
        <w:fldChar w:fldCharType="end"/>
      </w:r>
      <w:r>
        <w:t xml:space="preserve">) </w:t>
      </w:r>
      <w:r w:rsidR="00092EAA">
        <w:t>przedstawiono produkcję energii cieplnej wytworzonej w indywidualnych źródłach ciepła w podziale na paliwa i nośniki energii. W</w:t>
      </w:r>
      <w:r w:rsidR="00946C68">
        <w:t> </w:t>
      </w:r>
      <w:r w:rsidR="00092EAA">
        <w:t>zaprezentowanym zestawieniu widoczny jest spadek wykorzystania węgla do produkcji ciepła i</w:t>
      </w:r>
      <w:r w:rsidR="00946C68">
        <w:t> </w:t>
      </w:r>
      <w:r w:rsidR="00092EAA">
        <w:t>zastępowanie go stopniowo pompami ciepła, kolektorami słonecznymi oraz energią elektryczną (ogrzewanie podłogowe, ogrzewanie na podczerwień).</w:t>
      </w:r>
    </w:p>
    <w:p w14:paraId="6FF8262C" w14:textId="77CB7B8D" w:rsidR="005C4144" w:rsidRDefault="005C4144" w:rsidP="005C4144">
      <w:pPr>
        <w:pStyle w:val="Legenda"/>
        <w:keepNext/>
      </w:pPr>
      <w:bookmarkStart w:id="380" w:name="_Ref167820512"/>
      <w:bookmarkStart w:id="381" w:name="_Ref195871631"/>
      <w:bookmarkStart w:id="382" w:name="_Toc171587200"/>
      <w:bookmarkStart w:id="383" w:name="_Toc174710984"/>
      <w:bookmarkStart w:id="384" w:name="_Toc202966988"/>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13</w:t>
      </w:r>
      <w:r w:rsidR="00653D9A">
        <w:rPr>
          <w:noProof/>
        </w:rPr>
        <w:fldChar w:fldCharType="end"/>
      </w:r>
      <w:bookmarkEnd w:id="380"/>
      <w:bookmarkEnd w:id="381"/>
      <w:r>
        <w:t xml:space="preserve">. </w:t>
      </w:r>
      <w:r w:rsidRPr="007A2712">
        <w:t>Produkcja ciepła w indywidualnych źródłach grzewczych w podziale na sektory [PJ]</w:t>
      </w:r>
      <w:bookmarkEnd w:id="382"/>
      <w:bookmarkEnd w:id="383"/>
      <w:bookmarkEnd w:id="384"/>
    </w:p>
    <w:tbl>
      <w:tblPr>
        <w:tblStyle w:val="KPEiK"/>
        <w:tblW w:w="5000" w:type="pct"/>
        <w:tblLook w:val="04A0" w:firstRow="1" w:lastRow="0" w:firstColumn="1" w:lastColumn="0" w:noHBand="0" w:noVBand="1"/>
      </w:tblPr>
      <w:tblGrid>
        <w:gridCol w:w="2793"/>
        <w:gridCol w:w="1253"/>
        <w:gridCol w:w="1254"/>
        <w:gridCol w:w="1254"/>
        <w:gridCol w:w="1254"/>
        <w:gridCol w:w="1254"/>
      </w:tblGrid>
      <w:tr w:rsidR="00487DAA" w:rsidRPr="007A2712" w14:paraId="2762442B" w14:textId="77777777" w:rsidTr="00487DAA">
        <w:trPr>
          <w:cnfStyle w:val="100000000000" w:firstRow="1" w:lastRow="0" w:firstColumn="0" w:lastColumn="0" w:oddVBand="0" w:evenVBand="0" w:oddHBand="0" w:evenHBand="0" w:firstRowFirstColumn="0" w:firstRowLastColumn="0" w:lastRowFirstColumn="0" w:lastRowLastColumn="0"/>
          <w:trHeight w:val="214"/>
          <w:tblHeader/>
        </w:trPr>
        <w:tc>
          <w:tcPr>
            <w:tcW w:w="2809" w:type="dxa"/>
            <w:noWrap/>
            <w:hideMark/>
          </w:tcPr>
          <w:p w14:paraId="173C974A" w14:textId="77777777" w:rsidR="00487DAA" w:rsidRPr="007A2712" w:rsidRDefault="00487DAA">
            <w:pPr>
              <w:pStyle w:val="Tabele"/>
              <w:jc w:val="center"/>
              <w:rPr>
                <w:b w:val="0"/>
                <w:lang w:eastAsia="pl-PL"/>
              </w:rPr>
            </w:pPr>
            <w:r w:rsidRPr="007A2712">
              <w:rPr>
                <w:lang w:eastAsia="pl-PL"/>
              </w:rPr>
              <w:t>sektor</w:t>
            </w:r>
          </w:p>
        </w:tc>
        <w:tc>
          <w:tcPr>
            <w:tcW w:w="1259" w:type="dxa"/>
            <w:noWrap/>
            <w:hideMark/>
          </w:tcPr>
          <w:p w14:paraId="0A84C222" w14:textId="77777777" w:rsidR="00487DAA" w:rsidRPr="007A2712" w:rsidRDefault="00487DAA">
            <w:pPr>
              <w:pStyle w:val="Tabele"/>
              <w:jc w:val="center"/>
              <w:rPr>
                <w:b w:val="0"/>
                <w:lang w:eastAsia="pl-PL"/>
              </w:rPr>
            </w:pPr>
            <w:r w:rsidRPr="007A2712">
              <w:rPr>
                <w:lang w:eastAsia="pl-PL"/>
              </w:rPr>
              <w:t>2020</w:t>
            </w:r>
          </w:p>
        </w:tc>
        <w:tc>
          <w:tcPr>
            <w:tcW w:w="1260" w:type="dxa"/>
            <w:noWrap/>
            <w:hideMark/>
          </w:tcPr>
          <w:p w14:paraId="22185A6F" w14:textId="77777777" w:rsidR="00487DAA" w:rsidRPr="007A2712" w:rsidRDefault="00487DAA">
            <w:pPr>
              <w:pStyle w:val="Tabele"/>
              <w:jc w:val="center"/>
              <w:rPr>
                <w:b w:val="0"/>
                <w:lang w:eastAsia="pl-PL"/>
              </w:rPr>
            </w:pPr>
            <w:r w:rsidRPr="007A2712">
              <w:rPr>
                <w:lang w:eastAsia="pl-PL"/>
              </w:rPr>
              <w:t>2025</w:t>
            </w:r>
          </w:p>
        </w:tc>
        <w:tc>
          <w:tcPr>
            <w:tcW w:w="1260" w:type="dxa"/>
            <w:noWrap/>
            <w:hideMark/>
          </w:tcPr>
          <w:p w14:paraId="1B522420" w14:textId="77777777" w:rsidR="00487DAA" w:rsidRPr="007A2712" w:rsidRDefault="00487DAA">
            <w:pPr>
              <w:pStyle w:val="Tabele"/>
              <w:jc w:val="center"/>
              <w:rPr>
                <w:b w:val="0"/>
                <w:lang w:eastAsia="pl-PL"/>
              </w:rPr>
            </w:pPr>
            <w:r w:rsidRPr="007A2712">
              <w:rPr>
                <w:lang w:eastAsia="pl-PL"/>
              </w:rPr>
              <w:t>2030</w:t>
            </w:r>
          </w:p>
        </w:tc>
        <w:tc>
          <w:tcPr>
            <w:tcW w:w="1260" w:type="dxa"/>
            <w:noWrap/>
            <w:hideMark/>
          </w:tcPr>
          <w:p w14:paraId="3940A443" w14:textId="77777777" w:rsidR="00487DAA" w:rsidRPr="007A2712" w:rsidRDefault="00487DAA">
            <w:pPr>
              <w:pStyle w:val="Tabele"/>
              <w:jc w:val="center"/>
              <w:rPr>
                <w:b w:val="0"/>
                <w:lang w:eastAsia="pl-PL"/>
              </w:rPr>
            </w:pPr>
            <w:r w:rsidRPr="007A2712">
              <w:rPr>
                <w:lang w:eastAsia="pl-PL"/>
              </w:rPr>
              <w:t>2035</w:t>
            </w:r>
          </w:p>
        </w:tc>
        <w:tc>
          <w:tcPr>
            <w:tcW w:w="1260" w:type="dxa"/>
            <w:noWrap/>
            <w:hideMark/>
          </w:tcPr>
          <w:p w14:paraId="7FEA607F" w14:textId="77777777" w:rsidR="00487DAA" w:rsidRPr="007A2712" w:rsidRDefault="00487DAA">
            <w:pPr>
              <w:pStyle w:val="Tabele"/>
              <w:jc w:val="center"/>
              <w:rPr>
                <w:b w:val="0"/>
                <w:lang w:eastAsia="pl-PL"/>
              </w:rPr>
            </w:pPr>
            <w:r w:rsidRPr="007A2712">
              <w:rPr>
                <w:lang w:eastAsia="pl-PL"/>
              </w:rPr>
              <w:t>2040</w:t>
            </w:r>
          </w:p>
        </w:tc>
      </w:tr>
      <w:tr w:rsidR="00487DAA" w:rsidRPr="007A2712" w14:paraId="7E36C1DE" w14:textId="77777777" w:rsidTr="00487DAA">
        <w:trPr>
          <w:trHeight w:val="214"/>
        </w:trPr>
        <w:tc>
          <w:tcPr>
            <w:tcW w:w="2809" w:type="dxa"/>
            <w:noWrap/>
            <w:hideMark/>
          </w:tcPr>
          <w:p w14:paraId="7FDDE96D" w14:textId="77777777" w:rsidR="00487DAA" w:rsidRPr="007A2712" w:rsidRDefault="00487DAA">
            <w:pPr>
              <w:pStyle w:val="Tabele"/>
              <w:rPr>
                <w:color w:val="000000"/>
                <w:lang w:eastAsia="pl-PL"/>
              </w:rPr>
            </w:pPr>
            <w:r w:rsidRPr="007A2712">
              <w:rPr>
                <w:color w:val="000000"/>
                <w:lang w:eastAsia="pl-PL"/>
              </w:rPr>
              <w:t>Gospodarstwa domowe</w:t>
            </w:r>
          </w:p>
        </w:tc>
        <w:tc>
          <w:tcPr>
            <w:tcW w:w="1259" w:type="dxa"/>
            <w:noWrap/>
            <w:hideMark/>
          </w:tcPr>
          <w:p w14:paraId="7F51098F" w14:textId="12556D72" w:rsidR="00487DAA" w:rsidRPr="007A2712" w:rsidRDefault="00487DAA">
            <w:pPr>
              <w:pStyle w:val="Tabele"/>
              <w:jc w:val="right"/>
              <w:rPr>
                <w:color w:val="000000"/>
                <w:lang w:eastAsia="pl-PL"/>
              </w:rPr>
            </w:pPr>
            <w:r w:rsidRPr="007A2712">
              <w:rPr>
                <w:color w:val="000000"/>
                <w:lang w:eastAsia="pl-PL"/>
              </w:rPr>
              <w:t>5</w:t>
            </w:r>
            <w:r w:rsidR="00E11D33">
              <w:rPr>
                <w:color w:val="000000"/>
                <w:lang w:eastAsia="pl-PL"/>
              </w:rPr>
              <w:t>38</w:t>
            </w:r>
          </w:p>
        </w:tc>
        <w:tc>
          <w:tcPr>
            <w:tcW w:w="1260" w:type="dxa"/>
            <w:noWrap/>
            <w:hideMark/>
          </w:tcPr>
          <w:p w14:paraId="62E8A2AA" w14:textId="77777777" w:rsidR="00487DAA" w:rsidRPr="007A2712" w:rsidRDefault="00487DAA">
            <w:pPr>
              <w:pStyle w:val="Tabele"/>
              <w:jc w:val="right"/>
              <w:rPr>
                <w:color w:val="000000"/>
                <w:lang w:eastAsia="pl-PL"/>
              </w:rPr>
            </w:pPr>
            <w:r>
              <w:rPr>
                <w:rFonts w:cs="Arial"/>
                <w:color w:val="000000"/>
                <w:szCs w:val="16"/>
              </w:rPr>
              <w:t>529</w:t>
            </w:r>
          </w:p>
        </w:tc>
        <w:tc>
          <w:tcPr>
            <w:tcW w:w="1260" w:type="dxa"/>
            <w:noWrap/>
            <w:hideMark/>
          </w:tcPr>
          <w:p w14:paraId="11B54D5F" w14:textId="77777777" w:rsidR="00487DAA" w:rsidRPr="007A2712" w:rsidRDefault="00487DAA">
            <w:pPr>
              <w:pStyle w:val="Tabele"/>
              <w:jc w:val="right"/>
              <w:rPr>
                <w:color w:val="000000"/>
                <w:lang w:eastAsia="pl-PL"/>
              </w:rPr>
            </w:pPr>
            <w:r>
              <w:rPr>
                <w:rFonts w:cs="Arial"/>
                <w:color w:val="000000"/>
                <w:szCs w:val="16"/>
              </w:rPr>
              <w:t>473</w:t>
            </w:r>
          </w:p>
        </w:tc>
        <w:tc>
          <w:tcPr>
            <w:tcW w:w="1260" w:type="dxa"/>
            <w:noWrap/>
            <w:hideMark/>
          </w:tcPr>
          <w:p w14:paraId="7365E16B" w14:textId="77777777" w:rsidR="00487DAA" w:rsidRPr="007A2712" w:rsidRDefault="00487DAA">
            <w:pPr>
              <w:pStyle w:val="Tabele"/>
              <w:jc w:val="right"/>
              <w:rPr>
                <w:color w:val="000000"/>
                <w:lang w:eastAsia="pl-PL"/>
              </w:rPr>
            </w:pPr>
            <w:r>
              <w:rPr>
                <w:rFonts w:cs="Arial"/>
                <w:color w:val="000000"/>
                <w:szCs w:val="16"/>
              </w:rPr>
              <w:t>415</w:t>
            </w:r>
          </w:p>
        </w:tc>
        <w:tc>
          <w:tcPr>
            <w:tcW w:w="1260" w:type="dxa"/>
            <w:noWrap/>
            <w:hideMark/>
          </w:tcPr>
          <w:p w14:paraId="2685B0A5" w14:textId="77777777" w:rsidR="00487DAA" w:rsidRPr="007A2712" w:rsidRDefault="00487DAA">
            <w:pPr>
              <w:pStyle w:val="Tabele"/>
              <w:jc w:val="right"/>
              <w:rPr>
                <w:color w:val="000000"/>
                <w:lang w:eastAsia="pl-PL"/>
              </w:rPr>
            </w:pPr>
            <w:r>
              <w:rPr>
                <w:rFonts w:cs="Arial"/>
                <w:color w:val="000000"/>
                <w:szCs w:val="16"/>
              </w:rPr>
              <w:t>397</w:t>
            </w:r>
          </w:p>
        </w:tc>
      </w:tr>
      <w:tr w:rsidR="00487DAA" w:rsidRPr="007A2712" w14:paraId="25DEDC75" w14:textId="77777777" w:rsidTr="00487DAA">
        <w:trPr>
          <w:trHeight w:val="214"/>
        </w:trPr>
        <w:tc>
          <w:tcPr>
            <w:tcW w:w="2809" w:type="dxa"/>
            <w:noWrap/>
            <w:hideMark/>
          </w:tcPr>
          <w:p w14:paraId="15B85DE2" w14:textId="77777777" w:rsidR="00487DAA" w:rsidRPr="007A2712" w:rsidRDefault="00487DAA">
            <w:pPr>
              <w:pStyle w:val="Tabele"/>
              <w:rPr>
                <w:color w:val="000000"/>
                <w:lang w:eastAsia="pl-PL"/>
              </w:rPr>
            </w:pPr>
            <w:r w:rsidRPr="007A2712">
              <w:rPr>
                <w:color w:val="000000"/>
                <w:lang w:eastAsia="pl-PL"/>
              </w:rPr>
              <w:t>Usługi</w:t>
            </w:r>
          </w:p>
        </w:tc>
        <w:tc>
          <w:tcPr>
            <w:tcW w:w="1259" w:type="dxa"/>
            <w:noWrap/>
            <w:hideMark/>
          </w:tcPr>
          <w:p w14:paraId="5CF660DF" w14:textId="7F499E3B" w:rsidR="00487DAA" w:rsidRPr="007A2712" w:rsidRDefault="00487DAA">
            <w:pPr>
              <w:pStyle w:val="Tabele"/>
              <w:jc w:val="right"/>
              <w:rPr>
                <w:color w:val="000000"/>
                <w:lang w:eastAsia="pl-PL"/>
              </w:rPr>
            </w:pPr>
            <w:r w:rsidRPr="007A2712">
              <w:rPr>
                <w:color w:val="000000"/>
                <w:lang w:eastAsia="pl-PL"/>
              </w:rPr>
              <w:t>10</w:t>
            </w:r>
            <w:r w:rsidR="00E11D33">
              <w:rPr>
                <w:color w:val="000000"/>
                <w:lang w:eastAsia="pl-PL"/>
              </w:rPr>
              <w:t>6</w:t>
            </w:r>
          </w:p>
        </w:tc>
        <w:tc>
          <w:tcPr>
            <w:tcW w:w="1260" w:type="dxa"/>
            <w:noWrap/>
            <w:hideMark/>
          </w:tcPr>
          <w:p w14:paraId="72EF2692" w14:textId="77777777" w:rsidR="00487DAA" w:rsidRPr="007A2712" w:rsidRDefault="00487DAA">
            <w:pPr>
              <w:pStyle w:val="Tabele"/>
              <w:jc w:val="right"/>
              <w:rPr>
                <w:color w:val="000000"/>
                <w:lang w:eastAsia="pl-PL"/>
              </w:rPr>
            </w:pPr>
            <w:r>
              <w:rPr>
                <w:rFonts w:cs="Arial"/>
                <w:color w:val="000000"/>
                <w:szCs w:val="16"/>
              </w:rPr>
              <w:t>104</w:t>
            </w:r>
          </w:p>
        </w:tc>
        <w:tc>
          <w:tcPr>
            <w:tcW w:w="1260" w:type="dxa"/>
            <w:noWrap/>
            <w:hideMark/>
          </w:tcPr>
          <w:p w14:paraId="5BA7ADE4" w14:textId="77777777" w:rsidR="00487DAA" w:rsidRPr="007A2712" w:rsidRDefault="00487DAA">
            <w:pPr>
              <w:pStyle w:val="Tabele"/>
              <w:jc w:val="right"/>
              <w:rPr>
                <w:color w:val="000000"/>
                <w:lang w:eastAsia="pl-PL"/>
              </w:rPr>
            </w:pPr>
            <w:r>
              <w:rPr>
                <w:rFonts w:cs="Arial"/>
                <w:color w:val="000000"/>
                <w:szCs w:val="16"/>
              </w:rPr>
              <w:t>95</w:t>
            </w:r>
          </w:p>
        </w:tc>
        <w:tc>
          <w:tcPr>
            <w:tcW w:w="1260" w:type="dxa"/>
            <w:noWrap/>
            <w:hideMark/>
          </w:tcPr>
          <w:p w14:paraId="4AC6F199" w14:textId="77777777" w:rsidR="00487DAA" w:rsidRPr="007A2712" w:rsidRDefault="00487DAA">
            <w:pPr>
              <w:pStyle w:val="Tabele"/>
              <w:jc w:val="right"/>
              <w:rPr>
                <w:color w:val="000000"/>
                <w:lang w:eastAsia="pl-PL"/>
              </w:rPr>
            </w:pPr>
            <w:r>
              <w:rPr>
                <w:rFonts w:cs="Arial"/>
                <w:color w:val="000000"/>
                <w:szCs w:val="16"/>
              </w:rPr>
              <w:t>77</w:t>
            </w:r>
          </w:p>
        </w:tc>
        <w:tc>
          <w:tcPr>
            <w:tcW w:w="1260" w:type="dxa"/>
            <w:noWrap/>
            <w:hideMark/>
          </w:tcPr>
          <w:p w14:paraId="4D2F5864" w14:textId="77777777" w:rsidR="00487DAA" w:rsidRPr="007A2712" w:rsidRDefault="00487DAA">
            <w:pPr>
              <w:pStyle w:val="Tabele"/>
              <w:jc w:val="right"/>
              <w:rPr>
                <w:color w:val="000000"/>
                <w:lang w:eastAsia="pl-PL"/>
              </w:rPr>
            </w:pPr>
            <w:r>
              <w:rPr>
                <w:rFonts w:cs="Arial"/>
                <w:color w:val="000000"/>
                <w:szCs w:val="16"/>
              </w:rPr>
              <w:t>65</w:t>
            </w:r>
          </w:p>
        </w:tc>
      </w:tr>
      <w:tr w:rsidR="00487DAA" w:rsidRPr="007A2712" w14:paraId="641037FB" w14:textId="77777777" w:rsidTr="00487DAA">
        <w:trPr>
          <w:trHeight w:val="214"/>
        </w:trPr>
        <w:tc>
          <w:tcPr>
            <w:tcW w:w="2809" w:type="dxa"/>
            <w:noWrap/>
            <w:hideMark/>
          </w:tcPr>
          <w:p w14:paraId="71BC456C" w14:textId="77777777" w:rsidR="00487DAA" w:rsidRPr="007A2712" w:rsidRDefault="00487DAA">
            <w:pPr>
              <w:pStyle w:val="Tabele"/>
              <w:rPr>
                <w:color w:val="000000"/>
                <w:lang w:eastAsia="pl-PL"/>
              </w:rPr>
            </w:pPr>
            <w:r w:rsidRPr="007A2712">
              <w:rPr>
                <w:color w:val="000000"/>
                <w:lang w:eastAsia="pl-PL"/>
              </w:rPr>
              <w:t>Rolnictwo</w:t>
            </w:r>
          </w:p>
        </w:tc>
        <w:tc>
          <w:tcPr>
            <w:tcW w:w="1259" w:type="dxa"/>
            <w:noWrap/>
            <w:hideMark/>
          </w:tcPr>
          <w:p w14:paraId="5EC04707" w14:textId="77777777" w:rsidR="00487DAA" w:rsidRPr="007A2712" w:rsidRDefault="00487DAA">
            <w:pPr>
              <w:pStyle w:val="Tabele"/>
              <w:jc w:val="right"/>
              <w:rPr>
                <w:color w:val="000000"/>
                <w:lang w:eastAsia="pl-PL"/>
              </w:rPr>
            </w:pPr>
            <w:r w:rsidRPr="007A2712">
              <w:rPr>
                <w:color w:val="000000"/>
                <w:lang w:eastAsia="pl-PL"/>
              </w:rPr>
              <w:t>44</w:t>
            </w:r>
          </w:p>
        </w:tc>
        <w:tc>
          <w:tcPr>
            <w:tcW w:w="1260" w:type="dxa"/>
            <w:noWrap/>
            <w:hideMark/>
          </w:tcPr>
          <w:p w14:paraId="1171CF0F" w14:textId="77777777" w:rsidR="00487DAA" w:rsidRPr="007A2712" w:rsidRDefault="00487DAA">
            <w:pPr>
              <w:pStyle w:val="Tabele"/>
              <w:jc w:val="right"/>
              <w:rPr>
                <w:color w:val="000000"/>
                <w:lang w:eastAsia="pl-PL"/>
              </w:rPr>
            </w:pPr>
            <w:r>
              <w:rPr>
                <w:rFonts w:cs="Arial"/>
                <w:color w:val="000000"/>
                <w:szCs w:val="16"/>
              </w:rPr>
              <w:t>43</w:t>
            </w:r>
          </w:p>
        </w:tc>
        <w:tc>
          <w:tcPr>
            <w:tcW w:w="1260" w:type="dxa"/>
            <w:noWrap/>
            <w:hideMark/>
          </w:tcPr>
          <w:p w14:paraId="56211B0F" w14:textId="77777777" w:rsidR="00487DAA" w:rsidRPr="007A2712" w:rsidRDefault="00487DAA">
            <w:pPr>
              <w:pStyle w:val="Tabele"/>
              <w:jc w:val="right"/>
              <w:rPr>
                <w:color w:val="000000"/>
                <w:lang w:eastAsia="pl-PL"/>
              </w:rPr>
            </w:pPr>
            <w:r>
              <w:rPr>
                <w:rFonts w:cs="Arial"/>
                <w:color w:val="000000"/>
                <w:szCs w:val="16"/>
              </w:rPr>
              <w:t>42</w:t>
            </w:r>
          </w:p>
        </w:tc>
        <w:tc>
          <w:tcPr>
            <w:tcW w:w="1260" w:type="dxa"/>
            <w:noWrap/>
            <w:hideMark/>
          </w:tcPr>
          <w:p w14:paraId="4F17F985" w14:textId="77777777" w:rsidR="00487DAA" w:rsidRPr="007A2712" w:rsidRDefault="00487DAA">
            <w:pPr>
              <w:pStyle w:val="Tabele"/>
              <w:jc w:val="right"/>
              <w:rPr>
                <w:color w:val="000000"/>
                <w:lang w:eastAsia="pl-PL"/>
              </w:rPr>
            </w:pPr>
            <w:r>
              <w:rPr>
                <w:rFonts w:cs="Arial"/>
                <w:color w:val="000000"/>
                <w:szCs w:val="16"/>
              </w:rPr>
              <w:t>40</w:t>
            </w:r>
          </w:p>
        </w:tc>
        <w:tc>
          <w:tcPr>
            <w:tcW w:w="1260" w:type="dxa"/>
            <w:noWrap/>
            <w:hideMark/>
          </w:tcPr>
          <w:p w14:paraId="65CC52CF" w14:textId="77777777" w:rsidR="00487DAA" w:rsidRPr="007A2712" w:rsidRDefault="00487DAA">
            <w:pPr>
              <w:pStyle w:val="Tabele"/>
              <w:jc w:val="right"/>
              <w:rPr>
                <w:color w:val="000000"/>
                <w:lang w:eastAsia="pl-PL"/>
              </w:rPr>
            </w:pPr>
            <w:r>
              <w:rPr>
                <w:rFonts w:cs="Arial"/>
                <w:color w:val="000000"/>
                <w:szCs w:val="16"/>
              </w:rPr>
              <w:t>39</w:t>
            </w:r>
          </w:p>
        </w:tc>
      </w:tr>
      <w:tr w:rsidR="00487DAA" w:rsidRPr="007A2712" w14:paraId="78C2537B" w14:textId="77777777" w:rsidTr="00487DAA">
        <w:trPr>
          <w:trHeight w:val="214"/>
        </w:trPr>
        <w:tc>
          <w:tcPr>
            <w:tcW w:w="2809" w:type="dxa"/>
            <w:noWrap/>
            <w:hideMark/>
          </w:tcPr>
          <w:p w14:paraId="5D407611" w14:textId="77777777" w:rsidR="00487DAA" w:rsidRPr="007A2712" w:rsidRDefault="00487DAA">
            <w:pPr>
              <w:pStyle w:val="Tabele"/>
              <w:rPr>
                <w:color w:val="000000"/>
                <w:lang w:eastAsia="pl-PL"/>
              </w:rPr>
            </w:pPr>
            <w:r w:rsidRPr="007A2712">
              <w:rPr>
                <w:color w:val="000000"/>
                <w:lang w:eastAsia="pl-PL"/>
              </w:rPr>
              <w:t>Przemysł</w:t>
            </w:r>
          </w:p>
        </w:tc>
        <w:tc>
          <w:tcPr>
            <w:tcW w:w="1259" w:type="dxa"/>
            <w:noWrap/>
            <w:hideMark/>
          </w:tcPr>
          <w:p w14:paraId="0CFE5ADF" w14:textId="77777777" w:rsidR="00487DAA" w:rsidRPr="007A2712" w:rsidRDefault="00487DAA">
            <w:pPr>
              <w:pStyle w:val="Tabele"/>
              <w:jc w:val="right"/>
              <w:rPr>
                <w:color w:val="000000"/>
                <w:lang w:eastAsia="pl-PL"/>
              </w:rPr>
            </w:pPr>
            <w:r w:rsidRPr="007A2712">
              <w:rPr>
                <w:color w:val="000000"/>
                <w:lang w:eastAsia="pl-PL"/>
              </w:rPr>
              <w:t>287</w:t>
            </w:r>
          </w:p>
        </w:tc>
        <w:tc>
          <w:tcPr>
            <w:tcW w:w="1260" w:type="dxa"/>
            <w:noWrap/>
            <w:hideMark/>
          </w:tcPr>
          <w:p w14:paraId="14F0D7AF" w14:textId="77777777" w:rsidR="00487DAA" w:rsidRPr="007A2712" w:rsidRDefault="00487DAA">
            <w:pPr>
              <w:pStyle w:val="Tabele"/>
              <w:jc w:val="right"/>
              <w:rPr>
                <w:color w:val="000000"/>
                <w:lang w:eastAsia="pl-PL"/>
              </w:rPr>
            </w:pPr>
            <w:r>
              <w:rPr>
                <w:rFonts w:cs="Arial"/>
                <w:color w:val="000000"/>
                <w:szCs w:val="16"/>
              </w:rPr>
              <w:t>280</w:t>
            </w:r>
          </w:p>
        </w:tc>
        <w:tc>
          <w:tcPr>
            <w:tcW w:w="1260" w:type="dxa"/>
            <w:noWrap/>
            <w:hideMark/>
          </w:tcPr>
          <w:p w14:paraId="768F10AA" w14:textId="77777777" w:rsidR="00487DAA" w:rsidRPr="007A2712" w:rsidRDefault="00487DAA">
            <w:pPr>
              <w:pStyle w:val="Tabele"/>
              <w:jc w:val="right"/>
              <w:rPr>
                <w:color w:val="000000"/>
                <w:lang w:eastAsia="pl-PL"/>
              </w:rPr>
            </w:pPr>
            <w:r>
              <w:rPr>
                <w:rFonts w:cs="Arial"/>
                <w:color w:val="000000"/>
                <w:szCs w:val="16"/>
              </w:rPr>
              <w:t>248</w:t>
            </w:r>
          </w:p>
        </w:tc>
        <w:tc>
          <w:tcPr>
            <w:tcW w:w="1260" w:type="dxa"/>
            <w:noWrap/>
            <w:hideMark/>
          </w:tcPr>
          <w:p w14:paraId="697F3D85" w14:textId="77777777" w:rsidR="00487DAA" w:rsidRPr="007A2712" w:rsidRDefault="00487DAA">
            <w:pPr>
              <w:pStyle w:val="Tabele"/>
              <w:jc w:val="right"/>
              <w:rPr>
                <w:color w:val="000000"/>
                <w:lang w:eastAsia="pl-PL"/>
              </w:rPr>
            </w:pPr>
            <w:r>
              <w:rPr>
                <w:rFonts w:cs="Arial"/>
                <w:color w:val="000000"/>
                <w:szCs w:val="16"/>
              </w:rPr>
              <w:t>236</w:t>
            </w:r>
          </w:p>
        </w:tc>
        <w:tc>
          <w:tcPr>
            <w:tcW w:w="1260" w:type="dxa"/>
            <w:noWrap/>
            <w:hideMark/>
          </w:tcPr>
          <w:p w14:paraId="51680995" w14:textId="77777777" w:rsidR="00487DAA" w:rsidRPr="007A2712" w:rsidRDefault="00487DAA">
            <w:pPr>
              <w:pStyle w:val="Tabele"/>
              <w:jc w:val="right"/>
              <w:rPr>
                <w:color w:val="000000"/>
                <w:lang w:eastAsia="pl-PL"/>
              </w:rPr>
            </w:pPr>
            <w:r>
              <w:rPr>
                <w:rFonts w:cs="Arial"/>
                <w:color w:val="000000"/>
                <w:szCs w:val="16"/>
              </w:rPr>
              <w:t>218</w:t>
            </w:r>
          </w:p>
        </w:tc>
      </w:tr>
      <w:tr w:rsidR="00487DAA" w:rsidRPr="007A2712" w14:paraId="40B94EAD" w14:textId="77777777" w:rsidTr="00487DAA">
        <w:trPr>
          <w:trHeight w:val="214"/>
        </w:trPr>
        <w:tc>
          <w:tcPr>
            <w:tcW w:w="2809" w:type="dxa"/>
            <w:noWrap/>
            <w:hideMark/>
          </w:tcPr>
          <w:p w14:paraId="52098AA5" w14:textId="77777777" w:rsidR="00487DAA" w:rsidRPr="00771D23" w:rsidRDefault="00487DAA">
            <w:pPr>
              <w:pStyle w:val="Tabele"/>
              <w:rPr>
                <w:b/>
                <w:color w:val="000000"/>
                <w:lang w:eastAsia="pl-PL"/>
              </w:rPr>
            </w:pPr>
            <w:r w:rsidRPr="00771D23">
              <w:rPr>
                <w:b/>
                <w:color w:val="000000"/>
                <w:lang w:eastAsia="pl-PL"/>
              </w:rPr>
              <w:t>Suma</w:t>
            </w:r>
          </w:p>
        </w:tc>
        <w:tc>
          <w:tcPr>
            <w:tcW w:w="1259" w:type="dxa"/>
            <w:noWrap/>
            <w:hideMark/>
          </w:tcPr>
          <w:p w14:paraId="5318CA9C" w14:textId="62CE0951" w:rsidR="00487DAA" w:rsidRPr="00771D23" w:rsidRDefault="00487DAA">
            <w:pPr>
              <w:pStyle w:val="Tabele"/>
              <w:jc w:val="right"/>
              <w:rPr>
                <w:b/>
                <w:color w:val="000000"/>
                <w:lang w:eastAsia="pl-PL"/>
              </w:rPr>
            </w:pPr>
            <w:r w:rsidRPr="00771D23">
              <w:rPr>
                <w:b/>
                <w:color w:val="000000"/>
                <w:lang w:eastAsia="pl-PL"/>
              </w:rPr>
              <w:t>9</w:t>
            </w:r>
            <w:r w:rsidR="00D852DB">
              <w:rPr>
                <w:b/>
                <w:color w:val="000000"/>
                <w:lang w:eastAsia="pl-PL"/>
              </w:rPr>
              <w:t>75</w:t>
            </w:r>
          </w:p>
        </w:tc>
        <w:tc>
          <w:tcPr>
            <w:tcW w:w="1260" w:type="dxa"/>
            <w:noWrap/>
            <w:hideMark/>
          </w:tcPr>
          <w:p w14:paraId="7921A75F" w14:textId="77777777" w:rsidR="00487DAA" w:rsidRPr="00771D23" w:rsidRDefault="00487DAA">
            <w:pPr>
              <w:pStyle w:val="Tabele"/>
              <w:jc w:val="right"/>
              <w:rPr>
                <w:b/>
                <w:color w:val="000000"/>
                <w:lang w:eastAsia="pl-PL"/>
              </w:rPr>
            </w:pPr>
            <w:r>
              <w:rPr>
                <w:rFonts w:cs="Arial"/>
                <w:b/>
                <w:bCs/>
                <w:color w:val="000000"/>
                <w:szCs w:val="16"/>
              </w:rPr>
              <w:t>956</w:t>
            </w:r>
          </w:p>
        </w:tc>
        <w:tc>
          <w:tcPr>
            <w:tcW w:w="1260" w:type="dxa"/>
            <w:noWrap/>
            <w:hideMark/>
          </w:tcPr>
          <w:p w14:paraId="1B1EEC83" w14:textId="77777777" w:rsidR="00487DAA" w:rsidRPr="00771D23" w:rsidRDefault="00487DAA">
            <w:pPr>
              <w:pStyle w:val="Tabele"/>
              <w:jc w:val="right"/>
              <w:rPr>
                <w:b/>
                <w:color w:val="000000"/>
                <w:lang w:eastAsia="pl-PL"/>
              </w:rPr>
            </w:pPr>
            <w:r>
              <w:rPr>
                <w:rFonts w:cs="Arial"/>
                <w:b/>
                <w:bCs/>
                <w:color w:val="000000"/>
                <w:szCs w:val="16"/>
              </w:rPr>
              <w:t>857</w:t>
            </w:r>
          </w:p>
        </w:tc>
        <w:tc>
          <w:tcPr>
            <w:tcW w:w="1260" w:type="dxa"/>
            <w:noWrap/>
            <w:hideMark/>
          </w:tcPr>
          <w:p w14:paraId="0C6420F4" w14:textId="77777777" w:rsidR="00487DAA" w:rsidRPr="00771D23" w:rsidRDefault="00487DAA">
            <w:pPr>
              <w:pStyle w:val="Tabele"/>
              <w:jc w:val="right"/>
              <w:rPr>
                <w:b/>
                <w:color w:val="000000"/>
                <w:lang w:eastAsia="pl-PL"/>
              </w:rPr>
            </w:pPr>
            <w:r>
              <w:rPr>
                <w:rFonts w:cs="Arial"/>
                <w:b/>
                <w:bCs/>
                <w:color w:val="000000"/>
                <w:szCs w:val="16"/>
              </w:rPr>
              <w:t>769</w:t>
            </w:r>
          </w:p>
        </w:tc>
        <w:tc>
          <w:tcPr>
            <w:tcW w:w="1260" w:type="dxa"/>
            <w:noWrap/>
            <w:hideMark/>
          </w:tcPr>
          <w:p w14:paraId="7850EF6D" w14:textId="77777777" w:rsidR="00487DAA" w:rsidRPr="00771D23" w:rsidRDefault="00487DAA">
            <w:pPr>
              <w:pStyle w:val="Tabele"/>
              <w:jc w:val="right"/>
              <w:rPr>
                <w:b/>
                <w:color w:val="000000"/>
                <w:lang w:eastAsia="pl-PL"/>
              </w:rPr>
            </w:pPr>
            <w:r>
              <w:rPr>
                <w:rFonts w:cs="Arial"/>
                <w:b/>
                <w:bCs/>
                <w:color w:val="000000"/>
                <w:szCs w:val="16"/>
              </w:rPr>
              <w:t>719</w:t>
            </w:r>
          </w:p>
        </w:tc>
      </w:tr>
    </w:tbl>
    <w:p w14:paraId="62EF508E" w14:textId="77777777" w:rsidR="005C4144" w:rsidRDefault="005C4144" w:rsidP="005C4144">
      <w:pPr>
        <w:pStyle w:val="ardo"/>
        <w:rPr>
          <w:rFonts w:eastAsiaTheme="minorHAnsi" w:cstheme="minorBidi"/>
          <w:i w:val="0"/>
          <w:color w:val="auto"/>
          <w:sz w:val="20"/>
          <w:szCs w:val="22"/>
        </w:rPr>
      </w:pPr>
    </w:p>
    <w:p w14:paraId="61D64667" w14:textId="60FF9BEC" w:rsidR="00AD5B4D" w:rsidRDefault="00AD5B4D" w:rsidP="005C4144">
      <w:pPr>
        <w:pStyle w:val="ardo"/>
        <w:rPr>
          <w:rFonts w:eastAsiaTheme="minorHAnsi" w:cstheme="minorBidi"/>
          <w:i w:val="0"/>
          <w:color w:val="auto"/>
          <w:sz w:val="20"/>
          <w:szCs w:val="22"/>
        </w:rPr>
      </w:pPr>
      <w:r>
        <w:rPr>
          <w:rFonts w:eastAsiaTheme="minorHAnsi" w:cstheme="minorBidi"/>
          <w:i w:val="0"/>
          <w:color w:val="auto"/>
          <w:sz w:val="20"/>
          <w:szCs w:val="22"/>
        </w:rPr>
        <w:t xml:space="preserve">Tabela </w:t>
      </w:r>
      <w:r w:rsidR="00A44552">
        <w:rPr>
          <w:rFonts w:eastAsiaTheme="minorHAnsi" w:cstheme="minorBidi"/>
          <w:i w:val="0"/>
          <w:color w:val="auto"/>
          <w:sz w:val="20"/>
          <w:szCs w:val="22"/>
        </w:rPr>
        <w:t>poniżej</w:t>
      </w:r>
      <w:r>
        <w:rPr>
          <w:rFonts w:eastAsiaTheme="minorHAnsi" w:cstheme="minorBidi"/>
          <w:i w:val="0"/>
          <w:color w:val="auto"/>
          <w:sz w:val="20"/>
          <w:szCs w:val="22"/>
        </w:rPr>
        <w:t xml:space="preserve"> </w:t>
      </w:r>
      <w:r w:rsidRPr="003D5090">
        <w:rPr>
          <w:rFonts w:eastAsiaTheme="minorHAnsi" w:cstheme="minorBidi"/>
          <w:i w:val="0"/>
          <w:color w:val="auto"/>
          <w:sz w:val="20"/>
          <w:szCs w:val="22"/>
        </w:rPr>
        <w:t>dotyczy produkcji ciepła w sektorach gospodarstwa domowe, usługi, rolnictwo, przemysł</w:t>
      </w:r>
      <w:r>
        <w:rPr>
          <w:rFonts w:eastAsiaTheme="minorHAnsi" w:cstheme="minorBidi"/>
          <w:i w:val="0"/>
          <w:color w:val="auto"/>
          <w:sz w:val="20"/>
          <w:szCs w:val="22"/>
        </w:rPr>
        <w:t xml:space="preserve"> przedstawionej w podziale na paliwa i nośniki energii. W przemyśle jako indywidualne źródła produkcji ciepła zostały wzięte pod uwagę m.in. piece i kotły do produkcji ciepła procesowego</w:t>
      </w:r>
    </w:p>
    <w:p w14:paraId="79987730" w14:textId="1260D55A" w:rsidR="005C4144" w:rsidRDefault="005C4144" w:rsidP="005C4144">
      <w:pPr>
        <w:pStyle w:val="Legenda"/>
        <w:keepNext/>
      </w:pPr>
      <w:bookmarkStart w:id="385" w:name="_Ref167820571"/>
      <w:bookmarkStart w:id="386" w:name="_Ref195871653"/>
      <w:bookmarkStart w:id="387" w:name="_Toc171587201"/>
      <w:bookmarkStart w:id="388" w:name="_Toc174710985"/>
      <w:bookmarkStart w:id="389" w:name="_Toc202966989"/>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14</w:t>
      </w:r>
      <w:r w:rsidR="00653D9A">
        <w:rPr>
          <w:noProof/>
        </w:rPr>
        <w:fldChar w:fldCharType="end"/>
      </w:r>
      <w:bookmarkEnd w:id="385"/>
      <w:bookmarkEnd w:id="386"/>
      <w:r>
        <w:t xml:space="preserve">. </w:t>
      </w:r>
      <w:r w:rsidRPr="007A2712">
        <w:t>Produkcja ciepła w indywidualnych źródłach ciepła w podziale na paliwa i nośniki energii [PJ]</w:t>
      </w:r>
      <w:bookmarkEnd w:id="387"/>
      <w:bookmarkEnd w:id="388"/>
      <w:bookmarkEnd w:id="389"/>
    </w:p>
    <w:tbl>
      <w:tblPr>
        <w:tblStyle w:val="KPEiK"/>
        <w:tblW w:w="5000" w:type="pct"/>
        <w:tblLook w:val="04A0" w:firstRow="1" w:lastRow="0" w:firstColumn="1" w:lastColumn="0" w:noHBand="0" w:noVBand="1"/>
      </w:tblPr>
      <w:tblGrid>
        <w:gridCol w:w="2830"/>
        <w:gridCol w:w="1248"/>
        <w:gridCol w:w="1246"/>
        <w:gridCol w:w="1246"/>
        <w:gridCol w:w="1246"/>
        <w:gridCol w:w="1246"/>
      </w:tblGrid>
      <w:tr w:rsidR="00A45552" w:rsidRPr="007A2712" w14:paraId="0D374309" w14:textId="77777777" w:rsidTr="003A504B">
        <w:trPr>
          <w:cnfStyle w:val="100000000000" w:firstRow="1" w:lastRow="0" w:firstColumn="0" w:lastColumn="0" w:oddVBand="0" w:evenVBand="0" w:oddHBand="0" w:evenHBand="0" w:firstRowFirstColumn="0" w:firstRowLastColumn="0" w:lastRowFirstColumn="0" w:lastRowLastColumn="0"/>
          <w:trHeight w:val="214"/>
          <w:tblHeader/>
        </w:trPr>
        <w:tc>
          <w:tcPr>
            <w:tcW w:w="2830" w:type="dxa"/>
            <w:noWrap/>
            <w:hideMark/>
          </w:tcPr>
          <w:p w14:paraId="69215629" w14:textId="77777777" w:rsidR="00A45552" w:rsidRPr="007A2712" w:rsidRDefault="00A45552">
            <w:pPr>
              <w:pStyle w:val="Tabele"/>
              <w:jc w:val="center"/>
              <w:rPr>
                <w:b w:val="0"/>
                <w:lang w:eastAsia="pl-PL"/>
              </w:rPr>
            </w:pPr>
            <w:bookmarkStart w:id="390" w:name="_Toc171587328"/>
            <w:r>
              <w:rPr>
                <w:lang w:eastAsia="pl-PL"/>
              </w:rPr>
              <w:t xml:space="preserve"> </w:t>
            </w:r>
            <w:r w:rsidRPr="007A2712">
              <w:rPr>
                <w:lang w:eastAsia="pl-PL"/>
              </w:rPr>
              <w:t>paliwa / nośniki energii</w:t>
            </w:r>
          </w:p>
        </w:tc>
        <w:tc>
          <w:tcPr>
            <w:tcW w:w="1248" w:type="dxa"/>
            <w:noWrap/>
            <w:hideMark/>
          </w:tcPr>
          <w:p w14:paraId="3EF3481F" w14:textId="77777777" w:rsidR="00A45552" w:rsidRPr="007A2712" w:rsidRDefault="00A45552">
            <w:pPr>
              <w:pStyle w:val="Tabele"/>
              <w:jc w:val="center"/>
              <w:rPr>
                <w:b w:val="0"/>
                <w:lang w:eastAsia="pl-PL"/>
              </w:rPr>
            </w:pPr>
            <w:r w:rsidRPr="007A2712">
              <w:rPr>
                <w:lang w:eastAsia="pl-PL"/>
              </w:rPr>
              <w:t>2020</w:t>
            </w:r>
          </w:p>
        </w:tc>
        <w:tc>
          <w:tcPr>
            <w:tcW w:w="1246" w:type="dxa"/>
            <w:noWrap/>
            <w:hideMark/>
          </w:tcPr>
          <w:p w14:paraId="1622B650" w14:textId="77777777" w:rsidR="00A45552" w:rsidRPr="007A2712" w:rsidRDefault="00A45552">
            <w:pPr>
              <w:pStyle w:val="Tabele"/>
              <w:jc w:val="center"/>
              <w:rPr>
                <w:b w:val="0"/>
                <w:lang w:eastAsia="pl-PL"/>
              </w:rPr>
            </w:pPr>
            <w:r w:rsidRPr="007A2712">
              <w:rPr>
                <w:lang w:eastAsia="pl-PL"/>
              </w:rPr>
              <w:t>2025</w:t>
            </w:r>
          </w:p>
        </w:tc>
        <w:tc>
          <w:tcPr>
            <w:tcW w:w="1246" w:type="dxa"/>
            <w:noWrap/>
            <w:hideMark/>
          </w:tcPr>
          <w:p w14:paraId="4CB8E7DD" w14:textId="77777777" w:rsidR="00A45552" w:rsidRPr="007A2712" w:rsidRDefault="00A45552">
            <w:pPr>
              <w:pStyle w:val="Tabele"/>
              <w:jc w:val="center"/>
              <w:rPr>
                <w:b w:val="0"/>
                <w:lang w:eastAsia="pl-PL"/>
              </w:rPr>
            </w:pPr>
            <w:r w:rsidRPr="007A2712">
              <w:rPr>
                <w:lang w:eastAsia="pl-PL"/>
              </w:rPr>
              <w:t>2030</w:t>
            </w:r>
          </w:p>
        </w:tc>
        <w:tc>
          <w:tcPr>
            <w:tcW w:w="1246" w:type="dxa"/>
            <w:noWrap/>
            <w:hideMark/>
          </w:tcPr>
          <w:p w14:paraId="6CA3EA17" w14:textId="77777777" w:rsidR="00A45552" w:rsidRPr="007A2712" w:rsidRDefault="00A45552">
            <w:pPr>
              <w:pStyle w:val="Tabele"/>
              <w:jc w:val="center"/>
              <w:rPr>
                <w:b w:val="0"/>
                <w:lang w:eastAsia="pl-PL"/>
              </w:rPr>
            </w:pPr>
            <w:r w:rsidRPr="007A2712">
              <w:rPr>
                <w:lang w:eastAsia="pl-PL"/>
              </w:rPr>
              <w:t>2035</w:t>
            </w:r>
          </w:p>
        </w:tc>
        <w:tc>
          <w:tcPr>
            <w:tcW w:w="1246" w:type="dxa"/>
            <w:noWrap/>
            <w:hideMark/>
          </w:tcPr>
          <w:p w14:paraId="67586844" w14:textId="179F9200" w:rsidR="00A45552" w:rsidRPr="007A2712" w:rsidRDefault="00A45552">
            <w:pPr>
              <w:pStyle w:val="Tabele"/>
              <w:jc w:val="center"/>
              <w:rPr>
                <w:b w:val="0"/>
                <w:lang w:eastAsia="pl-PL"/>
              </w:rPr>
            </w:pPr>
            <w:r w:rsidRPr="007A2712">
              <w:rPr>
                <w:lang w:eastAsia="pl-PL"/>
              </w:rPr>
              <w:t>2040</w:t>
            </w:r>
          </w:p>
        </w:tc>
      </w:tr>
      <w:tr w:rsidR="003A504B" w:rsidRPr="007A2712" w14:paraId="008D84E3" w14:textId="77777777" w:rsidTr="003A504B">
        <w:trPr>
          <w:trHeight w:val="214"/>
        </w:trPr>
        <w:tc>
          <w:tcPr>
            <w:tcW w:w="2830" w:type="dxa"/>
            <w:noWrap/>
            <w:hideMark/>
          </w:tcPr>
          <w:p w14:paraId="1C135822" w14:textId="77777777" w:rsidR="003A504B" w:rsidRPr="007A2712" w:rsidRDefault="003A504B" w:rsidP="003A504B">
            <w:pPr>
              <w:pStyle w:val="Tabele"/>
              <w:rPr>
                <w:color w:val="000000"/>
                <w:lang w:eastAsia="pl-PL"/>
              </w:rPr>
            </w:pPr>
            <w:r w:rsidRPr="007A2712">
              <w:rPr>
                <w:color w:val="000000"/>
                <w:lang w:eastAsia="pl-PL"/>
              </w:rPr>
              <w:t>Energia elektryczna</w:t>
            </w:r>
          </w:p>
        </w:tc>
        <w:tc>
          <w:tcPr>
            <w:tcW w:w="1248" w:type="dxa"/>
            <w:noWrap/>
          </w:tcPr>
          <w:p w14:paraId="2D28DC1B" w14:textId="452B686A" w:rsidR="003A504B" w:rsidRPr="007A2712" w:rsidRDefault="003A504B" w:rsidP="003A504B">
            <w:pPr>
              <w:pStyle w:val="Tabele"/>
              <w:jc w:val="right"/>
              <w:rPr>
                <w:color w:val="000000"/>
                <w:lang w:eastAsia="pl-PL"/>
              </w:rPr>
            </w:pPr>
            <w:r>
              <w:rPr>
                <w:color w:val="000000"/>
                <w:szCs w:val="16"/>
              </w:rPr>
              <w:t>73</w:t>
            </w:r>
          </w:p>
        </w:tc>
        <w:tc>
          <w:tcPr>
            <w:tcW w:w="1246" w:type="dxa"/>
            <w:noWrap/>
          </w:tcPr>
          <w:p w14:paraId="1390C3CA" w14:textId="2D518433" w:rsidR="003A504B" w:rsidRPr="007A2712" w:rsidRDefault="003A504B" w:rsidP="003A504B">
            <w:pPr>
              <w:pStyle w:val="Tabele"/>
              <w:jc w:val="right"/>
              <w:rPr>
                <w:color w:val="000000"/>
                <w:lang w:eastAsia="pl-PL"/>
              </w:rPr>
            </w:pPr>
            <w:r>
              <w:rPr>
                <w:color w:val="000000"/>
                <w:szCs w:val="16"/>
              </w:rPr>
              <w:t>98</w:t>
            </w:r>
          </w:p>
        </w:tc>
        <w:tc>
          <w:tcPr>
            <w:tcW w:w="1246" w:type="dxa"/>
            <w:noWrap/>
          </w:tcPr>
          <w:p w14:paraId="33B3D6E7" w14:textId="2B495C44" w:rsidR="003A504B" w:rsidRPr="007A2712" w:rsidRDefault="003A504B" w:rsidP="003A504B">
            <w:pPr>
              <w:pStyle w:val="Tabele"/>
              <w:jc w:val="right"/>
              <w:rPr>
                <w:color w:val="000000"/>
                <w:lang w:eastAsia="pl-PL"/>
              </w:rPr>
            </w:pPr>
            <w:r>
              <w:rPr>
                <w:color w:val="000000"/>
                <w:szCs w:val="16"/>
              </w:rPr>
              <w:t>102</w:t>
            </w:r>
          </w:p>
        </w:tc>
        <w:tc>
          <w:tcPr>
            <w:tcW w:w="1246" w:type="dxa"/>
            <w:noWrap/>
          </w:tcPr>
          <w:p w14:paraId="15483071" w14:textId="386557F9" w:rsidR="003A504B" w:rsidRPr="007A2712" w:rsidRDefault="003A504B" w:rsidP="003A504B">
            <w:pPr>
              <w:pStyle w:val="Tabele"/>
              <w:jc w:val="right"/>
              <w:rPr>
                <w:color w:val="000000"/>
                <w:lang w:eastAsia="pl-PL"/>
              </w:rPr>
            </w:pPr>
            <w:r>
              <w:rPr>
                <w:color w:val="000000"/>
                <w:szCs w:val="16"/>
              </w:rPr>
              <w:t>115</w:t>
            </w:r>
          </w:p>
        </w:tc>
        <w:tc>
          <w:tcPr>
            <w:tcW w:w="1246" w:type="dxa"/>
            <w:noWrap/>
          </w:tcPr>
          <w:p w14:paraId="0D770E55" w14:textId="22ECB8EF" w:rsidR="003A504B" w:rsidRPr="007A2712" w:rsidRDefault="003A504B" w:rsidP="003A504B">
            <w:pPr>
              <w:pStyle w:val="Tabele"/>
              <w:jc w:val="right"/>
              <w:rPr>
                <w:color w:val="000000"/>
                <w:lang w:eastAsia="pl-PL"/>
              </w:rPr>
            </w:pPr>
            <w:r>
              <w:rPr>
                <w:color w:val="000000"/>
                <w:szCs w:val="16"/>
              </w:rPr>
              <w:t>126</w:t>
            </w:r>
          </w:p>
        </w:tc>
      </w:tr>
      <w:tr w:rsidR="003A504B" w:rsidRPr="007A2712" w14:paraId="04B52454" w14:textId="77777777" w:rsidTr="003A504B">
        <w:trPr>
          <w:trHeight w:val="214"/>
        </w:trPr>
        <w:tc>
          <w:tcPr>
            <w:tcW w:w="2830" w:type="dxa"/>
            <w:noWrap/>
            <w:hideMark/>
          </w:tcPr>
          <w:p w14:paraId="502FA340" w14:textId="77777777" w:rsidR="003A504B" w:rsidRPr="007A2712" w:rsidRDefault="003A504B" w:rsidP="003A504B">
            <w:pPr>
              <w:pStyle w:val="Tabele"/>
              <w:rPr>
                <w:color w:val="000000"/>
                <w:lang w:eastAsia="pl-PL"/>
              </w:rPr>
            </w:pPr>
            <w:r w:rsidRPr="007A2712">
              <w:rPr>
                <w:color w:val="000000"/>
                <w:lang w:eastAsia="pl-PL"/>
              </w:rPr>
              <w:t>Węgiel</w:t>
            </w:r>
          </w:p>
        </w:tc>
        <w:tc>
          <w:tcPr>
            <w:tcW w:w="1248" w:type="dxa"/>
            <w:noWrap/>
          </w:tcPr>
          <w:p w14:paraId="4E969D3A" w14:textId="6E7F7B9E" w:rsidR="003A504B" w:rsidRPr="007A2712" w:rsidRDefault="003A504B" w:rsidP="003A504B">
            <w:pPr>
              <w:pStyle w:val="Tabele"/>
              <w:jc w:val="right"/>
              <w:rPr>
                <w:color w:val="000000"/>
                <w:lang w:eastAsia="pl-PL"/>
              </w:rPr>
            </w:pPr>
            <w:r>
              <w:rPr>
                <w:color w:val="000000"/>
                <w:szCs w:val="16"/>
              </w:rPr>
              <w:t>254</w:t>
            </w:r>
          </w:p>
        </w:tc>
        <w:tc>
          <w:tcPr>
            <w:tcW w:w="1246" w:type="dxa"/>
            <w:noWrap/>
          </w:tcPr>
          <w:p w14:paraId="031A8A3F" w14:textId="2BB65196" w:rsidR="003A504B" w:rsidRPr="007A2712" w:rsidRDefault="003A504B" w:rsidP="003A504B">
            <w:pPr>
              <w:pStyle w:val="Tabele"/>
              <w:jc w:val="right"/>
              <w:rPr>
                <w:color w:val="000000"/>
                <w:lang w:eastAsia="pl-PL"/>
              </w:rPr>
            </w:pPr>
            <w:r>
              <w:rPr>
                <w:color w:val="000000"/>
                <w:szCs w:val="16"/>
              </w:rPr>
              <w:t>175</w:t>
            </w:r>
          </w:p>
        </w:tc>
        <w:tc>
          <w:tcPr>
            <w:tcW w:w="1246" w:type="dxa"/>
            <w:noWrap/>
          </w:tcPr>
          <w:p w14:paraId="2C365400" w14:textId="0C64C4A2" w:rsidR="003A504B" w:rsidRPr="007A2712" w:rsidRDefault="003A504B" w:rsidP="003A504B">
            <w:pPr>
              <w:pStyle w:val="Tabele"/>
              <w:jc w:val="right"/>
              <w:rPr>
                <w:color w:val="000000"/>
                <w:lang w:eastAsia="pl-PL"/>
              </w:rPr>
            </w:pPr>
            <w:r>
              <w:rPr>
                <w:color w:val="000000"/>
                <w:szCs w:val="16"/>
              </w:rPr>
              <w:t>87</w:t>
            </w:r>
          </w:p>
        </w:tc>
        <w:tc>
          <w:tcPr>
            <w:tcW w:w="1246" w:type="dxa"/>
            <w:noWrap/>
          </w:tcPr>
          <w:p w14:paraId="3B4157EC" w14:textId="10D825DD" w:rsidR="003A504B" w:rsidRPr="007A2712" w:rsidRDefault="003A504B" w:rsidP="003A504B">
            <w:pPr>
              <w:pStyle w:val="Tabele"/>
              <w:jc w:val="right"/>
              <w:rPr>
                <w:color w:val="000000"/>
                <w:lang w:eastAsia="pl-PL"/>
              </w:rPr>
            </w:pPr>
            <w:r>
              <w:rPr>
                <w:color w:val="000000"/>
                <w:szCs w:val="16"/>
              </w:rPr>
              <w:t>37</w:t>
            </w:r>
          </w:p>
        </w:tc>
        <w:tc>
          <w:tcPr>
            <w:tcW w:w="1246" w:type="dxa"/>
            <w:noWrap/>
          </w:tcPr>
          <w:p w14:paraId="54D6D3FF" w14:textId="4F314CCD" w:rsidR="003A504B" w:rsidRPr="007A2712" w:rsidRDefault="003A504B" w:rsidP="003A504B">
            <w:pPr>
              <w:pStyle w:val="Tabele"/>
              <w:jc w:val="right"/>
              <w:rPr>
                <w:color w:val="000000"/>
                <w:lang w:eastAsia="pl-PL"/>
              </w:rPr>
            </w:pPr>
            <w:r>
              <w:rPr>
                <w:color w:val="000000"/>
                <w:szCs w:val="16"/>
              </w:rPr>
              <w:t>12</w:t>
            </w:r>
          </w:p>
        </w:tc>
      </w:tr>
      <w:tr w:rsidR="003A504B" w:rsidRPr="007A2712" w14:paraId="2BE74FF7" w14:textId="77777777" w:rsidTr="003A504B">
        <w:trPr>
          <w:trHeight w:val="214"/>
        </w:trPr>
        <w:tc>
          <w:tcPr>
            <w:tcW w:w="2830" w:type="dxa"/>
            <w:noWrap/>
            <w:hideMark/>
          </w:tcPr>
          <w:p w14:paraId="343F59B9" w14:textId="77777777" w:rsidR="003A504B" w:rsidRPr="007A2712" w:rsidRDefault="003A504B" w:rsidP="003A504B">
            <w:pPr>
              <w:pStyle w:val="Tabele"/>
              <w:rPr>
                <w:color w:val="000000"/>
                <w:lang w:eastAsia="pl-PL"/>
              </w:rPr>
            </w:pPr>
            <w:r w:rsidRPr="007A2712">
              <w:rPr>
                <w:color w:val="000000"/>
                <w:lang w:eastAsia="pl-PL"/>
              </w:rPr>
              <w:t xml:space="preserve">Gaz </w:t>
            </w:r>
          </w:p>
        </w:tc>
        <w:tc>
          <w:tcPr>
            <w:tcW w:w="1248" w:type="dxa"/>
            <w:noWrap/>
          </w:tcPr>
          <w:p w14:paraId="7D61D250" w14:textId="315C332F" w:rsidR="003A504B" w:rsidRPr="007A2712" w:rsidRDefault="003A504B" w:rsidP="003A504B">
            <w:pPr>
              <w:pStyle w:val="Tabele"/>
              <w:jc w:val="right"/>
              <w:rPr>
                <w:color w:val="000000"/>
                <w:lang w:eastAsia="pl-PL"/>
              </w:rPr>
            </w:pPr>
            <w:r>
              <w:rPr>
                <w:color w:val="000000"/>
                <w:szCs w:val="16"/>
              </w:rPr>
              <w:t>403</w:t>
            </w:r>
          </w:p>
        </w:tc>
        <w:tc>
          <w:tcPr>
            <w:tcW w:w="1246" w:type="dxa"/>
            <w:noWrap/>
          </w:tcPr>
          <w:p w14:paraId="2CCE4B8A" w14:textId="39245C54" w:rsidR="003A504B" w:rsidRPr="007A2712" w:rsidRDefault="003A504B" w:rsidP="003A504B">
            <w:pPr>
              <w:pStyle w:val="Tabele"/>
              <w:jc w:val="right"/>
              <w:rPr>
                <w:color w:val="000000"/>
                <w:lang w:eastAsia="pl-PL"/>
              </w:rPr>
            </w:pPr>
            <w:r>
              <w:rPr>
                <w:color w:val="000000"/>
                <w:szCs w:val="16"/>
              </w:rPr>
              <w:t>408</w:t>
            </w:r>
          </w:p>
        </w:tc>
        <w:tc>
          <w:tcPr>
            <w:tcW w:w="1246" w:type="dxa"/>
            <w:noWrap/>
          </w:tcPr>
          <w:p w14:paraId="0134A602" w14:textId="42F6DC94" w:rsidR="003A504B" w:rsidRPr="007A2712" w:rsidRDefault="003A504B" w:rsidP="003A504B">
            <w:pPr>
              <w:pStyle w:val="Tabele"/>
              <w:jc w:val="right"/>
              <w:rPr>
                <w:color w:val="000000"/>
                <w:lang w:eastAsia="pl-PL"/>
              </w:rPr>
            </w:pPr>
            <w:r>
              <w:rPr>
                <w:color w:val="000000"/>
                <w:szCs w:val="16"/>
              </w:rPr>
              <w:t>358</w:t>
            </w:r>
          </w:p>
        </w:tc>
        <w:tc>
          <w:tcPr>
            <w:tcW w:w="1246" w:type="dxa"/>
            <w:noWrap/>
          </w:tcPr>
          <w:p w14:paraId="5BD14908" w14:textId="13790058" w:rsidR="003A504B" w:rsidRPr="007A2712" w:rsidRDefault="003A504B" w:rsidP="003A504B">
            <w:pPr>
              <w:pStyle w:val="Tabele"/>
              <w:jc w:val="right"/>
              <w:rPr>
                <w:color w:val="000000"/>
                <w:lang w:eastAsia="pl-PL"/>
              </w:rPr>
            </w:pPr>
            <w:r>
              <w:rPr>
                <w:color w:val="000000"/>
                <w:szCs w:val="16"/>
              </w:rPr>
              <w:t>274</w:t>
            </w:r>
          </w:p>
        </w:tc>
        <w:tc>
          <w:tcPr>
            <w:tcW w:w="1246" w:type="dxa"/>
            <w:noWrap/>
          </w:tcPr>
          <w:p w14:paraId="06EB9B7E" w14:textId="240EFCFF" w:rsidR="003A504B" w:rsidRPr="007A2712" w:rsidRDefault="003A504B" w:rsidP="003A504B">
            <w:pPr>
              <w:pStyle w:val="Tabele"/>
              <w:jc w:val="right"/>
              <w:rPr>
                <w:color w:val="000000"/>
                <w:lang w:eastAsia="pl-PL"/>
              </w:rPr>
            </w:pPr>
            <w:r>
              <w:rPr>
                <w:color w:val="000000"/>
                <w:szCs w:val="16"/>
              </w:rPr>
              <w:t>219</w:t>
            </w:r>
          </w:p>
        </w:tc>
      </w:tr>
      <w:tr w:rsidR="003A504B" w:rsidRPr="007A2712" w14:paraId="75B7FD1B" w14:textId="77777777" w:rsidTr="003A504B">
        <w:trPr>
          <w:trHeight w:val="214"/>
        </w:trPr>
        <w:tc>
          <w:tcPr>
            <w:tcW w:w="2830" w:type="dxa"/>
            <w:noWrap/>
            <w:hideMark/>
          </w:tcPr>
          <w:p w14:paraId="63F3719F" w14:textId="77777777" w:rsidR="003A504B" w:rsidRPr="007A2712" w:rsidRDefault="003A504B" w:rsidP="003A504B">
            <w:pPr>
              <w:pStyle w:val="Tabele"/>
              <w:rPr>
                <w:color w:val="000000"/>
                <w:lang w:eastAsia="pl-PL"/>
              </w:rPr>
            </w:pPr>
            <w:r w:rsidRPr="007A2712">
              <w:rPr>
                <w:color w:val="000000"/>
                <w:lang w:eastAsia="pl-PL"/>
              </w:rPr>
              <w:t>LPG/OOL</w:t>
            </w:r>
          </w:p>
        </w:tc>
        <w:tc>
          <w:tcPr>
            <w:tcW w:w="1248" w:type="dxa"/>
            <w:noWrap/>
          </w:tcPr>
          <w:p w14:paraId="0D5AD820" w14:textId="6E0C91FC" w:rsidR="003A504B" w:rsidRPr="007A2712" w:rsidRDefault="003A504B" w:rsidP="003A504B">
            <w:pPr>
              <w:pStyle w:val="Tabele"/>
              <w:jc w:val="right"/>
              <w:rPr>
                <w:color w:val="000000"/>
                <w:lang w:eastAsia="pl-PL"/>
              </w:rPr>
            </w:pPr>
            <w:r>
              <w:rPr>
                <w:color w:val="000000"/>
                <w:szCs w:val="16"/>
              </w:rPr>
              <w:t>50</w:t>
            </w:r>
          </w:p>
        </w:tc>
        <w:tc>
          <w:tcPr>
            <w:tcW w:w="1246" w:type="dxa"/>
            <w:noWrap/>
          </w:tcPr>
          <w:p w14:paraId="712204A9" w14:textId="73495818" w:rsidR="003A504B" w:rsidRPr="007A2712" w:rsidRDefault="003A504B" w:rsidP="003A504B">
            <w:pPr>
              <w:pStyle w:val="Tabele"/>
              <w:jc w:val="right"/>
              <w:rPr>
                <w:color w:val="000000"/>
                <w:lang w:eastAsia="pl-PL"/>
              </w:rPr>
            </w:pPr>
            <w:r>
              <w:rPr>
                <w:color w:val="000000"/>
                <w:szCs w:val="16"/>
              </w:rPr>
              <w:t>39</w:t>
            </w:r>
          </w:p>
        </w:tc>
        <w:tc>
          <w:tcPr>
            <w:tcW w:w="1246" w:type="dxa"/>
            <w:noWrap/>
          </w:tcPr>
          <w:p w14:paraId="4119BAB6" w14:textId="5FC5921E" w:rsidR="003A504B" w:rsidRPr="007A2712" w:rsidRDefault="003A504B" w:rsidP="003A504B">
            <w:pPr>
              <w:pStyle w:val="Tabele"/>
              <w:jc w:val="right"/>
              <w:rPr>
                <w:color w:val="000000"/>
                <w:lang w:eastAsia="pl-PL"/>
              </w:rPr>
            </w:pPr>
            <w:r>
              <w:rPr>
                <w:color w:val="000000"/>
                <w:szCs w:val="16"/>
              </w:rPr>
              <w:t>29</w:t>
            </w:r>
          </w:p>
        </w:tc>
        <w:tc>
          <w:tcPr>
            <w:tcW w:w="1246" w:type="dxa"/>
            <w:noWrap/>
          </w:tcPr>
          <w:p w14:paraId="131CA093" w14:textId="39837D6A" w:rsidR="003A504B" w:rsidRPr="007A2712" w:rsidRDefault="003A504B" w:rsidP="003A504B">
            <w:pPr>
              <w:pStyle w:val="Tabele"/>
              <w:jc w:val="right"/>
              <w:rPr>
                <w:color w:val="000000"/>
                <w:lang w:eastAsia="pl-PL"/>
              </w:rPr>
            </w:pPr>
            <w:r>
              <w:rPr>
                <w:color w:val="000000"/>
                <w:szCs w:val="16"/>
              </w:rPr>
              <w:t>21</w:t>
            </w:r>
          </w:p>
        </w:tc>
        <w:tc>
          <w:tcPr>
            <w:tcW w:w="1246" w:type="dxa"/>
            <w:noWrap/>
          </w:tcPr>
          <w:p w14:paraId="4C48F3AE" w14:textId="046F104C" w:rsidR="003A504B" w:rsidRPr="007A2712" w:rsidRDefault="003A504B" w:rsidP="003A504B">
            <w:pPr>
              <w:pStyle w:val="Tabele"/>
              <w:jc w:val="right"/>
              <w:rPr>
                <w:color w:val="000000"/>
                <w:lang w:eastAsia="pl-PL"/>
              </w:rPr>
            </w:pPr>
            <w:r>
              <w:rPr>
                <w:color w:val="000000"/>
                <w:szCs w:val="16"/>
              </w:rPr>
              <w:t>17</w:t>
            </w:r>
          </w:p>
        </w:tc>
      </w:tr>
      <w:tr w:rsidR="003A504B" w:rsidRPr="007A2712" w14:paraId="7EEE6ADD" w14:textId="77777777" w:rsidTr="003A504B">
        <w:trPr>
          <w:trHeight w:val="214"/>
        </w:trPr>
        <w:tc>
          <w:tcPr>
            <w:tcW w:w="2830" w:type="dxa"/>
            <w:noWrap/>
            <w:hideMark/>
          </w:tcPr>
          <w:p w14:paraId="2E75FE87" w14:textId="09B208A4" w:rsidR="003A504B" w:rsidRPr="007A2712" w:rsidRDefault="003A504B" w:rsidP="003A504B">
            <w:pPr>
              <w:pStyle w:val="Tabele"/>
              <w:rPr>
                <w:color w:val="000000"/>
                <w:lang w:eastAsia="pl-PL"/>
              </w:rPr>
            </w:pPr>
            <w:r w:rsidRPr="00D96E28">
              <w:rPr>
                <w:color w:val="auto"/>
                <w:lang w:eastAsia="pl-PL"/>
              </w:rPr>
              <w:t>Biomasa, odpady,, biometan*</w:t>
            </w:r>
          </w:p>
        </w:tc>
        <w:tc>
          <w:tcPr>
            <w:tcW w:w="1248" w:type="dxa"/>
            <w:noWrap/>
          </w:tcPr>
          <w:p w14:paraId="7FB2557C" w14:textId="33D0DD58" w:rsidR="003A504B" w:rsidRPr="007A2712" w:rsidRDefault="003A504B" w:rsidP="003A504B">
            <w:pPr>
              <w:pStyle w:val="Tabele"/>
              <w:jc w:val="right"/>
              <w:rPr>
                <w:color w:val="000000"/>
                <w:lang w:eastAsia="pl-PL"/>
              </w:rPr>
            </w:pPr>
            <w:r>
              <w:rPr>
                <w:color w:val="000000"/>
                <w:szCs w:val="16"/>
              </w:rPr>
              <w:t>179</w:t>
            </w:r>
          </w:p>
        </w:tc>
        <w:tc>
          <w:tcPr>
            <w:tcW w:w="1246" w:type="dxa"/>
            <w:noWrap/>
          </w:tcPr>
          <w:p w14:paraId="77866B15" w14:textId="6EC85979" w:rsidR="003A504B" w:rsidRPr="007A2712" w:rsidRDefault="003A504B" w:rsidP="003A504B">
            <w:pPr>
              <w:pStyle w:val="Tabele"/>
              <w:jc w:val="right"/>
              <w:rPr>
                <w:color w:val="000000"/>
                <w:lang w:eastAsia="pl-PL"/>
              </w:rPr>
            </w:pPr>
            <w:r>
              <w:rPr>
                <w:color w:val="000000"/>
                <w:szCs w:val="16"/>
              </w:rPr>
              <w:t>175</w:t>
            </w:r>
          </w:p>
        </w:tc>
        <w:tc>
          <w:tcPr>
            <w:tcW w:w="1246" w:type="dxa"/>
            <w:noWrap/>
          </w:tcPr>
          <w:p w14:paraId="7AC6FA57" w14:textId="171D755D" w:rsidR="003A504B" w:rsidRPr="007A2712" w:rsidRDefault="003A504B" w:rsidP="003A504B">
            <w:pPr>
              <w:pStyle w:val="Tabele"/>
              <w:jc w:val="right"/>
              <w:rPr>
                <w:color w:val="000000"/>
                <w:lang w:eastAsia="pl-PL"/>
              </w:rPr>
            </w:pPr>
            <w:r>
              <w:rPr>
                <w:color w:val="000000"/>
                <w:szCs w:val="16"/>
              </w:rPr>
              <w:t>193</w:t>
            </w:r>
          </w:p>
        </w:tc>
        <w:tc>
          <w:tcPr>
            <w:tcW w:w="1246" w:type="dxa"/>
            <w:noWrap/>
          </w:tcPr>
          <w:p w14:paraId="3E7EC33B" w14:textId="602C34BE" w:rsidR="003A504B" w:rsidRPr="007A2712" w:rsidRDefault="003A504B" w:rsidP="003A504B">
            <w:pPr>
              <w:pStyle w:val="Tabele"/>
              <w:jc w:val="right"/>
              <w:rPr>
                <w:color w:val="000000"/>
                <w:lang w:eastAsia="pl-PL"/>
              </w:rPr>
            </w:pPr>
            <w:r>
              <w:rPr>
                <w:color w:val="000000"/>
                <w:szCs w:val="16"/>
              </w:rPr>
              <w:t>191</w:t>
            </w:r>
          </w:p>
        </w:tc>
        <w:tc>
          <w:tcPr>
            <w:tcW w:w="1246" w:type="dxa"/>
            <w:noWrap/>
          </w:tcPr>
          <w:p w14:paraId="2014905E" w14:textId="6A55C43A" w:rsidR="003A504B" w:rsidRPr="007A2712" w:rsidRDefault="003A504B" w:rsidP="003A504B">
            <w:pPr>
              <w:pStyle w:val="Tabele"/>
              <w:jc w:val="right"/>
              <w:rPr>
                <w:color w:val="000000"/>
                <w:lang w:eastAsia="pl-PL"/>
              </w:rPr>
            </w:pPr>
            <w:r>
              <w:rPr>
                <w:color w:val="000000"/>
                <w:szCs w:val="16"/>
              </w:rPr>
              <w:t>182</w:t>
            </w:r>
          </w:p>
        </w:tc>
      </w:tr>
      <w:tr w:rsidR="003A504B" w:rsidRPr="007A2712" w14:paraId="61036C71" w14:textId="77777777" w:rsidTr="003A504B">
        <w:trPr>
          <w:trHeight w:val="214"/>
        </w:trPr>
        <w:tc>
          <w:tcPr>
            <w:tcW w:w="2830" w:type="dxa"/>
            <w:noWrap/>
            <w:hideMark/>
          </w:tcPr>
          <w:p w14:paraId="1B8695B3" w14:textId="77777777" w:rsidR="003A504B" w:rsidRPr="007A2712" w:rsidRDefault="003A504B" w:rsidP="003A504B">
            <w:pPr>
              <w:pStyle w:val="Tabele"/>
              <w:rPr>
                <w:color w:val="000000"/>
                <w:lang w:eastAsia="pl-PL"/>
              </w:rPr>
            </w:pPr>
            <w:r>
              <w:rPr>
                <w:color w:val="000000"/>
                <w:lang w:eastAsia="pl-PL"/>
              </w:rPr>
              <w:t>Pompy ciepła</w:t>
            </w:r>
          </w:p>
        </w:tc>
        <w:tc>
          <w:tcPr>
            <w:tcW w:w="1248" w:type="dxa"/>
            <w:noWrap/>
          </w:tcPr>
          <w:p w14:paraId="1529BFC8" w14:textId="10C27C6E" w:rsidR="003A504B" w:rsidRPr="007A2712" w:rsidRDefault="003A504B" w:rsidP="003A504B">
            <w:pPr>
              <w:pStyle w:val="Tabele"/>
              <w:jc w:val="right"/>
              <w:rPr>
                <w:color w:val="000000"/>
                <w:lang w:eastAsia="pl-PL"/>
              </w:rPr>
            </w:pPr>
            <w:r>
              <w:rPr>
                <w:color w:val="000000"/>
                <w:szCs w:val="16"/>
              </w:rPr>
              <w:t>12</w:t>
            </w:r>
          </w:p>
        </w:tc>
        <w:tc>
          <w:tcPr>
            <w:tcW w:w="1246" w:type="dxa"/>
            <w:noWrap/>
          </w:tcPr>
          <w:p w14:paraId="7DAF27A1" w14:textId="102C3585" w:rsidR="003A504B" w:rsidRPr="007A2712" w:rsidRDefault="003A504B" w:rsidP="003A504B">
            <w:pPr>
              <w:pStyle w:val="Tabele"/>
              <w:jc w:val="right"/>
              <w:rPr>
                <w:color w:val="000000"/>
                <w:lang w:eastAsia="pl-PL"/>
              </w:rPr>
            </w:pPr>
            <w:r>
              <w:rPr>
                <w:color w:val="000000"/>
                <w:szCs w:val="16"/>
              </w:rPr>
              <w:t>50</w:t>
            </w:r>
          </w:p>
        </w:tc>
        <w:tc>
          <w:tcPr>
            <w:tcW w:w="1246" w:type="dxa"/>
            <w:noWrap/>
          </w:tcPr>
          <w:p w14:paraId="439052BC" w14:textId="0B0DF394" w:rsidR="003A504B" w:rsidRPr="007A2712" w:rsidRDefault="003A504B" w:rsidP="003A504B">
            <w:pPr>
              <w:pStyle w:val="Tabele"/>
              <w:jc w:val="right"/>
              <w:rPr>
                <w:color w:val="000000"/>
                <w:lang w:eastAsia="pl-PL"/>
              </w:rPr>
            </w:pPr>
            <w:r>
              <w:rPr>
                <w:color w:val="000000"/>
                <w:szCs w:val="16"/>
              </w:rPr>
              <w:t>72</w:t>
            </w:r>
          </w:p>
        </w:tc>
        <w:tc>
          <w:tcPr>
            <w:tcW w:w="1246" w:type="dxa"/>
            <w:noWrap/>
          </w:tcPr>
          <w:p w14:paraId="12C2CAE5" w14:textId="31463A73" w:rsidR="003A504B" w:rsidRPr="007A2712" w:rsidRDefault="003A504B" w:rsidP="003A504B">
            <w:pPr>
              <w:pStyle w:val="Tabele"/>
              <w:jc w:val="right"/>
              <w:rPr>
                <w:color w:val="000000"/>
                <w:lang w:eastAsia="pl-PL"/>
              </w:rPr>
            </w:pPr>
            <w:r>
              <w:rPr>
                <w:color w:val="000000"/>
                <w:szCs w:val="16"/>
              </w:rPr>
              <w:t>108</w:t>
            </w:r>
          </w:p>
        </w:tc>
        <w:tc>
          <w:tcPr>
            <w:tcW w:w="1246" w:type="dxa"/>
            <w:noWrap/>
          </w:tcPr>
          <w:p w14:paraId="55EE6970" w14:textId="6E3D24C4" w:rsidR="003A504B" w:rsidRPr="007A2712" w:rsidRDefault="003A504B" w:rsidP="003A504B">
            <w:pPr>
              <w:pStyle w:val="Tabele"/>
              <w:jc w:val="right"/>
              <w:rPr>
                <w:color w:val="000000"/>
                <w:lang w:eastAsia="pl-PL"/>
              </w:rPr>
            </w:pPr>
            <w:r>
              <w:rPr>
                <w:color w:val="000000"/>
                <w:szCs w:val="16"/>
              </w:rPr>
              <w:t>140</w:t>
            </w:r>
          </w:p>
        </w:tc>
      </w:tr>
      <w:tr w:rsidR="003A504B" w:rsidRPr="007A2712" w14:paraId="1F3ED55B" w14:textId="77777777" w:rsidTr="003A504B">
        <w:trPr>
          <w:trHeight w:val="214"/>
        </w:trPr>
        <w:tc>
          <w:tcPr>
            <w:tcW w:w="2830" w:type="dxa"/>
            <w:noWrap/>
          </w:tcPr>
          <w:p w14:paraId="5B640DF4" w14:textId="77777777" w:rsidR="003A504B" w:rsidRPr="007A2712" w:rsidRDefault="003A504B" w:rsidP="003A504B">
            <w:pPr>
              <w:pStyle w:val="Tabele"/>
              <w:rPr>
                <w:color w:val="000000"/>
                <w:lang w:eastAsia="pl-PL"/>
              </w:rPr>
            </w:pPr>
            <w:r>
              <w:rPr>
                <w:color w:val="000000"/>
                <w:lang w:eastAsia="pl-PL"/>
              </w:rPr>
              <w:t>Kolektory słoneczne</w:t>
            </w:r>
          </w:p>
        </w:tc>
        <w:tc>
          <w:tcPr>
            <w:tcW w:w="1248" w:type="dxa"/>
            <w:noWrap/>
          </w:tcPr>
          <w:p w14:paraId="287840DA" w14:textId="3AB86EFC" w:rsidR="003A504B" w:rsidRPr="007A2712" w:rsidRDefault="003A504B" w:rsidP="003A504B">
            <w:pPr>
              <w:pStyle w:val="Tabele"/>
              <w:jc w:val="right"/>
              <w:rPr>
                <w:color w:val="000000"/>
                <w:lang w:eastAsia="pl-PL"/>
              </w:rPr>
            </w:pPr>
            <w:r>
              <w:rPr>
                <w:color w:val="000000"/>
                <w:szCs w:val="16"/>
              </w:rPr>
              <w:t>5</w:t>
            </w:r>
          </w:p>
        </w:tc>
        <w:tc>
          <w:tcPr>
            <w:tcW w:w="1246" w:type="dxa"/>
            <w:noWrap/>
          </w:tcPr>
          <w:p w14:paraId="285CC4A9" w14:textId="50869615" w:rsidR="003A504B" w:rsidRDefault="003A504B" w:rsidP="003A504B">
            <w:pPr>
              <w:pStyle w:val="Tabele"/>
              <w:jc w:val="right"/>
              <w:rPr>
                <w:color w:val="000000"/>
              </w:rPr>
            </w:pPr>
            <w:r>
              <w:rPr>
                <w:color w:val="000000"/>
                <w:szCs w:val="16"/>
              </w:rPr>
              <w:t>11</w:t>
            </w:r>
          </w:p>
        </w:tc>
        <w:tc>
          <w:tcPr>
            <w:tcW w:w="1246" w:type="dxa"/>
            <w:noWrap/>
          </w:tcPr>
          <w:p w14:paraId="09F15C97" w14:textId="563889FB" w:rsidR="003A504B" w:rsidRDefault="003A504B" w:rsidP="003A504B">
            <w:pPr>
              <w:pStyle w:val="Tabele"/>
              <w:jc w:val="right"/>
              <w:rPr>
                <w:color w:val="000000"/>
              </w:rPr>
            </w:pPr>
            <w:r>
              <w:rPr>
                <w:color w:val="000000"/>
                <w:szCs w:val="16"/>
              </w:rPr>
              <w:t>18</w:t>
            </w:r>
          </w:p>
        </w:tc>
        <w:tc>
          <w:tcPr>
            <w:tcW w:w="1246" w:type="dxa"/>
            <w:noWrap/>
          </w:tcPr>
          <w:p w14:paraId="0B79D47E" w14:textId="521240AB" w:rsidR="003A504B" w:rsidRDefault="003A504B" w:rsidP="003A504B">
            <w:pPr>
              <w:pStyle w:val="Tabele"/>
              <w:jc w:val="right"/>
              <w:rPr>
                <w:color w:val="000000"/>
              </w:rPr>
            </w:pPr>
            <w:r>
              <w:rPr>
                <w:color w:val="000000"/>
                <w:szCs w:val="16"/>
              </w:rPr>
              <w:t>21</w:t>
            </w:r>
          </w:p>
        </w:tc>
        <w:tc>
          <w:tcPr>
            <w:tcW w:w="1246" w:type="dxa"/>
            <w:noWrap/>
          </w:tcPr>
          <w:p w14:paraId="5BD98BC3" w14:textId="506D1AD5" w:rsidR="003A504B" w:rsidRDefault="003A504B" w:rsidP="003A504B">
            <w:pPr>
              <w:pStyle w:val="Tabele"/>
              <w:jc w:val="right"/>
              <w:rPr>
                <w:color w:val="000000"/>
              </w:rPr>
            </w:pPr>
            <w:r>
              <w:rPr>
                <w:color w:val="000000"/>
                <w:szCs w:val="16"/>
              </w:rPr>
              <w:t>23</w:t>
            </w:r>
          </w:p>
        </w:tc>
      </w:tr>
      <w:tr w:rsidR="00A45552" w:rsidRPr="00B97CC9" w14:paraId="736D9968" w14:textId="77777777" w:rsidTr="003A504B">
        <w:trPr>
          <w:trHeight w:val="214"/>
        </w:trPr>
        <w:tc>
          <w:tcPr>
            <w:tcW w:w="2830" w:type="dxa"/>
            <w:noWrap/>
            <w:hideMark/>
          </w:tcPr>
          <w:p w14:paraId="488BBD87" w14:textId="77777777" w:rsidR="00A45552" w:rsidRPr="00B97CC9" w:rsidRDefault="00A45552">
            <w:pPr>
              <w:pStyle w:val="Tabele"/>
              <w:spacing w:line="240" w:lineRule="auto"/>
              <w:rPr>
                <w:b/>
                <w:bCs/>
                <w:color w:val="000000"/>
                <w:lang w:eastAsia="pl-PL"/>
              </w:rPr>
            </w:pPr>
            <w:r w:rsidRPr="00B97CC9">
              <w:rPr>
                <w:b/>
                <w:bCs/>
                <w:color w:val="000000"/>
                <w:lang w:eastAsia="pl-PL"/>
              </w:rPr>
              <w:t>Suma</w:t>
            </w:r>
          </w:p>
        </w:tc>
        <w:tc>
          <w:tcPr>
            <w:tcW w:w="1248" w:type="dxa"/>
            <w:noWrap/>
            <w:hideMark/>
          </w:tcPr>
          <w:p w14:paraId="33F2CA19" w14:textId="54AC11FC" w:rsidR="00A45552" w:rsidRPr="00B97CC9" w:rsidRDefault="00A45552">
            <w:pPr>
              <w:pStyle w:val="Tabele"/>
              <w:spacing w:line="240" w:lineRule="auto"/>
              <w:jc w:val="right"/>
              <w:rPr>
                <w:b/>
                <w:bCs/>
                <w:color w:val="000000"/>
                <w:lang w:eastAsia="pl-PL"/>
              </w:rPr>
            </w:pPr>
            <w:r>
              <w:rPr>
                <w:b/>
                <w:bCs/>
                <w:color w:val="000000"/>
                <w:szCs w:val="16"/>
              </w:rPr>
              <w:t>9</w:t>
            </w:r>
            <w:r w:rsidR="009745CF">
              <w:rPr>
                <w:b/>
                <w:bCs/>
                <w:color w:val="000000"/>
                <w:szCs w:val="16"/>
              </w:rPr>
              <w:t>75</w:t>
            </w:r>
          </w:p>
        </w:tc>
        <w:tc>
          <w:tcPr>
            <w:tcW w:w="1246" w:type="dxa"/>
            <w:noWrap/>
            <w:hideMark/>
          </w:tcPr>
          <w:p w14:paraId="043FE3B2" w14:textId="77777777" w:rsidR="00A45552" w:rsidRPr="00B97CC9" w:rsidRDefault="00A45552">
            <w:pPr>
              <w:pStyle w:val="Tabele"/>
              <w:spacing w:line="240" w:lineRule="auto"/>
              <w:jc w:val="right"/>
              <w:rPr>
                <w:b/>
                <w:bCs/>
                <w:color w:val="000000"/>
                <w:lang w:eastAsia="pl-PL"/>
              </w:rPr>
            </w:pPr>
            <w:r>
              <w:rPr>
                <w:rFonts w:cs="Arial"/>
                <w:b/>
                <w:bCs/>
                <w:color w:val="000000"/>
                <w:szCs w:val="16"/>
              </w:rPr>
              <w:t>956</w:t>
            </w:r>
          </w:p>
        </w:tc>
        <w:tc>
          <w:tcPr>
            <w:tcW w:w="1246" w:type="dxa"/>
            <w:noWrap/>
            <w:hideMark/>
          </w:tcPr>
          <w:p w14:paraId="220EE980" w14:textId="77777777" w:rsidR="00A45552" w:rsidRPr="00B97CC9" w:rsidRDefault="00A45552">
            <w:pPr>
              <w:pStyle w:val="Tabele"/>
              <w:spacing w:line="240" w:lineRule="auto"/>
              <w:jc w:val="right"/>
              <w:rPr>
                <w:b/>
                <w:bCs/>
                <w:color w:val="000000"/>
                <w:lang w:eastAsia="pl-PL"/>
              </w:rPr>
            </w:pPr>
            <w:r>
              <w:rPr>
                <w:rFonts w:cs="Arial"/>
                <w:b/>
                <w:bCs/>
                <w:color w:val="000000"/>
                <w:szCs w:val="16"/>
              </w:rPr>
              <w:t>857</w:t>
            </w:r>
          </w:p>
        </w:tc>
        <w:tc>
          <w:tcPr>
            <w:tcW w:w="1246" w:type="dxa"/>
            <w:noWrap/>
            <w:hideMark/>
          </w:tcPr>
          <w:p w14:paraId="31209211" w14:textId="77777777" w:rsidR="00A45552" w:rsidRPr="00B97CC9" w:rsidRDefault="00A45552">
            <w:pPr>
              <w:pStyle w:val="Tabele"/>
              <w:spacing w:line="240" w:lineRule="auto"/>
              <w:jc w:val="right"/>
              <w:rPr>
                <w:b/>
                <w:bCs/>
                <w:color w:val="000000"/>
                <w:lang w:eastAsia="pl-PL"/>
              </w:rPr>
            </w:pPr>
            <w:r>
              <w:rPr>
                <w:rFonts w:cs="Arial"/>
                <w:b/>
                <w:bCs/>
                <w:color w:val="000000"/>
                <w:szCs w:val="16"/>
              </w:rPr>
              <w:t>769</w:t>
            </w:r>
          </w:p>
        </w:tc>
        <w:tc>
          <w:tcPr>
            <w:tcW w:w="1246" w:type="dxa"/>
            <w:noWrap/>
            <w:hideMark/>
          </w:tcPr>
          <w:p w14:paraId="4990635A" w14:textId="77777777" w:rsidR="00A45552" w:rsidRPr="00B97CC9" w:rsidRDefault="00A45552">
            <w:pPr>
              <w:pStyle w:val="Tabele"/>
              <w:spacing w:line="240" w:lineRule="auto"/>
              <w:jc w:val="right"/>
              <w:rPr>
                <w:b/>
                <w:bCs/>
                <w:color w:val="000000"/>
                <w:lang w:eastAsia="pl-PL"/>
              </w:rPr>
            </w:pPr>
            <w:r>
              <w:rPr>
                <w:rFonts w:cs="Arial"/>
                <w:b/>
                <w:bCs/>
                <w:color w:val="000000"/>
                <w:szCs w:val="16"/>
              </w:rPr>
              <w:t>719</w:t>
            </w:r>
          </w:p>
        </w:tc>
      </w:tr>
    </w:tbl>
    <w:p w14:paraId="25222EB2" w14:textId="440C8AE3" w:rsidR="00644BE1" w:rsidRDefault="00644BE1" w:rsidP="00644BE1">
      <w:pPr>
        <w:pStyle w:val="Legenda"/>
        <w:keepNext/>
      </w:pPr>
      <w:r w:rsidRPr="00EB0377">
        <w:t>*odpady komunalne i przemysłowe spalane w instalacjach przemysłowych, głownie</w:t>
      </w:r>
      <w:r w:rsidR="00445853">
        <w:t xml:space="preserve"> </w:t>
      </w:r>
      <w:r>
        <w:t>cementowniach</w:t>
      </w:r>
    </w:p>
    <w:p w14:paraId="2219ECC1" w14:textId="75C3EEF4" w:rsidR="00E92970" w:rsidRDefault="00E92970" w:rsidP="00E92970">
      <w:r>
        <w:t xml:space="preserve">W tabeli </w:t>
      </w:r>
      <w:r w:rsidR="00D4613F">
        <w:t>(</w:t>
      </w:r>
      <w:r w:rsidR="003E3294">
        <w:fldChar w:fldCharType="begin"/>
      </w:r>
      <w:r w:rsidR="003E3294">
        <w:instrText xml:space="preserve"> REF _Ref195775710 \h </w:instrText>
      </w:r>
      <w:r w:rsidR="003E3294">
        <w:fldChar w:fldCharType="separate"/>
      </w:r>
      <w:r w:rsidR="00F27D6F">
        <w:t xml:space="preserve">Tabela </w:t>
      </w:r>
      <w:r w:rsidR="00F27D6F">
        <w:rPr>
          <w:noProof/>
        </w:rPr>
        <w:t>2</w:t>
      </w:r>
      <w:r w:rsidR="00F27D6F">
        <w:t>.</w:t>
      </w:r>
      <w:r w:rsidR="00F27D6F">
        <w:rPr>
          <w:noProof/>
        </w:rPr>
        <w:t>15</w:t>
      </w:r>
      <w:r w:rsidR="003E3294">
        <w:fldChar w:fldCharType="end"/>
      </w:r>
      <w:r w:rsidR="00D4613F">
        <w:t>)</w:t>
      </w:r>
      <w:r>
        <w:t xml:space="preserve"> i na rysunku </w:t>
      </w:r>
      <w:r w:rsidR="00445853" w:rsidRPr="004B0798">
        <w:rPr>
          <w:szCs w:val="20"/>
        </w:rPr>
        <w:t>(</w:t>
      </w:r>
      <w:r w:rsidR="004B0798" w:rsidRPr="004B0798">
        <w:rPr>
          <w:szCs w:val="20"/>
        </w:rPr>
        <w:fldChar w:fldCharType="begin"/>
      </w:r>
      <w:r w:rsidR="004B0798" w:rsidRPr="004B0798">
        <w:rPr>
          <w:szCs w:val="20"/>
        </w:rPr>
        <w:instrText xml:space="preserve"> REF _Ref197444152 \h  \* MERGEFORMAT </w:instrText>
      </w:r>
      <w:r w:rsidR="004B0798" w:rsidRPr="004B0798">
        <w:rPr>
          <w:szCs w:val="20"/>
        </w:rPr>
      </w:r>
      <w:r w:rsidR="004B0798" w:rsidRPr="004B0798">
        <w:rPr>
          <w:szCs w:val="20"/>
        </w:rPr>
        <w:fldChar w:fldCharType="separate"/>
      </w:r>
      <w:r w:rsidR="00F27D6F" w:rsidRPr="00F27D6F">
        <w:rPr>
          <w:szCs w:val="20"/>
        </w:rPr>
        <w:t xml:space="preserve">Rysunek </w:t>
      </w:r>
      <w:r w:rsidR="00F27D6F" w:rsidRPr="00F27D6F">
        <w:rPr>
          <w:noProof/>
          <w:szCs w:val="20"/>
        </w:rPr>
        <w:t>2</w:t>
      </w:r>
      <w:r w:rsidR="00F27D6F" w:rsidRPr="00F27D6F">
        <w:rPr>
          <w:szCs w:val="20"/>
        </w:rPr>
        <w:t>.</w:t>
      </w:r>
      <w:r w:rsidR="00F27D6F" w:rsidRPr="00F27D6F">
        <w:rPr>
          <w:noProof/>
          <w:szCs w:val="20"/>
        </w:rPr>
        <w:t>6</w:t>
      </w:r>
      <w:r w:rsidR="004B0798" w:rsidRPr="004B0798">
        <w:rPr>
          <w:szCs w:val="20"/>
        </w:rPr>
        <w:fldChar w:fldCharType="end"/>
      </w:r>
      <w:r w:rsidR="00445853">
        <w:t>)</w:t>
      </w:r>
      <w:r>
        <w:t xml:space="preserve"> zaprezentowano </w:t>
      </w:r>
      <w:r w:rsidRPr="00E606F3">
        <w:t>produkcję ciepła w indywidualnych źródłach</w:t>
      </w:r>
      <w:r>
        <w:t xml:space="preserve"> ciepła w gospodarstwach domowych. Jak</w:t>
      </w:r>
      <w:r w:rsidR="0038281D">
        <w:t>o</w:t>
      </w:r>
      <w:r>
        <w:t xml:space="preserve"> źródła ciepła przyjęto wszelki</w:t>
      </w:r>
      <w:r w:rsidR="0038281D">
        <w:t>e</w:t>
      </w:r>
      <w:r>
        <w:t xml:space="preserve"> urządzenia i technologie wykorzystywane do ogrzewania pomieszczeń, przygotowanie ciepłej wody użytkowej oraz przygotowanie posiłków.</w:t>
      </w:r>
      <w:r w:rsidR="002A532C">
        <w:t xml:space="preserve"> </w:t>
      </w:r>
    </w:p>
    <w:p w14:paraId="52D8C54F" w14:textId="06AA4330" w:rsidR="00CA6E3B" w:rsidRDefault="00CA6E3B" w:rsidP="00CA6E3B">
      <w:pPr>
        <w:pStyle w:val="Legenda"/>
        <w:keepNext/>
      </w:pPr>
      <w:bookmarkStart w:id="391" w:name="_Ref195775710"/>
      <w:bookmarkStart w:id="392" w:name="_Toc202966990"/>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2</w:t>
      </w:r>
      <w:r w:rsidR="00653D9A">
        <w:rPr>
          <w:noProof/>
        </w:rPr>
        <w:fldChar w:fldCharType="end"/>
      </w:r>
      <w:r w:rsidR="00F5646F">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15</w:t>
      </w:r>
      <w:r w:rsidR="00653D9A">
        <w:rPr>
          <w:noProof/>
        </w:rPr>
        <w:fldChar w:fldCharType="end"/>
      </w:r>
      <w:bookmarkEnd w:id="391"/>
      <w:r w:rsidR="00A44552">
        <w:t>.</w:t>
      </w:r>
      <w:r>
        <w:t xml:space="preserve"> </w:t>
      </w:r>
      <w:r w:rsidRPr="007A2712">
        <w:t>Produkcja ciepła w indywidualnych źródłach ciepła w podziale na paliwa i nośniki energii</w:t>
      </w:r>
      <w:r>
        <w:t xml:space="preserve"> w gospodarstwach domowych</w:t>
      </w:r>
      <w:r w:rsidRPr="007A2712">
        <w:t xml:space="preserve"> [PJ]</w:t>
      </w:r>
      <w:bookmarkEnd w:id="392"/>
    </w:p>
    <w:tbl>
      <w:tblPr>
        <w:tblStyle w:val="KPEiK"/>
        <w:tblW w:w="5000" w:type="pct"/>
        <w:tblLook w:val="04A0" w:firstRow="1" w:lastRow="0" w:firstColumn="1" w:lastColumn="0" w:noHBand="0" w:noVBand="1"/>
      </w:tblPr>
      <w:tblGrid>
        <w:gridCol w:w="2769"/>
        <w:gridCol w:w="1238"/>
        <w:gridCol w:w="1227"/>
        <w:gridCol w:w="1227"/>
        <w:gridCol w:w="1227"/>
        <w:gridCol w:w="1374"/>
      </w:tblGrid>
      <w:tr w:rsidR="002D1382" w:rsidRPr="007A2712" w14:paraId="4C3979B5" w14:textId="77777777" w:rsidTr="008D7898">
        <w:trPr>
          <w:cnfStyle w:val="100000000000" w:firstRow="1" w:lastRow="0" w:firstColumn="0" w:lastColumn="0" w:oddVBand="0" w:evenVBand="0" w:oddHBand="0" w:evenHBand="0" w:firstRowFirstColumn="0" w:firstRowLastColumn="0" w:lastRowFirstColumn="0" w:lastRowLastColumn="0"/>
          <w:cantSplit w:val="0"/>
          <w:trHeight w:val="220"/>
          <w:tblHeader/>
        </w:trPr>
        <w:tc>
          <w:tcPr>
            <w:tcW w:w="2769" w:type="dxa"/>
            <w:noWrap/>
            <w:hideMark/>
          </w:tcPr>
          <w:p w14:paraId="2DA2A543" w14:textId="77777777" w:rsidR="002D1382" w:rsidRPr="007A2712" w:rsidRDefault="002D1382">
            <w:pPr>
              <w:pStyle w:val="Tabele"/>
              <w:jc w:val="center"/>
              <w:rPr>
                <w:b w:val="0"/>
                <w:lang w:eastAsia="pl-PL"/>
              </w:rPr>
            </w:pPr>
            <w:r w:rsidRPr="007A2712">
              <w:rPr>
                <w:lang w:eastAsia="pl-PL"/>
              </w:rPr>
              <w:t>paliwa / nośniki energii</w:t>
            </w:r>
          </w:p>
        </w:tc>
        <w:tc>
          <w:tcPr>
            <w:tcW w:w="1238" w:type="dxa"/>
            <w:noWrap/>
            <w:hideMark/>
          </w:tcPr>
          <w:p w14:paraId="53AAB868" w14:textId="77777777" w:rsidR="002D1382" w:rsidRPr="007A2712" w:rsidRDefault="002D1382">
            <w:pPr>
              <w:pStyle w:val="Tabele"/>
              <w:jc w:val="center"/>
              <w:rPr>
                <w:b w:val="0"/>
                <w:lang w:eastAsia="pl-PL"/>
              </w:rPr>
            </w:pPr>
            <w:r w:rsidRPr="007A2712">
              <w:rPr>
                <w:lang w:eastAsia="pl-PL"/>
              </w:rPr>
              <w:t>2020</w:t>
            </w:r>
          </w:p>
        </w:tc>
        <w:tc>
          <w:tcPr>
            <w:tcW w:w="1227" w:type="dxa"/>
            <w:noWrap/>
            <w:hideMark/>
          </w:tcPr>
          <w:p w14:paraId="5771490B" w14:textId="77777777" w:rsidR="002D1382" w:rsidRPr="007A2712" w:rsidRDefault="002D1382">
            <w:pPr>
              <w:pStyle w:val="Tabele"/>
              <w:jc w:val="center"/>
              <w:rPr>
                <w:b w:val="0"/>
                <w:lang w:eastAsia="pl-PL"/>
              </w:rPr>
            </w:pPr>
            <w:r w:rsidRPr="007A2712">
              <w:rPr>
                <w:lang w:eastAsia="pl-PL"/>
              </w:rPr>
              <w:t>2025</w:t>
            </w:r>
          </w:p>
        </w:tc>
        <w:tc>
          <w:tcPr>
            <w:tcW w:w="1227" w:type="dxa"/>
            <w:noWrap/>
            <w:hideMark/>
          </w:tcPr>
          <w:p w14:paraId="300C0DFA" w14:textId="77777777" w:rsidR="002D1382" w:rsidRPr="007A2712" w:rsidRDefault="002D1382">
            <w:pPr>
              <w:pStyle w:val="Tabele"/>
              <w:jc w:val="center"/>
              <w:rPr>
                <w:b w:val="0"/>
                <w:lang w:eastAsia="pl-PL"/>
              </w:rPr>
            </w:pPr>
            <w:r w:rsidRPr="007A2712">
              <w:rPr>
                <w:lang w:eastAsia="pl-PL"/>
              </w:rPr>
              <w:t>2030</w:t>
            </w:r>
          </w:p>
        </w:tc>
        <w:tc>
          <w:tcPr>
            <w:tcW w:w="1227" w:type="dxa"/>
            <w:noWrap/>
            <w:hideMark/>
          </w:tcPr>
          <w:p w14:paraId="598107A3" w14:textId="77777777" w:rsidR="002D1382" w:rsidRPr="007A2712" w:rsidRDefault="002D1382">
            <w:pPr>
              <w:pStyle w:val="Tabele"/>
              <w:jc w:val="center"/>
              <w:rPr>
                <w:b w:val="0"/>
                <w:lang w:eastAsia="pl-PL"/>
              </w:rPr>
            </w:pPr>
            <w:r w:rsidRPr="007A2712">
              <w:rPr>
                <w:lang w:eastAsia="pl-PL"/>
              </w:rPr>
              <w:t>2035</w:t>
            </w:r>
          </w:p>
        </w:tc>
        <w:tc>
          <w:tcPr>
            <w:tcW w:w="1374" w:type="dxa"/>
            <w:noWrap/>
            <w:hideMark/>
          </w:tcPr>
          <w:p w14:paraId="460ECD8F" w14:textId="40D9CA53" w:rsidR="002D1382" w:rsidRPr="007A2712" w:rsidRDefault="002D1382">
            <w:pPr>
              <w:pStyle w:val="Tabele"/>
              <w:jc w:val="center"/>
              <w:rPr>
                <w:b w:val="0"/>
                <w:lang w:eastAsia="pl-PL"/>
              </w:rPr>
            </w:pPr>
            <w:r w:rsidRPr="007A2712">
              <w:rPr>
                <w:lang w:eastAsia="pl-PL"/>
              </w:rPr>
              <w:t>2040</w:t>
            </w:r>
          </w:p>
        </w:tc>
      </w:tr>
      <w:tr w:rsidR="00795EE6" w:rsidRPr="007A2712" w14:paraId="62214608" w14:textId="77777777" w:rsidTr="008D7898">
        <w:trPr>
          <w:cantSplit w:val="0"/>
          <w:trHeight w:val="220"/>
        </w:trPr>
        <w:tc>
          <w:tcPr>
            <w:tcW w:w="2769" w:type="dxa"/>
            <w:noWrap/>
            <w:vAlign w:val="bottom"/>
            <w:hideMark/>
          </w:tcPr>
          <w:p w14:paraId="53FEF3FD" w14:textId="77777777" w:rsidR="00795EE6" w:rsidRPr="007A2712" w:rsidRDefault="00795EE6" w:rsidP="00795EE6">
            <w:pPr>
              <w:pStyle w:val="Tabele"/>
              <w:rPr>
                <w:color w:val="000000"/>
                <w:lang w:eastAsia="pl-PL"/>
              </w:rPr>
            </w:pPr>
            <w:r w:rsidRPr="008860D5">
              <w:rPr>
                <w:color w:val="000000"/>
                <w:lang w:eastAsia="pl-PL"/>
              </w:rPr>
              <w:t>Energia elektryczna</w:t>
            </w:r>
          </w:p>
        </w:tc>
        <w:tc>
          <w:tcPr>
            <w:tcW w:w="1238" w:type="dxa"/>
            <w:noWrap/>
          </w:tcPr>
          <w:p w14:paraId="76E30593" w14:textId="28A984EE" w:rsidR="00795EE6" w:rsidRPr="008860D5" w:rsidRDefault="00795EE6" w:rsidP="00795EE6">
            <w:pPr>
              <w:pStyle w:val="Tabele"/>
              <w:jc w:val="right"/>
              <w:rPr>
                <w:color w:val="000000"/>
                <w:szCs w:val="16"/>
              </w:rPr>
            </w:pPr>
            <w:r>
              <w:rPr>
                <w:color w:val="000000"/>
                <w:szCs w:val="16"/>
              </w:rPr>
              <w:t>28</w:t>
            </w:r>
          </w:p>
        </w:tc>
        <w:tc>
          <w:tcPr>
            <w:tcW w:w="1227" w:type="dxa"/>
            <w:noWrap/>
          </w:tcPr>
          <w:p w14:paraId="7E59E258" w14:textId="0A5D759B" w:rsidR="00795EE6" w:rsidRPr="008860D5" w:rsidRDefault="00795EE6" w:rsidP="00795EE6">
            <w:pPr>
              <w:pStyle w:val="Tabele"/>
              <w:jc w:val="right"/>
              <w:rPr>
                <w:color w:val="000000"/>
                <w:szCs w:val="16"/>
              </w:rPr>
            </w:pPr>
            <w:r>
              <w:rPr>
                <w:color w:val="000000"/>
                <w:szCs w:val="16"/>
              </w:rPr>
              <w:t>42</w:t>
            </w:r>
          </w:p>
        </w:tc>
        <w:tc>
          <w:tcPr>
            <w:tcW w:w="1227" w:type="dxa"/>
            <w:noWrap/>
          </w:tcPr>
          <w:p w14:paraId="594D333E" w14:textId="3E75784D" w:rsidR="00795EE6" w:rsidRPr="008860D5" w:rsidRDefault="00795EE6" w:rsidP="00795EE6">
            <w:pPr>
              <w:pStyle w:val="Tabele"/>
              <w:jc w:val="right"/>
              <w:rPr>
                <w:color w:val="000000"/>
                <w:szCs w:val="16"/>
              </w:rPr>
            </w:pPr>
            <w:r>
              <w:rPr>
                <w:color w:val="000000"/>
                <w:szCs w:val="16"/>
              </w:rPr>
              <w:t>47</w:t>
            </w:r>
          </w:p>
        </w:tc>
        <w:tc>
          <w:tcPr>
            <w:tcW w:w="1227" w:type="dxa"/>
            <w:noWrap/>
          </w:tcPr>
          <w:p w14:paraId="01B3B34F" w14:textId="3B94F645" w:rsidR="00795EE6" w:rsidRPr="008860D5" w:rsidRDefault="00795EE6" w:rsidP="00795EE6">
            <w:pPr>
              <w:pStyle w:val="Tabele"/>
              <w:jc w:val="right"/>
              <w:rPr>
                <w:color w:val="000000"/>
                <w:szCs w:val="16"/>
              </w:rPr>
            </w:pPr>
            <w:r>
              <w:rPr>
                <w:color w:val="000000"/>
                <w:szCs w:val="16"/>
              </w:rPr>
              <w:t>59</w:t>
            </w:r>
          </w:p>
        </w:tc>
        <w:tc>
          <w:tcPr>
            <w:tcW w:w="1374" w:type="dxa"/>
            <w:noWrap/>
          </w:tcPr>
          <w:p w14:paraId="65F292BF" w14:textId="5CB875CE" w:rsidR="00795EE6" w:rsidRPr="008860D5" w:rsidRDefault="00795EE6" w:rsidP="00795EE6">
            <w:pPr>
              <w:pStyle w:val="Tabele"/>
              <w:jc w:val="right"/>
              <w:rPr>
                <w:color w:val="000000"/>
                <w:szCs w:val="16"/>
              </w:rPr>
            </w:pPr>
            <w:r>
              <w:rPr>
                <w:color w:val="000000"/>
                <w:szCs w:val="16"/>
              </w:rPr>
              <w:t>66</w:t>
            </w:r>
          </w:p>
        </w:tc>
      </w:tr>
      <w:tr w:rsidR="00795EE6" w:rsidRPr="007A2712" w14:paraId="70D60B56" w14:textId="77777777" w:rsidTr="008D7898">
        <w:trPr>
          <w:cantSplit w:val="0"/>
          <w:trHeight w:val="220"/>
        </w:trPr>
        <w:tc>
          <w:tcPr>
            <w:tcW w:w="2769" w:type="dxa"/>
            <w:noWrap/>
            <w:vAlign w:val="bottom"/>
            <w:hideMark/>
          </w:tcPr>
          <w:p w14:paraId="3188969F" w14:textId="77777777" w:rsidR="00795EE6" w:rsidRPr="007A2712" w:rsidRDefault="00795EE6" w:rsidP="00795EE6">
            <w:pPr>
              <w:pStyle w:val="Tabele"/>
              <w:rPr>
                <w:color w:val="000000"/>
                <w:lang w:eastAsia="pl-PL"/>
              </w:rPr>
            </w:pPr>
            <w:r w:rsidRPr="008860D5">
              <w:rPr>
                <w:color w:val="000000"/>
                <w:lang w:eastAsia="pl-PL"/>
              </w:rPr>
              <w:t>Gaz ziemny</w:t>
            </w:r>
          </w:p>
        </w:tc>
        <w:tc>
          <w:tcPr>
            <w:tcW w:w="1238" w:type="dxa"/>
            <w:noWrap/>
          </w:tcPr>
          <w:p w14:paraId="600712F3" w14:textId="2B8C3747" w:rsidR="00795EE6" w:rsidRPr="008860D5" w:rsidRDefault="00795EE6" w:rsidP="00795EE6">
            <w:pPr>
              <w:pStyle w:val="Tabele"/>
              <w:jc w:val="right"/>
              <w:rPr>
                <w:color w:val="000000"/>
                <w:szCs w:val="16"/>
              </w:rPr>
            </w:pPr>
            <w:r>
              <w:rPr>
                <w:color w:val="000000"/>
                <w:szCs w:val="16"/>
              </w:rPr>
              <w:t>181</w:t>
            </w:r>
          </w:p>
        </w:tc>
        <w:tc>
          <w:tcPr>
            <w:tcW w:w="1227" w:type="dxa"/>
            <w:noWrap/>
          </w:tcPr>
          <w:p w14:paraId="0A6ECF2B" w14:textId="3D3177A9" w:rsidR="00795EE6" w:rsidRPr="008860D5" w:rsidRDefault="00795EE6" w:rsidP="00795EE6">
            <w:pPr>
              <w:pStyle w:val="Tabele"/>
              <w:jc w:val="right"/>
              <w:rPr>
                <w:color w:val="000000"/>
                <w:szCs w:val="16"/>
              </w:rPr>
            </w:pPr>
            <w:r>
              <w:rPr>
                <w:color w:val="000000"/>
                <w:szCs w:val="16"/>
              </w:rPr>
              <w:t>184</w:t>
            </w:r>
          </w:p>
        </w:tc>
        <w:tc>
          <w:tcPr>
            <w:tcW w:w="1227" w:type="dxa"/>
            <w:noWrap/>
          </w:tcPr>
          <w:p w14:paraId="580E64C2" w14:textId="2DC85235" w:rsidR="00795EE6" w:rsidRPr="008860D5" w:rsidRDefault="00795EE6" w:rsidP="00795EE6">
            <w:pPr>
              <w:pStyle w:val="Tabele"/>
              <w:jc w:val="right"/>
              <w:rPr>
                <w:color w:val="000000"/>
                <w:szCs w:val="16"/>
              </w:rPr>
            </w:pPr>
            <w:r>
              <w:rPr>
                <w:color w:val="000000"/>
                <w:szCs w:val="16"/>
              </w:rPr>
              <w:t>145</w:t>
            </w:r>
          </w:p>
        </w:tc>
        <w:tc>
          <w:tcPr>
            <w:tcW w:w="1227" w:type="dxa"/>
            <w:noWrap/>
          </w:tcPr>
          <w:p w14:paraId="3B3C52E6" w14:textId="79067D7D" w:rsidR="00795EE6" w:rsidRPr="008860D5" w:rsidRDefault="00795EE6" w:rsidP="00795EE6">
            <w:pPr>
              <w:pStyle w:val="Tabele"/>
              <w:jc w:val="right"/>
              <w:rPr>
                <w:color w:val="000000"/>
                <w:szCs w:val="16"/>
              </w:rPr>
            </w:pPr>
            <w:r>
              <w:rPr>
                <w:color w:val="000000"/>
                <w:szCs w:val="16"/>
              </w:rPr>
              <w:t>77</w:t>
            </w:r>
          </w:p>
        </w:tc>
        <w:tc>
          <w:tcPr>
            <w:tcW w:w="1374" w:type="dxa"/>
            <w:noWrap/>
          </w:tcPr>
          <w:p w14:paraId="14451507" w14:textId="7CC6D714" w:rsidR="00795EE6" w:rsidRPr="008860D5" w:rsidRDefault="00795EE6" w:rsidP="00795EE6">
            <w:pPr>
              <w:pStyle w:val="Tabele"/>
              <w:jc w:val="right"/>
              <w:rPr>
                <w:color w:val="000000"/>
                <w:szCs w:val="16"/>
              </w:rPr>
            </w:pPr>
            <w:r>
              <w:rPr>
                <w:color w:val="000000"/>
                <w:szCs w:val="16"/>
              </w:rPr>
              <w:t>51</w:t>
            </w:r>
          </w:p>
        </w:tc>
      </w:tr>
      <w:tr w:rsidR="00795EE6" w:rsidRPr="007A2712" w14:paraId="2F2E0C23" w14:textId="77777777" w:rsidTr="008D7898">
        <w:trPr>
          <w:cantSplit w:val="0"/>
          <w:trHeight w:val="220"/>
        </w:trPr>
        <w:tc>
          <w:tcPr>
            <w:tcW w:w="2769" w:type="dxa"/>
            <w:noWrap/>
            <w:vAlign w:val="bottom"/>
            <w:hideMark/>
          </w:tcPr>
          <w:p w14:paraId="5E7DCCCA" w14:textId="77777777" w:rsidR="00795EE6" w:rsidRPr="007A2712" w:rsidRDefault="00795EE6" w:rsidP="00795EE6">
            <w:pPr>
              <w:pStyle w:val="Tabele"/>
              <w:rPr>
                <w:color w:val="000000"/>
                <w:lang w:eastAsia="pl-PL"/>
              </w:rPr>
            </w:pPr>
            <w:r w:rsidRPr="008860D5">
              <w:rPr>
                <w:color w:val="000000"/>
                <w:lang w:eastAsia="pl-PL"/>
              </w:rPr>
              <w:t>LPG/Olej opałowy lekki</w:t>
            </w:r>
          </w:p>
        </w:tc>
        <w:tc>
          <w:tcPr>
            <w:tcW w:w="1238" w:type="dxa"/>
            <w:noWrap/>
          </w:tcPr>
          <w:p w14:paraId="1B26469D" w14:textId="3C56093C" w:rsidR="00795EE6" w:rsidRPr="008860D5" w:rsidRDefault="00795EE6" w:rsidP="00795EE6">
            <w:pPr>
              <w:pStyle w:val="Tabele"/>
              <w:jc w:val="right"/>
              <w:rPr>
                <w:color w:val="000000"/>
                <w:szCs w:val="16"/>
              </w:rPr>
            </w:pPr>
            <w:r>
              <w:rPr>
                <w:color w:val="000000"/>
                <w:szCs w:val="16"/>
              </w:rPr>
              <w:t>22</w:t>
            </w:r>
          </w:p>
        </w:tc>
        <w:tc>
          <w:tcPr>
            <w:tcW w:w="1227" w:type="dxa"/>
            <w:noWrap/>
          </w:tcPr>
          <w:p w14:paraId="266FB7B9" w14:textId="4BAD1511" w:rsidR="00795EE6" w:rsidRPr="008860D5" w:rsidRDefault="00795EE6" w:rsidP="00795EE6">
            <w:pPr>
              <w:pStyle w:val="Tabele"/>
              <w:jc w:val="right"/>
              <w:rPr>
                <w:color w:val="000000"/>
                <w:szCs w:val="16"/>
              </w:rPr>
            </w:pPr>
            <w:r>
              <w:rPr>
                <w:color w:val="000000"/>
                <w:szCs w:val="16"/>
              </w:rPr>
              <w:t>18</w:t>
            </w:r>
          </w:p>
        </w:tc>
        <w:tc>
          <w:tcPr>
            <w:tcW w:w="1227" w:type="dxa"/>
            <w:noWrap/>
          </w:tcPr>
          <w:p w14:paraId="26E80103" w14:textId="4A0E17F3" w:rsidR="00795EE6" w:rsidRPr="008860D5" w:rsidRDefault="00795EE6" w:rsidP="00795EE6">
            <w:pPr>
              <w:pStyle w:val="Tabele"/>
              <w:jc w:val="right"/>
              <w:rPr>
                <w:color w:val="000000"/>
                <w:szCs w:val="16"/>
              </w:rPr>
            </w:pPr>
            <w:r>
              <w:rPr>
                <w:color w:val="000000"/>
                <w:szCs w:val="16"/>
              </w:rPr>
              <w:t>13</w:t>
            </w:r>
          </w:p>
        </w:tc>
        <w:tc>
          <w:tcPr>
            <w:tcW w:w="1227" w:type="dxa"/>
            <w:noWrap/>
          </w:tcPr>
          <w:p w14:paraId="2D7B8A89" w14:textId="19B998E6" w:rsidR="00795EE6" w:rsidRPr="008860D5" w:rsidRDefault="00795EE6" w:rsidP="00795EE6">
            <w:pPr>
              <w:pStyle w:val="Tabele"/>
              <w:jc w:val="right"/>
              <w:rPr>
                <w:color w:val="000000"/>
                <w:szCs w:val="16"/>
              </w:rPr>
            </w:pPr>
            <w:r>
              <w:rPr>
                <w:color w:val="000000"/>
                <w:szCs w:val="16"/>
              </w:rPr>
              <w:t>10</w:t>
            </w:r>
          </w:p>
        </w:tc>
        <w:tc>
          <w:tcPr>
            <w:tcW w:w="1374" w:type="dxa"/>
            <w:noWrap/>
          </w:tcPr>
          <w:p w14:paraId="777E7751" w14:textId="6DBE09E6" w:rsidR="00795EE6" w:rsidRPr="008860D5" w:rsidRDefault="00795EE6" w:rsidP="00795EE6">
            <w:pPr>
              <w:pStyle w:val="Tabele"/>
              <w:jc w:val="right"/>
              <w:rPr>
                <w:color w:val="000000"/>
                <w:szCs w:val="16"/>
              </w:rPr>
            </w:pPr>
            <w:r>
              <w:rPr>
                <w:color w:val="000000"/>
                <w:szCs w:val="16"/>
              </w:rPr>
              <w:t>7</w:t>
            </w:r>
          </w:p>
        </w:tc>
      </w:tr>
      <w:tr w:rsidR="00795EE6" w:rsidRPr="007A2712" w14:paraId="2A6FD485" w14:textId="77777777" w:rsidTr="008D7898">
        <w:trPr>
          <w:cantSplit w:val="0"/>
          <w:trHeight w:val="220"/>
        </w:trPr>
        <w:tc>
          <w:tcPr>
            <w:tcW w:w="2769" w:type="dxa"/>
            <w:noWrap/>
            <w:vAlign w:val="bottom"/>
            <w:hideMark/>
          </w:tcPr>
          <w:p w14:paraId="14946054" w14:textId="77777777" w:rsidR="00795EE6" w:rsidRPr="007A2712" w:rsidRDefault="00795EE6" w:rsidP="00795EE6">
            <w:pPr>
              <w:pStyle w:val="Tabele"/>
              <w:rPr>
                <w:color w:val="000000"/>
                <w:lang w:eastAsia="pl-PL"/>
              </w:rPr>
            </w:pPr>
            <w:r w:rsidRPr="008860D5">
              <w:rPr>
                <w:color w:val="000000"/>
                <w:lang w:eastAsia="pl-PL"/>
              </w:rPr>
              <w:t>Węgiel kamienny</w:t>
            </w:r>
          </w:p>
        </w:tc>
        <w:tc>
          <w:tcPr>
            <w:tcW w:w="1238" w:type="dxa"/>
            <w:noWrap/>
          </w:tcPr>
          <w:p w14:paraId="1B40202E" w14:textId="1F994C81" w:rsidR="00795EE6" w:rsidRPr="008860D5" w:rsidRDefault="00795EE6" w:rsidP="00795EE6">
            <w:pPr>
              <w:pStyle w:val="Tabele"/>
              <w:jc w:val="right"/>
              <w:rPr>
                <w:color w:val="000000"/>
                <w:szCs w:val="16"/>
              </w:rPr>
            </w:pPr>
            <w:r>
              <w:rPr>
                <w:color w:val="000000"/>
                <w:szCs w:val="16"/>
              </w:rPr>
              <w:t>157</w:t>
            </w:r>
          </w:p>
        </w:tc>
        <w:tc>
          <w:tcPr>
            <w:tcW w:w="1227" w:type="dxa"/>
            <w:noWrap/>
          </w:tcPr>
          <w:p w14:paraId="061F37E4" w14:textId="5718C65B" w:rsidR="00795EE6" w:rsidRPr="008860D5" w:rsidRDefault="00795EE6" w:rsidP="00795EE6">
            <w:pPr>
              <w:pStyle w:val="Tabele"/>
              <w:jc w:val="right"/>
              <w:rPr>
                <w:color w:val="000000"/>
                <w:szCs w:val="16"/>
              </w:rPr>
            </w:pPr>
            <w:r>
              <w:rPr>
                <w:color w:val="000000"/>
                <w:szCs w:val="16"/>
              </w:rPr>
              <w:t>109</w:t>
            </w:r>
          </w:p>
        </w:tc>
        <w:tc>
          <w:tcPr>
            <w:tcW w:w="1227" w:type="dxa"/>
            <w:noWrap/>
          </w:tcPr>
          <w:p w14:paraId="76AFDBA0" w14:textId="6C7E82F2" w:rsidR="00795EE6" w:rsidRPr="008860D5" w:rsidRDefault="00795EE6" w:rsidP="00795EE6">
            <w:pPr>
              <w:pStyle w:val="Tabele"/>
              <w:jc w:val="right"/>
              <w:rPr>
                <w:color w:val="000000"/>
                <w:szCs w:val="16"/>
              </w:rPr>
            </w:pPr>
            <w:r>
              <w:rPr>
                <w:color w:val="000000"/>
                <w:szCs w:val="16"/>
              </w:rPr>
              <w:t>54</w:t>
            </w:r>
          </w:p>
        </w:tc>
        <w:tc>
          <w:tcPr>
            <w:tcW w:w="1227" w:type="dxa"/>
            <w:noWrap/>
          </w:tcPr>
          <w:p w14:paraId="538972FF" w14:textId="4C7281B6" w:rsidR="00795EE6" w:rsidRPr="008860D5" w:rsidRDefault="00795EE6" w:rsidP="00795EE6">
            <w:pPr>
              <w:pStyle w:val="Tabele"/>
              <w:jc w:val="right"/>
              <w:rPr>
                <w:color w:val="000000"/>
                <w:szCs w:val="16"/>
              </w:rPr>
            </w:pPr>
            <w:r>
              <w:rPr>
                <w:color w:val="000000"/>
                <w:szCs w:val="16"/>
              </w:rPr>
              <w:t>18</w:t>
            </w:r>
          </w:p>
        </w:tc>
        <w:tc>
          <w:tcPr>
            <w:tcW w:w="1374" w:type="dxa"/>
            <w:noWrap/>
          </w:tcPr>
          <w:p w14:paraId="5B0D93CD" w14:textId="73841EE9" w:rsidR="00795EE6" w:rsidRPr="008860D5" w:rsidRDefault="00795EE6" w:rsidP="00795EE6">
            <w:pPr>
              <w:pStyle w:val="Tabele"/>
              <w:jc w:val="right"/>
              <w:rPr>
                <w:color w:val="000000"/>
                <w:szCs w:val="16"/>
              </w:rPr>
            </w:pPr>
            <w:r>
              <w:rPr>
                <w:color w:val="000000"/>
                <w:szCs w:val="16"/>
              </w:rPr>
              <w:t>0</w:t>
            </w:r>
          </w:p>
        </w:tc>
      </w:tr>
      <w:tr w:rsidR="00795EE6" w:rsidRPr="007A2712" w14:paraId="159F966C" w14:textId="77777777" w:rsidTr="008D7898">
        <w:trPr>
          <w:cantSplit w:val="0"/>
          <w:trHeight w:val="220"/>
        </w:trPr>
        <w:tc>
          <w:tcPr>
            <w:tcW w:w="2769" w:type="dxa"/>
            <w:noWrap/>
            <w:vAlign w:val="bottom"/>
            <w:hideMark/>
          </w:tcPr>
          <w:p w14:paraId="1F38BD06" w14:textId="77777777" w:rsidR="00795EE6" w:rsidRPr="007A2712" w:rsidRDefault="00795EE6" w:rsidP="00795EE6">
            <w:pPr>
              <w:pStyle w:val="Tabele"/>
              <w:rPr>
                <w:color w:val="000000"/>
                <w:lang w:eastAsia="pl-PL"/>
              </w:rPr>
            </w:pPr>
            <w:r w:rsidRPr="008860D5">
              <w:rPr>
                <w:color w:val="000000"/>
                <w:lang w:eastAsia="pl-PL"/>
              </w:rPr>
              <w:t>Biomasa</w:t>
            </w:r>
          </w:p>
        </w:tc>
        <w:tc>
          <w:tcPr>
            <w:tcW w:w="1238" w:type="dxa"/>
            <w:noWrap/>
          </w:tcPr>
          <w:p w14:paraId="5EB84653" w14:textId="3E6E730D" w:rsidR="00795EE6" w:rsidRPr="008860D5" w:rsidRDefault="00795EE6" w:rsidP="00795EE6">
            <w:pPr>
              <w:pStyle w:val="Tabele"/>
              <w:jc w:val="right"/>
              <w:rPr>
                <w:color w:val="000000"/>
                <w:szCs w:val="16"/>
              </w:rPr>
            </w:pPr>
            <w:r>
              <w:rPr>
                <w:color w:val="000000"/>
                <w:szCs w:val="16"/>
              </w:rPr>
              <w:t>134</w:t>
            </w:r>
          </w:p>
        </w:tc>
        <w:tc>
          <w:tcPr>
            <w:tcW w:w="1227" w:type="dxa"/>
            <w:noWrap/>
          </w:tcPr>
          <w:p w14:paraId="5E6ED25D" w14:textId="2E4095D0" w:rsidR="00795EE6" w:rsidRPr="008860D5" w:rsidRDefault="00795EE6" w:rsidP="00795EE6">
            <w:pPr>
              <w:pStyle w:val="Tabele"/>
              <w:jc w:val="right"/>
              <w:rPr>
                <w:color w:val="000000"/>
                <w:szCs w:val="16"/>
              </w:rPr>
            </w:pPr>
            <w:r>
              <w:rPr>
                <w:color w:val="000000"/>
                <w:szCs w:val="16"/>
              </w:rPr>
              <w:t>115</w:t>
            </w:r>
          </w:p>
        </w:tc>
        <w:tc>
          <w:tcPr>
            <w:tcW w:w="1227" w:type="dxa"/>
            <w:noWrap/>
          </w:tcPr>
          <w:p w14:paraId="5C892F6C" w14:textId="7EC0091A" w:rsidR="00795EE6" w:rsidRPr="008860D5" w:rsidRDefault="00795EE6" w:rsidP="00795EE6">
            <w:pPr>
              <w:pStyle w:val="Tabele"/>
              <w:jc w:val="right"/>
              <w:rPr>
                <w:color w:val="000000"/>
                <w:szCs w:val="16"/>
              </w:rPr>
            </w:pPr>
            <w:r>
              <w:rPr>
                <w:color w:val="000000"/>
                <w:szCs w:val="16"/>
              </w:rPr>
              <w:t>121</w:t>
            </w:r>
          </w:p>
        </w:tc>
        <w:tc>
          <w:tcPr>
            <w:tcW w:w="1227" w:type="dxa"/>
            <w:noWrap/>
          </w:tcPr>
          <w:p w14:paraId="15ED22D2" w14:textId="282A21A8" w:rsidR="00795EE6" w:rsidRPr="008860D5" w:rsidRDefault="00795EE6" w:rsidP="00795EE6">
            <w:pPr>
              <w:pStyle w:val="Tabele"/>
              <w:jc w:val="right"/>
              <w:rPr>
                <w:color w:val="000000"/>
                <w:szCs w:val="16"/>
              </w:rPr>
            </w:pPr>
            <w:r>
              <w:rPr>
                <w:color w:val="000000"/>
                <w:szCs w:val="16"/>
              </w:rPr>
              <w:t>106</w:t>
            </w:r>
          </w:p>
        </w:tc>
        <w:tc>
          <w:tcPr>
            <w:tcW w:w="1374" w:type="dxa"/>
            <w:noWrap/>
          </w:tcPr>
          <w:p w14:paraId="455D8AEF" w14:textId="735A0391" w:rsidR="00795EE6" w:rsidRPr="008860D5" w:rsidRDefault="00795EE6" w:rsidP="00795EE6">
            <w:pPr>
              <w:pStyle w:val="Tabele"/>
              <w:jc w:val="right"/>
              <w:rPr>
                <w:color w:val="000000"/>
                <w:szCs w:val="16"/>
              </w:rPr>
            </w:pPr>
            <w:r>
              <w:rPr>
                <w:color w:val="000000"/>
                <w:szCs w:val="16"/>
              </w:rPr>
              <w:t>93</w:t>
            </w:r>
          </w:p>
        </w:tc>
      </w:tr>
      <w:tr w:rsidR="00A95B99" w:rsidRPr="007A2712" w14:paraId="181303C5" w14:textId="77777777" w:rsidTr="008D7898">
        <w:trPr>
          <w:cantSplit w:val="0"/>
          <w:trHeight w:val="220"/>
        </w:trPr>
        <w:tc>
          <w:tcPr>
            <w:tcW w:w="2769" w:type="dxa"/>
            <w:noWrap/>
            <w:vAlign w:val="bottom"/>
            <w:hideMark/>
          </w:tcPr>
          <w:p w14:paraId="265A6C2D" w14:textId="4CE042CE" w:rsidR="00A95B99" w:rsidRPr="007A2712" w:rsidRDefault="00A95B99" w:rsidP="00A95B99">
            <w:pPr>
              <w:pStyle w:val="Tabele"/>
              <w:rPr>
                <w:color w:val="000000"/>
                <w:lang w:eastAsia="pl-PL"/>
              </w:rPr>
            </w:pPr>
            <w:r w:rsidRPr="008860D5">
              <w:rPr>
                <w:color w:val="000000"/>
                <w:lang w:eastAsia="pl-PL"/>
              </w:rPr>
              <w:t>Pompy ciepła</w:t>
            </w:r>
          </w:p>
        </w:tc>
        <w:tc>
          <w:tcPr>
            <w:tcW w:w="1238" w:type="dxa"/>
            <w:noWrap/>
          </w:tcPr>
          <w:p w14:paraId="75F4C400" w14:textId="526FC5C8" w:rsidR="00A95B99" w:rsidRPr="008860D5" w:rsidRDefault="00A95B99" w:rsidP="00A95B99">
            <w:pPr>
              <w:pStyle w:val="Tabele"/>
              <w:jc w:val="right"/>
              <w:rPr>
                <w:color w:val="000000"/>
                <w:szCs w:val="16"/>
              </w:rPr>
            </w:pPr>
            <w:r>
              <w:rPr>
                <w:color w:val="000000"/>
                <w:szCs w:val="16"/>
              </w:rPr>
              <w:t>13</w:t>
            </w:r>
          </w:p>
        </w:tc>
        <w:tc>
          <w:tcPr>
            <w:tcW w:w="1227" w:type="dxa"/>
            <w:noWrap/>
          </w:tcPr>
          <w:p w14:paraId="4A10230B" w14:textId="2503678B" w:rsidR="00A95B99" w:rsidRPr="008860D5" w:rsidRDefault="00A95B99" w:rsidP="00A95B99">
            <w:pPr>
              <w:pStyle w:val="Tabele"/>
              <w:jc w:val="right"/>
              <w:rPr>
                <w:color w:val="000000"/>
                <w:szCs w:val="16"/>
              </w:rPr>
            </w:pPr>
            <w:r>
              <w:rPr>
                <w:color w:val="000000"/>
                <w:szCs w:val="16"/>
              </w:rPr>
              <w:t>51</w:t>
            </w:r>
          </w:p>
        </w:tc>
        <w:tc>
          <w:tcPr>
            <w:tcW w:w="1227" w:type="dxa"/>
            <w:noWrap/>
          </w:tcPr>
          <w:p w14:paraId="681D3E53" w14:textId="0EA809D4" w:rsidR="00A95B99" w:rsidRPr="008860D5" w:rsidRDefault="00A95B99" w:rsidP="00A95B99">
            <w:pPr>
              <w:pStyle w:val="Tabele"/>
              <w:jc w:val="right"/>
              <w:rPr>
                <w:color w:val="000000"/>
                <w:szCs w:val="16"/>
              </w:rPr>
            </w:pPr>
            <w:r>
              <w:rPr>
                <w:color w:val="000000"/>
                <w:szCs w:val="16"/>
              </w:rPr>
              <w:t>70</w:t>
            </w:r>
          </w:p>
        </w:tc>
        <w:tc>
          <w:tcPr>
            <w:tcW w:w="1227" w:type="dxa"/>
            <w:noWrap/>
          </w:tcPr>
          <w:p w14:paraId="44ECF47B" w14:textId="5F8DC4AF" w:rsidR="00A95B99" w:rsidRPr="008860D5" w:rsidRDefault="00A95B99" w:rsidP="00A95B99">
            <w:pPr>
              <w:pStyle w:val="Tabele"/>
              <w:jc w:val="right"/>
              <w:rPr>
                <w:color w:val="000000"/>
                <w:szCs w:val="16"/>
              </w:rPr>
            </w:pPr>
            <w:r>
              <w:rPr>
                <w:color w:val="000000"/>
                <w:szCs w:val="16"/>
              </w:rPr>
              <w:t>107</w:t>
            </w:r>
          </w:p>
        </w:tc>
        <w:tc>
          <w:tcPr>
            <w:tcW w:w="1374" w:type="dxa"/>
            <w:noWrap/>
          </w:tcPr>
          <w:p w14:paraId="516BF5F6" w14:textId="5CBF5007" w:rsidR="00A95B99" w:rsidRPr="008860D5" w:rsidRDefault="00A95B99" w:rsidP="00A95B99">
            <w:pPr>
              <w:pStyle w:val="Tabele"/>
              <w:jc w:val="right"/>
              <w:rPr>
                <w:color w:val="000000"/>
                <w:szCs w:val="16"/>
              </w:rPr>
            </w:pPr>
            <w:r>
              <w:rPr>
                <w:color w:val="000000"/>
                <w:szCs w:val="16"/>
              </w:rPr>
              <w:t>137</w:t>
            </w:r>
          </w:p>
        </w:tc>
      </w:tr>
      <w:tr w:rsidR="00A95B99" w:rsidRPr="007A2712" w14:paraId="0661E6E0" w14:textId="77777777" w:rsidTr="008D7898">
        <w:trPr>
          <w:cantSplit w:val="0"/>
          <w:trHeight w:val="220"/>
        </w:trPr>
        <w:tc>
          <w:tcPr>
            <w:tcW w:w="2769" w:type="dxa"/>
            <w:noWrap/>
            <w:vAlign w:val="bottom"/>
          </w:tcPr>
          <w:p w14:paraId="2FC1651D" w14:textId="707BA5B0" w:rsidR="00A95B99" w:rsidRPr="008860D5" w:rsidRDefault="00A95B99" w:rsidP="00A95B99">
            <w:pPr>
              <w:pStyle w:val="Tabele"/>
              <w:rPr>
                <w:color w:val="000000"/>
                <w:lang w:eastAsia="pl-PL"/>
              </w:rPr>
            </w:pPr>
            <w:r>
              <w:rPr>
                <w:color w:val="000000"/>
                <w:lang w:eastAsia="pl-PL"/>
              </w:rPr>
              <w:t>K</w:t>
            </w:r>
            <w:r w:rsidRPr="008860D5">
              <w:rPr>
                <w:color w:val="000000"/>
                <w:lang w:eastAsia="pl-PL"/>
              </w:rPr>
              <w:t>olektory słoneczne</w:t>
            </w:r>
          </w:p>
        </w:tc>
        <w:tc>
          <w:tcPr>
            <w:tcW w:w="1238" w:type="dxa"/>
            <w:noWrap/>
          </w:tcPr>
          <w:p w14:paraId="2950D42A" w14:textId="207819CE" w:rsidR="00A95B99" w:rsidRDefault="00A95B99" w:rsidP="00A95B99">
            <w:pPr>
              <w:pStyle w:val="Tabele"/>
              <w:jc w:val="right"/>
              <w:rPr>
                <w:color w:val="000000"/>
                <w:szCs w:val="16"/>
              </w:rPr>
            </w:pPr>
            <w:r>
              <w:rPr>
                <w:color w:val="000000"/>
                <w:szCs w:val="16"/>
              </w:rPr>
              <w:t>3</w:t>
            </w:r>
          </w:p>
        </w:tc>
        <w:tc>
          <w:tcPr>
            <w:tcW w:w="1227" w:type="dxa"/>
            <w:noWrap/>
          </w:tcPr>
          <w:p w14:paraId="1CE825CD" w14:textId="3A82C775" w:rsidR="00A95B99" w:rsidRDefault="00A95B99" w:rsidP="00A95B99">
            <w:pPr>
              <w:pStyle w:val="Tabele"/>
              <w:jc w:val="right"/>
              <w:rPr>
                <w:color w:val="000000"/>
                <w:szCs w:val="16"/>
              </w:rPr>
            </w:pPr>
            <w:r>
              <w:rPr>
                <w:color w:val="000000"/>
                <w:szCs w:val="16"/>
              </w:rPr>
              <w:t>8</w:t>
            </w:r>
          </w:p>
        </w:tc>
        <w:tc>
          <w:tcPr>
            <w:tcW w:w="1227" w:type="dxa"/>
            <w:noWrap/>
          </w:tcPr>
          <w:p w14:paraId="10FEFB73" w14:textId="462AA241" w:rsidR="00A95B99" w:rsidRDefault="00A95B99" w:rsidP="00A95B99">
            <w:pPr>
              <w:pStyle w:val="Tabele"/>
              <w:jc w:val="right"/>
              <w:rPr>
                <w:color w:val="000000"/>
                <w:szCs w:val="16"/>
              </w:rPr>
            </w:pPr>
            <w:r>
              <w:rPr>
                <w:color w:val="000000"/>
                <w:szCs w:val="16"/>
              </w:rPr>
              <w:t>14</w:t>
            </w:r>
          </w:p>
        </w:tc>
        <w:tc>
          <w:tcPr>
            <w:tcW w:w="1227" w:type="dxa"/>
            <w:noWrap/>
          </w:tcPr>
          <w:p w14:paraId="21011351" w14:textId="6C9F6DC7" w:rsidR="00A95B99" w:rsidRDefault="00A95B99" w:rsidP="00A95B99">
            <w:pPr>
              <w:pStyle w:val="Tabele"/>
              <w:jc w:val="right"/>
              <w:rPr>
                <w:color w:val="000000"/>
                <w:szCs w:val="16"/>
              </w:rPr>
            </w:pPr>
            <w:r>
              <w:rPr>
                <w:color w:val="000000"/>
                <w:szCs w:val="16"/>
              </w:rPr>
              <w:t>16</w:t>
            </w:r>
          </w:p>
        </w:tc>
        <w:tc>
          <w:tcPr>
            <w:tcW w:w="1374" w:type="dxa"/>
            <w:noWrap/>
          </w:tcPr>
          <w:p w14:paraId="414EC82B" w14:textId="3B436726" w:rsidR="00A95B99" w:rsidRDefault="00A95B99" w:rsidP="00A95B99">
            <w:pPr>
              <w:pStyle w:val="Tabele"/>
              <w:jc w:val="right"/>
              <w:rPr>
                <w:color w:val="000000"/>
                <w:szCs w:val="16"/>
              </w:rPr>
            </w:pPr>
            <w:r>
              <w:rPr>
                <w:color w:val="000000"/>
                <w:szCs w:val="16"/>
              </w:rPr>
              <w:t>16</w:t>
            </w:r>
          </w:p>
        </w:tc>
      </w:tr>
      <w:tr w:rsidR="00795EE6" w:rsidRPr="007A2712" w14:paraId="5D941987" w14:textId="77777777" w:rsidTr="008D7898">
        <w:trPr>
          <w:cantSplit w:val="0"/>
          <w:trHeight w:val="220"/>
        </w:trPr>
        <w:tc>
          <w:tcPr>
            <w:tcW w:w="2769" w:type="dxa"/>
            <w:noWrap/>
            <w:vAlign w:val="bottom"/>
          </w:tcPr>
          <w:p w14:paraId="2C845297" w14:textId="77777777" w:rsidR="00795EE6" w:rsidRPr="007A2712" w:rsidRDefault="00795EE6" w:rsidP="00795EE6">
            <w:pPr>
              <w:pStyle w:val="Tabele"/>
              <w:rPr>
                <w:color w:val="000000"/>
                <w:lang w:eastAsia="pl-PL"/>
              </w:rPr>
            </w:pPr>
            <w:r w:rsidRPr="008860D5">
              <w:rPr>
                <w:color w:val="000000"/>
                <w:lang w:eastAsia="pl-PL"/>
              </w:rPr>
              <w:t>Biometan</w:t>
            </w:r>
          </w:p>
        </w:tc>
        <w:tc>
          <w:tcPr>
            <w:tcW w:w="1238" w:type="dxa"/>
            <w:noWrap/>
          </w:tcPr>
          <w:p w14:paraId="6B614345" w14:textId="6A8C52A4" w:rsidR="00795EE6" w:rsidRPr="008860D5" w:rsidRDefault="00795EE6" w:rsidP="00795EE6">
            <w:pPr>
              <w:pStyle w:val="Tabele"/>
              <w:jc w:val="right"/>
              <w:rPr>
                <w:color w:val="000000"/>
                <w:szCs w:val="16"/>
              </w:rPr>
            </w:pPr>
            <w:r>
              <w:rPr>
                <w:color w:val="000000"/>
                <w:szCs w:val="16"/>
              </w:rPr>
              <w:t>0</w:t>
            </w:r>
          </w:p>
        </w:tc>
        <w:tc>
          <w:tcPr>
            <w:tcW w:w="1227" w:type="dxa"/>
            <w:noWrap/>
          </w:tcPr>
          <w:p w14:paraId="0D5E94CC" w14:textId="244B5E02" w:rsidR="00795EE6" w:rsidRPr="008860D5" w:rsidRDefault="00795EE6" w:rsidP="00795EE6">
            <w:pPr>
              <w:pStyle w:val="Tabele"/>
              <w:jc w:val="right"/>
              <w:rPr>
                <w:color w:val="000000"/>
                <w:szCs w:val="16"/>
              </w:rPr>
            </w:pPr>
            <w:r>
              <w:rPr>
                <w:color w:val="000000"/>
                <w:szCs w:val="16"/>
              </w:rPr>
              <w:t>1</w:t>
            </w:r>
          </w:p>
        </w:tc>
        <w:tc>
          <w:tcPr>
            <w:tcW w:w="1227" w:type="dxa"/>
            <w:noWrap/>
          </w:tcPr>
          <w:p w14:paraId="007F0ACA" w14:textId="7A6232F0" w:rsidR="00795EE6" w:rsidRPr="008860D5" w:rsidRDefault="00795EE6" w:rsidP="00795EE6">
            <w:pPr>
              <w:pStyle w:val="Tabele"/>
              <w:jc w:val="right"/>
              <w:rPr>
                <w:color w:val="000000"/>
                <w:szCs w:val="16"/>
              </w:rPr>
            </w:pPr>
            <w:r>
              <w:rPr>
                <w:color w:val="000000"/>
                <w:szCs w:val="16"/>
              </w:rPr>
              <w:t>9</w:t>
            </w:r>
          </w:p>
        </w:tc>
        <w:tc>
          <w:tcPr>
            <w:tcW w:w="1227" w:type="dxa"/>
            <w:noWrap/>
          </w:tcPr>
          <w:p w14:paraId="24CD8F19" w14:textId="24491494" w:rsidR="00795EE6" w:rsidRPr="008860D5" w:rsidRDefault="00795EE6" w:rsidP="00795EE6">
            <w:pPr>
              <w:pStyle w:val="Tabele"/>
              <w:jc w:val="right"/>
              <w:rPr>
                <w:color w:val="000000"/>
                <w:szCs w:val="16"/>
              </w:rPr>
            </w:pPr>
            <w:r>
              <w:rPr>
                <w:color w:val="000000"/>
                <w:szCs w:val="16"/>
              </w:rPr>
              <w:t>23</w:t>
            </w:r>
          </w:p>
        </w:tc>
        <w:tc>
          <w:tcPr>
            <w:tcW w:w="1374" w:type="dxa"/>
            <w:noWrap/>
          </w:tcPr>
          <w:p w14:paraId="7CF76FE5" w14:textId="22A7411E" w:rsidR="00795EE6" w:rsidRPr="008860D5" w:rsidRDefault="00795EE6" w:rsidP="00795EE6">
            <w:pPr>
              <w:pStyle w:val="Tabele"/>
              <w:jc w:val="right"/>
              <w:rPr>
                <w:color w:val="000000"/>
                <w:szCs w:val="16"/>
              </w:rPr>
            </w:pPr>
            <w:r>
              <w:rPr>
                <w:color w:val="000000"/>
                <w:szCs w:val="16"/>
              </w:rPr>
              <w:t>25</w:t>
            </w:r>
          </w:p>
        </w:tc>
      </w:tr>
      <w:tr w:rsidR="00795EE6" w:rsidRPr="00B97CC9" w14:paraId="1A8080DC" w14:textId="77777777" w:rsidTr="008D7898">
        <w:trPr>
          <w:cantSplit w:val="0"/>
          <w:trHeight w:val="220"/>
        </w:trPr>
        <w:tc>
          <w:tcPr>
            <w:tcW w:w="2769" w:type="dxa"/>
            <w:noWrap/>
            <w:hideMark/>
          </w:tcPr>
          <w:p w14:paraId="15A42670" w14:textId="77777777" w:rsidR="00795EE6" w:rsidRPr="00B97CC9" w:rsidRDefault="00795EE6" w:rsidP="00795EE6">
            <w:pPr>
              <w:pStyle w:val="Tabele"/>
              <w:spacing w:line="240" w:lineRule="auto"/>
              <w:rPr>
                <w:b/>
                <w:bCs/>
                <w:color w:val="000000"/>
                <w:lang w:eastAsia="pl-PL"/>
              </w:rPr>
            </w:pPr>
            <w:r w:rsidRPr="00B97CC9">
              <w:rPr>
                <w:b/>
                <w:bCs/>
                <w:color w:val="000000"/>
                <w:lang w:eastAsia="pl-PL"/>
              </w:rPr>
              <w:t>Suma</w:t>
            </w:r>
          </w:p>
        </w:tc>
        <w:tc>
          <w:tcPr>
            <w:tcW w:w="1238" w:type="dxa"/>
            <w:noWrap/>
          </w:tcPr>
          <w:p w14:paraId="55635AB9" w14:textId="0579DD17" w:rsidR="00795EE6" w:rsidRPr="00B97CC9" w:rsidRDefault="00795EE6" w:rsidP="00795EE6">
            <w:pPr>
              <w:pStyle w:val="Tabele"/>
              <w:spacing w:line="240" w:lineRule="auto"/>
              <w:jc w:val="right"/>
              <w:rPr>
                <w:b/>
                <w:bCs/>
                <w:color w:val="000000"/>
                <w:lang w:eastAsia="pl-PL"/>
              </w:rPr>
            </w:pPr>
            <w:r>
              <w:rPr>
                <w:b/>
                <w:bCs/>
                <w:color w:val="000000"/>
                <w:szCs w:val="16"/>
              </w:rPr>
              <w:t>538</w:t>
            </w:r>
          </w:p>
        </w:tc>
        <w:tc>
          <w:tcPr>
            <w:tcW w:w="1227" w:type="dxa"/>
            <w:noWrap/>
          </w:tcPr>
          <w:p w14:paraId="5F9C4259" w14:textId="2F236FE2" w:rsidR="00795EE6" w:rsidRPr="00B97CC9" w:rsidRDefault="00795EE6" w:rsidP="00795EE6">
            <w:pPr>
              <w:pStyle w:val="Tabele"/>
              <w:spacing w:line="240" w:lineRule="auto"/>
              <w:jc w:val="right"/>
              <w:rPr>
                <w:b/>
                <w:bCs/>
                <w:color w:val="000000"/>
                <w:lang w:eastAsia="pl-PL"/>
              </w:rPr>
            </w:pPr>
            <w:r>
              <w:rPr>
                <w:b/>
                <w:bCs/>
                <w:color w:val="000000"/>
                <w:szCs w:val="16"/>
              </w:rPr>
              <w:t>529</w:t>
            </w:r>
          </w:p>
        </w:tc>
        <w:tc>
          <w:tcPr>
            <w:tcW w:w="1227" w:type="dxa"/>
            <w:noWrap/>
          </w:tcPr>
          <w:p w14:paraId="08AA33B1" w14:textId="7D87F13D" w:rsidR="00795EE6" w:rsidRPr="00B97CC9" w:rsidRDefault="00795EE6" w:rsidP="00795EE6">
            <w:pPr>
              <w:pStyle w:val="Tabele"/>
              <w:spacing w:line="240" w:lineRule="auto"/>
              <w:jc w:val="right"/>
              <w:rPr>
                <w:b/>
                <w:bCs/>
                <w:color w:val="000000"/>
                <w:lang w:eastAsia="pl-PL"/>
              </w:rPr>
            </w:pPr>
            <w:r>
              <w:rPr>
                <w:b/>
                <w:bCs/>
                <w:color w:val="000000"/>
                <w:szCs w:val="16"/>
              </w:rPr>
              <w:t>473</w:t>
            </w:r>
          </w:p>
        </w:tc>
        <w:tc>
          <w:tcPr>
            <w:tcW w:w="1227" w:type="dxa"/>
            <w:noWrap/>
          </w:tcPr>
          <w:p w14:paraId="048DBB3C" w14:textId="633E9D94" w:rsidR="00795EE6" w:rsidRPr="00B97CC9" w:rsidRDefault="00795EE6" w:rsidP="00795EE6">
            <w:pPr>
              <w:pStyle w:val="Tabele"/>
              <w:spacing w:line="240" w:lineRule="auto"/>
              <w:jc w:val="right"/>
              <w:rPr>
                <w:b/>
                <w:bCs/>
                <w:color w:val="000000"/>
                <w:lang w:eastAsia="pl-PL"/>
              </w:rPr>
            </w:pPr>
            <w:r>
              <w:rPr>
                <w:b/>
                <w:bCs/>
                <w:color w:val="000000"/>
                <w:szCs w:val="16"/>
              </w:rPr>
              <w:t>415</w:t>
            </w:r>
          </w:p>
        </w:tc>
        <w:tc>
          <w:tcPr>
            <w:tcW w:w="1374" w:type="dxa"/>
            <w:noWrap/>
          </w:tcPr>
          <w:p w14:paraId="4C54AD89" w14:textId="743030AC" w:rsidR="00795EE6" w:rsidRPr="00B97CC9" w:rsidRDefault="00795EE6" w:rsidP="00795EE6">
            <w:pPr>
              <w:pStyle w:val="Tabele"/>
              <w:spacing w:line="240" w:lineRule="auto"/>
              <w:jc w:val="right"/>
              <w:rPr>
                <w:b/>
                <w:bCs/>
                <w:color w:val="000000"/>
                <w:lang w:eastAsia="pl-PL"/>
              </w:rPr>
            </w:pPr>
            <w:r>
              <w:rPr>
                <w:b/>
                <w:bCs/>
                <w:color w:val="000000"/>
                <w:szCs w:val="16"/>
              </w:rPr>
              <w:t>397</w:t>
            </w:r>
          </w:p>
        </w:tc>
      </w:tr>
    </w:tbl>
    <w:p w14:paraId="4172E109" w14:textId="5301AAE0" w:rsidR="00527A29" w:rsidRDefault="002D1382" w:rsidP="00527A29">
      <w:pPr>
        <w:spacing w:after="0"/>
        <w:rPr>
          <w:rFonts w:eastAsia="Calibri" w:cs="Times New Roman"/>
          <w:i/>
          <w:color w:val="44546A"/>
          <w:sz w:val="16"/>
          <w:szCs w:val="16"/>
        </w:rPr>
      </w:pPr>
      <w:r w:rsidRPr="008860D5">
        <w:rPr>
          <w:rFonts w:eastAsia="Calibri" w:cs="Times New Roman"/>
          <w:i/>
          <w:color w:val="44546A"/>
          <w:sz w:val="16"/>
          <w:szCs w:val="16"/>
        </w:rPr>
        <w:t>Źródło: Opracowanie własne ARE S.A.</w:t>
      </w:r>
      <w:r>
        <w:rPr>
          <w:rFonts w:eastAsia="Calibri" w:cs="Times New Roman"/>
          <w:i/>
          <w:color w:val="44546A"/>
          <w:sz w:val="16"/>
          <w:szCs w:val="16"/>
        </w:rPr>
        <w:t xml:space="preserve"> (Model STEAM-PL)</w:t>
      </w:r>
    </w:p>
    <w:p w14:paraId="3EABFA59" w14:textId="2707889C" w:rsidR="001F628A" w:rsidRPr="00527A29" w:rsidRDefault="002D68F5" w:rsidP="00527A29">
      <w:pPr>
        <w:spacing w:after="0"/>
        <w:rPr>
          <w:rFonts w:eastAsia="Calibri" w:cs="Times New Roman"/>
          <w:i/>
          <w:color w:val="44546A"/>
          <w:sz w:val="16"/>
          <w:szCs w:val="16"/>
        </w:rPr>
      </w:pPr>
      <w:r>
        <w:rPr>
          <w:noProof/>
        </w:rPr>
        <w:drawing>
          <wp:inline distT="0" distB="0" distL="0" distR="0" wp14:anchorId="7A71467D" wp14:editId="04BF73FA">
            <wp:extent cx="5760720" cy="3235960"/>
            <wp:effectExtent l="0" t="0" r="0" b="2540"/>
            <wp:docPr id="1648126154" name="Wykres 1">
              <a:extLst xmlns:a="http://schemas.openxmlformats.org/drawingml/2006/main">
                <a:ext uri="{FF2B5EF4-FFF2-40B4-BE49-F238E27FC236}">
                  <a16:creationId xmlns:a16="http://schemas.microsoft.com/office/drawing/2014/main" id="{442F3445-E63D-BD2F-D300-3D71A845BE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52FECDC" w14:textId="2CDEF861" w:rsidR="00120787" w:rsidRPr="0022487B" w:rsidRDefault="0058533D" w:rsidP="00872C46">
      <w:pPr>
        <w:jc w:val="left"/>
        <w:rPr>
          <w:i/>
          <w:iCs/>
          <w:sz w:val="18"/>
          <w:szCs w:val="18"/>
        </w:rPr>
      </w:pPr>
      <w:bookmarkStart w:id="393" w:name="_Ref197444152"/>
      <w:bookmarkStart w:id="394" w:name="_Toc202967047"/>
      <w:r w:rsidRPr="0022487B">
        <w:rPr>
          <w:i/>
          <w:iCs/>
          <w:color w:val="44546A" w:themeColor="text2"/>
          <w:sz w:val="18"/>
          <w:szCs w:val="18"/>
        </w:rPr>
        <w:t xml:space="preserve">Rysunek </w:t>
      </w:r>
      <w:r w:rsidRPr="0022487B">
        <w:rPr>
          <w:i/>
          <w:iCs/>
          <w:noProof/>
          <w:color w:val="44546A" w:themeColor="text2"/>
          <w:sz w:val="18"/>
          <w:szCs w:val="18"/>
        </w:rPr>
        <w:fldChar w:fldCharType="begin"/>
      </w:r>
      <w:r w:rsidRPr="0022487B">
        <w:rPr>
          <w:i/>
          <w:iCs/>
          <w:noProof/>
          <w:color w:val="44546A" w:themeColor="text2"/>
          <w:sz w:val="18"/>
          <w:szCs w:val="18"/>
        </w:rPr>
        <w:instrText xml:space="preserve"> STYLEREF 1 \s </w:instrText>
      </w:r>
      <w:r w:rsidRPr="0022487B">
        <w:rPr>
          <w:i/>
          <w:iCs/>
          <w:noProof/>
          <w:color w:val="44546A" w:themeColor="text2"/>
          <w:sz w:val="18"/>
          <w:szCs w:val="18"/>
        </w:rPr>
        <w:fldChar w:fldCharType="separate"/>
      </w:r>
      <w:r w:rsidR="00F27D6F">
        <w:rPr>
          <w:i/>
          <w:iCs/>
          <w:noProof/>
          <w:color w:val="44546A" w:themeColor="text2"/>
          <w:sz w:val="18"/>
          <w:szCs w:val="18"/>
        </w:rPr>
        <w:t>2</w:t>
      </w:r>
      <w:r w:rsidRPr="0022487B">
        <w:rPr>
          <w:i/>
          <w:iCs/>
          <w:noProof/>
          <w:color w:val="44546A" w:themeColor="text2"/>
          <w:sz w:val="18"/>
          <w:szCs w:val="18"/>
        </w:rPr>
        <w:fldChar w:fldCharType="end"/>
      </w:r>
      <w:r w:rsidRPr="0022487B">
        <w:rPr>
          <w:i/>
          <w:iCs/>
          <w:color w:val="44546A" w:themeColor="text2"/>
          <w:sz w:val="18"/>
          <w:szCs w:val="18"/>
        </w:rPr>
        <w:t>.</w:t>
      </w:r>
      <w:r w:rsidRPr="0022487B">
        <w:rPr>
          <w:i/>
          <w:iCs/>
          <w:noProof/>
          <w:color w:val="44546A" w:themeColor="text2"/>
          <w:sz w:val="18"/>
          <w:szCs w:val="18"/>
        </w:rPr>
        <w:fldChar w:fldCharType="begin"/>
      </w:r>
      <w:r w:rsidRPr="0022487B">
        <w:rPr>
          <w:i/>
          <w:iCs/>
          <w:noProof/>
          <w:color w:val="44546A" w:themeColor="text2"/>
          <w:sz w:val="18"/>
          <w:szCs w:val="18"/>
        </w:rPr>
        <w:instrText xml:space="preserve"> SEQ Rysunek \* ARABIC \s 1 </w:instrText>
      </w:r>
      <w:r w:rsidRPr="0022487B">
        <w:rPr>
          <w:i/>
          <w:iCs/>
          <w:noProof/>
          <w:color w:val="44546A" w:themeColor="text2"/>
          <w:sz w:val="18"/>
          <w:szCs w:val="18"/>
        </w:rPr>
        <w:fldChar w:fldCharType="separate"/>
      </w:r>
      <w:r w:rsidR="00F27D6F">
        <w:rPr>
          <w:i/>
          <w:iCs/>
          <w:noProof/>
          <w:color w:val="44546A" w:themeColor="text2"/>
          <w:sz w:val="18"/>
          <w:szCs w:val="18"/>
        </w:rPr>
        <w:t>6</w:t>
      </w:r>
      <w:r w:rsidRPr="0022487B">
        <w:rPr>
          <w:i/>
          <w:iCs/>
          <w:noProof/>
          <w:color w:val="44546A" w:themeColor="text2"/>
          <w:sz w:val="18"/>
          <w:szCs w:val="18"/>
        </w:rPr>
        <w:fldChar w:fldCharType="end"/>
      </w:r>
      <w:bookmarkEnd w:id="393"/>
      <w:r w:rsidRPr="0022487B">
        <w:rPr>
          <w:i/>
          <w:iCs/>
          <w:color w:val="44546A" w:themeColor="text2"/>
          <w:sz w:val="18"/>
          <w:szCs w:val="18"/>
        </w:rPr>
        <w:t xml:space="preserve">. </w:t>
      </w:r>
      <w:r w:rsidR="005B1038">
        <w:rPr>
          <w:i/>
          <w:iCs/>
          <w:color w:val="44546A" w:themeColor="text2"/>
          <w:sz w:val="18"/>
          <w:szCs w:val="18"/>
        </w:rPr>
        <w:t xml:space="preserve">Produkcja ciepła </w:t>
      </w:r>
      <w:r w:rsidR="00484A14">
        <w:rPr>
          <w:i/>
          <w:iCs/>
          <w:color w:val="44546A" w:themeColor="text2"/>
          <w:sz w:val="18"/>
          <w:szCs w:val="18"/>
        </w:rPr>
        <w:t>w</w:t>
      </w:r>
      <w:r w:rsidR="006638D3">
        <w:rPr>
          <w:i/>
          <w:iCs/>
          <w:color w:val="44546A" w:themeColor="text2"/>
          <w:sz w:val="18"/>
          <w:szCs w:val="18"/>
        </w:rPr>
        <w:t xml:space="preserve"> indywidulanych źródłach ciepł</w:t>
      </w:r>
      <w:r w:rsidR="001F628A">
        <w:rPr>
          <w:i/>
          <w:iCs/>
          <w:color w:val="44546A" w:themeColor="text2"/>
          <w:sz w:val="18"/>
          <w:szCs w:val="18"/>
        </w:rPr>
        <w:t>a</w:t>
      </w:r>
      <w:r w:rsidR="006638D3">
        <w:rPr>
          <w:i/>
          <w:iCs/>
          <w:color w:val="44546A" w:themeColor="text2"/>
          <w:sz w:val="18"/>
          <w:szCs w:val="18"/>
        </w:rPr>
        <w:t xml:space="preserve"> w podziale na paliwa i nośniki energii w gospodarstwach </w:t>
      </w:r>
      <w:r w:rsidR="00484A14">
        <w:rPr>
          <w:i/>
          <w:iCs/>
          <w:color w:val="44546A" w:themeColor="text2"/>
          <w:sz w:val="18"/>
          <w:szCs w:val="18"/>
        </w:rPr>
        <w:t>w</w:t>
      </w:r>
      <w:r w:rsidR="006638D3">
        <w:rPr>
          <w:i/>
          <w:iCs/>
          <w:color w:val="44546A" w:themeColor="text2"/>
          <w:sz w:val="18"/>
          <w:szCs w:val="18"/>
        </w:rPr>
        <w:t> </w:t>
      </w:r>
      <w:r w:rsidR="00484A14">
        <w:rPr>
          <w:i/>
          <w:iCs/>
          <w:color w:val="44546A" w:themeColor="text2"/>
          <w:sz w:val="18"/>
          <w:szCs w:val="18"/>
        </w:rPr>
        <w:t>gospodarstwach domowych</w:t>
      </w:r>
      <w:bookmarkEnd w:id="394"/>
      <w:r w:rsidR="00484A14">
        <w:rPr>
          <w:i/>
          <w:iCs/>
          <w:color w:val="44546A" w:themeColor="text2"/>
          <w:sz w:val="18"/>
          <w:szCs w:val="18"/>
        </w:rPr>
        <w:t xml:space="preserve"> </w:t>
      </w:r>
      <w:r w:rsidR="00DE62FE" w:rsidRPr="0022487B">
        <w:rPr>
          <w:i/>
          <w:iCs/>
          <w:sz w:val="18"/>
          <w:szCs w:val="18"/>
        </w:rPr>
        <w:br w:type="page"/>
      </w:r>
    </w:p>
    <w:p w14:paraId="3A8F57A0" w14:textId="06FE1F7E" w:rsidR="005C4144" w:rsidRPr="00DC1A13" w:rsidRDefault="005C4144" w:rsidP="00797A1F">
      <w:pPr>
        <w:pStyle w:val="Nagwek1"/>
      </w:pPr>
      <w:bookmarkStart w:id="395" w:name="_Toc197666281"/>
      <w:bookmarkStart w:id="396" w:name="_Toc197959504"/>
      <w:bookmarkStart w:id="397" w:name="_Toc197959586"/>
      <w:bookmarkStart w:id="398" w:name="_Toc174710902"/>
      <w:bookmarkStart w:id="399" w:name="_Toc202966895"/>
      <w:bookmarkEnd w:id="395"/>
      <w:bookmarkEnd w:id="396"/>
      <w:bookmarkEnd w:id="397"/>
      <w:r>
        <w:t>Wymiar „bezpieczeństwo energetyczne”</w:t>
      </w:r>
      <w:bookmarkEnd w:id="390"/>
      <w:bookmarkEnd w:id="398"/>
      <w:bookmarkEnd w:id="399"/>
    </w:p>
    <w:p w14:paraId="28216A18" w14:textId="77777777" w:rsidR="005C4144" w:rsidRPr="0042717C" w:rsidRDefault="005C4144" w:rsidP="00797A1F">
      <w:pPr>
        <w:pStyle w:val="Nagwek2"/>
      </w:pPr>
      <w:bookmarkStart w:id="400" w:name="_Toc171587329"/>
      <w:bookmarkStart w:id="401" w:name="_Toc174710903"/>
      <w:bookmarkStart w:id="402" w:name="_Toc202966896"/>
      <w:r>
        <w:t>Krajowe zasoby energetyczne</w:t>
      </w:r>
      <w:bookmarkEnd w:id="400"/>
      <w:bookmarkEnd w:id="401"/>
      <w:bookmarkEnd w:id="402"/>
    </w:p>
    <w:p w14:paraId="24EFF3CF" w14:textId="5C05812D" w:rsidR="005C4144" w:rsidRDefault="005C4144" w:rsidP="00CC517B">
      <w:pPr>
        <w:pStyle w:val="podtytu2"/>
        <w:spacing w:after="80"/>
      </w:pPr>
      <w:r w:rsidRPr="0042717C">
        <w:t>Węgiel kamienny</w:t>
      </w:r>
    </w:p>
    <w:p w14:paraId="246924EB" w14:textId="7A5196A5" w:rsidR="006B2284" w:rsidRPr="00602E44" w:rsidRDefault="00715F1E" w:rsidP="006B2284">
      <w:pPr>
        <w:spacing w:after="120"/>
        <w:rPr>
          <w:spacing w:val="-4"/>
        </w:rPr>
      </w:pPr>
      <w:r>
        <w:rPr>
          <w:spacing w:val="-2"/>
        </w:rPr>
        <w:t>Według danych Państwowego Instytutu Geologicznego (PIG), u</w:t>
      </w:r>
      <w:r w:rsidRPr="00602E44">
        <w:rPr>
          <w:spacing w:val="-2"/>
        </w:rPr>
        <w:t>dokumentowane zasoby bilansowe złóż węgla kamienn</w:t>
      </w:r>
      <w:r>
        <w:rPr>
          <w:spacing w:val="-2"/>
        </w:rPr>
        <w:t>ego na koniec 2024 r.</w:t>
      </w:r>
      <w:r>
        <w:rPr>
          <w:spacing w:val="-4"/>
        </w:rPr>
        <w:t xml:space="preserve"> </w:t>
      </w:r>
      <w:r>
        <w:rPr>
          <w:spacing w:val="-2"/>
        </w:rPr>
        <w:t>wynosiły 64 616 mln t</w:t>
      </w:r>
      <w:r w:rsidRPr="00602E44">
        <w:rPr>
          <w:spacing w:val="-2"/>
        </w:rPr>
        <w:t xml:space="preserve">. </w:t>
      </w:r>
      <w:r>
        <w:rPr>
          <w:spacing w:val="-2"/>
        </w:rPr>
        <w:t>71% zasobów</w:t>
      </w:r>
      <w:r w:rsidRPr="00602E44">
        <w:rPr>
          <w:spacing w:val="-2"/>
        </w:rPr>
        <w:t xml:space="preserve"> </w:t>
      </w:r>
      <w:r>
        <w:rPr>
          <w:spacing w:val="-2"/>
        </w:rPr>
        <w:t>stanowiły</w:t>
      </w:r>
      <w:r w:rsidRPr="00602E44">
        <w:rPr>
          <w:spacing w:val="-2"/>
        </w:rPr>
        <w:t xml:space="preserve"> węgle energetyczne, </w:t>
      </w:r>
      <w:r>
        <w:rPr>
          <w:spacing w:val="-2"/>
        </w:rPr>
        <w:t xml:space="preserve">niecałe 28% stanowiły </w:t>
      </w:r>
      <w:r w:rsidRPr="00602E44">
        <w:rPr>
          <w:spacing w:val="-2"/>
        </w:rPr>
        <w:t>węgle koksuj</w:t>
      </w:r>
      <w:r>
        <w:rPr>
          <w:spacing w:val="-2"/>
        </w:rPr>
        <w:t xml:space="preserve">ące, a inne typy węgli stanowiły </w:t>
      </w:r>
      <w:r w:rsidRPr="00183B40">
        <w:rPr>
          <w:spacing w:val="-2"/>
        </w:rPr>
        <w:t>1,2%. Zasoby złóż zagospodarowanych stanowiły 4</w:t>
      </w:r>
      <w:r>
        <w:rPr>
          <w:spacing w:val="-2"/>
        </w:rPr>
        <w:t>4</w:t>
      </w:r>
      <w:r w:rsidRPr="00183B40">
        <w:rPr>
          <w:spacing w:val="-2"/>
        </w:rPr>
        <w:t xml:space="preserve">% zasobów bilansowych </w:t>
      </w:r>
      <w:r w:rsidRPr="00183B40">
        <w:rPr>
          <w:spacing w:val="-4"/>
        </w:rPr>
        <w:t>(</w:t>
      </w:r>
      <w:r w:rsidR="00BC4596">
        <w:rPr>
          <w:spacing w:val="-4"/>
        </w:rPr>
        <w:t>28 397</w:t>
      </w:r>
      <w:r w:rsidRPr="00183B40">
        <w:rPr>
          <w:spacing w:val="-4"/>
        </w:rPr>
        <w:t xml:space="preserve"> mln t). Zasoby przemysłowe złóż zagospodarowanych, tj. nadających się do wydobycia przy obecnych warunkach technicznych i ekonomicznych wyniosły </w:t>
      </w:r>
      <w:r w:rsidR="006F0256">
        <w:rPr>
          <w:spacing w:val="-4"/>
        </w:rPr>
        <w:t>3999,7</w:t>
      </w:r>
      <w:r w:rsidRPr="00183B40">
        <w:rPr>
          <w:spacing w:val="-4"/>
        </w:rPr>
        <w:t xml:space="preserve"> mln t. Warto jednak zaznaczyć, że eksploatacja</w:t>
      </w:r>
      <w:r>
        <w:rPr>
          <w:spacing w:val="-4"/>
        </w:rPr>
        <w:t xml:space="preserve"> w większości kopalni</w:t>
      </w:r>
      <w:r w:rsidRPr="00183B40">
        <w:rPr>
          <w:spacing w:val="-4"/>
        </w:rPr>
        <w:t xml:space="preserve"> w Polsce wiąże się z bardzo wysokimi kosztami </w:t>
      </w:r>
      <w:r w:rsidR="006F0256">
        <w:rPr>
          <w:spacing w:val="-4"/>
        </w:rPr>
        <w:t>–</w:t>
      </w:r>
      <w:r w:rsidRPr="00183B40">
        <w:rPr>
          <w:spacing w:val="-4"/>
        </w:rPr>
        <w:t xml:space="preserve"> znacznie wyższymi niż w innych krajach. Wydobycie węgla</w:t>
      </w:r>
      <w:r>
        <w:rPr>
          <w:spacing w:val="-4"/>
        </w:rPr>
        <w:t xml:space="preserve"> kamiennego w 202</w:t>
      </w:r>
      <w:r w:rsidR="00E86A89">
        <w:rPr>
          <w:spacing w:val="-4"/>
        </w:rPr>
        <w:t>4</w:t>
      </w:r>
      <w:r>
        <w:rPr>
          <w:spacing w:val="-4"/>
        </w:rPr>
        <w:t xml:space="preserve"> r.</w:t>
      </w:r>
      <w:r w:rsidRPr="00602E44">
        <w:rPr>
          <w:spacing w:val="-4"/>
        </w:rPr>
        <w:t xml:space="preserve"> wyniosło </w:t>
      </w:r>
      <w:r w:rsidR="00E86A89">
        <w:rPr>
          <w:spacing w:val="-4"/>
        </w:rPr>
        <w:t>40,2</w:t>
      </w:r>
      <w:r>
        <w:rPr>
          <w:spacing w:val="-4"/>
        </w:rPr>
        <w:t xml:space="preserve"> </w:t>
      </w:r>
      <w:r w:rsidRPr="00602E44">
        <w:rPr>
          <w:spacing w:val="-4"/>
        </w:rPr>
        <w:t>mln t</w:t>
      </w:r>
      <w:r w:rsidR="006B2284">
        <w:rPr>
          <w:rStyle w:val="Odwoanieprzypisudolnego"/>
          <w:spacing w:val="-4"/>
        </w:rPr>
        <w:footnoteReference w:id="16"/>
      </w:r>
      <w:r w:rsidR="006B2284" w:rsidRPr="00602E44">
        <w:rPr>
          <w:spacing w:val="-4"/>
        </w:rPr>
        <w:t xml:space="preserve">. </w:t>
      </w:r>
    </w:p>
    <w:p w14:paraId="583D77F1" w14:textId="24EE7BEF" w:rsidR="00CC48C8" w:rsidRDefault="006B2284" w:rsidP="00CC48C8">
      <w:r w:rsidRPr="00F85B97">
        <w:t xml:space="preserve">Pomimo spadającego od początku lat dziewięćdziesiątych wydobycia węgla kamiennego </w:t>
      </w:r>
      <w:r w:rsidR="005C4144">
        <w:t>(</w:t>
      </w:r>
      <w:r w:rsidR="005C4144">
        <w:fldChar w:fldCharType="begin"/>
      </w:r>
      <w:r w:rsidR="005C4144">
        <w:instrText xml:space="preserve"> REF _Ref160456720 \h </w:instrText>
      </w:r>
      <w:r w:rsidR="005C4144">
        <w:fldChar w:fldCharType="separate"/>
      </w:r>
      <w:r w:rsidR="00F27D6F">
        <w:t xml:space="preserve">Rysunek </w:t>
      </w:r>
      <w:r w:rsidR="00F27D6F">
        <w:rPr>
          <w:noProof/>
        </w:rPr>
        <w:t>3</w:t>
      </w:r>
      <w:r w:rsidR="00F27D6F">
        <w:t>.</w:t>
      </w:r>
      <w:r w:rsidR="00F27D6F">
        <w:rPr>
          <w:noProof/>
        </w:rPr>
        <w:t>1</w:t>
      </w:r>
      <w:r w:rsidR="005C4144">
        <w:fldChar w:fldCharType="end"/>
      </w:r>
      <w:r w:rsidR="005C4144">
        <w:t>)</w:t>
      </w:r>
      <w:r w:rsidR="005C4144" w:rsidRPr="00F85B97">
        <w:t xml:space="preserve"> </w:t>
      </w:r>
      <w:r w:rsidR="00CC48C8" w:rsidRPr="00F85B97">
        <w:t>nie przewiduje się występowania ograniczeń</w:t>
      </w:r>
      <w:r w:rsidR="00CC48C8">
        <w:t xml:space="preserve"> w </w:t>
      </w:r>
      <w:r w:rsidR="00CC48C8" w:rsidRPr="00F85B97">
        <w:t>dostawach tego surowca</w:t>
      </w:r>
      <w:r w:rsidR="00CC48C8" w:rsidRPr="00F85B97" w:rsidDel="00183B40">
        <w:t xml:space="preserve">. </w:t>
      </w:r>
      <w:r w:rsidR="00CC48C8">
        <w:t>Na potrzeby niniejszej</w:t>
      </w:r>
      <w:r w:rsidR="00CC48C8" w:rsidRPr="00F85B97">
        <w:t xml:space="preserve"> pracy przyjęto, że przyszłe zapotrzebowanie będzie pokrywane</w:t>
      </w:r>
      <w:r w:rsidR="00CC48C8">
        <w:t xml:space="preserve"> w </w:t>
      </w:r>
      <w:r w:rsidR="00CC48C8" w:rsidRPr="00F85B97">
        <w:t>możliwym zakresie węglem krajowym</w:t>
      </w:r>
      <w:r w:rsidR="00CC48C8">
        <w:t xml:space="preserve"> i </w:t>
      </w:r>
      <w:r w:rsidR="00CC48C8" w:rsidRPr="00F85B97">
        <w:t xml:space="preserve">uzupełniane importem. </w:t>
      </w:r>
    </w:p>
    <w:p w14:paraId="52B816E7" w14:textId="6C153DB6" w:rsidR="005C4144" w:rsidRDefault="00DD22AB" w:rsidP="005C4144">
      <w:pPr>
        <w:pStyle w:val="Legenda"/>
      </w:pPr>
      <w:bookmarkStart w:id="403" w:name="_Ref160456720"/>
      <w:bookmarkStart w:id="404" w:name="_Toc171587270"/>
      <w:bookmarkStart w:id="405" w:name="_Toc174711037"/>
      <w:bookmarkStart w:id="406" w:name="_Toc202967048"/>
      <w:r>
        <w:rPr>
          <w:noProof/>
          <w:lang w:eastAsia="pl-PL"/>
        </w:rPr>
        <w:drawing>
          <wp:anchor distT="0" distB="0" distL="114300" distR="114300" simplePos="0" relativeHeight="251658247" behindDoc="0" locked="0" layoutInCell="1" allowOverlap="1" wp14:anchorId="2DC098F2" wp14:editId="4D5949FA">
            <wp:simplePos x="0" y="0"/>
            <wp:positionH relativeFrom="margin">
              <wp:posOffset>5979</wp:posOffset>
            </wp:positionH>
            <wp:positionV relativeFrom="paragraph">
              <wp:posOffset>-2612</wp:posOffset>
            </wp:positionV>
            <wp:extent cx="5744845" cy="3019425"/>
            <wp:effectExtent l="0" t="0" r="8255" b="0"/>
            <wp:wrapTopAndBottom/>
            <wp:docPr id="1879569758" name="Wykres 1">
              <a:extLst xmlns:a="http://schemas.openxmlformats.org/drawingml/2006/main">
                <a:ext uri="{FF2B5EF4-FFF2-40B4-BE49-F238E27FC236}">
                  <a16:creationId xmlns:a16="http://schemas.microsoft.com/office/drawing/2014/main" id="{5D3ABF13-1816-4CF4-ACDB-C5AF672FB6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5C4144">
        <w:t xml:space="preserve">Rysunek </w:t>
      </w:r>
      <w:r w:rsidR="005C4144">
        <w:rPr>
          <w:noProof/>
        </w:rPr>
        <w:fldChar w:fldCharType="begin"/>
      </w:r>
      <w:r w:rsidR="005C4144">
        <w:rPr>
          <w:noProof/>
        </w:rPr>
        <w:instrText xml:space="preserve"> STYLEREF 1 \s </w:instrText>
      </w:r>
      <w:r w:rsidR="005C4144">
        <w:rPr>
          <w:noProof/>
        </w:rPr>
        <w:fldChar w:fldCharType="separate"/>
      </w:r>
      <w:r w:rsidR="00F27D6F">
        <w:rPr>
          <w:noProof/>
        </w:rPr>
        <w:t>3</w:t>
      </w:r>
      <w:r w:rsidR="005C4144">
        <w:rPr>
          <w:noProof/>
        </w:rPr>
        <w:fldChar w:fldCharType="end"/>
      </w:r>
      <w:r w:rsidR="005C4144">
        <w:t>.</w:t>
      </w:r>
      <w:r w:rsidR="005C4144">
        <w:rPr>
          <w:noProof/>
        </w:rPr>
        <w:fldChar w:fldCharType="begin"/>
      </w:r>
      <w:r w:rsidR="005C4144">
        <w:rPr>
          <w:noProof/>
        </w:rPr>
        <w:instrText xml:space="preserve"> SEQ Rysunek \* ARABIC \s 1 </w:instrText>
      </w:r>
      <w:r w:rsidR="005C4144">
        <w:rPr>
          <w:noProof/>
        </w:rPr>
        <w:fldChar w:fldCharType="separate"/>
      </w:r>
      <w:r w:rsidR="00F27D6F">
        <w:rPr>
          <w:noProof/>
        </w:rPr>
        <w:t>1</w:t>
      </w:r>
      <w:r w:rsidR="005C4144">
        <w:rPr>
          <w:noProof/>
        </w:rPr>
        <w:fldChar w:fldCharType="end"/>
      </w:r>
      <w:bookmarkEnd w:id="403"/>
      <w:r w:rsidR="005C4144">
        <w:t>.</w:t>
      </w:r>
      <w:r w:rsidR="005C4144" w:rsidRPr="000812D9">
        <w:t xml:space="preserve"> </w:t>
      </w:r>
      <w:r w:rsidR="00E67BC7">
        <w:t>W</w:t>
      </w:r>
      <w:r w:rsidR="005C4144" w:rsidRPr="0042717C">
        <w:t>ydobycie węgla kamiennego</w:t>
      </w:r>
      <w:r w:rsidR="005C4144">
        <w:t xml:space="preserve"> w </w:t>
      </w:r>
      <w:r w:rsidR="005C4144" w:rsidRPr="0042717C">
        <w:t>Polsce</w:t>
      </w:r>
      <w:r w:rsidR="005C4144">
        <w:t xml:space="preserve"> w </w:t>
      </w:r>
      <w:r w:rsidR="005C4144" w:rsidRPr="0042717C">
        <w:t>latach 1990</w:t>
      </w:r>
      <w:r w:rsidR="00322BEA">
        <w:t>–</w:t>
      </w:r>
      <w:bookmarkEnd w:id="404"/>
      <w:bookmarkEnd w:id="405"/>
      <w:r w:rsidR="005C4144">
        <w:t>202</w:t>
      </w:r>
      <w:r w:rsidR="004D2DD6">
        <w:t>4</w:t>
      </w:r>
      <w:bookmarkEnd w:id="406"/>
    </w:p>
    <w:p w14:paraId="7B538411" w14:textId="01082C36" w:rsidR="005C4144" w:rsidRPr="00C21ECF" w:rsidRDefault="005C4144" w:rsidP="005C4144">
      <w:pPr>
        <w:pStyle w:val="ardo"/>
      </w:pPr>
      <w:r w:rsidRPr="00C21ECF">
        <w:t xml:space="preserve">Źródło: Państwowy Instytut </w:t>
      </w:r>
      <w:r w:rsidR="001A0941">
        <w:t>Geologiczny</w:t>
      </w:r>
      <w:r w:rsidR="001A0941" w:rsidRPr="00C21ECF">
        <w:t xml:space="preserve"> </w:t>
      </w:r>
      <w:r w:rsidRPr="00C21ECF">
        <w:t xml:space="preserve">– </w:t>
      </w:r>
      <w:r w:rsidR="001A0941">
        <w:t>Państwowych Instytut Badawczy</w:t>
      </w:r>
    </w:p>
    <w:p w14:paraId="4DFE6C72" w14:textId="5A77A530" w:rsidR="005C4144" w:rsidRDefault="005C4144" w:rsidP="00CC517B">
      <w:pPr>
        <w:pStyle w:val="podtytu2"/>
        <w:keepNext/>
        <w:spacing w:after="80"/>
      </w:pPr>
      <w:r w:rsidRPr="0042717C">
        <w:t>Wę</w:t>
      </w:r>
      <w:r>
        <w:t>giel brunatny</w:t>
      </w:r>
    </w:p>
    <w:p w14:paraId="34933D63" w14:textId="21EC4354" w:rsidR="005C4144" w:rsidRPr="00F85B97" w:rsidRDefault="00C37D75" w:rsidP="005C4144">
      <w:pPr>
        <w:rPr>
          <w:rFonts w:eastAsia="Calibri"/>
        </w:rPr>
      </w:pPr>
      <w:r>
        <w:rPr>
          <w:noProof/>
          <w:lang w:eastAsia="pl-PL"/>
        </w:rPr>
        <w:drawing>
          <wp:anchor distT="0" distB="0" distL="114300" distR="114300" simplePos="0" relativeHeight="251658248" behindDoc="0" locked="0" layoutInCell="1" allowOverlap="1" wp14:anchorId="3F0116AA" wp14:editId="4AAEF7A6">
            <wp:simplePos x="0" y="0"/>
            <wp:positionH relativeFrom="margin">
              <wp:align>right</wp:align>
            </wp:positionH>
            <wp:positionV relativeFrom="paragraph">
              <wp:posOffset>1230906</wp:posOffset>
            </wp:positionV>
            <wp:extent cx="5693410" cy="2294255"/>
            <wp:effectExtent l="0" t="0" r="2540" b="0"/>
            <wp:wrapTopAndBottom/>
            <wp:docPr id="32338106" name="Wykres 1">
              <a:extLst xmlns:a="http://schemas.openxmlformats.org/drawingml/2006/main">
                <a:ext uri="{FF2B5EF4-FFF2-40B4-BE49-F238E27FC236}">
                  <a16:creationId xmlns:a16="http://schemas.microsoft.com/office/drawing/2014/main" id="{973D76D1-FFCA-45F7-A6B9-DB1A783A39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r w:rsidR="00434E83">
        <w:t>W</w:t>
      </w:r>
      <w:r w:rsidR="00434E83" w:rsidRPr="00F85B97">
        <w:t>g stanu na 31.12</w:t>
      </w:r>
      <w:r w:rsidR="00434E83">
        <w:t>.2024 r.</w:t>
      </w:r>
      <w:r w:rsidR="00434E83" w:rsidRPr="00F85B97">
        <w:t xml:space="preserve"> </w:t>
      </w:r>
      <w:r w:rsidR="00434E83">
        <w:t>geo</w:t>
      </w:r>
      <w:r w:rsidR="00434E83" w:rsidRPr="00F85B97">
        <w:t>logiczne zasoby bilansowe węgla brunatnego wynos</w:t>
      </w:r>
      <w:r w:rsidR="000E3A92">
        <w:t>iły</w:t>
      </w:r>
      <w:r w:rsidR="00434E83" w:rsidRPr="00F85B97">
        <w:t xml:space="preserve"> </w:t>
      </w:r>
      <w:r w:rsidR="00434E83">
        <w:t>22 985</w:t>
      </w:r>
      <w:r w:rsidR="00434E83" w:rsidRPr="00F85B97">
        <w:t xml:space="preserve"> mln t. </w:t>
      </w:r>
      <w:r w:rsidR="00434E83" w:rsidRPr="00F85B97">
        <w:rPr>
          <w:rFonts w:eastAsia="Calibri"/>
        </w:rPr>
        <w:t>Zasoby złóż zago</w:t>
      </w:r>
      <w:r w:rsidR="00434E83">
        <w:rPr>
          <w:rFonts w:eastAsia="Calibri"/>
        </w:rPr>
        <w:t>spodarowanych stanowi</w:t>
      </w:r>
      <w:r w:rsidR="000E3A92">
        <w:rPr>
          <w:rFonts w:eastAsia="Calibri"/>
        </w:rPr>
        <w:t>ły</w:t>
      </w:r>
      <w:r w:rsidR="00434E83">
        <w:rPr>
          <w:rFonts w:eastAsia="Calibri"/>
        </w:rPr>
        <w:t xml:space="preserve"> </w:t>
      </w:r>
      <w:r w:rsidR="003F3C3E">
        <w:rPr>
          <w:rFonts w:eastAsia="Calibri"/>
        </w:rPr>
        <w:t>3,8</w:t>
      </w:r>
      <w:r w:rsidR="00434E83" w:rsidRPr="00F85B97">
        <w:rPr>
          <w:rFonts w:eastAsia="Calibri"/>
        </w:rPr>
        <w:t xml:space="preserve">% zasobów </w:t>
      </w:r>
      <w:r w:rsidR="00434E83" w:rsidRPr="005836D2">
        <w:rPr>
          <w:rFonts w:eastAsia="Calibri"/>
        </w:rPr>
        <w:t xml:space="preserve">bilansowych i wynoszą </w:t>
      </w:r>
      <w:r w:rsidR="00C669CE">
        <w:rPr>
          <w:rFonts w:eastAsia="Calibri"/>
        </w:rPr>
        <w:t>88</w:t>
      </w:r>
      <w:r w:rsidR="00151340">
        <w:rPr>
          <w:rFonts w:eastAsia="Calibri"/>
        </w:rPr>
        <w:t>2</w:t>
      </w:r>
      <w:r w:rsidR="00434E83" w:rsidRPr="005836D2">
        <w:rPr>
          <w:rFonts w:eastAsia="Calibri"/>
        </w:rPr>
        <w:t xml:space="preserve"> mln t.</w:t>
      </w:r>
      <w:r w:rsidR="00434E83" w:rsidRPr="005836D2">
        <w:t xml:space="preserve"> Zasoby przemysłowe węgla brunatnego wyn</w:t>
      </w:r>
      <w:r w:rsidR="009156CD">
        <w:t>iosły</w:t>
      </w:r>
      <w:r w:rsidR="00434E83" w:rsidRPr="005836D2">
        <w:t xml:space="preserve"> natomiast </w:t>
      </w:r>
      <w:r w:rsidR="00434E83">
        <w:t>7</w:t>
      </w:r>
      <w:r w:rsidR="002F4ECC">
        <w:t>22</w:t>
      </w:r>
      <w:r w:rsidR="00434E83" w:rsidRPr="005836D2">
        <w:t xml:space="preserve"> mln t. Są to zasoby możliwe do wydobycia przy obecnych warunkach technicznych i ekonomicznych. Warto jednak podkreślić, że ich eksploatacja wiąże się z relatywnie wysokimi kosztami. </w:t>
      </w:r>
      <w:r w:rsidR="009156CD">
        <w:t>W</w:t>
      </w:r>
      <w:r w:rsidR="00434E83" w:rsidRPr="005836D2">
        <w:rPr>
          <w:rFonts w:eastAsia="Calibri"/>
        </w:rPr>
        <w:t>edług danych podawanych przez</w:t>
      </w:r>
      <w:r w:rsidR="00434E83">
        <w:rPr>
          <w:rFonts w:eastAsia="Calibri"/>
        </w:rPr>
        <w:t xml:space="preserve"> PIG </w:t>
      </w:r>
      <w:r w:rsidR="009156CD">
        <w:rPr>
          <w:rFonts w:eastAsia="Calibri"/>
        </w:rPr>
        <w:t xml:space="preserve">w 2024 r. </w:t>
      </w:r>
      <w:r w:rsidR="00434E83">
        <w:rPr>
          <w:rFonts w:eastAsia="Calibri"/>
        </w:rPr>
        <w:t xml:space="preserve">wydobycie wyniosło </w:t>
      </w:r>
      <w:r w:rsidR="00532C8F">
        <w:rPr>
          <w:rFonts w:eastAsia="Calibri"/>
        </w:rPr>
        <w:t>niecałe 43,5</w:t>
      </w:r>
      <w:r w:rsidR="00434E83" w:rsidRPr="00F85B97">
        <w:rPr>
          <w:rFonts w:eastAsia="Calibri"/>
        </w:rPr>
        <w:t xml:space="preserve"> mln t</w:t>
      </w:r>
      <w:r w:rsidR="00434E83">
        <w:rPr>
          <w:rFonts w:eastAsia="Calibri"/>
        </w:rPr>
        <w:t>. Na rysunku poniżej przedstawiono wydobycie węgla brunatnego w latach 1990-202</w:t>
      </w:r>
      <w:r w:rsidR="00E70D4D">
        <w:rPr>
          <w:rFonts w:eastAsia="Calibri"/>
        </w:rPr>
        <w:t>4</w:t>
      </w:r>
      <w:r w:rsidR="00CD4B30">
        <w:rPr>
          <w:rFonts w:eastAsia="Calibri"/>
        </w:rPr>
        <w:t xml:space="preserve"> </w:t>
      </w:r>
      <w:r w:rsidR="005C4144">
        <w:rPr>
          <w:rFonts w:eastAsia="Calibri"/>
        </w:rPr>
        <w:t>(</w:t>
      </w:r>
      <w:r w:rsidR="005C4144">
        <w:rPr>
          <w:rFonts w:eastAsia="Calibri"/>
        </w:rPr>
        <w:fldChar w:fldCharType="begin"/>
      </w:r>
      <w:r w:rsidR="005C4144">
        <w:rPr>
          <w:rFonts w:eastAsia="Calibri"/>
        </w:rPr>
        <w:instrText xml:space="preserve"> REF _Ref156892250 \h </w:instrText>
      </w:r>
      <w:r w:rsidR="005C4144">
        <w:rPr>
          <w:rFonts w:eastAsia="Calibri"/>
        </w:rPr>
      </w:r>
      <w:r w:rsidR="005C4144">
        <w:rPr>
          <w:rFonts w:eastAsia="Calibri"/>
        </w:rPr>
        <w:fldChar w:fldCharType="separate"/>
      </w:r>
      <w:r w:rsidR="00F27D6F">
        <w:t xml:space="preserve">Rysunek </w:t>
      </w:r>
      <w:r w:rsidR="00F27D6F">
        <w:rPr>
          <w:noProof/>
        </w:rPr>
        <w:t>3</w:t>
      </w:r>
      <w:r w:rsidR="00F27D6F">
        <w:t>.</w:t>
      </w:r>
      <w:r w:rsidR="00F27D6F">
        <w:rPr>
          <w:noProof/>
        </w:rPr>
        <w:t>2</w:t>
      </w:r>
      <w:r w:rsidR="005C4144">
        <w:rPr>
          <w:rFonts w:eastAsia="Calibri"/>
        </w:rPr>
        <w:fldChar w:fldCharType="end"/>
      </w:r>
      <w:r w:rsidR="005C4144">
        <w:rPr>
          <w:rFonts w:eastAsia="Calibri"/>
        </w:rPr>
        <w:t>)</w:t>
      </w:r>
      <w:r w:rsidR="005C4144" w:rsidRPr="00F85B97">
        <w:rPr>
          <w:rFonts w:eastAsia="Calibri"/>
        </w:rPr>
        <w:t xml:space="preserve">. </w:t>
      </w:r>
    </w:p>
    <w:p w14:paraId="0D5F9974" w14:textId="3DEF5713" w:rsidR="005C4144" w:rsidRDefault="005C4144" w:rsidP="005C4144">
      <w:pPr>
        <w:pStyle w:val="Legenda"/>
      </w:pPr>
      <w:bookmarkStart w:id="407" w:name="_Ref156892250"/>
      <w:bookmarkStart w:id="408" w:name="_Toc171587271"/>
      <w:bookmarkStart w:id="409" w:name="_Toc174711038"/>
      <w:bookmarkStart w:id="410" w:name="_Toc202967049"/>
      <w:r>
        <w:t xml:space="preserve">Rysunek </w:t>
      </w:r>
      <w:r>
        <w:rPr>
          <w:noProof/>
        </w:rPr>
        <w:fldChar w:fldCharType="begin"/>
      </w:r>
      <w:r>
        <w:rPr>
          <w:noProof/>
        </w:rPr>
        <w:instrText xml:space="preserve"> STYLEREF 1 \s </w:instrText>
      </w:r>
      <w:r>
        <w:rPr>
          <w:noProof/>
        </w:rPr>
        <w:fldChar w:fldCharType="separate"/>
      </w:r>
      <w:r w:rsidR="00F27D6F">
        <w:rPr>
          <w:noProof/>
        </w:rPr>
        <w:t>3</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2</w:t>
      </w:r>
      <w:r>
        <w:rPr>
          <w:noProof/>
        </w:rPr>
        <w:fldChar w:fldCharType="end"/>
      </w:r>
      <w:bookmarkEnd w:id="407"/>
      <w:r>
        <w:t xml:space="preserve">. </w:t>
      </w:r>
      <w:r w:rsidR="002A796C">
        <w:t>W</w:t>
      </w:r>
      <w:r w:rsidRPr="0042717C">
        <w:t>ydobycie węgla brunatnego</w:t>
      </w:r>
      <w:r>
        <w:t xml:space="preserve"> w </w:t>
      </w:r>
      <w:r w:rsidRPr="0042717C">
        <w:t>Polsce</w:t>
      </w:r>
      <w:r>
        <w:t xml:space="preserve"> w </w:t>
      </w:r>
      <w:r w:rsidRPr="0042717C">
        <w:t xml:space="preserve">latach 1990 – </w:t>
      </w:r>
      <w:bookmarkEnd w:id="408"/>
      <w:bookmarkEnd w:id="409"/>
      <w:r>
        <w:t>202</w:t>
      </w:r>
      <w:r w:rsidR="004D2DD6">
        <w:t>4</w:t>
      </w:r>
      <w:bookmarkEnd w:id="410"/>
    </w:p>
    <w:p w14:paraId="07860FC9" w14:textId="1E02EF33" w:rsidR="00E16703" w:rsidRPr="00C21ECF" w:rsidRDefault="005C4144" w:rsidP="00E16703">
      <w:pPr>
        <w:pStyle w:val="ardo"/>
      </w:pPr>
      <w:r w:rsidRPr="00C21ECF">
        <w:t xml:space="preserve">Źródło: </w:t>
      </w:r>
      <w:r w:rsidR="00E16703" w:rsidRPr="00C21ECF">
        <w:t xml:space="preserve">Państwowy Instytut </w:t>
      </w:r>
      <w:r w:rsidR="001A0941">
        <w:t>Geologiczny</w:t>
      </w:r>
      <w:r w:rsidR="001A0941" w:rsidRPr="00C21ECF">
        <w:t xml:space="preserve"> – </w:t>
      </w:r>
      <w:r w:rsidR="001A0941">
        <w:t>Państwowych Instytut Badawczy</w:t>
      </w:r>
      <w:r w:rsidR="001A0941" w:rsidRPr="00C21ECF" w:rsidDel="001A0941">
        <w:t xml:space="preserve"> </w:t>
      </w:r>
    </w:p>
    <w:p w14:paraId="278D5D10" w14:textId="003EA017" w:rsidR="005C4144" w:rsidRPr="00285765" w:rsidRDefault="005C4144" w:rsidP="00CC517B">
      <w:pPr>
        <w:pStyle w:val="podtytu2"/>
        <w:spacing w:after="80"/>
      </w:pPr>
      <w:r w:rsidRPr="00285765">
        <w:t>Gaz ziemny</w:t>
      </w:r>
    </w:p>
    <w:p w14:paraId="7537FB89" w14:textId="35B92A24" w:rsidR="005C4144" w:rsidRPr="00151C99" w:rsidRDefault="00B833B2" w:rsidP="005C4144">
      <w:r w:rsidRPr="00F85B97">
        <w:rPr>
          <w:rFonts w:eastAsia="Calibri"/>
        </w:rPr>
        <w:t>Zgodnie</w:t>
      </w:r>
      <w:r>
        <w:rPr>
          <w:rFonts w:eastAsia="Calibri"/>
        </w:rPr>
        <w:t xml:space="preserve"> z </w:t>
      </w:r>
      <w:r w:rsidRPr="00F85B97">
        <w:rPr>
          <w:rFonts w:eastAsia="Calibri"/>
        </w:rPr>
        <w:t>danymi podanymi przez PIG, stan wydobywalnych zasobów g</w:t>
      </w:r>
      <w:r>
        <w:rPr>
          <w:rFonts w:eastAsia="Calibri"/>
        </w:rPr>
        <w:t>azu ziemnego w 2024 r. wyniósł</w:t>
      </w:r>
      <w:r w:rsidRPr="00F85B97">
        <w:rPr>
          <w:rFonts w:eastAsia="Calibri"/>
        </w:rPr>
        <w:t xml:space="preserve"> </w:t>
      </w:r>
      <w:r>
        <w:t>152,6</w:t>
      </w:r>
      <w:r w:rsidRPr="00F85B97">
        <w:t xml:space="preserve"> mld m</w:t>
      </w:r>
      <w:r w:rsidRPr="00F85B97">
        <w:rPr>
          <w:vertAlign w:val="superscript"/>
        </w:rPr>
        <w:t>3</w:t>
      </w:r>
      <w:r>
        <w:rPr>
          <w:vertAlign w:val="superscript"/>
        </w:rPr>
        <w:t xml:space="preserve"> </w:t>
      </w:r>
      <w:r>
        <w:t>(łącznie zasoby bilansowe i pozabilansowe).</w:t>
      </w:r>
      <w:r w:rsidRPr="00F85B97">
        <w:t xml:space="preserve"> Całkowite zasoby wydobywalne zagospodarowanych złóż gazu ziemnego wyniosły</w:t>
      </w:r>
      <w:r>
        <w:t xml:space="preserve"> w </w:t>
      </w:r>
      <w:r w:rsidRPr="00F85B97">
        <w:t xml:space="preserve">analizowanym roku </w:t>
      </w:r>
      <w:r w:rsidR="00C072E3">
        <w:t>130,4</w:t>
      </w:r>
      <w:r w:rsidRPr="00F85B97">
        <w:t xml:space="preserve"> mld m</w:t>
      </w:r>
      <w:r w:rsidRPr="00F85B97">
        <w:rPr>
          <w:vertAlign w:val="superscript"/>
        </w:rPr>
        <w:t>3</w:t>
      </w:r>
      <w:r w:rsidRPr="00F85B97">
        <w:t xml:space="preserve">, co stanowi </w:t>
      </w:r>
      <w:r w:rsidR="00E70D4D">
        <w:t>85</w:t>
      </w:r>
      <w:r w:rsidRPr="00F85B97">
        <w:t>% ogólnej ilości zasobów wydobywalnych</w:t>
      </w:r>
      <w:r w:rsidR="00C072E3">
        <w:rPr>
          <w:rStyle w:val="Odwoanieprzypisudolnego"/>
        </w:rPr>
        <w:footnoteReference w:id="17"/>
      </w:r>
      <w:r w:rsidRPr="00F85B97">
        <w:t>. Zasoby przem</w:t>
      </w:r>
      <w:r>
        <w:t>ysłowe złóż gazu ziemnego w 202</w:t>
      </w:r>
      <w:r w:rsidR="002F1C43">
        <w:t>4</w:t>
      </w:r>
      <w:r>
        <w:t> r.</w:t>
      </w:r>
      <w:r w:rsidRPr="00F85B97">
        <w:t xml:space="preserve"> kształtowały się na poziomie </w:t>
      </w:r>
      <w:r w:rsidR="00394CB4">
        <w:t>75,5</w:t>
      </w:r>
      <w:r>
        <w:t> </w:t>
      </w:r>
      <w:r w:rsidRPr="00F85B97">
        <w:t>mld</w:t>
      </w:r>
      <w:r>
        <w:t> </w:t>
      </w:r>
      <w:r w:rsidRPr="00F85B97">
        <w:t>m</w:t>
      </w:r>
      <w:r w:rsidRPr="00F85B97">
        <w:rPr>
          <w:vertAlign w:val="superscript"/>
        </w:rPr>
        <w:t>3</w:t>
      </w:r>
      <w:r w:rsidRPr="00F85B97">
        <w:t>.</w:t>
      </w:r>
      <w:r>
        <w:t xml:space="preserve"> W 202</w:t>
      </w:r>
      <w:r w:rsidR="00E70D4D">
        <w:t>4</w:t>
      </w:r>
      <w:r>
        <w:t> r. wydobycie gazu ziemnego ze złóż o zasobach udokumentowanych wyniosło 4,</w:t>
      </w:r>
      <w:r w:rsidR="00E051AF">
        <w:t>5</w:t>
      </w:r>
      <w:r>
        <w:t> mld m</w:t>
      </w:r>
      <w:r w:rsidRPr="00151C99">
        <w:rPr>
          <w:vertAlign w:val="superscript"/>
        </w:rPr>
        <w:t>3</w:t>
      </w:r>
      <w:r>
        <w:t xml:space="preserve">. </w:t>
      </w:r>
      <w:r>
        <w:rPr>
          <w:rFonts w:eastAsia="Calibri"/>
        </w:rPr>
        <w:t>Na rysunku poniżej przedstawiono wydobycie gazu ziemnego w latach 1990–202</w:t>
      </w:r>
      <w:r w:rsidR="00E70D4D">
        <w:rPr>
          <w:rFonts w:eastAsia="Calibri"/>
        </w:rPr>
        <w:t>4</w:t>
      </w:r>
      <w:r w:rsidR="00935EEC">
        <w:rPr>
          <w:rFonts w:eastAsia="Calibri"/>
        </w:rPr>
        <w:t xml:space="preserve"> </w:t>
      </w:r>
      <w:r w:rsidR="00935EEC">
        <w:t>(</w:t>
      </w:r>
      <w:r w:rsidR="00935EEC">
        <w:fldChar w:fldCharType="begin"/>
      </w:r>
      <w:r w:rsidR="00935EEC">
        <w:instrText xml:space="preserve"> REF _Ref156892720 \h </w:instrText>
      </w:r>
      <w:r w:rsidR="00935EEC">
        <w:fldChar w:fldCharType="separate"/>
      </w:r>
      <w:r w:rsidR="00F27D6F">
        <w:t xml:space="preserve">Rysunek </w:t>
      </w:r>
      <w:r w:rsidR="00F27D6F">
        <w:rPr>
          <w:noProof/>
        </w:rPr>
        <w:t>3</w:t>
      </w:r>
      <w:r w:rsidR="00F27D6F">
        <w:t>.</w:t>
      </w:r>
      <w:r w:rsidR="00F27D6F">
        <w:rPr>
          <w:noProof/>
        </w:rPr>
        <w:t>3</w:t>
      </w:r>
      <w:r w:rsidR="00935EEC">
        <w:fldChar w:fldCharType="end"/>
      </w:r>
      <w:r w:rsidR="00935EEC">
        <w:t>)</w:t>
      </w:r>
      <w:r w:rsidR="00A3171A">
        <w:t>.</w:t>
      </w:r>
    </w:p>
    <w:p w14:paraId="5191176D" w14:textId="257BE237" w:rsidR="005C4144" w:rsidRPr="00285765" w:rsidRDefault="005C4144" w:rsidP="005C4144"/>
    <w:p w14:paraId="12AD4035" w14:textId="074F728C" w:rsidR="005C4144" w:rsidRPr="00285765" w:rsidRDefault="001366BE" w:rsidP="005C4144">
      <w:pPr>
        <w:pStyle w:val="Legenda"/>
      </w:pPr>
      <w:bookmarkStart w:id="411" w:name="_Ref156892720"/>
      <w:bookmarkStart w:id="412" w:name="_Toc171587272"/>
      <w:bookmarkStart w:id="413" w:name="_Toc174711039"/>
      <w:bookmarkStart w:id="414" w:name="_Toc202967050"/>
      <w:r>
        <w:rPr>
          <w:noProof/>
          <w:lang w:eastAsia="pl-PL"/>
        </w:rPr>
        <w:drawing>
          <wp:anchor distT="0" distB="0" distL="114300" distR="114300" simplePos="0" relativeHeight="251658249" behindDoc="0" locked="0" layoutInCell="1" allowOverlap="1" wp14:anchorId="2FE391ED" wp14:editId="136EAD7F">
            <wp:simplePos x="0" y="0"/>
            <wp:positionH relativeFrom="margin">
              <wp:align>right</wp:align>
            </wp:positionH>
            <wp:positionV relativeFrom="paragraph">
              <wp:posOffset>0</wp:posOffset>
            </wp:positionV>
            <wp:extent cx="5761990" cy="2682240"/>
            <wp:effectExtent l="0" t="0" r="0" b="3810"/>
            <wp:wrapTopAndBottom/>
            <wp:docPr id="407977099" name="Wykres 1">
              <a:extLst xmlns:a="http://schemas.openxmlformats.org/drawingml/2006/main">
                <a:ext uri="{FF2B5EF4-FFF2-40B4-BE49-F238E27FC236}">
                  <a16:creationId xmlns:a16="http://schemas.microsoft.com/office/drawing/2014/main" id="{351D7375-B011-4C74-B7B9-3997A465D4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margin">
              <wp14:pctWidth>0</wp14:pctWidth>
            </wp14:sizeRelH>
            <wp14:sizeRelV relativeFrom="margin">
              <wp14:pctHeight>0</wp14:pctHeight>
            </wp14:sizeRelV>
          </wp:anchor>
        </w:drawing>
      </w:r>
      <w:r w:rsidR="005C4144">
        <w:t xml:space="preserve">Rysunek </w:t>
      </w:r>
      <w:r w:rsidR="005C4144">
        <w:rPr>
          <w:noProof/>
        </w:rPr>
        <w:fldChar w:fldCharType="begin"/>
      </w:r>
      <w:r w:rsidR="005C4144">
        <w:rPr>
          <w:noProof/>
        </w:rPr>
        <w:instrText xml:space="preserve"> STYLEREF 1 \s </w:instrText>
      </w:r>
      <w:r w:rsidR="005C4144">
        <w:rPr>
          <w:noProof/>
        </w:rPr>
        <w:fldChar w:fldCharType="separate"/>
      </w:r>
      <w:r w:rsidR="00F27D6F">
        <w:rPr>
          <w:noProof/>
        </w:rPr>
        <w:t>3</w:t>
      </w:r>
      <w:r w:rsidR="005C4144">
        <w:rPr>
          <w:noProof/>
        </w:rPr>
        <w:fldChar w:fldCharType="end"/>
      </w:r>
      <w:r w:rsidR="005C4144">
        <w:t>.</w:t>
      </w:r>
      <w:r w:rsidR="005C4144">
        <w:rPr>
          <w:noProof/>
        </w:rPr>
        <w:fldChar w:fldCharType="begin"/>
      </w:r>
      <w:r w:rsidR="005C4144">
        <w:rPr>
          <w:noProof/>
        </w:rPr>
        <w:instrText xml:space="preserve"> SEQ Rysunek \* ARABIC \s 1 </w:instrText>
      </w:r>
      <w:r w:rsidR="005C4144">
        <w:rPr>
          <w:noProof/>
        </w:rPr>
        <w:fldChar w:fldCharType="separate"/>
      </w:r>
      <w:r w:rsidR="00F27D6F">
        <w:rPr>
          <w:noProof/>
        </w:rPr>
        <w:t>3</w:t>
      </w:r>
      <w:r w:rsidR="005C4144">
        <w:rPr>
          <w:noProof/>
        </w:rPr>
        <w:fldChar w:fldCharType="end"/>
      </w:r>
      <w:bookmarkEnd w:id="411"/>
      <w:r w:rsidR="00322BEA">
        <w:rPr>
          <w:noProof/>
        </w:rPr>
        <w:t>.</w:t>
      </w:r>
      <w:r w:rsidR="005C4144">
        <w:t xml:space="preserve"> </w:t>
      </w:r>
      <w:r w:rsidR="00B12D6A">
        <w:t>W</w:t>
      </w:r>
      <w:r w:rsidR="005C4144" w:rsidRPr="00285765">
        <w:t>ydobycie gazu ziemnego</w:t>
      </w:r>
      <w:r w:rsidR="005C4144">
        <w:t xml:space="preserve"> w </w:t>
      </w:r>
      <w:r w:rsidR="005C4144" w:rsidRPr="00285765">
        <w:t>Polsce</w:t>
      </w:r>
      <w:r w:rsidR="005C4144">
        <w:t xml:space="preserve"> w </w:t>
      </w:r>
      <w:r w:rsidR="005C4144" w:rsidRPr="00285765">
        <w:t>latach 1990–</w:t>
      </w:r>
      <w:bookmarkEnd w:id="412"/>
      <w:bookmarkEnd w:id="413"/>
      <w:r w:rsidR="005C4144">
        <w:t>202</w:t>
      </w:r>
      <w:r w:rsidR="001A0941">
        <w:t>4</w:t>
      </w:r>
      <w:bookmarkEnd w:id="414"/>
    </w:p>
    <w:p w14:paraId="694935E3" w14:textId="0DEA1797" w:rsidR="00E16703" w:rsidRPr="00C21ECF" w:rsidRDefault="005C4144" w:rsidP="00E16703">
      <w:pPr>
        <w:pStyle w:val="ardo"/>
      </w:pPr>
      <w:r w:rsidRPr="00C21ECF">
        <w:t xml:space="preserve">Źródło: </w:t>
      </w:r>
      <w:r w:rsidR="00E16703" w:rsidRPr="00C21ECF">
        <w:t xml:space="preserve">Państwowy Instytut </w:t>
      </w:r>
      <w:r w:rsidR="001A0941">
        <w:t>Geologiczny</w:t>
      </w:r>
      <w:r w:rsidR="001A0941" w:rsidRPr="00C21ECF">
        <w:t xml:space="preserve"> – </w:t>
      </w:r>
      <w:r w:rsidR="001A0941">
        <w:t>Państwowych Instytut Badawczy</w:t>
      </w:r>
    </w:p>
    <w:p w14:paraId="5544A039" w14:textId="267C2DDE" w:rsidR="005C4144" w:rsidRPr="00285765" w:rsidRDefault="005C4144" w:rsidP="001366BE">
      <w:pPr>
        <w:pStyle w:val="podtytu2"/>
        <w:keepNext/>
        <w:spacing w:before="360" w:after="80"/>
      </w:pPr>
      <w:r w:rsidRPr="00285765">
        <w:t>Paliwo jądrowe</w:t>
      </w:r>
    </w:p>
    <w:p w14:paraId="44C39914" w14:textId="77777777" w:rsidR="008E0E0B" w:rsidRPr="00F85B97" w:rsidRDefault="008E0E0B" w:rsidP="008E0E0B">
      <w:pPr>
        <w:rPr>
          <w:rFonts w:eastAsia="Calibri"/>
        </w:rPr>
      </w:pPr>
      <w:r w:rsidRPr="00F85B97">
        <w:rPr>
          <w:rFonts w:eastAsia="Calibri"/>
        </w:rPr>
        <w:t>Polska nie posiada złóż rudy uranowej</w:t>
      </w:r>
      <w:r>
        <w:rPr>
          <w:rFonts w:eastAsia="Calibri"/>
        </w:rPr>
        <w:t xml:space="preserve"> w </w:t>
      </w:r>
      <w:r w:rsidRPr="00F85B97">
        <w:rPr>
          <w:rFonts w:eastAsia="Calibri"/>
        </w:rPr>
        <w:t>ilości, dla której byłoby obecnie opłacalne wydobycie, choć nie wyklucza się</w:t>
      </w:r>
      <w:r>
        <w:rPr>
          <w:rFonts w:eastAsia="Calibri"/>
        </w:rPr>
        <w:t xml:space="preserve"> w </w:t>
      </w:r>
      <w:r w:rsidRPr="00F85B97">
        <w:rPr>
          <w:rFonts w:eastAsia="Calibri"/>
        </w:rPr>
        <w:t>przyszłości eksploatacji tych złóż. Na rynku światowym paliwo jądrowe jest powszechnie dostępne (dotyczy</w:t>
      </w:r>
      <w:r>
        <w:rPr>
          <w:rFonts w:eastAsia="Calibri"/>
        </w:rPr>
        <w:t xml:space="preserve"> to zarówno rudy uranowej, jak i </w:t>
      </w:r>
      <w:r w:rsidRPr="00F85B97">
        <w:rPr>
          <w:rFonts w:eastAsia="Calibri"/>
        </w:rPr>
        <w:t xml:space="preserve">zdolności przeróbczych na sześciofluorek uranu oraz </w:t>
      </w:r>
      <w:r>
        <w:rPr>
          <w:rFonts w:eastAsia="Calibri"/>
        </w:rPr>
        <w:t>zdolności zakładów wzbogacania i </w:t>
      </w:r>
      <w:r w:rsidRPr="00F85B97">
        <w:rPr>
          <w:rFonts w:eastAsia="Calibri"/>
        </w:rPr>
        <w:t>produkcji elementów paliwowych do reaktorów).</w:t>
      </w:r>
      <w:r>
        <w:rPr>
          <w:rFonts w:eastAsia="Calibri"/>
        </w:rPr>
        <w:t xml:space="preserve"> W </w:t>
      </w:r>
      <w:r w:rsidRPr="00F85B97">
        <w:rPr>
          <w:rFonts w:eastAsia="Calibri"/>
        </w:rPr>
        <w:t>zwią</w:t>
      </w:r>
      <w:r>
        <w:rPr>
          <w:rFonts w:eastAsia="Calibri"/>
        </w:rPr>
        <w:t xml:space="preserve">zku z tym, przyjęto założenie, </w:t>
      </w:r>
      <w:r w:rsidRPr="00F85B97">
        <w:rPr>
          <w:rFonts w:eastAsia="Calibri"/>
        </w:rPr>
        <w:t>że zasoby paliwa jądrowego nie będą ograniczać tem</w:t>
      </w:r>
      <w:r>
        <w:rPr>
          <w:rFonts w:eastAsia="Calibri"/>
        </w:rPr>
        <w:t>pa rozwoju energetyki jądrowej w </w:t>
      </w:r>
      <w:r w:rsidRPr="00F85B97">
        <w:rPr>
          <w:rFonts w:eastAsia="Calibri"/>
        </w:rPr>
        <w:t>perspektywie prognozy</w:t>
      </w:r>
      <w:r>
        <w:rPr>
          <w:rFonts w:eastAsia="Calibri"/>
        </w:rPr>
        <w:t xml:space="preserve"> i </w:t>
      </w:r>
      <w:r w:rsidRPr="00F85B97">
        <w:rPr>
          <w:rFonts w:eastAsia="Calibri"/>
        </w:rPr>
        <w:t>eksploatacji EJ,</w:t>
      </w:r>
      <w:r>
        <w:rPr>
          <w:rFonts w:eastAsia="Calibri"/>
        </w:rPr>
        <w:t xml:space="preserve"> a </w:t>
      </w:r>
      <w:r w:rsidRPr="00F85B97">
        <w:rPr>
          <w:rFonts w:eastAsia="Calibri"/>
        </w:rPr>
        <w:t>jego cena pozostanie względnie stabilna.</w:t>
      </w:r>
    </w:p>
    <w:p w14:paraId="1ED45D19" w14:textId="52153817" w:rsidR="005C4144" w:rsidRPr="008A5E44" w:rsidRDefault="005C4144" w:rsidP="00CC517B">
      <w:pPr>
        <w:pStyle w:val="podtytu2"/>
        <w:spacing w:after="80"/>
      </w:pPr>
      <w:r w:rsidRPr="008A5E44">
        <w:t>Biomasa</w:t>
      </w:r>
    </w:p>
    <w:p w14:paraId="25C3A98C" w14:textId="4F80027E" w:rsidR="00290E4F" w:rsidRDefault="0039680B" w:rsidP="0039680B">
      <w:r>
        <w:t>Biomasa jest paliwem odnawialnym</w:t>
      </w:r>
      <w:r w:rsidR="00CF1DE3">
        <w:t xml:space="preserve"> o ograniczonej podaży. Biomasa jest </w:t>
      </w:r>
      <w:r w:rsidR="004453D9">
        <w:t>wykorzystywan</w:t>
      </w:r>
      <w:r w:rsidR="00CF1DE3">
        <w:t>a</w:t>
      </w:r>
      <w:r w:rsidR="004453D9">
        <w:t xml:space="preserve"> </w:t>
      </w:r>
      <w:r w:rsidR="00AA3591">
        <w:t xml:space="preserve">do produkcji energii </w:t>
      </w:r>
      <w:r w:rsidR="00CF1DE3">
        <w:t>w</w:t>
      </w:r>
      <w:r w:rsidR="008F5A61">
        <w:t xml:space="preserve"> ogrzewnictw</w:t>
      </w:r>
      <w:r w:rsidR="00CF1DE3">
        <w:t>ie</w:t>
      </w:r>
      <w:r w:rsidR="008F5A61">
        <w:t xml:space="preserve"> indywidualn</w:t>
      </w:r>
      <w:r w:rsidR="0029538E">
        <w:t>ym</w:t>
      </w:r>
      <w:r>
        <w:t xml:space="preserve">, </w:t>
      </w:r>
      <w:r w:rsidR="00CF1DE3">
        <w:t xml:space="preserve">a także </w:t>
      </w:r>
      <w:r w:rsidR="0029538E">
        <w:t xml:space="preserve">w </w:t>
      </w:r>
      <w:r w:rsidR="007A6689">
        <w:t xml:space="preserve">przedsiębiorstwach </w:t>
      </w:r>
      <w:r w:rsidR="0029538E">
        <w:t>energetycznych</w:t>
      </w:r>
      <w:r>
        <w:t xml:space="preserve">. </w:t>
      </w:r>
      <w:r w:rsidR="008872C6">
        <w:t>W przypadku tych ostatnich konieczne jest stosowanie biomasy spełniających kryteria zrównoważonego rozwoju (</w:t>
      </w:r>
      <w:r w:rsidR="00D93C28">
        <w:t xml:space="preserve">obecnie </w:t>
      </w:r>
      <w:r w:rsidR="006550E8">
        <w:t xml:space="preserve">dotyczy to </w:t>
      </w:r>
      <w:r w:rsidR="00D93C28">
        <w:t>instalacj</w:t>
      </w:r>
      <w:r w:rsidR="006550E8">
        <w:t>i</w:t>
      </w:r>
      <w:r w:rsidR="00D93C28">
        <w:t xml:space="preserve"> </w:t>
      </w:r>
      <w:r w:rsidR="00E265F1">
        <w:t>powyżej 20 MWt,</w:t>
      </w:r>
      <w:r w:rsidR="006550E8">
        <w:t xml:space="preserve"> </w:t>
      </w:r>
      <w:r w:rsidR="006550E8" w:rsidRPr="008D1396">
        <w:t xml:space="preserve">zgodnie </w:t>
      </w:r>
      <w:r w:rsidR="006550E8">
        <w:t>z</w:t>
      </w:r>
      <w:r w:rsidR="006550E8" w:rsidRPr="008D1396">
        <w:t xml:space="preserve"> RED III </w:t>
      </w:r>
      <w:r w:rsidR="008D1396" w:rsidRPr="008D1396">
        <w:t>próg wielkości instalacji został obniżony do 7,5 MWt</w:t>
      </w:r>
      <w:r w:rsidR="008D1396">
        <w:t>)</w:t>
      </w:r>
      <w:r w:rsidR="008D1396" w:rsidRPr="008D1396">
        <w:t xml:space="preserve">. </w:t>
      </w:r>
      <w:r w:rsidR="00FB6384">
        <w:t xml:space="preserve">Opracowane prognozy </w:t>
      </w:r>
      <w:r w:rsidR="005C7635">
        <w:t xml:space="preserve">dla scenariusza WAM </w:t>
      </w:r>
      <w:r w:rsidR="00BC0860">
        <w:t>wskazują, że z</w:t>
      </w:r>
      <w:r w:rsidR="00F9044A">
        <w:t xml:space="preserve">użycie biomasy </w:t>
      </w:r>
      <w:r w:rsidR="00EB430D">
        <w:t xml:space="preserve">będzie spadało w czasie na rzecz wykorzystania innych odnawialnych źródeł energii. </w:t>
      </w:r>
    </w:p>
    <w:p w14:paraId="46B60E70" w14:textId="1E03037E" w:rsidR="0039680B" w:rsidRDefault="00EB430D" w:rsidP="0039680B">
      <w:r>
        <w:t xml:space="preserve">Należy podkreślić, że </w:t>
      </w:r>
      <w:r w:rsidRPr="00C525C3">
        <w:rPr>
          <w:b/>
          <w:bCs/>
        </w:rPr>
        <w:t>p</w:t>
      </w:r>
      <w:r w:rsidR="00BE4FBE" w:rsidRPr="00770044">
        <w:rPr>
          <w:b/>
          <w:bCs/>
        </w:rPr>
        <w:t>otencjał zrównoważony</w:t>
      </w:r>
      <w:r>
        <w:t>, który może</w:t>
      </w:r>
      <w:r w:rsidR="00E1420B">
        <w:t xml:space="preserve"> zostać zagospodarowany na cele energetyczne,</w:t>
      </w:r>
      <w:r>
        <w:t xml:space="preserve"> </w:t>
      </w:r>
      <w:r w:rsidR="00016E33">
        <w:t xml:space="preserve">jest mniejszy niż potencjał techniczny. </w:t>
      </w:r>
      <w:r w:rsidR="001739E1">
        <w:t xml:space="preserve">Popyt na biomasę ze strony przedsiębiorstw energetycznych nie </w:t>
      </w:r>
      <w:r w:rsidR="00E91C48">
        <w:t xml:space="preserve">powinien zaburzać dotychczasowych kierunków jej </w:t>
      </w:r>
      <w:r w:rsidR="00342026">
        <w:t>wykorzystania</w:t>
      </w:r>
      <w:r w:rsidR="00E91C48">
        <w:t>, w szczególności</w:t>
      </w:r>
      <w:r w:rsidR="00A0060A">
        <w:t xml:space="preserve"> </w:t>
      </w:r>
      <w:r w:rsidR="003D5699">
        <w:t xml:space="preserve">wykorzystania biomasy w </w:t>
      </w:r>
      <w:r w:rsidR="00342026">
        <w:t xml:space="preserve">produkcji materiałowej. </w:t>
      </w:r>
      <w:r w:rsidR="00016E33">
        <w:t>Dla wyznaczenia potencjału zrównoważonego przyjmuje się następujące założenia</w:t>
      </w:r>
      <w:r w:rsidR="00E35922">
        <w:rPr>
          <w:rStyle w:val="Odwoanieprzypisudolnego"/>
        </w:rPr>
        <w:footnoteReference w:id="18"/>
      </w:r>
      <w:r w:rsidR="00016E33">
        <w:t>:</w:t>
      </w:r>
    </w:p>
    <w:p w14:paraId="1E3FC986" w14:textId="77777777" w:rsidR="00F223D6" w:rsidRDefault="00F223D6" w:rsidP="00CC517B">
      <w:pPr>
        <w:ind w:left="426" w:hanging="284"/>
      </w:pPr>
      <w:r>
        <w:t>I.</w:t>
      </w:r>
      <w:r>
        <w:tab/>
        <w:t>Wykorzystanie materiałowe biomasy powinno być priorytetem w stosunku do wykorzystania energetycznego, gdziekolwiek jest to technicznie i ekonomicznie uzasadnione. Wykorzystanie materiałowe przyczynia się do długoterminowego magazynowania węgla zawartego w biomasie, nie przyczynia się do emisji zanieczyszczeń do powietrza oraz tworzy wyższą wartość dodaną dla gospodarki. Dotyczy to w szczególności wykorzystania drewna do produkcji trwałych dóbr przemysłowych lub jako materiału budowlanego.</w:t>
      </w:r>
    </w:p>
    <w:p w14:paraId="23309D2E" w14:textId="0547A5B1" w:rsidR="00F223D6" w:rsidRDefault="00F223D6" w:rsidP="00CC517B">
      <w:pPr>
        <w:ind w:left="426" w:hanging="284"/>
      </w:pPr>
      <w:r>
        <w:t>II.</w:t>
      </w:r>
      <w:r>
        <w:tab/>
      </w:r>
      <w:r w:rsidR="00F66473">
        <w:t>E</w:t>
      </w:r>
      <w:r>
        <w:t xml:space="preserve">nergetyczne zastosowania biomasy </w:t>
      </w:r>
      <w:r w:rsidR="00A60322">
        <w:t>p</w:t>
      </w:r>
      <w:r>
        <w:t xml:space="preserve">owinny dotyczyć wykorzystania materiałów </w:t>
      </w:r>
      <w:r w:rsidR="00395A8D">
        <w:t>resztkowych, odpadowych</w:t>
      </w:r>
      <w:r>
        <w:t xml:space="preserve">, materiałów </w:t>
      </w:r>
      <w:r w:rsidR="00C0697F">
        <w:t>o</w:t>
      </w:r>
      <w:r w:rsidR="00CC517B">
        <w:t> </w:t>
      </w:r>
      <w:r>
        <w:t>najniższej jakości, na które nie ma zapotrzebowania do zastosowań o</w:t>
      </w:r>
      <w:r w:rsidR="00CC517B">
        <w:t> </w:t>
      </w:r>
      <w:r>
        <w:t>wyższej wartości dodanej</w:t>
      </w:r>
      <w:r w:rsidR="00B567E5">
        <w:t>, a także nadwyżki ponad możliwości przerobu lokalnych zakładów</w:t>
      </w:r>
      <w:r w:rsidR="00A60322">
        <w:t xml:space="preserve"> przemysłu.</w:t>
      </w:r>
    </w:p>
    <w:p w14:paraId="30DD1874" w14:textId="225DF8BD" w:rsidR="00B74369" w:rsidRDefault="00601A3C" w:rsidP="00F223D6">
      <w:r>
        <w:t xml:space="preserve">Oszacowany </w:t>
      </w:r>
      <w:r w:rsidR="00465267">
        <w:t>p</w:t>
      </w:r>
      <w:r w:rsidR="00B74369">
        <w:t xml:space="preserve">otencjał biomasy stałej na cele energetyczne obejmuje następujące </w:t>
      </w:r>
      <w:r w:rsidR="00B74369" w:rsidRPr="00D54352">
        <w:rPr>
          <w:b/>
          <w:bCs/>
        </w:rPr>
        <w:t>główne</w:t>
      </w:r>
      <w:r w:rsidR="00B74369">
        <w:t xml:space="preserve"> </w:t>
      </w:r>
      <w:r w:rsidR="00E07493">
        <w:t xml:space="preserve">źródła </w:t>
      </w:r>
      <w:r w:rsidR="00B74369">
        <w:t>biomasy:</w:t>
      </w:r>
    </w:p>
    <w:p w14:paraId="2EB721AC" w14:textId="5F3EA96A" w:rsidR="00F223D6" w:rsidRDefault="00BA63D1" w:rsidP="00AE290D">
      <w:pPr>
        <w:ind w:left="426" w:hanging="284"/>
      </w:pPr>
      <w:r>
        <w:t>1</w:t>
      </w:r>
      <w:r w:rsidR="00F223D6">
        <w:t>)</w:t>
      </w:r>
      <w:r w:rsidR="00F223D6">
        <w:tab/>
      </w:r>
      <w:r w:rsidR="00F223D6" w:rsidRPr="00F269C9">
        <w:rPr>
          <w:b/>
          <w:bCs/>
        </w:rPr>
        <w:t>Biomasa leśna</w:t>
      </w:r>
      <w:r w:rsidR="00F223D6">
        <w:t xml:space="preserve">. </w:t>
      </w:r>
      <w:r w:rsidR="001906E8">
        <w:t>U</w:t>
      </w:r>
      <w:r w:rsidR="00C2612C">
        <w:t>względni</w:t>
      </w:r>
      <w:r w:rsidR="00465267">
        <w:t>ono</w:t>
      </w:r>
      <w:r w:rsidR="00C2612C">
        <w:t xml:space="preserve"> </w:t>
      </w:r>
      <w:r w:rsidR="008B5ECE">
        <w:t xml:space="preserve">drewno </w:t>
      </w:r>
      <w:r w:rsidR="00153C00">
        <w:t xml:space="preserve">pozyskiwane </w:t>
      </w:r>
      <w:r w:rsidR="008B5ECE">
        <w:t>z</w:t>
      </w:r>
      <w:r w:rsidR="0089448B">
        <w:t>:</w:t>
      </w:r>
      <w:r w:rsidR="008B5ECE">
        <w:t xml:space="preserve"> </w:t>
      </w:r>
      <w:r w:rsidR="0089448B">
        <w:t xml:space="preserve">lasów </w:t>
      </w:r>
      <w:r w:rsidR="00343126">
        <w:t>PGL</w:t>
      </w:r>
      <w:r w:rsidR="00153C00">
        <w:t xml:space="preserve"> </w:t>
      </w:r>
      <w:r w:rsidR="0089448B">
        <w:t>L</w:t>
      </w:r>
      <w:r w:rsidR="008B5ECE">
        <w:t>as</w:t>
      </w:r>
      <w:r w:rsidR="00343126">
        <w:t>y</w:t>
      </w:r>
      <w:r w:rsidR="008B5ECE">
        <w:t xml:space="preserve"> </w:t>
      </w:r>
      <w:r w:rsidR="0089448B">
        <w:t>Państwow</w:t>
      </w:r>
      <w:r w:rsidR="00343126">
        <w:t>e</w:t>
      </w:r>
      <w:r w:rsidR="0089448B">
        <w:t>, lasów prywatnych</w:t>
      </w:r>
      <w:r w:rsidR="00893781">
        <w:t>, gminnych</w:t>
      </w:r>
      <w:r w:rsidR="00916BC8">
        <w:t>, zadrzewień</w:t>
      </w:r>
      <w:r w:rsidR="0089448B">
        <w:t xml:space="preserve"> oraz tzw. lasów poza ewidencją. </w:t>
      </w:r>
      <w:r w:rsidR="00830FDA">
        <w:t>Dl</w:t>
      </w:r>
      <w:r w:rsidR="003B7659">
        <w:t xml:space="preserve">a 2023 </w:t>
      </w:r>
      <w:r w:rsidR="00A64D50">
        <w:t xml:space="preserve">r. </w:t>
      </w:r>
      <w:r w:rsidR="00F77E55">
        <w:t>wykorzystano</w:t>
      </w:r>
      <w:r w:rsidR="00A64D50">
        <w:t xml:space="preserve"> rzeczywiste </w:t>
      </w:r>
      <w:r w:rsidR="00830FDA">
        <w:t xml:space="preserve">dane o pozyskaniu </w:t>
      </w:r>
      <w:r w:rsidR="00A64D50">
        <w:t>drewna</w:t>
      </w:r>
      <w:r w:rsidR="00830FDA">
        <w:t xml:space="preserve"> z publikacji </w:t>
      </w:r>
      <w:r w:rsidR="007B32AC">
        <w:t>statystycznych</w:t>
      </w:r>
      <w:r w:rsidR="00B16184">
        <w:rPr>
          <w:rStyle w:val="Odwoanieprzypisudolnego"/>
        </w:rPr>
        <w:footnoteReference w:id="19"/>
      </w:r>
      <w:r w:rsidR="00830FDA">
        <w:t xml:space="preserve"> i </w:t>
      </w:r>
      <w:r w:rsidR="007B32AC">
        <w:t>raportów branżowych</w:t>
      </w:r>
      <w:r w:rsidR="00624444">
        <w:rPr>
          <w:rStyle w:val="Odwoanieprzypisudolnego"/>
        </w:rPr>
        <w:footnoteReference w:id="20"/>
      </w:r>
      <w:r w:rsidR="007B32AC">
        <w:t xml:space="preserve">. </w:t>
      </w:r>
      <w:r w:rsidR="00DC526B">
        <w:t>W</w:t>
      </w:r>
      <w:r w:rsidR="00F37199">
        <w:t xml:space="preserve"> prognozach </w:t>
      </w:r>
      <w:r w:rsidR="007B32AC">
        <w:t xml:space="preserve">dla </w:t>
      </w:r>
      <w:r w:rsidR="00EF7668">
        <w:t>scenariusza WAM</w:t>
      </w:r>
      <w:r w:rsidR="00DC526B">
        <w:t xml:space="preserve"> </w:t>
      </w:r>
      <w:r w:rsidR="007B32AC">
        <w:t xml:space="preserve">dla </w:t>
      </w:r>
      <w:r w:rsidR="00F128CB">
        <w:t>2030 r.</w:t>
      </w:r>
      <w:r w:rsidR="007B32AC">
        <w:t xml:space="preserve"> </w:t>
      </w:r>
      <w:r w:rsidR="00DC526B">
        <w:t>u</w:t>
      </w:r>
      <w:r w:rsidR="0089448B">
        <w:t>względni</w:t>
      </w:r>
      <w:r w:rsidR="00447483">
        <w:t>ono</w:t>
      </w:r>
      <w:r w:rsidR="0089448B">
        <w:t xml:space="preserve"> </w:t>
      </w:r>
      <w:r w:rsidR="003F0991">
        <w:t>modyfikację modelu gospodarki leśnej</w:t>
      </w:r>
      <w:r w:rsidR="00C2612C">
        <w:t xml:space="preserve"> w </w:t>
      </w:r>
      <w:r w:rsidR="00B62043">
        <w:t xml:space="preserve">PGL Lasy </w:t>
      </w:r>
      <w:r w:rsidR="00B1091E">
        <w:t>Państwowe</w:t>
      </w:r>
      <w:r w:rsidR="00C2612C">
        <w:t xml:space="preserve"> z uwagi na </w:t>
      </w:r>
      <w:r w:rsidR="00451D78">
        <w:t xml:space="preserve">wzmocnienie funkcji ochrony przyrody </w:t>
      </w:r>
      <w:r w:rsidR="00C700D9">
        <w:t xml:space="preserve">lub </w:t>
      </w:r>
      <w:r w:rsidR="00713AEB">
        <w:t xml:space="preserve">funkcji </w:t>
      </w:r>
      <w:r w:rsidR="00C700D9">
        <w:t>społecznych</w:t>
      </w:r>
      <w:r w:rsidR="00B62043">
        <w:t xml:space="preserve"> </w:t>
      </w:r>
      <w:r w:rsidR="007551BA">
        <w:t xml:space="preserve">lasów </w:t>
      </w:r>
      <w:r w:rsidR="00B62043">
        <w:t>(wynikających z Ogólnopolskiej Narady o Lasach)</w:t>
      </w:r>
      <w:r w:rsidR="0081081E">
        <w:t xml:space="preserve"> oraz </w:t>
      </w:r>
      <w:r w:rsidR="00C2612C">
        <w:t>realizacj</w:t>
      </w:r>
      <w:r w:rsidR="003B7659">
        <w:t>ę</w:t>
      </w:r>
      <w:r w:rsidR="00C2612C">
        <w:t xml:space="preserve"> celu LULUCF.</w:t>
      </w:r>
      <w:r w:rsidR="00F223D6">
        <w:t xml:space="preserve"> </w:t>
      </w:r>
      <w:r w:rsidR="00E674DA">
        <w:t>Jako potencjał zrównoważony na cele energetyczne u</w:t>
      </w:r>
      <w:r w:rsidR="00903BFD" w:rsidDel="0089448B">
        <w:t>względni</w:t>
      </w:r>
      <w:r w:rsidR="00B4225F">
        <w:t>ono</w:t>
      </w:r>
      <w:r w:rsidR="00903BFD" w:rsidDel="0089448B">
        <w:t xml:space="preserve"> </w:t>
      </w:r>
      <w:r w:rsidR="00903BFD">
        <w:t xml:space="preserve">jedynie </w:t>
      </w:r>
      <w:r w:rsidR="00F223D6" w:rsidDel="0089448B">
        <w:t xml:space="preserve">zasoby drewna </w:t>
      </w:r>
      <w:r w:rsidR="00213C01" w:rsidDel="0089448B">
        <w:t>o</w:t>
      </w:r>
      <w:r w:rsidR="00F21436">
        <w:t> </w:t>
      </w:r>
      <w:r w:rsidR="00110037" w:rsidDel="0089448B">
        <w:t xml:space="preserve">obniżonej wartości </w:t>
      </w:r>
      <w:r w:rsidR="00903BFD" w:rsidDel="0089448B">
        <w:t xml:space="preserve">techniczno-użytkowej. </w:t>
      </w:r>
      <w:r w:rsidR="00903BFD" w:rsidDel="00C47439">
        <w:t>Rozróżni</w:t>
      </w:r>
      <w:r w:rsidR="00903BFD" w:rsidDel="009D5268">
        <w:t>a</w:t>
      </w:r>
      <w:r w:rsidR="009D5268">
        <w:t xml:space="preserve"> </w:t>
      </w:r>
      <w:r w:rsidR="00903BFD" w:rsidDel="009D5268">
        <w:t xml:space="preserve">się </w:t>
      </w:r>
      <w:r w:rsidR="00903BFD" w:rsidDel="00CE77E2">
        <w:t xml:space="preserve">ilość </w:t>
      </w:r>
      <w:r w:rsidR="00903BFD" w:rsidDel="00C47439">
        <w:t>drewn</w:t>
      </w:r>
      <w:r w:rsidR="00903BFD" w:rsidDel="00CE77E2">
        <w:t>a</w:t>
      </w:r>
      <w:r w:rsidR="00903BFD">
        <w:t xml:space="preserve"> </w:t>
      </w:r>
      <w:r w:rsidR="00F223D6">
        <w:t>dostępne</w:t>
      </w:r>
      <w:r w:rsidR="00F223D6" w:rsidDel="007B32AC">
        <w:t>go</w:t>
      </w:r>
      <w:r w:rsidR="00F223D6">
        <w:t xml:space="preserve"> na cele </w:t>
      </w:r>
      <w:r w:rsidR="00F223D6" w:rsidDel="00592F78">
        <w:t xml:space="preserve">opałowe </w:t>
      </w:r>
      <w:r w:rsidR="00F223D6">
        <w:t>dla rozproszonych użytkowników (gospodarstw domowych</w:t>
      </w:r>
      <w:r w:rsidR="00F223D6" w:rsidDel="00B0331D">
        <w:t>,</w:t>
      </w:r>
      <w:r w:rsidR="00F223D6">
        <w:t xml:space="preserve"> rolnictwa) oraz </w:t>
      </w:r>
      <w:r w:rsidR="00F223D6" w:rsidDel="009D5268">
        <w:t xml:space="preserve">ilości </w:t>
      </w:r>
      <w:r w:rsidR="00F223D6" w:rsidDel="00C47439">
        <w:t>dostępn</w:t>
      </w:r>
      <w:r w:rsidR="00F223D6" w:rsidDel="0089021A">
        <w:t>e</w:t>
      </w:r>
      <w:r w:rsidR="00F223D6">
        <w:t xml:space="preserve"> dla przedsiębiorstw </w:t>
      </w:r>
      <w:r w:rsidR="00C75CFF">
        <w:t>energetycznych</w:t>
      </w:r>
      <w:r w:rsidR="00F223D6">
        <w:t>.</w:t>
      </w:r>
      <w:r w:rsidR="00AE0B6A">
        <w:t xml:space="preserve"> </w:t>
      </w:r>
      <w:r w:rsidR="002457C9">
        <w:t xml:space="preserve">W perspektywie 2030 r. </w:t>
      </w:r>
      <w:r w:rsidR="007B32AC">
        <w:t xml:space="preserve">w </w:t>
      </w:r>
      <w:r w:rsidR="00D329A0">
        <w:t>zakresie</w:t>
      </w:r>
      <w:r w:rsidR="00005822">
        <w:t xml:space="preserve"> drewna pozyskiwanego </w:t>
      </w:r>
      <w:r w:rsidR="00D329A0">
        <w:t xml:space="preserve">z </w:t>
      </w:r>
      <w:r w:rsidR="00005822">
        <w:t>las</w:t>
      </w:r>
      <w:r w:rsidR="00D329A0">
        <w:t xml:space="preserve">ów </w:t>
      </w:r>
      <w:r w:rsidR="00777510">
        <w:t xml:space="preserve">na potrzeby </w:t>
      </w:r>
      <w:r w:rsidR="00FC725E">
        <w:t>energetyki</w:t>
      </w:r>
      <w:r w:rsidR="00777510">
        <w:t xml:space="preserve"> </w:t>
      </w:r>
      <w:r w:rsidR="00F21436">
        <w:t xml:space="preserve">zawodowej </w:t>
      </w:r>
      <w:r w:rsidR="00C82751">
        <w:t>uwzględni</w:t>
      </w:r>
      <w:r w:rsidR="00FC725E">
        <w:t>ono</w:t>
      </w:r>
      <w:r w:rsidR="002457C9">
        <w:t xml:space="preserve"> </w:t>
      </w:r>
      <w:r w:rsidR="003F7AF3">
        <w:t>kryteria określone w</w:t>
      </w:r>
      <w:r w:rsidR="00A816B4">
        <w:t xml:space="preserve"> </w:t>
      </w:r>
      <w:r w:rsidR="00EE62E9">
        <w:t>rozporządzeni</w:t>
      </w:r>
      <w:r w:rsidR="003F7AF3">
        <w:t>u</w:t>
      </w:r>
      <w:r w:rsidR="00EE62E9">
        <w:t xml:space="preserve"> </w:t>
      </w:r>
      <w:r w:rsidR="00C75171">
        <w:t xml:space="preserve">Ministra Klimatu i Środowiska z 30 maja 2025 r. </w:t>
      </w:r>
      <w:r w:rsidR="00EE62E9" w:rsidRPr="002D1B08">
        <w:rPr>
          <w:i/>
          <w:iCs/>
        </w:rPr>
        <w:t>w sprawie szczegółowych cech jakościowo-wymiarowych drewna energetycznego</w:t>
      </w:r>
      <w:r w:rsidR="0089448B" w:rsidDel="00B4225F">
        <w:t>.</w:t>
      </w:r>
      <w:r w:rsidR="00466BC2">
        <w:t xml:space="preserve"> </w:t>
      </w:r>
    </w:p>
    <w:p w14:paraId="42939156" w14:textId="6FD1AB0A" w:rsidR="00F223D6" w:rsidRDefault="00BA63D1" w:rsidP="00AE290D">
      <w:pPr>
        <w:ind w:left="426" w:hanging="284"/>
      </w:pPr>
      <w:r>
        <w:t>2</w:t>
      </w:r>
      <w:r w:rsidR="00F223D6">
        <w:t>)</w:t>
      </w:r>
      <w:r w:rsidR="00F223D6">
        <w:tab/>
      </w:r>
      <w:r w:rsidR="00497021" w:rsidRPr="00497021">
        <w:rPr>
          <w:b/>
          <w:bCs/>
        </w:rPr>
        <w:t>P</w:t>
      </w:r>
      <w:r w:rsidR="00497021">
        <w:rPr>
          <w:b/>
          <w:bCs/>
        </w:rPr>
        <w:t xml:space="preserve">rodukty uboczne </w:t>
      </w:r>
      <w:r w:rsidR="00354CC0">
        <w:rPr>
          <w:b/>
          <w:bCs/>
        </w:rPr>
        <w:t>przerobu drewna</w:t>
      </w:r>
      <w:r w:rsidR="00F223D6">
        <w:t xml:space="preserve">. </w:t>
      </w:r>
      <w:r w:rsidR="00104A81">
        <w:t>Aby</w:t>
      </w:r>
      <w:r w:rsidR="00104A81" w:rsidRPr="00104A81">
        <w:t xml:space="preserve"> </w:t>
      </w:r>
      <w:r w:rsidR="00215DCE">
        <w:t>zaspokoić</w:t>
      </w:r>
      <w:r w:rsidR="00215DCE" w:rsidRPr="00104A81">
        <w:t xml:space="preserve"> </w:t>
      </w:r>
      <w:r w:rsidR="00104A81" w:rsidRPr="00104A81">
        <w:t>potrzeby krajowego przemysłu drzewnego</w:t>
      </w:r>
      <w:r w:rsidR="00215DCE">
        <w:t>,</w:t>
      </w:r>
      <w:r w:rsidR="00F00585">
        <w:t xml:space="preserve"> </w:t>
      </w:r>
      <w:r w:rsidR="000A2EB4">
        <w:t xml:space="preserve">na potrzeby szacunku potencjału biomasy </w:t>
      </w:r>
      <w:r w:rsidR="0071053B">
        <w:t>dla</w:t>
      </w:r>
      <w:r w:rsidR="00060D66">
        <w:t xml:space="preserve"> </w:t>
      </w:r>
      <w:r w:rsidR="003446B0">
        <w:t>scenariusz</w:t>
      </w:r>
      <w:r w:rsidR="0071053B">
        <w:t>a</w:t>
      </w:r>
      <w:r w:rsidR="00716162">
        <w:t xml:space="preserve"> WAM</w:t>
      </w:r>
      <w:r w:rsidR="00060D66">
        <w:t>,</w:t>
      </w:r>
      <w:r w:rsidR="00BE5BB3">
        <w:t xml:space="preserve"> dla </w:t>
      </w:r>
      <w:r w:rsidR="00F128CB">
        <w:t>2030 r.</w:t>
      </w:r>
      <w:r w:rsidR="00716162">
        <w:t xml:space="preserve"> </w:t>
      </w:r>
      <w:r w:rsidR="00E54427">
        <w:t xml:space="preserve">przyjęto </w:t>
      </w:r>
      <w:r w:rsidR="003446B0">
        <w:t xml:space="preserve">dodatkowo </w:t>
      </w:r>
      <w:r w:rsidR="00E54427">
        <w:t>założenie</w:t>
      </w:r>
      <w:r w:rsidR="00CF5832">
        <w:t xml:space="preserve"> o</w:t>
      </w:r>
      <w:r w:rsidR="005F08D8">
        <w:t xml:space="preserve"> </w:t>
      </w:r>
      <w:r w:rsidR="003B043B">
        <w:t xml:space="preserve">istotnym </w:t>
      </w:r>
      <w:r w:rsidR="00E743F9">
        <w:t>ograniczeniu</w:t>
      </w:r>
      <w:r w:rsidR="005F08D8">
        <w:t xml:space="preserve"> eksportu drewna</w:t>
      </w:r>
      <w:r w:rsidR="00E743F9">
        <w:t xml:space="preserve"> </w:t>
      </w:r>
      <w:r w:rsidR="003B043B">
        <w:t>okrągłego</w:t>
      </w:r>
      <w:r w:rsidR="00F00585">
        <w:t xml:space="preserve">. </w:t>
      </w:r>
      <w:r w:rsidR="002C421F">
        <w:t xml:space="preserve">Produkty uboczne przerobu drewna </w:t>
      </w:r>
      <w:r w:rsidR="005B38BF">
        <w:t>powstające w zakładach sektora drzewnego</w:t>
      </w:r>
      <w:r w:rsidR="002C421F">
        <w:t xml:space="preserve"> </w:t>
      </w:r>
      <w:r w:rsidR="006B3218">
        <w:t>(zrębki, trociny, itp.)</w:t>
      </w:r>
      <w:r w:rsidR="00777510">
        <w:t xml:space="preserve"> w</w:t>
      </w:r>
      <w:r w:rsidR="00C2054F">
        <w:t xml:space="preserve"> z</w:t>
      </w:r>
      <w:r w:rsidR="000E4E50">
        <w:t>nacz</w:t>
      </w:r>
      <w:r w:rsidR="007221A9">
        <w:t>ącej</w:t>
      </w:r>
      <w:r w:rsidR="000E4E50">
        <w:t xml:space="preserve"> </w:t>
      </w:r>
      <w:r w:rsidR="006067D7">
        <w:t>części</w:t>
      </w:r>
      <w:r w:rsidR="000E4E50">
        <w:t xml:space="preserve"> </w:t>
      </w:r>
      <w:r w:rsidR="007221A9">
        <w:t xml:space="preserve">są </w:t>
      </w:r>
      <w:r w:rsidR="002364E3">
        <w:t xml:space="preserve">obecnie </w:t>
      </w:r>
      <w:r w:rsidR="00AE73A7">
        <w:t xml:space="preserve">zagospodarowana </w:t>
      </w:r>
      <w:r w:rsidR="00F223D6">
        <w:t xml:space="preserve">przez </w:t>
      </w:r>
      <w:r w:rsidR="003553B2">
        <w:t xml:space="preserve">sam </w:t>
      </w:r>
      <w:r w:rsidR="00F223D6">
        <w:t>przemysł drzewny</w:t>
      </w:r>
      <w:r w:rsidR="00DB7464">
        <w:t xml:space="preserve"> (zarówno do celów materiałowych</w:t>
      </w:r>
      <w:r w:rsidR="005A7618">
        <w:t xml:space="preserve"> </w:t>
      </w:r>
      <w:r w:rsidR="002364E3">
        <w:t>–</w:t>
      </w:r>
      <w:r w:rsidR="005A7618">
        <w:t xml:space="preserve"> </w:t>
      </w:r>
      <w:r w:rsidR="002364E3">
        <w:t>głównie do</w:t>
      </w:r>
      <w:r w:rsidR="00DB7464">
        <w:t xml:space="preserve"> produkcj</w:t>
      </w:r>
      <w:r w:rsidR="002364E3">
        <w:t>i</w:t>
      </w:r>
      <w:r w:rsidR="00DB7464">
        <w:t xml:space="preserve"> płyt drewnopochodnych, jak i energetycznych, </w:t>
      </w:r>
      <w:r w:rsidR="00CD6E07">
        <w:t>np.</w:t>
      </w:r>
      <w:r w:rsidR="00DB7464">
        <w:t xml:space="preserve"> suszenie drewna)</w:t>
      </w:r>
      <w:r w:rsidR="00F223D6">
        <w:t>.</w:t>
      </w:r>
      <w:r w:rsidR="00F15789">
        <w:t xml:space="preserve"> </w:t>
      </w:r>
      <w:r w:rsidR="000E4E50">
        <w:t xml:space="preserve">Z tego względu </w:t>
      </w:r>
      <w:r w:rsidR="00AE73A7">
        <w:t xml:space="preserve">dla potrzeb </w:t>
      </w:r>
      <w:r w:rsidR="009C3384">
        <w:t xml:space="preserve">energetyki/ciepłownictwa </w:t>
      </w:r>
      <w:r w:rsidR="00C51867">
        <w:t>w potencjale zrównoważonym</w:t>
      </w:r>
      <w:r w:rsidR="009C3384">
        <w:t xml:space="preserve"> </w:t>
      </w:r>
      <w:r w:rsidR="00895143">
        <w:t>uwzględniono</w:t>
      </w:r>
      <w:r w:rsidR="009C3384">
        <w:t xml:space="preserve"> tylko nadwyżkę produktów </w:t>
      </w:r>
      <w:r w:rsidR="005A7618">
        <w:t>ubocznych</w:t>
      </w:r>
      <w:r w:rsidR="006B01F5">
        <w:t xml:space="preserve">, która </w:t>
      </w:r>
      <w:r w:rsidR="00A627B9">
        <w:t xml:space="preserve">wykracza </w:t>
      </w:r>
      <w:r w:rsidR="009C3384">
        <w:t>po</w:t>
      </w:r>
      <w:r w:rsidR="007B495F">
        <w:t xml:space="preserve">nad </w:t>
      </w:r>
      <w:r w:rsidR="00DE7B92">
        <w:t>potrzeby</w:t>
      </w:r>
      <w:r w:rsidR="007B495F">
        <w:t xml:space="preserve"> sektora drzewnego. </w:t>
      </w:r>
      <w:r w:rsidR="002F29B7">
        <w:t xml:space="preserve">Oszacowany </w:t>
      </w:r>
      <w:r w:rsidR="00FE0C4E">
        <w:t xml:space="preserve">potencjał </w:t>
      </w:r>
      <w:r w:rsidR="00C72155">
        <w:t>zrównoważony</w:t>
      </w:r>
      <w:r w:rsidR="00FE0C4E">
        <w:t xml:space="preserve"> </w:t>
      </w:r>
      <w:r w:rsidR="000E4E50">
        <w:t>produktów ubocz</w:t>
      </w:r>
      <w:r w:rsidR="00FE0C4E">
        <w:t>n</w:t>
      </w:r>
      <w:r w:rsidR="002A6AAC">
        <w:t xml:space="preserve">ych przerobu drewna </w:t>
      </w:r>
      <w:r w:rsidR="001C417C">
        <w:t xml:space="preserve">dostępny </w:t>
      </w:r>
      <w:r w:rsidR="002A6AAC">
        <w:t>na</w:t>
      </w:r>
      <w:r w:rsidR="00FE0C4E">
        <w:t xml:space="preserve"> cele energetyczne </w:t>
      </w:r>
      <w:r w:rsidR="002F4A3D">
        <w:t>od</w:t>
      </w:r>
      <w:r w:rsidR="00916C57">
        <w:t>ejmuje ł</w:t>
      </w:r>
      <w:r w:rsidR="00DE7B92">
        <w:t>ą</w:t>
      </w:r>
      <w:r w:rsidR="00916C57">
        <w:t>cznie</w:t>
      </w:r>
      <w:r w:rsidR="00A627B9">
        <w:t>: (i)</w:t>
      </w:r>
      <w:r w:rsidR="00DA70B8">
        <w:t xml:space="preserve"> </w:t>
      </w:r>
      <w:r w:rsidR="00C13545">
        <w:t xml:space="preserve">ilość </w:t>
      </w:r>
      <w:r w:rsidR="005F0C5C">
        <w:t xml:space="preserve">obecnie </w:t>
      </w:r>
      <w:r w:rsidR="00C13545">
        <w:t xml:space="preserve">zagospodarowaną </w:t>
      </w:r>
      <w:r w:rsidR="0063789C">
        <w:t>w przemyśle drzewnym</w:t>
      </w:r>
      <w:r w:rsidR="001C417C" w:rsidRPr="001C417C">
        <w:t xml:space="preserve"> </w:t>
      </w:r>
      <w:r w:rsidR="001C417C">
        <w:t xml:space="preserve">na cele energetyczne oraz </w:t>
      </w:r>
      <w:r w:rsidR="00A627B9">
        <w:t xml:space="preserve">(ii) </w:t>
      </w:r>
      <w:r w:rsidR="001C417C">
        <w:t xml:space="preserve">nadwyżkę </w:t>
      </w:r>
      <w:r w:rsidR="00A627B9">
        <w:t xml:space="preserve">potencjalnie do wykorzystania </w:t>
      </w:r>
      <w:r w:rsidR="001C417C">
        <w:t>dla energetyki</w:t>
      </w:r>
      <w:r w:rsidR="006B0CE7">
        <w:t>/ciepłownictwa</w:t>
      </w:r>
      <w:r w:rsidR="0063789C">
        <w:t>.</w:t>
      </w:r>
      <w:r w:rsidR="001479F4">
        <w:t xml:space="preserve"> </w:t>
      </w:r>
    </w:p>
    <w:p w14:paraId="67DE7B74" w14:textId="54E40AA6" w:rsidR="00AA1BA8" w:rsidRDefault="00BA63D1" w:rsidP="00AE290D">
      <w:pPr>
        <w:ind w:left="426" w:hanging="284"/>
      </w:pPr>
      <w:r>
        <w:t>3</w:t>
      </w:r>
      <w:r w:rsidR="00F223D6">
        <w:t>)</w:t>
      </w:r>
      <w:r w:rsidR="00F223D6">
        <w:tab/>
      </w:r>
      <w:r w:rsidR="00AA1BA8">
        <w:t xml:space="preserve">Biomasa </w:t>
      </w:r>
      <w:r w:rsidR="00577D3F">
        <w:t>pochodzenia rolniczego</w:t>
      </w:r>
      <w:r w:rsidR="00AA1BA8">
        <w:t>:</w:t>
      </w:r>
    </w:p>
    <w:p w14:paraId="09676588" w14:textId="599B8BBA" w:rsidR="00854D25" w:rsidRDefault="00202C9A" w:rsidP="00AA1BA8">
      <w:pPr>
        <w:pStyle w:val="Akapitzlist"/>
        <w:numPr>
          <w:ilvl w:val="0"/>
          <w:numId w:val="73"/>
        </w:numPr>
      </w:pPr>
      <w:r w:rsidRPr="007844CB">
        <w:rPr>
          <w:b/>
          <w:bCs/>
        </w:rPr>
        <w:t>Drewno z sadów</w:t>
      </w:r>
      <w:r>
        <w:t xml:space="preserve">. </w:t>
      </w:r>
      <w:r w:rsidR="00854D25">
        <w:t>Uwzględni</w:t>
      </w:r>
      <w:r w:rsidR="00020D1B">
        <w:t xml:space="preserve">ono </w:t>
      </w:r>
      <w:r w:rsidR="00854D25">
        <w:t xml:space="preserve">drewno z </w:t>
      </w:r>
      <w:r w:rsidR="00692B40">
        <w:t xml:space="preserve">cięć </w:t>
      </w:r>
      <w:r w:rsidR="00A627B9">
        <w:t>pielęgnacyjnych</w:t>
      </w:r>
      <w:r w:rsidR="00854D25">
        <w:t xml:space="preserve"> </w:t>
      </w:r>
      <w:r w:rsidR="006041C6">
        <w:t>sadów owocowych</w:t>
      </w:r>
      <w:r w:rsidR="00383D73">
        <w:t xml:space="preserve"> i</w:t>
      </w:r>
      <w:r w:rsidR="00F37199">
        <w:t> </w:t>
      </w:r>
      <w:r w:rsidR="00383D73">
        <w:t>odnowienia sadów</w:t>
      </w:r>
      <w:r w:rsidR="0093690F">
        <w:t>.</w:t>
      </w:r>
    </w:p>
    <w:p w14:paraId="323B7685" w14:textId="4756B929" w:rsidR="00F223D6" w:rsidRDefault="00F223D6" w:rsidP="00AA1BA8">
      <w:pPr>
        <w:pStyle w:val="Akapitzlist"/>
        <w:numPr>
          <w:ilvl w:val="0"/>
          <w:numId w:val="73"/>
        </w:numPr>
      </w:pPr>
      <w:r w:rsidRPr="00AE3D3D">
        <w:rPr>
          <w:b/>
          <w:bCs/>
        </w:rPr>
        <w:t>Nadwyżka słomy zbożowej</w:t>
      </w:r>
      <w:r>
        <w:t xml:space="preserve">. </w:t>
      </w:r>
      <w:r w:rsidR="00CF2292">
        <w:t xml:space="preserve">Na cele energetyczne </w:t>
      </w:r>
      <w:r w:rsidR="00383D73">
        <w:t xml:space="preserve">uwzględniono tylko </w:t>
      </w:r>
      <w:r>
        <w:t>nadwyżkow</w:t>
      </w:r>
      <w:r w:rsidR="00383D73">
        <w:t>ą</w:t>
      </w:r>
      <w:r>
        <w:t xml:space="preserve"> słom</w:t>
      </w:r>
      <w:r w:rsidR="00383D73">
        <w:t>ę zbożową</w:t>
      </w:r>
      <w:r>
        <w:t xml:space="preserve"> po </w:t>
      </w:r>
      <w:r w:rsidR="007A3AAE">
        <w:t xml:space="preserve">odjęciu </w:t>
      </w:r>
      <w:r>
        <w:t>potrzeb wynikających z produkcji rolniczej</w:t>
      </w:r>
      <w:r w:rsidR="0093690F">
        <w:t xml:space="preserve"> –</w:t>
      </w:r>
      <w:r w:rsidR="002872DE">
        <w:t xml:space="preserve"> zarówno </w:t>
      </w:r>
      <w:r>
        <w:t>zwierzęcej</w:t>
      </w:r>
      <w:r w:rsidR="002872DE">
        <w:t xml:space="preserve">, jak </w:t>
      </w:r>
      <w:r w:rsidR="0093690F">
        <w:t>i</w:t>
      </w:r>
      <w:r w:rsidR="00F37199">
        <w:t> </w:t>
      </w:r>
      <w:r>
        <w:t xml:space="preserve">bilansowania materii organicznej </w:t>
      </w:r>
      <w:r w:rsidR="002872DE">
        <w:t xml:space="preserve">w glebach (wymieszania słomy z glebą) oraz </w:t>
      </w:r>
      <w:r w:rsidR="00BA5995">
        <w:t xml:space="preserve">zwiększenia </w:t>
      </w:r>
      <w:r w:rsidR="002872DE">
        <w:t xml:space="preserve">poziomu </w:t>
      </w:r>
      <w:r w:rsidR="0069310E">
        <w:t>sekwestracji węgla w glebach</w:t>
      </w:r>
      <w:r w:rsidR="00387165">
        <w:t xml:space="preserve"> (sektor LULUCF)</w:t>
      </w:r>
      <w:r w:rsidR="00F34886">
        <w:t xml:space="preserve">, a także </w:t>
      </w:r>
      <w:r w:rsidR="00F42466">
        <w:t xml:space="preserve">po </w:t>
      </w:r>
      <w:r w:rsidR="00B7284D">
        <w:t>uwzględnieniu</w:t>
      </w:r>
      <w:r>
        <w:t xml:space="preserve"> innych kierunków jej wykorzystania materiałowego (np. produkcja podłoża do pieczarek</w:t>
      </w:r>
      <w:r w:rsidR="00E53BF2">
        <w:t>, komposty</w:t>
      </w:r>
      <w:r>
        <w:t>).</w:t>
      </w:r>
    </w:p>
    <w:p w14:paraId="658A496A" w14:textId="2580D23D" w:rsidR="00016E33" w:rsidRDefault="00F223D6" w:rsidP="00AA1BA8">
      <w:pPr>
        <w:pStyle w:val="Akapitzlist"/>
        <w:numPr>
          <w:ilvl w:val="0"/>
          <w:numId w:val="73"/>
        </w:numPr>
      </w:pPr>
      <w:r w:rsidRPr="00AE3D3D">
        <w:rPr>
          <w:b/>
          <w:bCs/>
        </w:rPr>
        <w:t>Uprawy energetyczne</w:t>
      </w:r>
      <w:r>
        <w:t xml:space="preserve"> (uprawy </w:t>
      </w:r>
      <w:r w:rsidR="00147AEE">
        <w:t xml:space="preserve">roślin </w:t>
      </w:r>
      <w:r>
        <w:t>wieloletni</w:t>
      </w:r>
      <w:r w:rsidR="00147AEE">
        <w:t>ch</w:t>
      </w:r>
      <w:r>
        <w:t xml:space="preserve"> o krótkiej rotacji). </w:t>
      </w:r>
      <w:r w:rsidR="00515749">
        <w:t xml:space="preserve">Uwzględnia </w:t>
      </w:r>
      <w:r w:rsidR="004F404B">
        <w:t xml:space="preserve">się </w:t>
      </w:r>
      <w:r w:rsidR="00515749">
        <w:t>założenie, że t</w:t>
      </w:r>
      <w:r>
        <w:t xml:space="preserve">ylko grunty o mniejszej przydatności rolniczej </w:t>
      </w:r>
      <w:r w:rsidR="00C773D8">
        <w:t>powinny</w:t>
      </w:r>
      <w:r>
        <w:t xml:space="preserve"> być przeznaczane pod uprawy energetyczne.</w:t>
      </w:r>
      <w:r w:rsidR="00AE3D3D">
        <w:t xml:space="preserve"> </w:t>
      </w:r>
      <w:r w:rsidR="004E036F">
        <w:t xml:space="preserve">Przyjęto ostrożne założenia dotyczące </w:t>
      </w:r>
      <w:r w:rsidR="00A02941">
        <w:t xml:space="preserve">rozwoju </w:t>
      </w:r>
      <w:r w:rsidR="004E036F">
        <w:t>areału</w:t>
      </w:r>
      <w:r w:rsidR="00A02941">
        <w:t xml:space="preserve"> plantacji</w:t>
      </w:r>
      <w:r w:rsidR="004E036F">
        <w:t xml:space="preserve"> i</w:t>
      </w:r>
      <w:r w:rsidR="005C3DDD">
        <w:t> </w:t>
      </w:r>
      <w:r w:rsidR="004E036F">
        <w:t xml:space="preserve">plonowania. </w:t>
      </w:r>
    </w:p>
    <w:p w14:paraId="22D26661" w14:textId="5117ADE4" w:rsidR="001321ED" w:rsidRDefault="001321ED" w:rsidP="00307A0B">
      <w:r>
        <w:t xml:space="preserve">Potencjał </w:t>
      </w:r>
      <w:r w:rsidR="000171EA">
        <w:t xml:space="preserve">zrównoważony </w:t>
      </w:r>
      <w:r w:rsidR="00292F14">
        <w:t xml:space="preserve">krajowej </w:t>
      </w:r>
      <w:r>
        <w:t>biomasy stałej</w:t>
      </w:r>
      <w:r w:rsidR="00292F14">
        <w:t xml:space="preserve"> </w:t>
      </w:r>
      <w:r>
        <w:t xml:space="preserve">oszacowany został </w:t>
      </w:r>
      <w:r w:rsidR="005A26CC">
        <w:t xml:space="preserve">obecnie </w:t>
      </w:r>
      <w:r>
        <w:t xml:space="preserve">na </w:t>
      </w:r>
      <w:r w:rsidR="00816818">
        <w:t xml:space="preserve">poziomie </w:t>
      </w:r>
      <w:r w:rsidR="00A55792" w:rsidRPr="00A55792">
        <w:rPr>
          <w:b/>
          <w:bCs/>
        </w:rPr>
        <w:t>293</w:t>
      </w:r>
      <w:r w:rsidR="005A3D8A" w:rsidRPr="0057742C">
        <w:rPr>
          <w:b/>
          <w:bCs/>
        </w:rPr>
        <w:t xml:space="preserve"> </w:t>
      </w:r>
      <w:r w:rsidR="00076034" w:rsidRPr="002F5084">
        <w:rPr>
          <w:b/>
        </w:rPr>
        <w:t>PJ</w:t>
      </w:r>
      <w:r w:rsidR="00BF6638">
        <w:t xml:space="preserve">. </w:t>
      </w:r>
      <w:r w:rsidR="004E6359">
        <w:t>Potencjał ten w znaczącej części jest zagospodarowany</w:t>
      </w:r>
      <w:r w:rsidR="00935E5A">
        <w:t>, zwłaszcza w odniesieniu do biomasy leśnej i</w:t>
      </w:r>
      <w:r w:rsidR="00816818">
        <w:t> </w:t>
      </w:r>
      <w:r w:rsidR="00935E5A">
        <w:t>ubocznych produktów przerobu drewna</w:t>
      </w:r>
      <w:r w:rsidR="00A3101A">
        <w:t xml:space="preserve"> (ogrzewnictwo indywidualne, </w:t>
      </w:r>
      <w:r w:rsidR="00DE3ECA">
        <w:t>energetyczne wykorzystanie drewna w</w:t>
      </w:r>
      <w:r w:rsidR="00120654">
        <w:t xml:space="preserve"> </w:t>
      </w:r>
      <w:r w:rsidR="00DE3ECA">
        <w:t xml:space="preserve">przemyśle drzewnym oraz </w:t>
      </w:r>
      <w:r w:rsidR="00D57FE5">
        <w:t xml:space="preserve">obecne </w:t>
      </w:r>
      <w:r w:rsidR="00CE3BED">
        <w:t>wykorzystanie biomasy w przedsiębiorstwach energetycznych)</w:t>
      </w:r>
      <w:r w:rsidR="004E6359">
        <w:t xml:space="preserve">. </w:t>
      </w:r>
      <w:r w:rsidR="00AD3483">
        <w:t xml:space="preserve">Do zagospodarowania pozostaje nadwyżka słomy. </w:t>
      </w:r>
      <w:r w:rsidR="00BF6638">
        <w:t>W</w:t>
      </w:r>
      <w:r w:rsidR="00C86BF0">
        <w:t> </w:t>
      </w:r>
      <w:r w:rsidR="00B67556">
        <w:t>kolejnych</w:t>
      </w:r>
      <w:r w:rsidR="00BF6638">
        <w:t xml:space="preserve"> latach </w:t>
      </w:r>
      <w:r w:rsidR="00BB0CC2">
        <w:t xml:space="preserve">potencjał </w:t>
      </w:r>
      <w:r w:rsidR="00391081">
        <w:t>zrównoważony</w:t>
      </w:r>
      <w:r w:rsidR="00BB0CC2">
        <w:t xml:space="preserve"> </w:t>
      </w:r>
      <w:r w:rsidR="00AB167F">
        <w:t xml:space="preserve">biomasy </w:t>
      </w:r>
      <w:r w:rsidR="00CE55BE">
        <w:t xml:space="preserve">ulegnie </w:t>
      </w:r>
      <w:r w:rsidR="00C92A59">
        <w:t xml:space="preserve">nieznacznemu </w:t>
      </w:r>
      <w:r w:rsidR="00CE55BE">
        <w:t>zmniejszeniu</w:t>
      </w:r>
      <w:r w:rsidR="00815413">
        <w:t>.</w:t>
      </w:r>
    </w:p>
    <w:p w14:paraId="5A1D84C0" w14:textId="705E64B7" w:rsidR="00F5646F" w:rsidRPr="00A7210E" w:rsidRDefault="00F5646F" w:rsidP="00F5646F">
      <w:pPr>
        <w:pStyle w:val="Legenda"/>
        <w:keepNext/>
      </w:pPr>
      <w:bookmarkStart w:id="415" w:name="_Toc202966991"/>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3</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w:t>
      </w:r>
      <w:r w:rsidR="00653D9A">
        <w:rPr>
          <w:noProof/>
        </w:rPr>
        <w:fldChar w:fldCharType="end"/>
      </w:r>
      <w:r>
        <w:t xml:space="preserve">. </w:t>
      </w:r>
      <w:r w:rsidR="002557B6">
        <w:t>Krajowy p</w:t>
      </w:r>
      <w:r w:rsidR="004F285B" w:rsidRPr="00A7210E">
        <w:t xml:space="preserve">otencjał </w:t>
      </w:r>
      <w:r w:rsidR="00B654BC">
        <w:t>z</w:t>
      </w:r>
      <w:r w:rsidR="00B654BC" w:rsidRPr="003E4F20">
        <w:t>równow</w:t>
      </w:r>
      <w:r w:rsidR="00B654BC" w:rsidRPr="00A7210E">
        <w:t xml:space="preserve">ażony </w:t>
      </w:r>
      <w:r w:rsidR="004F285B" w:rsidRPr="00A7210E">
        <w:t>biomasy</w:t>
      </w:r>
      <w:r w:rsidR="00B654BC">
        <w:t xml:space="preserve"> stałej</w:t>
      </w:r>
      <w:r w:rsidR="004F285B" w:rsidRPr="00A7210E">
        <w:t xml:space="preserve"> </w:t>
      </w:r>
      <w:r w:rsidR="00B5672A">
        <w:t xml:space="preserve">dla scenariusza WAM </w:t>
      </w:r>
      <w:r w:rsidR="00A7210E" w:rsidRPr="00A7210E">
        <w:t>[PJ/rok]</w:t>
      </w:r>
      <w:bookmarkEnd w:id="415"/>
    </w:p>
    <w:tbl>
      <w:tblPr>
        <w:tblW w:w="9067" w:type="dxa"/>
        <w:tblCellMar>
          <w:left w:w="70" w:type="dxa"/>
          <w:right w:w="70" w:type="dxa"/>
        </w:tblCellMar>
        <w:tblLook w:val="04A0" w:firstRow="1" w:lastRow="0" w:firstColumn="1" w:lastColumn="0" w:noHBand="0" w:noVBand="1"/>
      </w:tblPr>
      <w:tblGrid>
        <w:gridCol w:w="3397"/>
        <w:gridCol w:w="1985"/>
        <w:gridCol w:w="1984"/>
        <w:gridCol w:w="1701"/>
      </w:tblGrid>
      <w:tr w:rsidR="00F905A4" w:rsidRPr="00531B62" w14:paraId="1D57F67F" w14:textId="77777777" w:rsidTr="00B23928">
        <w:trPr>
          <w:trHeight w:val="290"/>
        </w:trPr>
        <w:tc>
          <w:tcPr>
            <w:tcW w:w="3397"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9AB5929" w14:textId="19B19776" w:rsidR="00531B62" w:rsidRPr="00EB1C22" w:rsidRDefault="00F905A4" w:rsidP="000A10EE">
            <w:pPr>
              <w:pStyle w:val="Tabele"/>
              <w:spacing w:after="0"/>
              <w:rPr>
                <w:b/>
                <w:color w:val="auto"/>
                <w:lang w:eastAsia="pl-PL"/>
              </w:rPr>
            </w:pPr>
            <w:r w:rsidRPr="00EB1C22">
              <w:rPr>
                <w:b/>
                <w:color w:val="auto"/>
                <w:lang w:eastAsia="pl-PL"/>
              </w:rPr>
              <w:t>Rodzaj biomasy</w:t>
            </w:r>
          </w:p>
        </w:tc>
        <w:tc>
          <w:tcPr>
            <w:tcW w:w="1985" w:type="dxa"/>
            <w:tcBorders>
              <w:top w:val="single" w:sz="4" w:space="0" w:color="auto"/>
              <w:left w:val="nil"/>
              <w:bottom w:val="single" w:sz="4" w:space="0" w:color="auto"/>
              <w:right w:val="single" w:sz="4" w:space="0" w:color="auto"/>
            </w:tcBorders>
            <w:shd w:val="clear" w:color="auto" w:fill="92D050"/>
            <w:vAlign w:val="center"/>
            <w:hideMark/>
          </w:tcPr>
          <w:p w14:paraId="7D884AF7" w14:textId="77777777" w:rsidR="00531B62" w:rsidRPr="00EB1C22" w:rsidRDefault="00531B62" w:rsidP="00F905A4">
            <w:pPr>
              <w:pStyle w:val="Tabele"/>
              <w:spacing w:after="0"/>
              <w:jc w:val="center"/>
              <w:rPr>
                <w:b/>
                <w:color w:val="auto"/>
                <w:lang w:eastAsia="pl-PL"/>
              </w:rPr>
            </w:pPr>
            <w:r w:rsidRPr="00EB1C22">
              <w:rPr>
                <w:b/>
                <w:color w:val="auto"/>
                <w:lang w:eastAsia="pl-PL"/>
              </w:rPr>
              <w:t>2023</w:t>
            </w:r>
          </w:p>
        </w:tc>
        <w:tc>
          <w:tcPr>
            <w:tcW w:w="1984" w:type="dxa"/>
            <w:tcBorders>
              <w:top w:val="single" w:sz="4" w:space="0" w:color="auto"/>
              <w:left w:val="nil"/>
              <w:bottom w:val="single" w:sz="4" w:space="0" w:color="auto"/>
              <w:right w:val="single" w:sz="4" w:space="0" w:color="auto"/>
            </w:tcBorders>
            <w:shd w:val="clear" w:color="auto" w:fill="92D050"/>
            <w:vAlign w:val="center"/>
            <w:hideMark/>
          </w:tcPr>
          <w:p w14:paraId="70B0D419" w14:textId="77777777" w:rsidR="00531B62" w:rsidRPr="00EB1C22" w:rsidRDefault="00531B62" w:rsidP="00F905A4">
            <w:pPr>
              <w:pStyle w:val="Tabele"/>
              <w:spacing w:after="0"/>
              <w:jc w:val="center"/>
              <w:rPr>
                <w:b/>
                <w:color w:val="auto"/>
                <w:lang w:eastAsia="pl-PL"/>
              </w:rPr>
            </w:pPr>
            <w:r w:rsidRPr="00EB1C22">
              <w:rPr>
                <w:b/>
                <w:color w:val="auto"/>
                <w:lang w:eastAsia="pl-PL"/>
              </w:rPr>
              <w:t>2030</w:t>
            </w:r>
          </w:p>
        </w:tc>
        <w:tc>
          <w:tcPr>
            <w:tcW w:w="1701" w:type="dxa"/>
            <w:tcBorders>
              <w:top w:val="single" w:sz="4" w:space="0" w:color="auto"/>
              <w:left w:val="nil"/>
              <w:bottom w:val="single" w:sz="4" w:space="0" w:color="auto"/>
              <w:right w:val="single" w:sz="4" w:space="0" w:color="auto"/>
            </w:tcBorders>
            <w:shd w:val="clear" w:color="auto" w:fill="92D050"/>
            <w:vAlign w:val="center"/>
            <w:hideMark/>
          </w:tcPr>
          <w:p w14:paraId="4AC5B25A" w14:textId="77777777" w:rsidR="00531B62" w:rsidRPr="00EB1C22" w:rsidRDefault="00531B62" w:rsidP="00F905A4">
            <w:pPr>
              <w:pStyle w:val="Tabele"/>
              <w:spacing w:after="0"/>
              <w:jc w:val="center"/>
              <w:rPr>
                <w:b/>
                <w:color w:val="auto"/>
                <w:lang w:eastAsia="pl-PL"/>
              </w:rPr>
            </w:pPr>
            <w:r w:rsidRPr="00EB1C22">
              <w:rPr>
                <w:b/>
                <w:color w:val="auto"/>
                <w:lang w:eastAsia="pl-PL"/>
              </w:rPr>
              <w:t>2040</w:t>
            </w:r>
          </w:p>
        </w:tc>
      </w:tr>
      <w:tr w:rsidR="00E579E3" w:rsidRPr="00571035" w14:paraId="68D00A5F" w14:textId="77777777" w:rsidTr="000A10EE">
        <w:trPr>
          <w:trHeight w:val="290"/>
        </w:trPr>
        <w:tc>
          <w:tcPr>
            <w:tcW w:w="3397" w:type="dxa"/>
            <w:tcBorders>
              <w:top w:val="nil"/>
              <w:left w:val="single" w:sz="4" w:space="0" w:color="auto"/>
              <w:bottom w:val="single" w:sz="4" w:space="0" w:color="auto"/>
              <w:right w:val="single" w:sz="4" w:space="0" w:color="auto"/>
            </w:tcBorders>
            <w:vAlign w:val="center"/>
            <w:hideMark/>
          </w:tcPr>
          <w:p w14:paraId="52982AC5" w14:textId="77777777" w:rsidR="00E579E3" w:rsidRPr="000A10EE" w:rsidRDefault="00E579E3" w:rsidP="000A10EE">
            <w:pPr>
              <w:pStyle w:val="Tabele"/>
              <w:spacing w:after="0"/>
              <w:rPr>
                <w:bCs/>
                <w:color w:val="000000"/>
                <w:lang w:eastAsia="pl-PL"/>
              </w:rPr>
            </w:pPr>
            <w:r w:rsidRPr="000A10EE">
              <w:rPr>
                <w:bCs/>
                <w:color w:val="000000"/>
                <w:lang w:eastAsia="pl-PL"/>
              </w:rPr>
              <w:t>Biomasa leśna</w:t>
            </w:r>
          </w:p>
        </w:tc>
        <w:tc>
          <w:tcPr>
            <w:tcW w:w="1985" w:type="dxa"/>
            <w:tcBorders>
              <w:top w:val="nil"/>
              <w:left w:val="nil"/>
              <w:bottom w:val="single" w:sz="4" w:space="0" w:color="auto"/>
              <w:right w:val="single" w:sz="4" w:space="0" w:color="auto"/>
            </w:tcBorders>
            <w:noWrap/>
            <w:vAlign w:val="center"/>
            <w:hideMark/>
          </w:tcPr>
          <w:p w14:paraId="32ADB018" w14:textId="32E05841" w:rsidR="00E579E3" w:rsidRPr="00E579E3" w:rsidRDefault="00E579E3" w:rsidP="00D22B3A">
            <w:pPr>
              <w:pStyle w:val="Tabele"/>
              <w:spacing w:after="0"/>
              <w:jc w:val="center"/>
              <w:rPr>
                <w:b/>
                <w:bCs/>
                <w:color w:val="auto"/>
                <w:lang w:eastAsia="pl-PL"/>
              </w:rPr>
            </w:pPr>
            <w:r w:rsidRPr="00E579E3">
              <w:rPr>
                <w:color w:val="auto"/>
              </w:rPr>
              <w:t>139</w:t>
            </w:r>
          </w:p>
        </w:tc>
        <w:tc>
          <w:tcPr>
            <w:tcW w:w="1984" w:type="dxa"/>
            <w:tcBorders>
              <w:top w:val="nil"/>
              <w:left w:val="nil"/>
              <w:bottom w:val="single" w:sz="4" w:space="0" w:color="auto"/>
              <w:right w:val="single" w:sz="4" w:space="0" w:color="auto"/>
            </w:tcBorders>
            <w:noWrap/>
            <w:vAlign w:val="center"/>
            <w:hideMark/>
          </w:tcPr>
          <w:p w14:paraId="4C494B1B" w14:textId="63A68D94" w:rsidR="00E579E3" w:rsidRPr="00E579E3" w:rsidRDefault="001628D5" w:rsidP="00D22B3A">
            <w:pPr>
              <w:pStyle w:val="Tabele"/>
              <w:spacing w:after="0"/>
              <w:jc w:val="center"/>
              <w:rPr>
                <w:b/>
                <w:bCs/>
                <w:color w:val="auto"/>
                <w:lang w:eastAsia="pl-PL"/>
              </w:rPr>
            </w:pPr>
            <w:r>
              <w:rPr>
                <w:color w:val="auto"/>
              </w:rPr>
              <w:t>1</w:t>
            </w:r>
            <w:r w:rsidR="005A09F4">
              <w:rPr>
                <w:color w:val="auto"/>
              </w:rPr>
              <w:t>17</w:t>
            </w:r>
          </w:p>
        </w:tc>
        <w:tc>
          <w:tcPr>
            <w:tcW w:w="1701" w:type="dxa"/>
            <w:tcBorders>
              <w:top w:val="nil"/>
              <w:left w:val="nil"/>
              <w:bottom w:val="single" w:sz="4" w:space="0" w:color="auto"/>
              <w:right w:val="single" w:sz="4" w:space="0" w:color="auto"/>
            </w:tcBorders>
            <w:noWrap/>
            <w:vAlign w:val="center"/>
            <w:hideMark/>
          </w:tcPr>
          <w:p w14:paraId="32D3221A" w14:textId="07924A0D" w:rsidR="00E579E3" w:rsidRPr="00E579E3" w:rsidRDefault="004A2F90" w:rsidP="00D22B3A">
            <w:pPr>
              <w:pStyle w:val="Tabele"/>
              <w:spacing w:after="0"/>
              <w:jc w:val="center"/>
              <w:rPr>
                <w:b/>
                <w:bCs/>
                <w:color w:val="auto"/>
                <w:lang w:eastAsia="pl-PL"/>
              </w:rPr>
            </w:pPr>
            <w:r>
              <w:rPr>
                <w:color w:val="auto"/>
              </w:rPr>
              <w:t>1</w:t>
            </w:r>
            <w:r w:rsidR="005A09F4">
              <w:rPr>
                <w:color w:val="auto"/>
              </w:rPr>
              <w:t>17</w:t>
            </w:r>
          </w:p>
        </w:tc>
      </w:tr>
      <w:tr w:rsidR="00E579E3" w:rsidRPr="00571035" w14:paraId="29B4F735" w14:textId="77777777" w:rsidTr="000A10EE">
        <w:trPr>
          <w:trHeight w:val="290"/>
        </w:trPr>
        <w:tc>
          <w:tcPr>
            <w:tcW w:w="3397" w:type="dxa"/>
            <w:tcBorders>
              <w:top w:val="nil"/>
              <w:left w:val="single" w:sz="4" w:space="0" w:color="auto"/>
              <w:bottom w:val="single" w:sz="4" w:space="0" w:color="auto"/>
              <w:right w:val="single" w:sz="4" w:space="0" w:color="auto"/>
            </w:tcBorders>
            <w:vAlign w:val="center"/>
            <w:hideMark/>
          </w:tcPr>
          <w:p w14:paraId="102AD0EE" w14:textId="1476ED2E" w:rsidR="00E579E3" w:rsidRPr="000A10EE" w:rsidRDefault="00E579E3" w:rsidP="000A10EE">
            <w:pPr>
              <w:pStyle w:val="Tabele"/>
              <w:spacing w:after="0"/>
              <w:rPr>
                <w:bCs/>
                <w:color w:val="000000"/>
                <w:lang w:eastAsia="pl-PL"/>
              </w:rPr>
            </w:pPr>
            <w:r w:rsidRPr="000A10EE">
              <w:rPr>
                <w:bCs/>
                <w:color w:val="000000"/>
                <w:lang w:eastAsia="pl-PL"/>
              </w:rPr>
              <w:t>Produkty uboczne przerobu drewna</w:t>
            </w:r>
          </w:p>
        </w:tc>
        <w:tc>
          <w:tcPr>
            <w:tcW w:w="1985" w:type="dxa"/>
            <w:tcBorders>
              <w:top w:val="nil"/>
              <w:left w:val="nil"/>
              <w:bottom w:val="single" w:sz="4" w:space="0" w:color="auto"/>
              <w:right w:val="single" w:sz="4" w:space="0" w:color="auto"/>
            </w:tcBorders>
            <w:noWrap/>
            <w:vAlign w:val="center"/>
            <w:hideMark/>
          </w:tcPr>
          <w:p w14:paraId="559DFBF3" w14:textId="122F7BB0" w:rsidR="00E579E3" w:rsidRPr="00E579E3" w:rsidRDefault="00E579E3" w:rsidP="00D22B3A">
            <w:pPr>
              <w:pStyle w:val="Tabele"/>
              <w:spacing w:after="0"/>
              <w:jc w:val="center"/>
              <w:rPr>
                <w:b/>
                <w:bCs/>
                <w:color w:val="auto"/>
                <w:lang w:eastAsia="pl-PL"/>
              </w:rPr>
            </w:pPr>
            <w:r w:rsidRPr="00E579E3">
              <w:rPr>
                <w:color w:val="auto"/>
              </w:rPr>
              <w:t>91</w:t>
            </w:r>
          </w:p>
        </w:tc>
        <w:tc>
          <w:tcPr>
            <w:tcW w:w="1984" w:type="dxa"/>
            <w:tcBorders>
              <w:top w:val="nil"/>
              <w:left w:val="nil"/>
              <w:bottom w:val="single" w:sz="4" w:space="0" w:color="auto"/>
              <w:right w:val="single" w:sz="4" w:space="0" w:color="auto"/>
            </w:tcBorders>
            <w:noWrap/>
            <w:vAlign w:val="center"/>
            <w:hideMark/>
          </w:tcPr>
          <w:p w14:paraId="28D769AD" w14:textId="42A8D3CC" w:rsidR="00E579E3" w:rsidRPr="00E579E3" w:rsidRDefault="005B65CD" w:rsidP="00D22B3A">
            <w:pPr>
              <w:pStyle w:val="Tabele"/>
              <w:spacing w:after="0"/>
              <w:jc w:val="center"/>
              <w:rPr>
                <w:b/>
                <w:bCs/>
                <w:color w:val="auto"/>
                <w:lang w:eastAsia="pl-PL"/>
              </w:rPr>
            </w:pPr>
            <w:r>
              <w:rPr>
                <w:color w:val="auto"/>
              </w:rPr>
              <w:t>8</w:t>
            </w:r>
            <w:r w:rsidR="0042346E">
              <w:rPr>
                <w:color w:val="auto"/>
              </w:rPr>
              <w:t>9</w:t>
            </w:r>
          </w:p>
        </w:tc>
        <w:tc>
          <w:tcPr>
            <w:tcW w:w="1701" w:type="dxa"/>
            <w:tcBorders>
              <w:top w:val="nil"/>
              <w:left w:val="nil"/>
              <w:bottom w:val="single" w:sz="4" w:space="0" w:color="auto"/>
              <w:right w:val="single" w:sz="4" w:space="0" w:color="auto"/>
            </w:tcBorders>
            <w:noWrap/>
            <w:vAlign w:val="center"/>
            <w:hideMark/>
          </w:tcPr>
          <w:p w14:paraId="6AFDE7DD" w14:textId="61D2102D" w:rsidR="00E579E3" w:rsidRPr="00E579E3" w:rsidRDefault="005B65CD" w:rsidP="00D22B3A">
            <w:pPr>
              <w:pStyle w:val="Tabele"/>
              <w:spacing w:after="0"/>
              <w:jc w:val="center"/>
              <w:rPr>
                <w:b/>
                <w:bCs/>
                <w:color w:val="auto"/>
                <w:lang w:eastAsia="pl-PL"/>
              </w:rPr>
            </w:pPr>
            <w:r>
              <w:rPr>
                <w:color w:val="auto"/>
              </w:rPr>
              <w:t>8</w:t>
            </w:r>
            <w:r w:rsidR="00F019C5">
              <w:rPr>
                <w:color w:val="auto"/>
              </w:rPr>
              <w:t>5</w:t>
            </w:r>
          </w:p>
        </w:tc>
      </w:tr>
      <w:tr w:rsidR="00E579E3" w:rsidRPr="00571035" w14:paraId="220C9BED" w14:textId="77777777" w:rsidTr="000A10EE">
        <w:trPr>
          <w:trHeight w:val="290"/>
        </w:trPr>
        <w:tc>
          <w:tcPr>
            <w:tcW w:w="3397" w:type="dxa"/>
            <w:tcBorders>
              <w:top w:val="nil"/>
              <w:left w:val="single" w:sz="4" w:space="0" w:color="auto"/>
              <w:bottom w:val="single" w:sz="4" w:space="0" w:color="auto"/>
              <w:right w:val="single" w:sz="4" w:space="0" w:color="auto"/>
            </w:tcBorders>
            <w:vAlign w:val="center"/>
            <w:hideMark/>
          </w:tcPr>
          <w:p w14:paraId="1E7C71B7" w14:textId="3175C006" w:rsidR="00E579E3" w:rsidRPr="000A10EE" w:rsidRDefault="00E579E3" w:rsidP="000A10EE">
            <w:pPr>
              <w:pStyle w:val="Tabele"/>
              <w:spacing w:after="0"/>
              <w:rPr>
                <w:bCs/>
                <w:color w:val="000000"/>
                <w:lang w:eastAsia="pl-PL"/>
              </w:rPr>
            </w:pPr>
            <w:r w:rsidRPr="000A10EE">
              <w:rPr>
                <w:color w:val="000000"/>
                <w:lang w:eastAsia="pl-PL"/>
              </w:rPr>
              <w:t xml:space="preserve">Biomasa </w:t>
            </w:r>
            <w:r w:rsidR="00EE60D9">
              <w:rPr>
                <w:color w:val="000000"/>
                <w:lang w:eastAsia="pl-PL"/>
              </w:rPr>
              <w:t>pochodzenia rolniczego</w:t>
            </w:r>
          </w:p>
        </w:tc>
        <w:tc>
          <w:tcPr>
            <w:tcW w:w="1985" w:type="dxa"/>
            <w:tcBorders>
              <w:top w:val="nil"/>
              <w:left w:val="nil"/>
              <w:bottom w:val="single" w:sz="4" w:space="0" w:color="auto"/>
              <w:right w:val="single" w:sz="4" w:space="0" w:color="auto"/>
            </w:tcBorders>
            <w:noWrap/>
            <w:vAlign w:val="center"/>
            <w:hideMark/>
          </w:tcPr>
          <w:p w14:paraId="27233B92" w14:textId="0D547682" w:rsidR="00E579E3" w:rsidRPr="00E579E3" w:rsidRDefault="002001CD" w:rsidP="00D22B3A">
            <w:pPr>
              <w:pStyle w:val="Tabele"/>
              <w:spacing w:after="0"/>
              <w:jc w:val="center"/>
              <w:rPr>
                <w:b/>
                <w:bCs/>
                <w:color w:val="auto"/>
                <w:lang w:eastAsia="pl-PL"/>
              </w:rPr>
            </w:pPr>
            <w:r>
              <w:rPr>
                <w:color w:val="auto"/>
              </w:rPr>
              <w:t>63</w:t>
            </w:r>
          </w:p>
        </w:tc>
        <w:tc>
          <w:tcPr>
            <w:tcW w:w="1984" w:type="dxa"/>
            <w:tcBorders>
              <w:top w:val="nil"/>
              <w:left w:val="nil"/>
              <w:bottom w:val="single" w:sz="4" w:space="0" w:color="auto"/>
              <w:right w:val="single" w:sz="4" w:space="0" w:color="auto"/>
            </w:tcBorders>
            <w:noWrap/>
            <w:vAlign w:val="center"/>
            <w:hideMark/>
          </w:tcPr>
          <w:p w14:paraId="0DB10B76" w14:textId="7C5301E9" w:rsidR="00E579E3" w:rsidRPr="00E579E3" w:rsidRDefault="002001CD" w:rsidP="00D22B3A">
            <w:pPr>
              <w:pStyle w:val="Tabele"/>
              <w:spacing w:after="0"/>
              <w:jc w:val="center"/>
              <w:rPr>
                <w:b/>
                <w:bCs/>
                <w:color w:val="auto"/>
                <w:lang w:eastAsia="pl-PL"/>
              </w:rPr>
            </w:pPr>
            <w:r>
              <w:rPr>
                <w:color w:val="auto"/>
              </w:rPr>
              <w:t>71</w:t>
            </w:r>
          </w:p>
        </w:tc>
        <w:tc>
          <w:tcPr>
            <w:tcW w:w="1701" w:type="dxa"/>
            <w:tcBorders>
              <w:top w:val="nil"/>
              <w:left w:val="nil"/>
              <w:bottom w:val="single" w:sz="4" w:space="0" w:color="auto"/>
              <w:right w:val="single" w:sz="4" w:space="0" w:color="auto"/>
            </w:tcBorders>
            <w:noWrap/>
            <w:vAlign w:val="center"/>
            <w:hideMark/>
          </w:tcPr>
          <w:p w14:paraId="5C1162EA" w14:textId="177D39B0" w:rsidR="00E579E3" w:rsidRPr="00E579E3" w:rsidRDefault="00D14FF3" w:rsidP="00D22B3A">
            <w:pPr>
              <w:pStyle w:val="Tabele"/>
              <w:spacing w:after="0"/>
              <w:jc w:val="center"/>
              <w:rPr>
                <w:b/>
                <w:bCs/>
                <w:color w:val="auto"/>
                <w:lang w:eastAsia="pl-PL"/>
              </w:rPr>
            </w:pPr>
            <w:r>
              <w:rPr>
                <w:color w:val="auto"/>
              </w:rPr>
              <w:t>77</w:t>
            </w:r>
          </w:p>
        </w:tc>
      </w:tr>
      <w:tr w:rsidR="00E579E3" w:rsidRPr="00571035" w14:paraId="1408CD29" w14:textId="77777777" w:rsidTr="00CD2079">
        <w:trPr>
          <w:trHeight w:val="290"/>
        </w:trPr>
        <w:tc>
          <w:tcPr>
            <w:tcW w:w="3397" w:type="dxa"/>
            <w:tcBorders>
              <w:top w:val="nil"/>
              <w:left w:val="single" w:sz="4" w:space="0" w:color="auto"/>
              <w:bottom w:val="single" w:sz="4" w:space="0" w:color="auto"/>
              <w:right w:val="single" w:sz="4" w:space="0" w:color="auto"/>
            </w:tcBorders>
            <w:shd w:val="clear" w:color="auto" w:fill="92D050"/>
            <w:noWrap/>
            <w:vAlign w:val="center"/>
            <w:hideMark/>
          </w:tcPr>
          <w:p w14:paraId="58C6A2AC" w14:textId="77777777" w:rsidR="00E579E3" w:rsidRPr="000A10EE" w:rsidRDefault="00E579E3" w:rsidP="000A10EE">
            <w:pPr>
              <w:pStyle w:val="Tabele"/>
              <w:spacing w:after="0"/>
              <w:rPr>
                <w:b/>
                <w:bCs/>
                <w:color w:val="000000"/>
                <w:lang w:eastAsia="pl-PL"/>
              </w:rPr>
            </w:pPr>
            <w:r w:rsidRPr="000A10EE">
              <w:rPr>
                <w:b/>
                <w:bCs/>
                <w:color w:val="000000"/>
                <w:lang w:eastAsia="pl-PL"/>
              </w:rPr>
              <w:t>Razem</w:t>
            </w:r>
          </w:p>
        </w:tc>
        <w:tc>
          <w:tcPr>
            <w:tcW w:w="1985" w:type="dxa"/>
            <w:tcBorders>
              <w:top w:val="nil"/>
              <w:left w:val="nil"/>
              <w:bottom w:val="single" w:sz="4" w:space="0" w:color="auto"/>
              <w:right w:val="single" w:sz="4" w:space="0" w:color="auto"/>
            </w:tcBorders>
            <w:shd w:val="clear" w:color="auto" w:fill="92D050"/>
            <w:noWrap/>
            <w:hideMark/>
          </w:tcPr>
          <w:p w14:paraId="575B7693" w14:textId="3A1ADA19" w:rsidR="00E579E3" w:rsidRPr="000A10EE" w:rsidRDefault="004F12B8" w:rsidP="00D22B3A">
            <w:pPr>
              <w:pStyle w:val="Tabele"/>
              <w:spacing w:after="0"/>
              <w:jc w:val="center"/>
              <w:rPr>
                <w:b/>
                <w:bCs/>
                <w:color w:val="auto"/>
                <w:lang w:eastAsia="pl-PL"/>
              </w:rPr>
            </w:pPr>
            <w:r w:rsidRPr="004F12B8">
              <w:rPr>
                <w:b/>
                <w:bCs/>
                <w:color w:val="auto"/>
              </w:rPr>
              <w:t>293</w:t>
            </w:r>
            <w:r w:rsidR="005A3D8A" w:rsidRPr="004F12B8">
              <w:rPr>
                <w:b/>
                <w:color w:val="auto"/>
              </w:rPr>
              <w:t xml:space="preserve"> </w:t>
            </w:r>
          </w:p>
        </w:tc>
        <w:tc>
          <w:tcPr>
            <w:tcW w:w="1984" w:type="dxa"/>
            <w:tcBorders>
              <w:top w:val="nil"/>
              <w:left w:val="nil"/>
              <w:bottom w:val="single" w:sz="4" w:space="0" w:color="auto"/>
              <w:right w:val="single" w:sz="4" w:space="0" w:color="auto"/>
            </w:tcBorders>
            <w:shd w:val="clear" w:color="auto" w:fill="92D050"/>
            <w:noWrap/>
            <w:hideMark/>
          </w:tcPr>
          <w:p w14:paraId="6AE0DA4A" w14:textId="16FDE587" w:rsidR="00E579E3" w:rsidRPr="000A10EE" w:rsidRDefault="004F12B8" w:rsidP="00D22B3A">
            <w:pPr>
              <w:pStyle w:val="Tabele"/>
              <w:spacing w:after="0"/>
              <w:jc w:val="center"/>
              <w:rPr>
                <w:b/>
                <w:bCs/>
                <w:color w:val="auto"/>
                <w:lang w:eastAsia="pl-PL"/>
              </w:rPr>
            </w:pPr>
            <w:r w:rsidRPr="004F12B8">
              <w:rPr>
                <w:b/>
                <w:bCs/>
                <w:color w:val="auto"/>
              </w:rPr>
              <w:t>277</w:t>
            </w:r>
            <w:r w:rsidR="005A3D8A" w:rsidRPr="004F12B8">
              <w:rPr>
                <w:b/>
                <w:color w:val="auto"/>
              </w:rPr>
              <w:t xml:space="preserve"> </w:t>
            </w:r>
          </w:p>
        </w:tc>
        <w:tc>
          <w:tcPr>
            <w:tcW w:w="1701" w:type="dxa"/>
            <w:tcBorders>
              <w:top w:val="nil"/>
              <w:left w:val="nil"/>
              <w:bottom w:val="single" w:sz="4" w:space="0" w:color="auto"/>
              <w:right w:val="single" w:sz="4" w:space="0" w:color="auto"/>
            </w:tcBorders>
            <w:shd w:val="clear" w:color="auto" w:fill="92D050"/>
            <w:noWrap/>
            <w:hideMark/>
          </w:tcPr>
          <w:p w14:paraId="4F233082" w14:textId="2979DF0D" w:rsidR="00E579E3" w:rsidRPr="000A10EE" w:rsidRDefault="004F12B8" w:rsidP="00D22B3A">
            <w:pPr>
              <w:pStyle w:val="Tabele"/>
              <w:spacing w:after="0"/>
              <w:jc w:val="center"/>
              <w:rPr>
                <w:b/>
                <w:bCs/>
                <w:color w:val="auto"/>
                <w:lang w:eastAsia="pl-PL"/>
              </w:rPr>
            </w:pPr>
            <w:r w:rsidRPr="004F12B8">
              <w:rPr>
                <w:b/>
                <w:bCs/>
                <w:color w:val="auto"/>
              </w:rPr>
              <w:t>279</w:t>
            </w:r>
            <w:r w:rsidR="005A3D8A" w:rsidRPr="004F12B8">
              <w:rPr>
                <w:b/>
                <w:color w:val="auto"/>
              </w:rPr>
              <w:t xml:space="preserve"> </w:t>
            </w:r>
          </w:p>
        </w:tc>
      </w:tr>
    </w:tbl>
    <w:p w14:paraId="22923E6C" w14:textId="3FAD559B" w:rsidR="00996C67" w:rsidRPr="00571035" w:rsidRDefault="00D03F38" w:rsidP="00D22B3A">
      <w:pPr>
        <w:pStyle w:val="Legenda"/>
        <w:spacing w:before="120"/>
        <w:rPr>
          <w:b/>
          <w:color w:val="000000"/>
          <w:lang w:eastAsia="pl-PL"/>
        </w:rPr>
      </w:pPr>
      <w:r w:rsidRPr="00D03F38">
        <w:t>Źródło: MKiŚ, 2025</w:t>
      </w:r>
      <w:r w:rsidR="00B056B1">
        <w:rPr>
          <w:rStyle w:val="Odwoanieprzypisudolnego"/>
          <w:iCs w:val="0"/>
          <w:color w:val="auto"/>
        </w:rPr>
        <w:footnoteReference w:id="21"/>
      </w:r>
      <w:r w:rsidRPr="00D03F38">
        <w:rPr>
          <w:color w:val="auto"/>
        </w:rPr>
        <w:t>.</w:t>
      </w:r>
    </w:p>
    <w:p w14:paraId="40F13514" w14:textId="436EBDF4" w:rsidR="005C4144" w:rsidRDefault="00C643E4" w:rsidP="005C4144">
      <w:r w:rsidRPr="001466CC">
        <w:t xml:space="preserve">Wykorzystanie biomasy w celach energetycznych należy postrzegać </w:t>
      </w:r>
      <w:r w:rsidR="00DE45F5">
        <w:t xml:space="preserve">wyłącznie </w:t>
      </w:r>
      <w:r w:rsidRPr="001466CC">
        <w:t>w ujęciu lokalnym. Jednostki wytwórcze wykorzystujące biomasę powinny być zlokalizowane w pobliżu miejsca jej wytwarzania, tak by zminimalizować emisję CO</w:t>
      </w:r>
      <w:r w:rsidRPr="001466CC">
        <w:rPr>
          <w:vertAlign w:val="subscript"/>
        </w:rPr>
        <w:t>2</w:t>
      </w:r>
      <w:r w:rsidRPr="001466CC">
        <w:t xml:space="preserve"> związaną z transportem biomasy. Tworzenie plantacji upraw energetycznych może przyczynić się do rozwoju lokalnych centrów energetycznych</w:t>
      </w:r>
      <w:r w:rsidR="00DE45F5">
        <w:t xml:space="preserve"> na obszarach wiejskich</w:t>
      </w:r>
      <w:r w:rsidR="001466CC">
        <w:t xml:space="preserve">, choć </w:t>
      </w:r>
      <w:r w:rsidR="00201610">
        <w:t xml:space="preserve">należy mieć na uwadze, że </w:t>
      </w:r>
      <w:r w:rsidR="0031231D" w:rsidRPr="0031231D">
        <w:t>celowa produkcja biomasy wiąże się z nakładami</w:t>
      </w:r>
      <w:r w:rsidR="0002493D">
        <w:t>,</w:t>
      </w:r>
      <w:r w:rsidR="0031231D" w:rsidRPr="0031231D">
        <w:t xml:space="preserve"> m.in. na nawożenie, ochronę roślin, co generuje </w:t>
      </w:r>
      <w:r w:rsidR="00446318">
        <w:t>istotnie</w:t>
      </w:r>
      <w:r w:rsidR="0002493D">
        <w:t xml:space="preserve"> wyższe </w:t>
      </w:r>
      <w:r w:rsidR="0031231D" w:rsidRPr="0031231D">
        <w:t xml:space="preserve">koszty w stosunku do biomasy o charakterze pozostałości czy odpadów. </w:t>
      </w:r>
      <w:r w:rsidR="005D54E3">
        <w:t xml:space="preserve">Susze będące efektem </w:t>
      </w:r>
      <w:r w:rsidR="00CA19DC">
        <w:t>zaburzeń klimatycznych</w:t>
      </w:r>
      <w:r w:rsidR="0082662D">
        <w:t>, silnie ogranicza</w:t>
      </w:r>
      <w:r w:rsidR="00EC45BD">
        <w:t>ją</w:t>
      </w:r>
      <w:r w:rsidR="0082662D">
        <w:t xml:space="preserve"> </w:t>
      </w:r>
      <w:r w:rsidR="000F0591">
        <w:t xml:space="preserve">plony. </w:t>
      </w:r>
      <w:r w:rsidR="0031231D" w:rsidRPr="0031231D">
        <w:t xml:space="preserve">Ponadto biomasa z upraw celowych ma </w:t>
      </w:r>
      <w:r w:rsidR="00EB7246">
        <w:t>mniej</w:t>
      </w:r>
      <w:r w:rsidR="0031231D" w:rsidRPr="0031231D">
        <w:t xml:space="preserve"> korzystn</w:t>
      </w:r>
      <w:r w:rsidR="00EB7246">
        <w:t>y</w:t>
      </w:r>
      <w:r w:rsidR="0031231D" w:rsidRPr="0031231D">
        <w:t xml:space="preserve"> bilansu emisji GHG </w:t>
      </w:r>
      <w:r w:rsidR="00EB7246">
        <w:t>niż</w:t>
      </w:r>
      <w:r w:rsidR="00EB7246" w:rsidRPr="0031231D">
        <w:t xml:space="preserve"> </w:t>
      </w:r>
      <w:r w:rsidR="00446318">
        <w:t>biomasa</w:t>
      </w:r>
      <w:r w:rsidR="0031231D" w:rsidRPr="0031231D">
        <w:t xml:space="preserve"> odpadow</w:t>
      </w:r>
      <w:r w:rsidR="00446318">
        <w:t>a.</w:t>
      </w:r>
      <w:r w:rsidR="00C773D8">
        <w:t xml:space="preserve"> Z</w:t>
      </w:r>
      <w:r w:rsidR="00C86BF0">
        <w:t> </w:t>
      </w:r>
      <w:r w:rsidR="00C773D8">
        <w:t xml:space="preserve">tego względu, </w:t>
      </w:r>
      <w:r w:rsidR="00D3176D">
        <w:t xml:space="preserve">szacunki </w:t>
      </w:r>
      <w:r w:rsidR="000F0591">
        <w:t xml:space="preserve">dla </w:t>
      </w:r>
      <w:r w:rsidR="00D3176D">
        <w:t>biomasy pochodzącej z upraw energetycznych są bardzo ostrożne.</w:t>
      </w:r>
      <w:r w:rsidR="002A532C">
        <w:t xml:space="preserve"> </w:t>
      </w:r>
    </w:p>
    <w:p w14:paraId="008E074D" w14:textId="127EF39F" w:rsidR="005C4144" w:rsidRPr="00285765" w:rsidRDefault="005C4144" w:rsidP="006345DA">
      <w:pPr>
        <w:pStyle w:val="podtytu2"/>
        <w:spacing w:after="80"/>
      </w:pPr>
      <w:r w:rsidRPr="00285765">
        <w:t xml:space="preserve">Biogaz </w:t>
      </w:r>
      <w:r w:rsidR="00BA04A6" w:rsidRPr="00B918C8">
        <w:t>i biometan</w:t>
      </w:r>
    </w:p>
    <w:p w14:paraId="5F4B7194" w14:textId="0A7A1761" w:rsidR="00F61C52" w:rsidRPr="00F85B97" w:rsidRDefault="00DC2715" w:rsidP="00F61C52">
      <w:r>
        <w:t xml:space="preserve">Łączny potencjał </w:t>
      </w:r>
      <w:r w:rsidR="006D5D4B">
        <w:t>techniczny wytwarzania biogazu</w:t>
      </w:r>
      <w:r w:rsidR="005662C9">
        <w:t xml:space="preserve"> (rolniczego) i </w:t>
      </w:r>
      <w:r>
        <w:t xml:space="preserve">biometanu </w:t>
      </w:r>
      <w:r w:rsidR="006D5D4B">
        <w:t xml:space="preserve">w </w:t>
      </w:r>
      <w:r w:rsidR="00F61C52">
        <w:t>Polsce</w:t>
      </w:r>
      <w:r w:rsidR="006D5D4B">
        <w:t xml:space="preserve"> wyrażony w</w:t>
      </w:r>
      <w:r w:rsidR="00C86BF0">
        <w:t> </w:t>
      </w:r>
      <w:r w:rsidR="005662C9">
        <w:t xml:space="preserve">wolumenie </w:t>
      </w:r>
      <w:r w:rsidR="00024DED">
        <w:t>bio</w:t>
      </w:r>
      <w:r w:rsidR="006D5D4B">
        <w:t>CH</w:t>
      </w:r>
      <w:r w:rsidR="006D5D4B" w:rsidRPr="006D5D4B">
        <w:rPr>
          <w:vertAlign w:val="subscript"/>
        </w:rPr>
        <w:t>4</w:t>
      </w:r>
      <w:r w:rsidR="00F61C52">
        <w:t xml:space="preserve"> to ok. 8 mld m</w:t>
      </w:r>
      <w:r w:rsidR="00F61C52">
        <w:rPr>
          <w:vertAlign w:val="superscript"/>
        </w:rPr>
        <w:t>3</w:t>
      </w:r>
      <w:r w:rsidR="00F61C52">
        <w:t xml:space="preserve">/rok. Potencjał wdrożeniowy, uwzględniający wielkość </w:t>
      </w:r>
      <w:r w:rsidR="006D5D4B">
        <w:t>oraz</w:t>
      </w:r>
      <w:r w:rsidR="00F61C52">
        <w:t xml:space="preserve"> koncentrację</w:t>
      </w:r>
      <w:r w:rsidR="006D5D4B">
        <w:t xml:space="preserve"> </w:t>
      </w:r>
      <w:r w:rsidR="00F61C52">
        <w:t xml:space="preserve">źródeł substratów w terenie wynosi </w:t>
      </w:r>
      <w:r w:rsidR="00BB7AE8">
        <w:t>4,7 ml</w:t>
      </w:r>
      <w:r w:rsidR="009E792E">
        <w:t>d</w:t>
      </w:r>
      <w:r w:rsidR="00BB7AE8">
        <w:t xml:space="preserve"> </w:t>
      </w:r>
      <w:r w:rsidR="00F61C52">
        <w:t>m</w:t>
      </w:r>
      <w:r w:rsidR="00F61C52" w:rsidRPr="006229FB">
        <w:rPr>
          <w:vertAlign w:val="superscript"/>
        </w:rPr>
        <w:t>3</w:t>
      </w:r>
      <w:r w:rsidR="00F61C52">
        <w:t>.</w:t>
      </w:r>
      <w:r w:rsidR="00F61C52">
        <w:rPr>
          <w:rStyle w:val="Odwoanieprzypisudolnego"/>
        </w:rPr>
        <w:footnoteReference w:id="22"/>
      </w:r>
      <w:r w:rsidR="00F61C52">
        <w:t xml:space="preserve"> </w:t>
      </w:r>
      <w:r w:rsidR="006D5D4B">
        <w:t>Podczas</w:t>
      </w:r>
      <w:r w:rsidR="00516EAB">
        <w:t>,</w:t>
      </w:r>
      <w:r w:rsidR="006D5D4B">
        <w:t xml:space="preserve"> gdy </w:t>
      </w:r>
      <w:r w:rsidR="00516EAB">
        <w:t>biogaz</w:t>
      </w:r>
      <w:r w:rsidR="006D5D4B">
        <w:t xml:space="preserve"> służy produkcji </w:t>
      </w:r>
      <w:r w:rsidR="00516EAB">
        <w:t>energii</w:t>
      </w:r>
      <w:r w:rsidR="006D5D4B">
        <w:t xml:space="preserve"> elektrycznej i ciepła </w:t>
      </w:r>
      <w:r w:rsidR="00516EAB">
        <w:t>na poziomie lokalnym</w:t>
      </w:r>
      <w:r w:rsidR="00C246A6">
        <w:t xml:space="preserve"> (w tym biogazownie szczytowe)</w:t>
      </w:r>
      <w:r w:rsidR="006D5D4B">
        <w:t>, b</w:t>
      </w:r>
      <w:r w:rsidR="00F61C52">
        <w:t xml:space="preserve">iometan </w:t>
      </w:r>
      <w:r w:rsidR="006D5D4B">
        <w:t xml:space="preserve">wprowadzony do sieci gazu ziemnego </w:t>
      </w:r>
      <w:r w:rsidR="00F61C52">
        <w:t>może znaleźć zastosowanie w elektroenergetyce</w:t>
      </w:r>
      <w:r w:rsidR="00BD4133">
        <w:t xml:space="preserve"> w </w:t>
      </w:r>
      <w:r w:rsidR="004A60A8">
        <w:t xml:space="preserve">źródłach szczytowych, </w:t>
      </w:r>
      <w:r w:rsidR="00F61C52">
        <w:t>przemyśle, w sektorze transportu, a także w ciepłownictwie.</w:t>
      </w:r>
      <w:r w:rsidR="00B721B0">
        <w:t xml:space="preserve"> </w:t>
      </w:r>
    </w:p>
    <w:p w14:paraId="2DE0F6DD" w14:textId="29FAF3EA" w:rsidR="00B33070" w:rsidRDefault="00C2100C" w:rsidP="00B33070">
      <w:r>
        <w:t>W</w:t>
      </w:r>
      <w:r w:rsidR="00B33070" w:rsidRPr="00F85B97">
        <w:t>ykorzystani</w:t>
      </w:r>
      <w:r>
        <w:t>e</w:t>
      </w:r>
      <w:r w:rsidR="00B33070" w:rsidRPr="00F85B97">
        <w:t xml:space="preserve"> biogazu</w:t>
      </w:r>
      <w:r w:rsidR="00B33070">
        <w:t xml:space="preserve"> </w:t>
      </w:r>
      <w:r w:rsidR="00FD4267">
        <w:t xml:space="preserve">składowiskowego </w:t>
      </w:r>
      <w:r w:rsidR="00B33070">
        <w:t>i z </w:t>
      </w:r>
      <w:r w:rsidR="00B33070" w:rsidRPr="00F85B97">
        <w:t>oczyszczalni ścieków do produkcji energii elektrycznej szacuje się na ok. 1,3 TWh do 2030</w:t>
      </w:r>
      <w:r w:rsidR="00B33070">
        <w:t> r. i </w:t>
      </w:r>
      <w:r w:rsidR="00B33070" w:rsidRPr="00F85B97">
        <w:t>1,7 TWh do 2040</w:t>
      </w:r>
      <w:r w:rsidR="00B33070">
        <w:t xml:space="preserve"> r. </w:t>
      </w:r>
    </w:p>
    <w:p w14:paraId="60D00DD1" w14:textId="08D95863" w:rsidR="002C5791" w:rsidRPr="00285765" w:rsidRDefault="002C5791" w:rsidP="00CC517B">
      <w:pPr>
        <w:pStyle w:val="podtytu2"/>
        <w:spacing w:after="80"/>
      </w:pPr>
      <w:r>
        <w:t>Geotermia</w:t>
      </w:r>
    </w:p>
    <w:p w14:paraId="3ABCD63A" w14:textId="496A8CD9" w:rsidR="002B4F90" w:rsidRDefault="000D7B88" w:rsidP="006345DA">
      <w:pPr>
        <w:pStyle w:val="podtytu2"/>
        <w:spacing w:before="0"/>
        <w:jc w:val="both"/>
        <w:rPr>
          <w:b w:val="0"/>
          <w:bCs w:val="0"/>
          <w:kern w:val="2"/>
          <w:sz w:val="20"/>
          <w14:ligatures w14:val="standardContextual"/>
        </w:rPr>
      </w:pPr>
      <w:r>
        <w:rPr>
          <w:b w:val="0"/>
          <w:bCs w:val="0"/>
          <w:kern w:val="2"/>
          <w:sz w:val="20"/>
          <w14:ligatures w14:val="standardContextual"/>
        </w:rPr>
        <w:t>S</w:t>
      </w:r>
      <w:r w:rsidR="002B4F90" w:rsidRPr="002B4F90">
        <w:rPr>
          <w:b w:val="0"/>
          <w:bCs w:val="0"/>
          <w:kern w:val="2"/>
          <w:sz w:val="20"/>
          <w14:ligatures w14:val="standardContextual"/>
        </w:rPr>
        <w:t xml:space="preserve">tosunkowo niewiele jest miejsc, w których zastosowanie </w:t>
      </w:r>
      <w:r w:rsidR="002A0371">
        <w:rPr>
          <w:b w:val="0"/>
          <w:bCs w:val="0"/>
          <w:kern w:val="2"/>
          <w:sz w:val="20"/>
          <w14:ligatures w14:val="standardContextual"/>
        </w:rPr>
        <w:t xml:space="preserve">geotermii </w:t>
      </w:r>
      <w:r w:rsidR="002B4F90" w:rsidRPr="002B4F90">
        <w:rPr>
          <w:b w:val="0"/>
          <w:bCs w:val="0"/>
          <w:kern w:val="2"/>
          <w:sz w:val="20"/>
          <w14:ligatures w14:val="standardContextual"/>
        </w:rPr>
        <w:t xml:space="preserve">ma sens ekonomiczny. </w:t>
      </w:r>
      <w:r w:rsidR="002B7A2A" w:rsidRPr="002B7A2A">
        <w:rPr>
          <w:b w:val="0"/>
          <w:bCs w:val="0"/>
          <w:kern w:val="2"/>
          <w:sz w:val="20"/>
          <w14:ligatures w14:val="standardContextual"/>
        </w:rPr>
        <w:t>W Polsce obszary perspektywiczne pod kątem występowania wód termalnych to: znaczna część Niżu Polskiego, Karpaty i ich przedgórze oraz Sudety. Opłacalność inwestycji geotermalnej w danej lokalizacji zależy głównie od budowy geologicznych i głębokości</w:t>
      </w:r>
      <w:r w:rsidR="004040AA">
        <w:rPr>
          <w:b w:val="0"/>
          <w:bCs w:val="0"/>
          <w:kern w:val="2"/>
          <w:sz w:val="20"/>
          <w14:ligatures w14:val="standardContextual"/>
        </w:rPr>
        <w:t>,</w:t>
      </w:r>
      <w:r w:rsidR="002B7A2A" w:rsidRPr="002B7A2A">
        <w:rPr>
          <w:b w:val="0"/>
          <w:bCs w:val="0"/>
          <w:kern w:val="2"/>
          <w:sz w:val="20"/>
          <w14:ligatures w14:val="standardContextual"/>
        </w:rPr>
        <w:t xml:space="preserve"> na której występują wody termalne oraz jej parametrów (temperatura, mineralizacja i wydajność).</w:t>
      </w:r>
      <w:r w:rsidR="002B4F90" w:rsidRPr="002B4F90">
        <w:rPr>
          <w:b w:val="0"/>
          <w:bCs w:val="0"/>
          <w:kern w:val="2"/>
          <w:sz w:val="20"/>
          <w14:ligatures w14:val="standardContextual"/>
        </w:rPr>
        <w:t xml:space="preserve"> </w:t>
      </w:r>
      <w:r w:rsidR="00B46E13">
        <w:rPr>
          <w:b w:val="0"/>
          <w:bCs w:val="0"/>
          <w:kern w:val="2"/>
          <w:sz w:val="20"/>
          <w14:ligatures w14:val="standardContextual"/>
        </w:rPr>
        <w:t xml:space="preserve">W Polsce działa </w:t>
      </w:r>
      <w:r w:rsidR="00A729A8">
        <w:rPr>
          <w:b w:val="0"/>
          <w:bCs w:val="0"/>
          <w:kern w:val="2"/>
          <w:sz w:val="20"/>
          <w14:ligatures w14:val="standardContextual"/>
        </w:rPr>
        <w:t>10</w:t>
      </w:r>
      <w:r w:rsidR="00B46E13">
        <w:rPr>
          <w:b w:val="0"/>
          <w:bCs w:val="0"/>
          <w:kern w:val="2"/>
          <w:sz w:val="20"/>
          <w14:ligatures w14:val="standardContextual"/>
        </w:rPr>
        <w:t xml:space="preserve"> ciepłowni geotermalnych.</w:t>
      </w:r>
    </w:p>
    <w:p w14:paraId="67DBA4D5" w14:textId="59555C25" w:rsidR="005C4144" w:rsidRPr="00285765" w:rsidRDefault="005C4144" w:rsidP="00CC517B">
      <w:pPr>
        <w:pStyle w:val="podtytu2"/>
        <w:spacing w:after="80"/>
      </w:pPr>
      <w:r w:rsidRPr="00285765">
        <w:t>Woda</w:t>
      </w:r>
    </w:p>
    <w:p w14:paraId="707CE200" w14:textId="7D7ED0BC" w:rsidR="00FA0F79" w:rsidRPr="00F85B97" w:rsidRDefault="00FA0F79" w:rsidP="00FA0F79">
      <w:r w:rsidRPr="00F85B97">
        <w:t>Potencjał energetyki wodnej</w:t>
      </w:r>
      <w:r>
        <w:t xml:space="preserve"> w </w:t>
      </w:r>
      <w:r w:rsidRPr="00F85B97">
        <w:t xml:space="preserve">Polsce jest </w:t>
      </w:r>
      <w:r w:rsidRPr="00B00710">
        <w:t>ogranic</w:t>
      </w:r>
      <w:r>
        <w:t>zony</w:t>
      </w:r>
      <w:r w:rsidRPr="00B00710">
        <w:t xml:space="preserve"> warunkami hydrologicznymi kraju</w:t>
      </w:r>
      <w:r w:rsidRPr="00F85B97">
        <w:t>. Instytut Energetyki Odnawialnej ocenia realny potencjał ekonomiczny energii wodnej</w:t>
      </w:r>
      <w:r>
        <w:t xml:space="preserve"> w </w:t>
      </w:r>
      <w:r w:rsidRPr="00F85B97">
        <w:t>Polsce, włącznie</w:t>
      </w:r>
      <w:r>
        <w:t xml:space="preserve"> z </w:t>
      </w:r>
      <w:r w:rsidRPr="00F85B97">
        <w:t>Kaskadą D</w:t>
      </w:r>
      <w:r>
        <w:t xml:space="preserve">olnej Wisły </w:t>
      </w:r>
      <w:r w:rsidR="001C1A76">
        <w:t>(</w:t>
      </w:r>
      <w:r>
        <w:t>3 TWh/rok</w:t>
      </w:r>
      <w:r w:rsidR="001C1A76">
        <w:t>)</w:t>
      </w:r>
      <w:r>
        <w:t xml:space="preserve">, na ok. </w:t>
      </w:r>
      <w:r w:rsidRPr="00F85B97">
        <w:t>8 TWh/rok</w:t>
      </w:r>
      <w:r>
        <w:t xml:space="preserve"> z </w:t>
      </w:r>
      <w:r w:rsidRPr="00F85B97">
        <w:t>czego obecnie wykorzyst</w:t>
      </w:r>
      <w:r>
        <w:t>uje się</w:t>
      </w:r>
      <w:r w:rsidRPr="00F85B97">
        <w:t xml:space="preserve"> ok. 25%. </w:t>
      </w:r>
    </w:p>
    <w:p w14:paraId="3E54E661" w14:textId="77777777" w:rsidR="005C4144" w:rsidRPr="00285765" w:rsidRDefault="005C4144" w:rsidP="00CC517B">
      <w:pPr>
        <w:pStyle w:val="podtytu2"/>
        <w:spacing w:after="80"/>
      </w:pPr>
      <w:r w:rsidRPr="00285765">
        <w:t>Wiatr</w:t>
      </w:r>
    </w:p>
    <w:p w14:paraId="5A16FD70" w14:textId="700BF6FE" w:rsidR="00AE11E4" w:rsidRDefault="00AE11E4" w:rsidP="00AE11E4">
      <w:pPr>
        <w:rPr>
          <w:highlight w:val="yellow"/>
        </w:rPr>
      </w:pPr>
      <w:r w:rsidRPr="00121BBF">
        <w:t>Polska dysponuje znacznymi zasobami wiatrowymi, zarówno na lądzie jak i na morzu, które mogą stanowić istotny filar transformacji energetycznej kraju. W przypadku lądowej energetyki wiatrowej analizy wskazują na bardzo wysoki potencjał przestrzenny, nawet po uwzględnieniu aktualnych ograniczeń wynikających z uwarunkowań środowiskowych, infrastrukturalnych czy społecznych.</w:t>
      </w:r>
      <w:r w:rsidR="002A532C">
        <w:t xml:space="preserve"> </w:t>
      </w:r>
      <w:r w:rsidRPr="00121BBF">
        <w:t>Pełne wykorzystanie tego potencjału wymaga jednak zniesienia barier administracyjnych, modernizacji sieci elektroenergetycznych oraz rozwoju systemów magazynowania energii, w celu zapewnienia stabilności dostaw i efektywnego zarządzania energią.</w:t>
      </w:r>
      <w:r>
        <w:t xml:space="preserve"> J</w:t>
      </w:r>
      <w:r w:rsidRPr="00121BBF">
        <w:t xml:space="preserve">ak wynika z </w:t>
      </w:r>
      <w:r w:rsidR="006D344C" w:rsidRPr="00121BBF">
        <w:t>analizy PSEW</w:t>
      </w:r>
      <w:r w:rsidR="00751504" w:rsidRPr="00751504">
        <w:t xml:space="preserve"> </w:t>
      </w:r>
      <w:r w:rsidR="00751504">
        <w:t>(Polskie Stowarzyszenie Energetyki Wiatrowej)</w:t>
      </w:r>
      <w:r w:rsidR="006D344C" w:rsidRPr="00121BBF">
        <w:t xml:space="preserve"> istotne</w:t>
      </w:r>
      <w:r w:rsidRPr="00121BBF">
        <w:t xml:space="preserve"> możliwości rozwoju oferuje również morska energetyka wiatrowa. </w:t>
      </w:r>
      <w:r w:rsidRPr="00121BBF">
        <w:rPr>
          <w:szCs w:val="20"/>
        </w:rPr>
        <w:t>Wg szacunków wskazanych w raporcie</w:t>
      </w:r>
      <w:r>
        <w:rPr>
          <w:szCs w:val="20"/>
        </w:rPr>
        <w:t>,</w:t>
      </w:r>
      <w:r w:rsidRPr="00121BBF">
        <w:rPr>
          <w:szCs w:val="20"/>
        </w:rPr>
        <w:t xml:space="preserve"> do 2030 r. możliwy do osiągnięcia poziom mocy zainstalowanej</w:t>
      </w:r>
      <w:r w:rsidRPr="00EF1E85">
        <w:rPr>
          <w:szCs w:val="20"/>
        </w:rPr>
        <w:t xml:space="preserve"> elektrowni wiatrowych w polskich obszarach morskich wynosi ok. 7,5 GW</w:t>
      </w:r>
      <w:r w:rsidR="000A17D1">
        <w:rPr>
          <w:szCs w:val="20"/>
        </w:rPr>
        <w:t>,</w:t>
      </w:r>
      <w:r w:rsidR="000A17D1" w:rsidRPr="000A17D1">
        <w:rPr>
          <w:szCs w:val="20"/>
        </w:rPr>
        <w:t xml:space="preserve"> </w:t>
      </w:r>
      <w:r w:rsidR="000A17D1">
        <w:rPr>
          <w:szCs w:val="20"/>
        </w:rPr>
        <w:t>natomiast do 2050 r. jest to 33</w:t>
      </w:r>
      <w:r w:rsidRPr="00EF1E85">
        <w:rPr>
          <w:szCs w:val="20"/>
        </w:rPr>
        <w:t xml:space="preserve"> GW</w:t>
      </w:r>
      <w:r>
        <w:rPr>
          <w:szCs w:val="20"/>
        </w:rPr>
        <w:t>.</w:t>
      </w:r>
      <w:r w:rsidRPr="00EF1E85">
        <w:rPr>
          <w:rStyle w:val="Odwoanieprzypisudolnego"/>
        </w:rPr>
        <w:footnoteReference w:id="23"/>
      </w:r>
      <w:r w:rsidR="002A532C">
        <w:rPr>
          <w:szCs w:val="20"/>
        </w:rPr>
        <w:t xml:space="preserve"> </w:t>
      </w:r>
    </w:p>
    <w:p w14:paraId="3F05A899" w14:textId="77777777" w:rsidR="00AE11E4" w:rsidRPr="00285765" w:rsidRDefault="00AE11E4" w:rsidP="00612DC8">
      <w:pPr>
        <w:pStyle w:val="podtytu2"/>
        <w:spacing w:after="80"/>
      </w:pPr>
      <w:r w:rsidRPr="00285765">
        <w:t>Słońce</w:t>
      </w:r>
    </w:p>
    <w:p w14:paraId="791DF82D" w14:textId="2AB31DF4" w:rsidR="005C4144" w:rsidRDefault="00AE11E4" w:rsidP="005C4144">
      <w:r w:rsidRPr="00385C52">
        <w:t xml:space="preserve">Potencjał rozwoju fotowoltaiki w Polsce, w szczególności w zakresie małych i dużych instalacji gruntowych jest bardzo wysoki. Przeprowadzone analizy przestrzenne wykazują szeroką dostępność znacznych powierzchni możliwych do zagospodarowania pod tego typu instalacje. Dalszy rozwój będzie jednak w dużym stopniu zależeć od zdolności systemu elektroenergetycznego do przyjmowania rosnącej ilości energii z rozproszonych źródeł. </w:t>
      </w:r>
      <w:r w:rsidR="00427E5A" w:rsidRPr="00385C52">
        <w:t xml:space="preserve">Czynnikiem mocno ograniczającym rozwój </w:t>
      </w:r>
      <w:r w:rsidRPr="00385C52">
        <w:t>wykorzystania</w:t>
      </w:r>
      <w:r w:rsidR="00427E5A" w:rsidRPr="00385C52">
        <w:t xml:space="preserve"> technologii</w:t>
      </w:r>
      <w:r w:rsidRPr="00385C52">
        <w:t xml:space="preserve"> PV</w:t>
      </w:r>
      <w:r w:rsidR="00427E5A" w:rsidRPr="00385C52">
        <w:t xml:space="preserve"> (jak i pozostałych technologii OZE) jest </w:t>
      </w:r>
      <w:r w:rsidRPr="00385C52">
        <w:t>aktualnie</w:t>
      </w:r>
      <w:r w:rsidR="00427E5A" w:rsidRPr="00385C52">
        <w:t xml:space="preserve"> stan infrastruktury sieciowej, który uniemożliwia przyłączanie nowych źródeł. W nadchodzących latach przewiduje się </w:t>
      </w:r>
      <w:r w:rsidRPr="00385C52">
        <w:t xml:space="preserve">podjęcie działań mających na celu </w:t>
      </w:r>
      <w:r w:rsidR="00427E5A" w:rsidRPr="00385C52">
        <w:t>usunięcie ograniczeń sieciowych</w:t>
      </w:r>
      <w:r w:rsidR="00023B02">
        <w:t xml:space="preserve"> uniemożliwiających </w:t>
      </w:r>
      <w:r w:rsidR="00DE3948">
        <w:t>przyłączanie nowych instalacji</w:t>
      </w:r>
      <w:r w:rsidR="005C4144">
        <w:t>.</w:t>
      </w:r>
    </w:p>
    <w:p w14:paraId="0DC6E11E" w14:textId="77777777" w:rsidR="005C4144" w:rsidRDefault="005C4144" w:rsidP="00797A1F">
      <w:pPr>
        <w:pStyle w:val="Nagwek2"/>
      </w:pPr>
      <w:bookmarkStart w:id="416" w:name="_Toc171587330"/>
      <w:bookmarkStart w:id="417" w:name="_Toc174710904"/>
      <w:bookmarkStart w:id="418" w:name="_Toc202966897"/>
      <w:r>
        <w:t>Produkcja krajowa z podziałem na rodzaj paliwa</w:t>
      </w:r>
      <w:bookmarkEnd w:id="416"/>
      <w:bookmarkEnd w:id="417"/>
      <w:bookmarkEnd w:id="418"/>
    </w:p>
    <w:p w14:paraId="4B5F9200" w14:textId="18340EC7" w:rsidR="00CC720B" w:rsidRPr="00F85B97" w:rsidRDefault="005C4144" w:rsidP="00CC720B">
      <w:r>
        <w:t>W tabeli</w:t>
      </w:r>
      <w:r w:rsidRPr="00F85B97">
        <w:t xml:space="preserve"> </w:t>
      </w:r>
      <w:r>
        <w:t>(</w:t>
      </w:r>
      <w:r w:rsidR="008B69BF">
        <w:fldChar w:fldCharType="begin"/>
      </w:r>
      <w:r w:rsidR="008B69BF">
        <w:instrText xml:space="preserve"> REF _Ref195871772 \h </w:instrText>
      </w:r>
      <w:r w:rsidR="008B69BF">
        <w:fldChar w:fldCharType="separate"/>
      </w:r>
      <w:r w:rsidR="00F27D6F">
        <w:t xml:space="preserve">Tabela </w:t>
      </w:r>
      <w:r w:rsidR="00F27D6F">
        <w:rPr>
          <w:noProof/>
        </w:rPr>
        <w:t>3</w:t>
      </w:r>
      <w:r w:rsidR="00F27D6F">
        <w:t>.</w:t>
      </w:r>
      <w:r w:rsidR="00F27D6F">
        <w:rPr>
          <w:noProof/>
        </w:rPr>
        <w:t>2</w:t>
      </w:r>
      <w:r w:rsidR="008B69BF">
        <w:fldChar w:fldCharType="end"/>
      </w:r>
      <w:r>
        <w:t>)</w:t>
      </w:r>
      <w:r w:rsidRPr="00F85B97">
        <w:t xml:space="preserve"> </w:t>
      </w:r>
      <w:r w:rsidR="00CC720B">
        <w:t>przedstawiono</w:t>
      </w:r>
      <w:r w:rsidR="00CC720B" w:rsidRPr="00F85B97">
        <w:t xml:space="preserve"> wielkość krajowej podaży poszczególnych paliw</w:t>
      </w:r>
      <w:r w:rsidR="00CC720B">
        <w:t xml:space="preserve"> i </w:t>
      </w:r>
      <w:r w:rsidR="00CC720B" w:rsidRPr="00F85B97">
        <w:t>noś</w:t>
      </w:r>
      <w:r w:rsidR="00CC720B">
        <w:t>ników energii w perspektywie 20</w:t>
      </w:r>
      <w:r w:rsidR="00854DBA">
        <w:t>4</w:t>
      </w:r>
      <w:r w:rsidR="00CC720B" w:rsidRPr="00F85B97">
        <w:t>0</w:t>
      </w:r>
      <w:r w:rsidR="00CC720B">
        <w:t> r. Z </w:t>
      </w:r>
      <w:r w:rsidR="00CC720B" w:rsidRPr="00F85B97">
        <w:t xml:space="preserve">uzyskanych wyników można sformułować następujące wnioski: </w:t>
      </w:r>
    </w:p>
    <w:p w14:paraId="11F8A288" w14:textId="6ABD528A" w:rsidR="00C311E3" w:rsidRPr="00F85B97" w:rsidRDefault="00C311E3" w:rsidP="00C311E3">
      <w:pPr>
        <w:pStyle w:val="wyliczenie"/>
      </w:pPr>
      <w:r>
        <w:t>p</w:t>
      </w:r>
      <w:r w:rsidRPr="00F85B97">
        <w:t xml:space="preserve">odaż węgla brunatnego </w:t>
      </w:r>
      <w:r>
        <w:t>ulega znacznej redukcji już po 2025 r.</w:t>
      </w:r>
      <w:r w:rsidRPr="00F85B97">
        <w:t xml:space="preserve"> (głównie</w:t>
      </w:r>
      <w:r>
        <w:t xml:space="preserve"> w </w:t>
      </w:r>
      <w:r w:rsidRPr="00F85B97">
        <w:t>wyniku wyłączania wyeksploatowanych bloków energetycznych</w:t>
      </w:r>
      <w:r>
        <w:t xml:space="preserve"> i wyczerpywania się części złóż</w:t>
      </w:r>
      <w:r w:rsidRPr="00F85B97">
        <w:t>).</w:t>
      </w:r>
      <w:r>
        <w:t xml:space="preserve"> W analizie nie zakładano uruchomienia</w:t>
      </w:r>
      <w:r w:rsidRPr="00F85B97">
        <w:t xml:space="preserve"> nowych złóż </w:t>
      </w:r>
      <w:r>
        <w:t>węgla brunatnego</w:t>
      </w:r>
      <w:r w:rsidRPr="00F85B97">
        <w:t>.</w:t>
      </w:r>
      <w:r>
        <w:t xml:space="preserve"> P</w:t>
      </w:r>
      <w:r w:rsidRPr="00F85B97">
        <w:t xml:space="preserve">rzy przyjętych założeniach odnośnie </w:t>
      </w:r>
      <w:r>
        <w:t xml:space="preserve">do </w:t>
      </w:r>
      <w:r w:rsidRPr="00F85B97">
        <w:t xml:space="preserve">kosztu </w:t>
      </w:r>
      <w:r w:rsidR="00C07879">
        <w:t xml:space="preserve">uprawnień </w:t>
      </w:r>
      <w:r w:rsidRPr="00F85B97">
        <w:t>do emisji CO</w:t>
      </w:r>
      <w:r w:rsidRPr="00C21ECF">
        <w:rPr>
          <w:vertAlign w:val="subscript"/>
        </w:rPr>
        <w:t>2</w:t>
      </w:r>
      <w:r w:rsidRPr="00DC70BE">
        <w:t>,</w:t>
      </w:r>
      <w:r w:rsidRPr="00F85B97">
        <w:t xml:space="preserve"> </w:t>
      </w:r>
      <w:r>
        <w:t xml:space="preserve">funkcjonowanie jednostek wytwarzania energii elektrycznej i uruchamianie nowych odkrywek </w:t>
      </w:r>
      <w:r w:rsidRPr="00F85B97">
        <w:t xml:space="preserve">nie </w:t>
      </w:r>
      <w:r>
        <w:t>jest</w:t>
      </w:r>
      <w:r w:rsidRPr="00F85B97">
        <w:t xml:space="preserve"> ekonomicznie uzasadnioną </w:t>
      </w:r>
      <w:r>
        <w:t xml:space="preserve">opcją. Po 2035 r. wydobycie węgla brunatnego </w:t>
      </w:r>
      <w:r w:rsidR="000F3700">
        <w:t xml:space="preserve">istotnie </w:t>
      </w:r>
      <w:r>
        <w:t>spada;</w:t>
      </w:r>
    </w:p>
    <w:p w14:paraId="23766274" w14:textId="677F9711" w:rsidR="003F2ED3" w:rsidRPr="00773501" w:rsidRDefault="003F2ED3" w:rsidP="003F2ED3">
      <w:pPr>
        <w:pStyle w:val="wyliczenie"/>
      </w:pPr>
      <w:r>
        <w:t>w okresie 2020-204</w:t>
      </w:r>
      <w:r w:rsidRPr="00F85B97">
        <w:t>0</w:t>
      </w:r>
      <w:r>
        <w:t xml:space="preserve"> p</w:t>
      </w:r>
      <w:r w:rsidRPr="00F85B97">
        <w:t xml:space="preserve">odaż węgla kamiennego </w:t>
      </w:r>
      <w:r w:rsidR="00105A5A">
        <w:t xml:space="preserve">energetycznego </w:t>
      </w:r>
      <w:r w:rsidRPr="00F85B97">
        <w:t xml:space="preserve">wykazuje </w:t>
      </w:r>
      <w:r>
        <w:t>kontynuację trendu spadkowego obserwowanego w latach 2005-2020</w:t>
      </w:r>
      <w:r w:rsidRPr="00F85B97">
        <w:t>. Wydobycie</w:t>
      </w:r>
      <w:r>
        <w:t xml:space="preserve"> tego surowca spada z poziomu 22,6</w:t>
      </w:r>
      <w:r w:rsidRPr="00F85B97">
        <w:t xml:space="preserve"> Mtoe</w:t>
      </w:r>
      <w:r>
        <w:t xml:space="preserve"> w 2020 r. do 10,9</w:t>
      </w:r>
      <w:r w:rsidRPr="00F85B97">
        <w:t xml:space="preserve"> Mtoe</w:t>
      </w:r>
      <w:r>
        <w:t xml:space="preserve"> w 2030 r. </w:t>
      </w:r>
      <w:r w:rsidRPr="00F85B97">
        <w:t>(w jednostkach natu</w:t>
      </w:r>
      <w:r>
        <w:t>ralnych jest to odpowiednio: 43 mln t i 21 mln t). W okresie 2030-204</w:t>
      </w:r>
      <w:r w:rsidRPr="00F85B97">
        <w:t>0 poziom wydobycia węgla kamiennego ulega bardzo istotnemu obniżeniu</w:t>
      </w:r>
      <w:r>
        <w:t>.</w:t>
      </w:r>
      <w:r w:rsidRPr="00F85B97">
        <w:t xml:space="preserve"> Ograniczenie produkcji</w:t>
      </w:r>
      <w:r>
        <w:t xml:space="preserve"> w </w:t>
      </w:r>
      <w:r w:rsidRPr="00F85B97">
        <w:t>tym wypadku, wiąże się ze spadkiem zapotrzebowania we wszystkich sektorach gospodarki kr</w:t>
      </w:r>
      <w:r>
        <w:t>ajowej, ale przede wszystkim w </w:t>
      </w:r>
      <w:r w:rsidRPr="00F85B97">
        <w:t>elektroenergetycznym</w:t>
      </w:r>
      <w:r>
        <w:t xml:space="preserve"> i </w:t>
      </w:r>
      <w:r w:rsidRPr="00F85B97">
        <w:t>ciepłowniczym. Po 2030</w:t>
      </w:r>
      <w:r>
        <w:t> r.</w:t>
      </w:r>
      <w:r w:rsidRPr="00F85B97">
        <w:t xml:space="preserve"> należy oczekiwać przyspieszenia procesu trwałych odstawień</w:t>
      </w:r>
      <w:r>
        <w:t xml:space="preserve"> z </w:t>
      </w:r>
      <w:r w:rsidRPr="00F85B97">
        <w:t>eksploatacji jednostek wytwórczych, które</w:t>
      </w:r>
      <w:r>
        <w:t xml:space="preserve"> w </w:t>
      </w:r>
      <w:r w:rsidRPr="00F85B97">
        <w:t>tym okresie zaczną wyczerpywać resurs techniczny</w:t>
      </w:r>
      <w:r>
        <w:t>. Z</w:t>
      </w:r>
      <w:r w:rsidRPr="00773501">
        <w:t>apotrzebowanie na węgiel kamienny spadać będzie również</w:t>
      </w:r>
      <w:r>
        <w:t xml:space="preserve"> w </w:t>
      </w:r>
      <w:r w:rsidRPr="00773501">
        <w:t>sektorze przemysłu (w</w:t>
      </w:r>
      <w:r>
        <w:t> </w:t>
      </w:r>
      <w:r w:rsidRPr="00773501">
        <w:t>szczególności</w:t>
      </w:r>
      <w:r>
        <w:t xml:space="preserve"> w </w:t>
      </w:r>
      <w:r w:rsidRPr="00773501">
        <w:t xml:space="preserve">zakładach przemysłowych objętych systemem </w:t>
      </w:r>
      <w:r>
        <w:t xml:space="preserve">EU </w:t>
      </w:r>
      <w:r w:rsidRPr="00773501">
        <w:t>ETS oraz</w:t>
      </w:r>
      <w:r>
        <w:t xml:space="preserve"> w </w:t>
      </w:r>
      <w:r w:rsidRPr="00773501">
        <w:t>wyniku procesu postępującego unowocześniania procesów produkcyjnych).</w:t>
      </w:r>
      <w:r>
        <w:t xml:space="preserve"> W </w:t>
      </w:r>
      <w:r w:rsidRPr="00773501">
        <w:t>ramach walki ze smogiem</w:t>
      </w:r>
      <w:r>
        <w:t xml:space="preserve"> w</w:t>
      </w:r>
      <w:r w:rsidR="004040AA">
        <w:t xml:space="preserve"> </w:t>
      </w:r>
      <w:r w:rsidRPr="00773501">
        <w:t>gospodarstwach domowych</w:t>
      </w:r>
      <w:r>
        <w:t xml:space="preserve"> i </w:t>
      </w:r>
      <w:r w:rsidRPr="00773501">
        <w:t>usługach, następować będzie stopniowa wymiana nieefektywnych kotłów zasypowych na</w:t>
      </w:r>
      <w:r w:rsidRPr="00773501" w:rsidDel="00F9313D">
        <w:t xml:space="preserve"> </w:t>
      </w:r>
      <w:r>
        <w:t>rozwiązania</w:t>
      </w:r>
      <w:r w:rsidRPr="00773501">
        <w:t xml:space="preserve"> bezemisyjne </w:t>
      </w:r>
      <w:r>
        <w:t xml:space="preserve">(głównie pompy ciepła) </w:t>
      </w:r>
      <w:r w:rsidRPr="00773501">
        <w:t>lub niskoemisyne (</w:t>
      </w:r>
      <w:r>
        <w:t>biomasa</w:t>
      </w:r>
      <w:r w:rsidRPr="00773501">
        <w:t>, ciepło systemowe). Tempo tych zmian uzależnione jest od wielu czynników,</w:t>
      </w:r>
      <w:r>
        <w:t xml:space="preserve"> w </w:t>
      </w:r>
      <w:r w:rsidRPr="00773501">
        <w:t>tym od tempa pozyskiwania środków finansowych na mechanizmy wspierające ten proces.</w:t>
      </w:r>
      <w:r>
        <w:t xml:space="preserve"> W scenariuszu WA</w:t>
      </w:r>
      <w:r w:rsidRPr="00773501">
        <w:t>M założono aktywne</w:t>
      </w:r>
      <w:r>
        <w:t xml:space="preserve"> i </w:t>
      </w:r>
      <w:r w:rsidRPr="00773501">
        <w:t>zakrojone na szeroką skalę działania administracji rządowej</w:t>
      </w:r>
      <w:r>
        <w:t xml:space="preserve"> i </w:t>
      </w:r>
      <w:r w:rsidRPr="00773501">
        <w:t>samorządowej. Główną siłą sprawczą tego procesu są prze</w:t>
      </w:r>
      <w:r>
        <w:t>de wszystkim dotacje unijne i wdra</w:t>
      </w:r>
      <w:r w:rsidRPr="00773501">
        <w:t>ż</w:t>
      </w:r>
      <w:r>
        <w:t>ane programy wsparcia takie jak</w:t>
      </w:r>
      <w:r w:rsidRPr="00773501">
        <w:t xml:space="preserve"> np. „Czyste </w:t>
      </w:r>
      <w:r>
        <w:t>P</w:t>
      </w:r>
      <w:r w:rsidRPr="00773501">
        <w:t xml:space="preserve">owietrze”, „Moje </w:t>
      </w:r>
      <w:r>
        <w:t>C</w:t>
      </w:r>
      <w:r w:rsidRPr="00773501">
        <w:t xml:space="preserve">iepło”, „Mój </w:t>
      </w:r>
      <w:r>
        <w:t>P</w:t>
      </w:r>
      <w:r w:rsidRPr="00773501">
        <w:t>rąd”,</w:t>
      </w:r>
      <w:r>
        <w:t xml:space="preserve"> a </w:t>
      </w:r>
      <w:r w:rsidRPr="00773501">
        <w:t>także rosnąca dostępność nowych, czystych technologii oraz zmieniająca się świadomość społeczna. Walka</w:t>
      </w:r>
      <w:r>
        <w:t xml:space="preserve"> z </w:t>
      </w:r>
      <w:r w:rsidRPr="00773501">
        <w:t>tzw. „niską emisją” jest jednym</w:t>
      </w:r>
      <w:r>
        <w:t xml:space="preserve"> z </w:t>
      </w:r>
      <w:r w:rsidRPr="00773501">
        <w:t>głównych priorytetów rządu. Znacznie większe niż do tej pory środki finansowe prawdopodobnie będą kierowane na termomodernizację budynków oraz proces wymiany starych nieefektywnych pieców zasypowych na paliwa stałe</w:t>
      </w:r>
      <w:r>
        <w:t>;</w:t>
      </w:r>
    </w:p>
    <w:p w14:paraId="56B2D1D7" w14:textId="754B36F0" w:rsidR="00CC720B" w:rsidRPr="00F85B97" w:rsidRDefault="00CC720B" w:rsidP="00CC720B">
      <w:pPr>
        <w:pStyle w:val="wyliczenie"/>
      </w:pPr>
      <w:r>
        <w:t>w</w:t>
      </w:r>
      <w:r w:rsidRPr="00F85B97">
        <w:t xml:space="preserve"> prognozie zakłada się stabilizację wydobycia węgla koksującego (ściśle powiązanego</w:t>
      </w:r>
      <w:r>
        <w:t xml:space="preserve"> z </w:t>
      </w:r>
      <w:r w:rsidRPr="00F85B97">
        <w:t>produkcją koksu) na po</w:t>
      </w:r>
      <w:r>
        <w:t>ziomie ok. 7</w:t>
      </w:r>
      <w:r w:rsidRPr="00F85B97">
        <w:t xml:space="preserve"> Mtoe</w:t>
      </w:r>
      <w:r>
        <w:t xml:space="preserve"> rocznie (10 mln t) w perspektywie 2040 r</w:t>
      </w:r>
      <w:r w:rsidRPr="00F85B97">
        <w:t>. Krajowe</w:t>
      </w:r>
      <w:r>
        <w:t xml:space="preserve"> i </w:t>
      </w:r>
      <w:r w:rsidRPr="00F85B97">
        <w:t>zagraniczne zapotrzebowanie na koks warunkowane jest tempem globalnego wzrostu gospodarczego, zatem podlega znacznym</w:t>
      </w:r>
      <w:r>
        <w:t xml:space="preserve"> i </w:t>
      </w:r>
      <w:r w:rsidRPr="00F85B97">
        <w:t>niemożliwym do przewidzenia fluktuacjom.</w:t>
      </w:r>
      <w:r>
        <w:t xml:space="preserve"> W </w:t>
      </w:r>
      <w:r w:rsidRPr="00F85B97">
        <w:t>rzeczywistości zarówno poziom produkcji koksu jak</w:t>
      </w:r>
      <w:r>
        <w:t xml:space="preserve"> i </w:t>
      </w:r>
      <w:r w:rsidRPr="00F85B97">
        <w:t xml:space="preserve">wydobycia węgla koksującego, mogą znacząco odchylać się od </w:t>
      </w:r>
      <w:r>
        <w:t>poziomu określonego w prognozie;</w:t>
      </w:r>
    </w:p>
    <w:p w14:paraId="303F61CB" w14:textId="77777777" w:rsidR="00CC720B" w:rsidRPr="00F85B97" w:rsidRDefault="00CC720B" w:rsidP="00CC720B">
      <w:pPr>
        <w:pStyle w:val="wyliczenie"/>
      </w:pPr>
      <w:r>
        <w:t>w</w:t>
      </w:r>
      <w:r w:rsidRPr="00F85B97">
        <w:t>ydobycie ropy naftowej</w:t>
      </w:r>
      <w:r>
        <w:t xml:space="preserve"> w </w:t>
      </w:r>
      <w:r w:rsidRPr="00F85B97">
        <w:t>kraju stanowi niewielki procent zapotrzebowania na ten surowiec</w:t>
      </w:r>
      <w:r>
        <w:t xml:space="preserve"> i </w:t>
      </w:r>
      <w:r w:rsidRPr="00F85B97">
        <w:t>nie przewiduje się znaczącego wzrostu produkcji</w:t>
      </w:r>
      <w:r>
        <w:t xml:space="preserve"> w </w:t>
      </w:r>
      <w:r w:rsidRPr="00F85B97">
        <w:t>rozpatrywanym horyzoncie czasowym. Wyzwaniem dla działających spółek wydobywczych będzie utrzymanie wydobycia na poziomie zbliżonym do osiągniętego</w:t>
      </w:r>
      <w:r>
        <w:t xml:space="preserve"> w ostatnich latach;</w:t>
      </w:r>
    </w:p>
    <w:p w14:paraId="0A978822" w14:textId="42C051F3" w:rsidR="00CC720B" w:rsidRPr="00F85B97" w:rsidRDefault="00CC720B" w:rsidP="00CC720B">
      <w:pPr>
        <w:pStyle w:val="wyliczenie"/>
      </w:pPr>
      <w:r>
        <w:t>w</w:t>
      </w:r>
      <w:r w:rsidRPr="00F85B97">
        <w:t>ydobycie gazu ziemnego</w:t>
      </w:r>
      <w:r>
        <w:t xml:space="preserve"> w </w:t>
      </w:r>
      <w:r w:rsidRPr="00F85B97">
        <w:t xml:space="preserve">Polsce </w:t>
      </w:r>
      <w:r w:rsidR="000C406A">
        <w:t>wykazuje stopniowy spadek</w:t>
      </w:r>
      <w:r w:rsidR="00A0074E">
        <w:t xml:space="preserve">, obecnie </w:t>
      </w:r>
      <w:r>
        <w:t>utrzymuj</w:t>
      </w:r>
      <w:r w:rsidR="00A0074E">
        <w:t>ąc</w:t>
      </w:r>
      <w:r w:rsidRPr="00F85B97">
        <w:t xml:space="preserve"> s</w:t>
      </w:r>
      <w:r>
        <w:t>ię na poziomie ok. 3,0-3,3</w:t>
      </w:r>
      <w:r w:rsidRPr="00F85B97">
        <w:t xml:space="preserve"> Mtoe rocz</w:t>
      </w:r>
      <w:r>
        <w:t>nie</w:t>
      </w:r>
      <w:r w:rsidR="00AB545C">
        <w:t xml:space="preserve">. W perspektywie </w:t>
      </w:r>
      <w:r w:rsidR="00C25495">
        <w:t xml:space="preserve">do 2040 r. utrzymanie wydobycia na </w:t>
      </w:r>
      <w:r w:rsidR="00817FC3">
        <w:t xml:space="preserve">zbliżonym </w:t>
      </w:r>
      <w:r w:rsidR="00C25495">
        <w:t>poziomie</w:t>
      </w:r>
      <w:r w:rsidR="005E75A8">
        <w:t xml:space="preserve"> </w:t>
      </w:r>
      <w:r w:rsidR="00C25495">
        <w:t>może stanowić istotne wyzwanie</w:t>
      </w:r>
      <w:r w:rsidR="003A5E85">
        <w:t xml:space="preserve"> dla krajowego sektora wydobywczego</w:t>
      </w:r>
      <w:r w:rsidR="00A1725B">
        <w:t>;</w:t>
      </w:r>
    </w:p>
    <w:p w14:paraId="724E3C97" w14:textId="1E3AD053" w:rsidR="00CC720B" w:rsidRPr="00F85B97" w:rsidRDefault="00EA57F4" w:rsidP="00CC720B">
      <w:pPr>
        <w:pStyle w:val="wyliczenie"/>
      </w:pPr>
      <w:r>
        <w:t xml:space="preserve">w scenariuszu </w:t>
      </w:r>
      <w:r w:rsidR="00C61CFA">
        <w:t xml:space="preserve">WAM </w:t>
      </w:r>
      <w:r w:rsidR="00CC720B">
        <w:t>n</w:t>
      </w:r>
      <w:r w:rsidR="00CC720B" w:rsidRPr="00F85B97">
        <w:t>ie przewiduje się wydobycia rudy uranowej</w:t>
      </w:r>
      <w:r w:rsidR="00CC720B">
        <w:t xml:space="preserve"> i </w:t>
      </w:r>
      <w:r w:rsidR="00CC720B" w:rsidRPr="00F85B97">
        <w:t xml:space="preserve">jej przerobu na </w:t>
      </w:r>
      <w:r w:rsidR="00CC720B">
        <w:t>paliwo jądrowe na terenie kraju</w:t>
      </w:r>
      <w:r w:rsidR="00960C7A">
        <w:t>. Ewentualne</w:t>
      </w:r>
      <w:r w:rsidR="00645331">
        <w:t xml:space="preserve"> zmiany i</w:t>
      </w:r>
      <w:r w:rsidR="00960C7A">
        <w:t xml:space="preserve"> </w:t>
      </w:r>
      <w:r w:rsidR="00645331">
        <w:t>decyzje</w:t>
      </w:r>
      <w:r w:rsidR="00960C7A">
        <w:t xml:space="preserve"> w zakresie </w:t>
      </w:r>
      <w:r w:rsidR="00D22B3A">
        <w:t xml:space="preserve">eksploatacji </w:t>
      </w:r>
      <w:r w:rsidR="00ED4B59">
        <w:t>niekonwencjonaln</w:t>
      </w:r>
      <w:r w:rsidR="006B19BC">
        <w:t xml:space="preserve">ych złóż </w:t>
      </w:r>
      <w:r w:rsidR="00546ACB">
        <w:t xml:space="preserve">mogą być podejmowane w przyszłości w zależności od uwarunkowań rynkowych i </w:t>
      </w:r>
      <w:r w:rsidR="00A8381C">
        <w:t>analizy op</w:t>
      </w:r>
      <w:r w:rsidR="008E4CB3">
        <w:t>łacalności ekonomicznej</w:t>
      </w:r>
      <w:r w:rsidR="00CC720B">
        <w:t>;</w:t>
      </w:r>
    </w:p>
    <w:p w14:paraId="3E776E8F" w14:textId="11FDB67F" w:rsidR="00CC720B" w:rsidRDefault="00CC720B" w:rsidP="00CC720B">
      <w:pPr>
        <w:pStyle w:val="wyliczenie"/>
      </w:pPr>
      <w:r>
        <w:t>p</w:t>
      </w:r>
      <w:r w:rsidRPr="00F85B97">
        <w:t>rzewiduje się wzrost produkcji krajowej bio</w:t>
      </w:r>
      <w:r w:rsidR="009A0ACB">
        <w:t xml:space="preserve">komponentów </w:t>
      </w:r>
      <w:r>
        <w:t>II</w:t>
      </w:r>
      <w:r w:rsidRPr="00F85B97">
        <w:t xml:space="preserve"> generacji</w:t>
      </w:r>
      <w:r w:rsidR="00072A7A">
        <w:t xml:space="preserve"> </w:t>
      </w:r>
      <w:r w:rsidR="00693D07">
        <w:t>(</w:t>
      </w:r>
      <w:r w:rsidR="00072A7A">
        <w:t xml:space="preserve">z uwagi na </w:t>
      </w:r>
      <w:r w:rsidR="00693D07">
        <w:t xml:space="preserve">brak </w:t>
      </w:r>
      <w:r w:rsidR="00072A7A">
        <w:t xml:space="preserve">możliwości </w:t>
      </w:r>
      <w:r w:rsidR="00693D07">
        <w:t xml:space="preserve">dalszego zwiększania udziału </w:t>
      </w:r>
      <w:r w:rsidR="00072A7A">
        <w:t>I generacji</w:t>
      </w:r>
      <w:r w:rsidRPr="00F85B97">
        <w:t>)</w:t>
      </w:r>
      <w:r w:rsidR="00B41836">
        <w:t>.</w:t>
      </w:r>
      <w:r w:rsidR="00EB188C">
        <w:t xml:space="preserve"> </w:t>
      </w:r>
      <w:r w:rsidR="006E4E41">
        <w:t xml:space="preserve">Uwzględnia się </w:t>
      </w:r>
      <w:r w:rsidR="00B41836">
        <w:t xml:space="preserve">te paliwa </w:t>
      </w:r>
      <w:r w:rsidR="00A32D44">
        <w:t xml:space="preserve">mając na uwadze </w:t>
      </w:r>
      <w:r w:rsidRPr="00F85B97">
        <w:t>rosnące zapotrzebowanie</w:t>
      </w:r>
      <w:r>
        <w:t xml:space="preserve"> w </w:t>
      </w:r>
      <w:r w:rsidRPr="00F85B97">
        <w:t>sektorze transportowym</w:t>
      </w:r>
      <w:r w:rsidR="001D79F7">
        <w:t xml:space="preserve"> </w:t>
      </w:r>
      <w:r w:rsidR="00D03858">
        <w:t xml:space="preserve">na paliwa ciekłe </w:t>
      </w:r>
      <w:r w:rsidR="001D79F7">
        <w:t>oraz możliwość</w:t>
      </w:r>
      <w:r w:rsidRPr="00F85B97">
        <w:t xml:space="preserve"> </w:t>
      </w:r>
      <w:r w:rsidR="001D79F7" w:rsidRPr="00F85B97">
        <w:t>zastępowan</w:t>
      </w:r>
      <w:r w:rsidR="001D79F7">
        <w:t>ia</w:t>
      </w:r>
      <w:r w:rsidR="001D79F7" w:rsidRPr="00F85B97">
        <w:t xml:space="preserve"> </w:t>
      </w:r>
      <w:r w:rsidRPr="00F85B97">
        <w:t>nimi paliw konwencjonalnych bez zna</w:t>
      </w:r>
      <w:r>
        <w:t>czących ograniczeń technicznych</w:t>
      </w:r>
      <w:r w:rsidR="00D65838">
        <w:t xml:space="preserve"> (HVO, coHVO)</w:t>
      </w:r>
      <w:r>
        <w:t>;</w:t>
      </w:r>
    </w:p>
    <w:p w14:paraId="3ED8BCF1" w14:textId="79FE1A1E" w:rsidR="00CC720B" w:rsidRPr="006D7523" w:rsidRDefault="00CC720B" w:rsidP="00CC720B">
      <w:pPr>
        <w:pStyle w:val="wyliczenie"/>
      </w:pPr>
      <w:r>
        <w:t xml:space="preserve">biometan jest </w:t>
      </w:r>
      <w:r w:rsidRPr="006D7523">
        <w:t>paliwem, któr</w:t>
      </w:r>
      <w:r w:rsidR="00C61CFA" w:rsidRPr="006D7523">
        <w:t>e</w:t>
      </w:r>
      <w:r w:rsidRPr="006D7523">
        <w:t xml:space="preserve"> odgrywa istotną rolę w zaprezentowanej w scenariuszu WAM wizji rozwoju sektora paliwowo-energetycznego. Wykorzystanie biometanu stanowi ważny element </w:t>
      </w:r>
      <w:r w:rsidR="003A3667" w:rsidRPr="006D7523">
        <w:t>wspierający</w:t>
      </w:r>
      <w:r w:rsidRPr="006D7523">
        <w:t xml:space="preserve"> zwiększenie bezpieczeństwa energetycznego kraju</w:t>
      </w:r>
      <w:r w:rsidR="005D14A6" w:rsidRPr="006D7523">
        <w:t xml:space="preserve">, </w:t>
      </w:r>
      <w:r w:rsidR="00A35000" w:rsidRPr="006D7523">
        <w:t xml:space="preserve">realizację GOZ </w:t>
      </w:r>
      <w:r w:rsidR="004A7328" w:rsidRPr="006D7523">
        <w:t xml:space="preserve">i stymulowanie </w:t>
      </w:r>
      <w:r w:rsidRPr="006D7523">
        <w:t>rozw</w:t>
      </w:r>
      <w:r w:rsidR="00D80023" w:rsidRPr="006D7523">
        <w:t>oju</w:t>
      </w:r>
      <w:r w:rsidRPr="006D7523">
        <w:t xml:space="preserve"> obszarów wiejskich.</w:t>
      </w:r>
      <w:r w:rsidRPr="006D7523" w:rsidDel="008867B3">
        <w:t xml:space="preserve"> </w:t>
      </w:r>
      <w:r w:rsidR="008867B3" w:rsidRPr="006D7523">
        <w:t xml:space="preserve">Prognoza </w:t>
      </w:r>
      <w:r w:rsidRPr="006D7523">
        <w:t>zakłada uruchomienie produkcji krajowej już od 2025 r.</w:t>
      </w:r>
      <w:r w:rsidR="005A784E" w:rsidRPr="006D7523">
        <w:t xml:space="preserve"> </w:t>
      </w:r>
      <w:r w:rsidR="00115265" w:rsidRPr="006D7523">
        <w:t>Priorytetowe jest wprowadze</w:t>
      </w:r>
      <w:r w:rsidR="009D454E" w:rsidRPr="006D7523">
        <w:t>nie biometanu do sieci gazow</w:t>
      </w:r>
      <w:r w:rsidR="00201E96" w:rsidRPr="006D7523">
        <w:t>ych</w:t>
      </w:r>
      <w:r w:rsidR="00382551" w:rsidRPr="006D7523">
        <w:t xml:space="preserve">, </w:t>
      </w:r>
      <w:r w:rsidR="000805EC" w:rsidRPr="006D7523">
        <w:t xml:space="preserve">przy czym prognozuje się </w:t>
      </w:r>
      <w:r w:rsidR="00DD48F0" w:rsidRPr="006D7523">
        <w:t>rosnący w czasie udział biometanu w</w:t>
      </w:r>
      <w:r w:rsidR="00831814" w:rsidRPr="006D7523">
        <w:t xml:space="preserve"> paliwie gazowym w </w:t>
      </w:r>
      <w:r w:rsidR="00DD48F0" w:rsidRPr="006D7523">
        <w:t xml:space="preserve">sieciach. </w:t>
      </w:r>
      <w:r w:rsidR="002302C3">
        <w:t>Docelowe</w:t>
      </w:r>
      <w:r w:rsidR="002A27D2" w:rsidRPr="006D7523">
        <w:t xml:space="preserve"> z</w:t>
      </w:r>
      <w:r w:rsidR="005A784E" w:rsidRPr="006D7523">
        <w:t xml:space="preserve">astosowanie </w:t>
      </w:r>
      <w:r w:rsidR="002A27D2" w:rsidRPr="006D7523">
        <w:t xml:space="preserve">biometanu </w:t>
      </w:r>
      <w:r w:rsidR="00E549AB" w:rsidRPr="006D7523">
        <w:t xml:space="preserve">to przede wszystkim </w:t>
      </w:r>
      <w:r w:rsidR="00886D19" w:rsidRPr="006D7523">
        <w:t xml:space="preserve">paliwo </w:t>
      </w:r>
      <w:r w:rsidR="00EB38E7" w:rsidRPr="006D7523">
        <w:t xml:space="preserve">szczytowe </w:t>
      </w:r>
      <w:r w:rsidR="00886D19" w:rsidRPr="006D7523">
        <w:t xml:space="preserve">w dyspozycyjnych blokach gazowych </w:t>
      </w:r>
      <w:r w:rsidR="001D3DF0" w:rsidRPr="006D7523">
        <w:t>w</w:t>
      </w:r>
      <w:r w:rsidR="00C7033C">
        <w:t> </w:t>
      </w:r>
      <w:r w:rsidR="002F7C78" w:rsidRPr="006D7523">
        <w:t>system</w:t>
      </w:r>
      <w:r w:rsidR="001D3DF0" w:rsidRPr="006D7523">
        <w:t>ie</w:t>
      </w:r>
      <w:r w:rsidR="0082739B" w:rsidRPr="006D7523">
        <w:t xml:space="preserve"> elektroenergetycznym</w:t>
      </w:r>
      <w:r w:rsidR="002F7C78" w:rsidRPr="006D7523">
        <w:t xml:space="preserve"> z rosnącym udziałem OZE</w:t>
      </w:r>
      <w:r w:rsidR="004D750B" w:rsidRPr="006D7523">
        <w:t xml:space="preserve">. Tym samym </w:t>
      </w:r>
      <w:r w:rsidR="004B6F6C" w:rsidRPr="006D7523">
        <w:t xml:space="preserve">biometan </w:t>
      </w:r>
      <w:r w:rsidR="00C26141" w:rsidRPr="006D7523">
        <w:t xml:space="preserve">będzie także </w:t>
      </w:r>
      <w:r w:rsidR="009F2BAC" w:rsidRPr="006D7523">
        <w:t xml:space="preserve">paliwem </w:t>
      </w:r>
      <w:r w:rsidR="004003A0" w:rsidRPr="006D7523">
        <w:t xml:space="preserve">w </w:t>
      </w:r>
      <w:r w:rsidR="001B2718" w:rsidRPr="006D7523">
        <w:t>ciepłownictwie</w:t>
      </w:r>
      <w:r w:rsidR="00567A21" w:rsidRPr="006D7523">
        <w:t xml:space="preserve"> </w:t>
      </w:r>
      <w:r w:rsidR="009F2BAC" w:rsidRPr="006D7523">
        <w:t>systemowym</w:t>
      </w:r>
      <w:r w:rsidR="00EB38E7" w:rsidRPr="006D7523">
        <w:t xml:space="preserve"> </w:t>
      </w:r>
      <w:r w:rsidR="00E14F92" w:rsidRPr="006D7523">
        <w:t>do zasilania</w:t>
      </w:r>
      <w:r w:rsidR="008F3330" w:rsidRPr="006D7523">
        <w:t xml:space="preserve"> </w:t>
      </w:r>
      <w:r w:rsidR="009368D9" w:rsidRPr="006D7523">
        <w:t>elektrociepłowni</w:t>
      </w:r>
      <w:r w:rsidR="005441DF" w:rsidRPr="006D7523">
        <w:t xml:space="preserve"> </w:t>
      </w:r>
      <w:r w:rsidR="008F3330" w:rsidRPr="006D7523">
        <w:t>pracujących</w:t>
      </w:r>
      <w:r w:rsidR="009368D9" w:rsidRPr="006D7523">
        <w:t xml:space="preserve"> w</w:t>
      </w:r>
      <w:r w:rsidR="00C7033C">
        <w:t> </w:t>
      </w:r>
      <w:r w:rsidR="00937460" w:rsidRPr="006D7523">
        <w:t>funkcji</w:t>
      </w:r>
      <w:r w:rsidR="002F7C78" w:rsidRPr="006D7523">
        <w:t xml:space="preserve"> </w:t>
      </w:r>
      <w:r w:rsidR="00006286" w:rsidRPr="006D7523">
        <w:t>źródeł szczytowych</w:t>
      </w:r>
      <w:r w:rsidR="00CF127C" w:rsidRPr="006D7523">
        <w:t xml:space="preserve"> </w:t>
      </w:r>
      <w:r w:rsidR="00E20068" w:rsidRPr="006D7523">
        <w:t xml:space="preserve">dla </w:t>
      </w:r>
      <w:r w:rsidR="0018046D">
        <w:t xml:space="preserve">systemu </w:t>
      </w:r>
      <w:r w:rsidR="00FC6A9D">
        <w:t>elektro</w:t>
      </w:r>
      <w:r w:rsidR="00E20068" w:rsidRPr="006D7523">
        <w:t>energety</w:t>
      </w:r>
      <w:r w:rsidR="0018046D">
        <w:t>cznego</w:t>
      </w:r>
      <w:r w:rsidR="00E20068" w:rsidRPr="006D7523">
        <w:t xml:space="preserve">, </w:t>
      </w:r>
      <w:r w:rsidR="00CF127C" w:rsidRPr="006D7523">
        <w:t>ładując</w:t>
      </w:r>
      <w:r w:rsidR="00430606" w:rsidRPr="006D7523">
        <w:t>ych</w:t>
      </w:r>
      <w:r w:rsidR="008F3330" w:rsidRPr="006D7523">
        <w:t xml:space="preserve"> jednocześnie</w:t>
      </w:r>
      <w:r w:rsidR="008632DB" w:rsidRPr="006D7523">
        <w:t xml:space="preserve"> </w:t>
      </w:r>
      <w:r w:rsidR="00CF127C" w:rsidRPr="006D7523">
        <w:t>magazyny ciepła</w:t>
      </w:r>
      <w:r w:rsidR="00006286" w:rsidRPr="006D7523">
        <w:t>.</w:t>
      </w:r>
      <w:r w:rsidR="00937460" w:rsidRPr="006D7523">
        <w:t xml:space="preserve"> </w:t>
      </w:r>
      <w:r w:rsidR="00474EB2" w:rsidRPr="006D7523">
        <w:t xml:space="preserve">Biometan to także </w:t>
      </w:r>
      <w:r w:rsidR="003E5906" w:rsidRPr="006D7523">
        <w:t xml:space="preserve">paliwo </w:t>
      </w:r>
      <w:r w:rsidR="0029164E">
        <w:t xml:space="preserve">i surowiec </w:t>
      </w:r>
      <w:r w:rsidR="00474EB2" w:rsidRPr="006D7523">
        <w:t>dla przemysłu.</w:t>
      </w:r>
      <w:r w:rsidRPr="006D7523">
        <w:t xml:space="preserve"> Zastosowanie biometanu ma pomóc w realizacji celu OZE ogółem oraz celu sektorowego dla transportu</w:t>
      </w:r>
      <w:r w:rsidR="00DA17A8" w:rsidRPr="006D7523">
        <w:t xml:space="preserve"> w zakresie paliw </w:t>
      </w:r>
      <w:r w:rsidR="005A7638" w:rsidRPr="006D7523">
        <w:t>z odpadów</w:t>
      </w:r>
      <w:r w:rsidRPr="006D7523">
        <w:t xml:space="preserve">; </w:t>
      </w:r>
    </w:p>
    <w:p w14:paraId="61BA8BA6" w14:textId="55C16887" w:rsidR="00CC720B" w:rsidRDefault="008B4539" w:rsidP="00463AF3">
      <w:pPr>
        <w:pStyle w:val="wyliczenie"/>
      </w:pPr>
      <w:r>
        <w:t xml:space="preserve">biomasa stała stanowi </w:t>
      </w:r>
      <w:r w:rsidR="00E35DA5">
        <w:t xml:space="preserve">tradycyjne </w:t>
      </w:r>
      <w:r>
        <w:t xml:space="preserve">paliwo </w:t>
      </w:r>
      <w:r w:rsidR="00CD79FE">
        <w:t xml:space="preserve">do ogrzewania </w:t>
      </w:r>
      <w:r>
        <w:t xml:space="preserve">w </w:t>
      </w:r>
      <w:r w:rsidR="00E35DA5">
        <w:t>gospodarstwach</w:t>
      </w:r>
      <w:r>
        <w:t xml:space="preserve"> domowych </w:t>
      </w:r>
      <w:r w:rsidR="00633BF6">
        <w:t xml:space="preserve">- </w:t>
      </w:r>
      <w:r w:rsidR="00E35DA5">
        <w:t>zwłaszcza na obszarach wiejskich</w:t>
      </w:r>
      <w:r w:rsidR="00AE62DB">
        <w:t xml:space="preserve"> </w:t>
      </w:r>
      <w:r w:rsidR="00633BF6">
        <w:t>oraz w rolnictwie. Z</w:t>
      </w:r>
      <w:r w:rsidR="008B3812">
        <w:t xml:space="preserve"> uwagi na kryteria zrównoważonego rozwoju </w:t>
      </w:r>
      <w:r w:rsidR="006755CC">
        <w:t>obowiązujące biomasę stosowaną w zakładach energetycznych</w:t>
      </w:r>
      <w:r w:rsidR="00FB1D4E">
        <w:t xml:space="preserve">, </w:t>
      </w:r>
      <w:r w:rsidR="00E520F2">
        <w:t xml:space="preserve">podaż biomasy </w:t>
      </w:r>
      <w:r w:rsidR="001F64A2">
        <w:t xml:space="preserve">krajowej </w:t>
      </w:r>
      <w:r w:rsidR="00E520F2">
        <w:t>jest</w:t>
      </w:r>
      <w:r w:rsidR="001F64A2">
        <w:t xml:space="preserve"> </w:t>
      </w:r>
      <w:r w:rsidR="00E520F2">
        <w:t xml:space="preserve">ograniczona. Biomasa </w:t>
      </w:r>
      <w:r w:rsidR="007653F4">
        <w:t xml:space="preserve">będzie </w:t>
      </w:r>
      <w:r w:rsidR="00E520F2">
        <w:t>wykorzystywana przede wszystkim lokalnie w</w:t>
      </w:r>
      <w:r w:rsidR="00774EF4">
        <w:t> </w:t>
      </w:r>
      <w:r w:rsidR="00E520F2">
        <w:t xml:space="preserve">oparciu o </w:t>
      </w:r>
      <w:r w:rsidR="003F330A">
        <w:t xml:space="preserve">nadwyżkowe zasoby. </w:t>
      </w:r>
      <w:r w:rsidR="00CC720B" w:rsidRPr="00B658E9">
        <w:t xml:space="preserve">Po 2040 r. </w:t>
      </w:r>
      <w:r w:rsidR="000D4E78">
        <w:t xml:space="preserve">należy </w:t>
      </w:r>
      <w:r w:rsidR="003327D3">
        <w:t xml:space="preserve">rozważyć </w:t>
      </w:r>
      <w:r w:rsidR="00EB4F67" w:rsidRPr="00B658E9">
        <w:t>instalacje</w:t>
      </w:r>
      <w:r w:rsidR="00CC720B" w:rsidRPr="00B658E9">
        <w:t xml:space="preserve"> energetycznego</w:t>
      </w:r>
      <w:r w:rsidR="006111B4" w:rsidRPr="00B658E9">
        <w:t xml:space="preserve"> wykorzystania biomas</w:t>
      </w:r>
      <w:r w:rsidR="00070358">
        <w:t>y</w:t>
      </w:r>
      <w:r w:rsidR="006111B4" w:rsidRPr="00B658E9">
        <w:t xml:space="preserve"> </w:t>
      </w:r>
      <w:r w:rsidR="00B658E9" w:rsidRPr="00B658E9">
        <w:t>wyposażone</w:t>
      </w:r>
      <w:r w:rsidR="00CC720B" w:rsidRPr="00B658E9">
        <w:t xml:space="preserve"> w instalacje CCS</w:t>
      </w:r>
      <w:r w:rsidR="00F20A88">
        <w:t>, które</w:t>
      </w:r>
      <w:r w:rsidR="00CC720B" w:rsidRPr="00B658E9">
        <w:t xml:space="preserve"> mogą być źródłem ujemnych emisji w systemie EU ETS, co umożliwi kompensację emisji GHG z innych sektorów, gdzie redukcja </w:t>
      </w:r>
      <w:r w:rsidR="005E490C">
        <w:t>nie będzie</w:t>
      </w:r>
      <w:r w:rsidR="00CC720B" w:rsidRPr="00B658E9">
        <w:t xml:space="preserve"> niemożliwa ze względów technologicznych i ekonomicznych</w:t>
      </w:r>
      <w:r w:rsidR="00CC720B">
        <w:t xml:space="preserve">. </w:t>
      </w:r>
    </w:p>
    <w:p w14:paraId="4C8C5CF6" w14:textId="18A7AE49" w:rsidR="00CC720B" w:rsidRDefault="00CC720B" w:rsidP="00CC720B">
      <w:pPr>
        <w:pStyle w:val="wyliczenie"/>
      </w:pPr>
      <w:r>
        <w:t>w</w:t>
      </w:r>
      <w:r w:rsidRPr="00EA0A6B">
        <w:t xml:space="preserve"> porównaniu</w:t>
      </w:r>
      <w:r>
        <w:t xml:space="preserve"> z </w:t>
      </w:r>
      <w:r w:rsidRPr="00EA0A6B">
        <w:t>2020</w:t>
      </w:r>
      <w:r>
        <w:t> r.</w:t>
      </w:r>
      <w:r w:rsidRPr="00EA0A6B">
        <w:t>, przewiduje się nieznaczny wzrost wykorzystania odpadów komunalnych</w:t>
      </w:r>
      <w:r>
        <w:t xml:space="preserve"> i </w:t>
      </w:r>
      <w:r w:rsidRPr="00EA0A6B">
        <w:t>przemysłowych do celów energetycznych wynikający</w:t>
      </w:r>
      <w:r>
        <w:t xml:space="preserve"> z </w:t>
      </w:r>
      <w:r w:rsidRPr="00EA0A6B">
        <w:t>założenia realizacji rozpoczętych inwestycji</w:t>
      </w:r>
      <w:r>
        <w:t xml:space="preserve"> w </w:t>
      </w:r>
      <w:r w:rsidRPr="00EA0A6B">
        <w:t>spalarnie odpadów</w:t>
      </w:r>
      <w:r>
        <w:t xml:space="preserve"> w </w:t>
      </w:r>
      <w:r w:rsidRPr="00EA0A6B">
        <w:t>największych polskich miastach.</w:t>
      </w:r>
      <w:r>
        <w:t xml:space="preserve"> </w:t>
      </w:r>
      <w:r w:rsidR="00B376CC">
        <w:t>W</w:t>
      </w:r>
      <w:r w:rsidRPr="00EA0A6B">
        <w:t>ysokie emisje związane ze spalaniem odpadów</w:t>
      </w:r>
      <w:r w:rsidR="00B376CC">
        <w:t xml:space="preserve"> oraz </w:t>
      </w:r>
      <w:r w:rsidRPr="00EA0A6B">
        <w:t>włączeni</w:t>
      </w:r>
      <w:r w:rsidR="00B376CC">
        <w:t>e</w:t>
      </w:r>
      <w:r w:rsidRPr="00EA0A6B">
        <w:t xml:space="preserve"> tego rodzaju instalacji do systemu </w:t>
      </w:r>
      <w:r>
        <w:t xml:space="preserve">EU </w:t>
      </w:r>
      <w:r w:rsidRPr="00EA0A6B">
        <w:t>ETS od 2026</w:t>
      </w:r>
      <w:r>
        <w:t> r.</w:t>
      </w:r>
      <w:r w:rsidRPr="00EA0A6B">
        <w:t xml:space="preserve"> </w:t>
      </w:r>
      <w:r w:rsidR="0083543B">
        <w:t>ograniczają s</w:t>
      </w:r>
      <w:r w:rsidRPr="00EA0A6B">
        <w:t xml:space="preserve">zersze wykorzystanie </w:t>
      </w:r>
      <w:r w:rsidR="00D243A6">
        <w:t>tego typu technologii</w:t>
      </w:r>
      <w:r>
        <w:t>;</w:t>
      </w:r>
    </w:p>
    <w:p w14:paraId="3FD7144C" w14:textId="77D3E678" w:rsidR="00CC720B" w:rsidRDefault="00CC720B" w:rsidP="00CC720B">
      <w:pPr>
        <w:pStyle w:val="wyliczenie"/>
      </w:pPr>
      <w:r>
        <w:t xml:space="preserve">przewiduje się zastosowanie </w:t>
      </w:r>
      <w:r w:rsidR="00BF2DC7">
        <w:t>odnawialnego</w:t>
      </w:r>
      <w:r>
        <w:t xml:space="preserve"> wodoru jak</w:t>
      </w:r>
      <w:r w:rsidR="001030DA">
        <w:t>o</w:t>
      </w:r>
      <w:r>
        <w:t xml:space="preserve"> brakującego ogniwa w transformacji energetycznej kraju</w:t>
      </w:r>
      <w:r w:rsidRPr="00DF1D54">
        <w:t>. Wodór</w:t>
      </w:r>
      <w:r w:rsidR="00ED1439">
        <w:t xml:space="preserve"> RFNBO</w:t>
      </w:r>
      <w:r w:rsidRPr="00DF1D54">
        <w:t xml:space="preserve"> będzie odgrywał kluczową rolę w</w:t>
      </w:r>
      <w:r w:rsidR="005E4637" w:rsidRPr="00DF1D54">
        <w:t xml:space="preserve"> sektorze </w:t>
      </w:r>
      <w:r w:rsidRPr="00DF1D54">
        <w:t>przemysłu</w:t>
      </w:r>
      <w:r w:rsidR="007C6BDE" w:rsidRPr="00DF1D54">
        <w:t xml:space="preserve"> – </w:t>
      </w:r>
      <w:r w:rsidR="004F759A" w:rsidRPr="00DF1D54">
        <w:t xml:space="preserve">przede wszystkim </w:t>
      </w:r>
      <w:r w:rsidR="00297A23" w:rsidRPr="00DF1D54">
        <w:t xml:space="preserve">jako element </w:t>
      </w:r>
      <w:r w:rsidR="007C6BDE" w:rsidRPr="00DF1D54">
        <w:t>dekarbonizacj</w:t>
      </w:r>
      <w:r w:rsidR="00297A23" w:rsidRPr="00DF1D54">
        <w:t>i</w:t>
      </w:r>
      <w:r w:rsidR="007C6BDE" w:rsidRPr="00DF1D54">
        <w:t xml:space="preserve"> procesów produkcyjnych</w:t>
      </w:r>
      <w:r w:rsidR="001428C1" w:rsidRPr="00DF1D54">
        <w:t xml:space="preserve"> </w:t>
      </w:r>
      <w:r w:rsidR="00297A23" w:rsidRPr="00DF1D54">
        <w:t>(</w:t>
      </w:r>
      <w:r w:rsidR="00175A2D" w:rsidRPr="00DF1D54">
        <w:t xml:space="preserve">w szczególności </w:t>
      </w:r>
      <w:r w:rsidR="00297A23" w:rsidRPr="00DF1D54">
        <w:t>przemysł chemiczny i stalowy)</w:t>
      </w:r>
      <w:r w:rsidRPr="00DF1D54">
        <w:t>. W sektorze</w:t>
      </w:r>
      <w:r>
        <w:t xml:space="preserve"> elektroenergetycznym wodór to</w:t>
      </w:r>
      <w:r w:rsidR="00697445">
        <w:t xml:space="preserve">, podobnie jak biometan, </w:t>
      </w:r>
      <w:r>
        <w:t>źródło elastyczności w systemach z dużym udziałem źródeł OZE. Zgodnie z zaprezentowanymi projekcjami, produkcja wodoru</w:t>
      </w:r>
      <w:r w:rsidR="003F022E">
        <w:t xml:space="preserve"> odnawialnego</w:t>
      </w:r>
      <w:r w:rsidR="000B3E2C">
        <w:t>, w tym RFNBO</w:t>
      </w:r>
      <w:r w:rsidR="003F022E">
        <w:t xml:space="preserve"> </w:t>
      </w:r>
      <w:r>
        <w:t xml:space="preserve">staje się znacząca w okresie po 2035 r. i osiąga wartość </w:t>
      </w:r>
      <w:r w:rsidR="00875055" w:rsidRPr="00875055">
        <w:t>prawie 4</w:t>
      </w:r>
      <w:r>
        <w:t xml:space="preserve"> </w:t>
      </w:r>
      <w:r w:rsidRPr="00875055">
        <w:t>Mtoe w 20</w:t>
      </w:r>
      <w:r w:rsidR="003B2FE0" w:rsidRPr="00875055">
        <w:t>4</w:t>
      </w:r>
      <w:r w:rsidRPr="00875055">
        <w:t>0 r.</w:t>
      </w:r>
    </w:p>
    <w:p w14:paraId="393273AA" w14:textId="77777777" w:rsidR="00CC720B" w:rsidRDefault="00CC720B" w:rsidP="00CC720B">
      <w:pPr>
        <w:pStyle w:val="wyliczenie"/>
        <w:numPr>
          <w:ilvl w:val="0"/>
          <w:numId w:val="0"/>
        </w:numPr>
        <w:ind w:left="720" w:hanging="360"/>
      </w:pPr>
    </w:p>
    <w:p w14:paraId="1F78FD97" w14:textId="7FEDF8AF" w:rsidR="005C4144" w:rsidRDefault="005C4144" w:rsidP="005C4144">
      <w:pPr>
        <w:pStyle w:val="Legenda"/>
      </w:pPr>
      <w:bookmarkStart w:id="419" w:name="_Ref158372306"/>
      <w:bookmarkStart w:id="420" w:name="_Ref167820634"/>
      <w:bookmarkStart w:id="421" w:name="_Ref195871772"/>
      <w:bookmarkStart w:id="422" w:name="_Toc171587202"/>
      <w:bookmarkStart w:id="423" w:name="_Toc174710986"/>
      <w:bookmarkStart w:id="424" w:name="_Toc202966992"/>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3</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w:t>
      </w:r>
      <w:r w:rsidR="00653D9A">
        <w:rPr>
          <w:noProof/>
        </w:rPr>
        <w:fldChar w:fldCharType="end"/>
      </w:r>
      <w:bookmarkEnd w:id="419"/>
      <w:bookmarkEnd w:id="420"/>
      <w:bookmarkEnd w:id="421"/>
      <w:r>
        <w:t xml:space="preserve">. </w:t>
      </w:r>
      <w:r w:rsidRPr="00550750">
        <w:t>Produkcja krajowa</w:t>
      </w:r>
      <w:r>
        <w:t xml:space="preserve"> z </w:t>
      </w:r>
      <w:r w:rsidRPr="00550750">
        <w:t xml:space="preserve">podziałem na rodzaj paliwa [ktoe] – scenariusz </w:t>
      </w:r>
      <w:r>
        <w:t>WAM</w:t>
      </w:r>
      <w:bookmarkEnd w:id="422"/>
      <w:bookmarkEnd w:id="423"/>
      <w:bookmarkEnd w:id="424"/>
    </w:p>
    <w:tbl>
      <w:tblPr>
        <w:tblStyle w:val="KPEiK"/>
        <w:tblW w:w="4979" w:type="pct"/>
        <w:tblLayout w:type="fixed"/>
        <w:tblLook w:val="04A0" w:firstRow="1" w:lastRow="0" w:firstColumn="1" w:lastColumn="0" w:noHBand="0" w:noVBand="1"/>
      </w:tblPr>
      <w:tblGrid>
        <w:gridCol w:w="1878"/>
        <w:gridCol w:w="893"/>
        <w:gridCol w:w="893"/>
        <w:gridCol w:w="893"/>
        <w:gridCol w:w="894"/>
        <w:gridCol w:w="893"/>
        <w:gridCol w:w="893"/>
        <w:gridCol w:w="893"/>
        <w:gridCol w:w="894"/>
      </w:tblGrid>
      <w:tr w:rsidR="0082254D" w:rsidRPr="00550750" w14:paraId="01C61AE1" w14:textId="77777777" w:rsidTr="0082254D">
        <w:trPr>
          <w:cnfStyle w:val="100000000000" w:firstRow="1" w:lastRow="0" w:firstColumn="0" w:lastColumn="0" w:oddVBand="0" w:evenVBand="0" w:oddHBand="0" w:evenHBand="0" w:firstRowFirstColumn="0" w:firstRowLastColumn="0" w:lastRowFirstColumn="0" w:lastRowLastColumn="0"/>
          <w:trHeight w:val="236"/>
          <w:tblHeader/>
        </w:trPr>
        <w:tc>
          <w:tcPr>
            <w:tcW w:w="1878" w:type="dxa"/>
            <w:noWrap/>
            <w:hideMark/>
          </w:tcPr>
          <w:p w14:paraId="7FA55C59" w14:textId="77777777" w:rsidR="0082254D" w:rsidRPr="00550750" w:rsidRDefault="0082254D">
            <w:pPr>
              <w:pStyle w:val="Tabele"/>
              <w:jc w:val="center"/>
            </w:pPr>
          </w:p>
        </w:tc>
        <w:tc>
          <w:tcPr>
            <w:tcW w:w="893" w:type="dxa"/>
            <w:hideMark/>
          </w:tcPr>
          <w:p w14:paraId="05D4C204" w14:textId="4D1D8B87" w:rsidR="0082254D" w:rsidRPr="00550750" w:rsidRDefault="0082254D">
            <w:pPr>
              <w:pStyle w:val="Tabele"/>
              <w:jc w:val="center"/>
              <w:rPr>
                <w:bCs/>
              </w:rPr>
            </w:pPr>
            <w:r w:rsidRPr="00550750">
              <w:rPr>
                <w:bCs/>
              </w:rPr>
              <w:t>2005</w:t>
            </w:r>
          </w:p>
        </w:tc>
        <w:tc>
          <w:tcPr>
            <w:tcW w:w="893" w:type="dxa"/>
            <w:hideMark/>
          </w:tcPr>
          <w:p w14:paraId="4E23B459" w14:textId="77777777" w:rsidR="0082254D" w:rsidRPr="00550750" w:rsidRDefault="0082254D">
            <w:pPr>
              <w:pStyle w:val="Tabele"/>
              <w:jc w:val="center"/>
              <w:rPr>
                <w:bCs/>
              </w:rPr>
            </w:pPr>
            <w:r w:rsidRPr="00550750">
              <w:rPr>
                <w:bCs/>
              </w:rPr>
              <w:t>2010</w:t>
            </w:r>
          </w:p>
        </w:tc>
        <w:tc>
          <w:tcPr>
            <w:tcW w:w="893" w:type="dxa"/>
            <w:hideMark/>
          </w:tcPr>
          <w:p w14:paraId="4ACA8A35" w14:textId="77777777" w:rsidR="0082254D" w:rsidRPr="00550750" w:rsidRDefault="0082254D">
            <w:pPr>
              <w:pStyle w:val="Tabele"/>
              <w:jc w:val="center"/>
              <w:rPr>
                <w:bCs/>
              </w:rPr>
            </w:pPr>
            <w:r w:rsidRPr="00550750">
              <w:rPr>
                <w:bCs/>
              </w:rPr>
              <w:t>2015</w:t>
            </w:r>
          </w:p>
        </w:tc>
        <w:tc>
          <w:tcPr>
            <w:tcW w:w="894" w:type="dxa"/>
            <w:hideMark/>
          </w:tcPr>
          <w:p w14:paraId="5724DEDB" w14:textId="77777777" w:rsidR="0082254D" w:rsidRPr="00550750" w:rsidRDefault="0082254D">
            <w:pPr>
              <w:pStyle w:val="Tabele"/>
              <w:jc w:val="center"/>
              <w:rPr>
                <w:bCs/>
              </w:rPr>
            </w:pPr>
            <w:r w:rsidRPr="00550750">
              <w:rPr>
                <w:bCs/>
              </w:rPr>
              <w:t>2020</w:t>
            </w:r>
          </w:p>
        </w:tc>
        <w:tc>
          <w:tcPr>
            <w:tcW w:w="893" w:type="dxa"/>
            <w:hideMark/>
          </w:tcPr>
          <w:p w14:paraId="3C865BF7" w14:textId="77777777" w:rsidR="0082254D" w:rsidRPr="00550750" w:rsidRDefault="0082254D">
            <w:pPr>
              <w:pStyle w:val="Tabele"/>
              <w:jc w:val="center"/>
              <w:rPr>
                <w:bCs/>
              </w:rPr>
            </w:pPr>
            <w:r w:rsidRPr="00550750">
              <w:rPr>
                <w:bCs/>
              </w:rPr>
              <w:t>2025</w:t>
            </w:r>
          </w:p>
        </w:tc>
        <w:tc>
          <w:tcPr>
            <w:tcW w:w="893" w:type="dxa"/>
            <w:hideMark/>
          </w:tcPr>
          <w:p w14:paraId="0982D57F" w14:textId="77777777" w:rsidR="0082254D" w:rsidRPr="00550750" w:rsidRDefault="0082254D">
            <w:pPr>
              <w:pStyle w:val="Tabele"/>
              <w:jc w:val="center"/>
              <w:rPr>
                <w:bCs/>
              </w:rPr>
            </w:pPr>
            <w:r w:rsidRPr="00550750">
              <w:rPr>
                <w:bCs/>
              </w:rPr>
              <w:t>2030</w:t>
            </w:r>
          </w:p>
        </w:tc>
        <w:tc>
          <w:tcPr>
            <w:tcW w:w="893" w:type="dxa"/>
            <w:hideMark/>
          </w:tcPr>
          <w:p w14:paraId="7B45168A" w14:textId="77777777" w:rsidR="0082254D" w:rsidRPr="00550750" w:rsidRDefault="0082254D">
            <w:pPr>
              <w:pStyle w:val="Tabele"/>
              <w:jc w:val="center"/>
              <w:rPr>
                <w:bCs/>
              </w:rPr>
            </w:pPr>
            <w:r w:rsidRPr="00550750">
              <w:rPr>
                <w:bCs/>
              </w:rPr>
              <w:t>2035</w:t>
            </w:r>
          </w:p>
        </w:tc>
        <w:tc>
          <w:tcPr>
            <w:tcW w:w="894" w:type="dxa"/>
          </w:tcPr>
          <w:p w14:paraId="247EAF2F" w14:textId="77777777" w:rsidR="0082254D" w:rsidRPr="00550750" w:rsidRDefault="0082254D">
            <w:pPr>
              <w:pStyle w:val="Tabele"/>
              <w:jc w:val="center"/>
              <w:rPr>
                <w:bCs/>
              </w:rPr>
            </w:pPr>
            <w:r>
              <w:rPr>
                <w:bCs/>
              </w:rPr>
              <w:t>2040</w:t>
            </w:r>
          </w:p>
        </w:tc>
      </w:tr>
      <w:tr w:rsidR="0082254D" w:rsidRPr="00F85B97" w14:paraId="51E316C1" w14:textId="77777777" w:rsidTr="0082254D">
        <w:trPr>
          <w:trHeight w:val="236"/>
        </w:trPr>
        <w:tc>
          <w:tcPr>
            <w:tcW w:w="1878" w:type="dxa"/>
          </w:tcPr>
          <w:p w14:paraId="15AF8261" w14:textId="1B67B553" w:rsidR="0082254D" w:rsidRPr="001A6A9E" w:rsidRDefault="0082254D" w:rsidP="005B59E2">
            <w:pPr>
              <w:pStyle w:val="Tabele"/>
              <w:rPr>
                <w:color w:val="auto"/>
              </w:rPr>
            </w:pPr>
            <w:r w:rsidRPr="001A6A9E">
              <w:rPr>
                <w:color w:val="auto"/>
              </w:rPr>
              <w:t xml:space="preserve">Węgiel brunatny </w:t>
            </w:r>
          </w:p>
        </w:tc>
        <w:tc>
          <w:tcPr>
            <w:tcW w:w="893" w:type="dxa"/>
            <w:shd w:val="clear" w:color="auto" w:fill="C5E0B3"/>
            <w:noWrap/>
          </w:tcPr>
          <w:p w14:paraId="1A6531FF" w14:textId="74A3FB07" w:rsidR="0082254D" w:rsidRPr="001A6A9E" w:rsidRDefault="0082254D" w:rsidP="005B59E2">
            <w:pPr>
              <w:pStyle w:val="Tabele"/>
              <w:jc w:val="right"/>
              <w:rPr>
                <w:color w:val="auto"/>
              </w:rPr>
            </w:pPr>
            <w:r w:rsidRPr="001A6A9E">
              <w:rPr>
                <w:color w:val="auto"/>
              </w:rPr>
              <w:t>12 736</w:t>
            </w:r>
          </w:p>
        </w:tc>
        <w:tc>
          <w:tcPr>
            <w:tcW w:w="893" w:type="dxa"/>
            <w:shd w:val="clear" w:color="auto" w:fill="C5E0B3"/>
            <w:noWrap/>
          </w:tcPr>
          <w:p w14:paraId="373BB5EA" w14:textId="51E23F7E" w:rsidR="0082254D" w:rsidRPr="001A6A9E" w:rsidRDefault="0082254D" w:rsidP="005B59E2">
            <w:pPr>
              <w:pStyle w:val="Tabele"/>
              <w:jc w:val="right"/>
              <w:rPr>
                <w:color w:val="auto"/>
              </w:rPr>
            </w:pPr>
            <w:r w:rsidRPr="001A6A9E">
              <w:rPr>
                <w:color w:val="auto"/>
              </w:rPr>
              <w:t>11 559</w:t>
            </w:r>
          </w:p>
        </w:tc>
        <w:tc>
          <w:tcPr>
            <w:tcW w:w="893" w:type="dxa"/>
            <w:shd w:val="clear" w:color="auto" w:fill="C5E0B3"/>
            <w:noWrap/>
          </w:tcPr>
          <w:p w14:paraId="08BEA748" w14:textId="6FAA99AA" w:rsidR="0082254D" w:rsidRPr="001A6A9E" w:rsidRDefault="0082254D" w:rsidP="005B59E2">
            <w:pPr>
              <w:pStyle w:val="Tabele"/>
              <w:jc w:val="right"/>
              <w:rPr>
                <w:color w:val="auto"/>
              </w:rPr>
            </w:pPr>
            <w:r w:rsidRPr="001A6A9E">
              <w:rPr>
                <w:color w:val="auto"/>
              </w:rPr>
              <w:t>12 299</w:t>
            </w:r>
          </w:p>
        </w:tc>
        <w:tc>
          <w:tcPr>
            <w:tcW w:w="894" w:type="dxa"/>
            <w:shd w:val="clear" w:color="auto" w:fill="C5E0B3"/>
            <w:noWrap/>
          </w:tcPr>
          <w:p w14:paraId="15241D65" w14:textId="7ED6073D" w:rsidR="0082254D" w:rsidRPr="001A6A9E" w:rsidRDefault="0082254D" w:rsidP="005B59E2">
            <w:pPr>
              <w:pStyle w:val="Tabele"/>
              <w:jc w:val="right"/>
              <w:rPr>
                <w:color w:val="auto"/>
              </w:rPr>
            </w:pPr>
            <w:r w:rsidRPr="001A6A9E">
              <w:rPr>
                <w:color w:val="auto"/>
              </w:rPr>
              <w:t>8 824</w:t>
            </w:r>
          </w:p>
        </w:tc>
        <w:tc>
          <w:tcPr>
            <w:tcW w:w="893" w:type="dxa"/>
            <w:noWrap/>
          </w:tcPr>
          <w:p w14:paraId="258873ED" w14:textId="73E0B25B" w:rsidR="0082254D" w:rsidRPr="001A6A9E" w:rsidRDefault="0082254D" w:rsidP="005B59E2">
            <w:pPr>
              <w:pStyle w:val="Tabele"/>
              <w:jc w:val="right"/>
              <w:rPr>
                <w:rFonts w:cs="Arial"/>
                <w:color w:val="auto"/>
                <w:szCs w:val="16"/>
              </w:rPr>
            </w:pPr>
            <w:r w:rsidRPr="001A6A9E">
              <w:rPr>
                <w:rFonts w:cs="Arial"/>
                <w:color w:val="auto"/>
                <w:szCs w:val="16"/>
              </w:rPr>
              <w:t>6 967</w:t>
            </w:r>
          </w:p>
        </w:tc>
        <w:tc>
          <w:tcPr>
            <w:tcW w:w="893" w:type="dxa"/>
            <w:noWrap/>
          </w:tcPr>
          <w:p w14:paraId="7ED40277" w14:textId="0E274F5D" w:rsidR="0082254D" w:rsidRPr="001A6A9E" w:rsidRDefault="0082254D" w:rsidP="005B59E2">
            <w:pPr>
              <w:pStyle w:val="Tabele"/>
              <w:jc w:val="right"/>
              <w:rPr>
                <w:rFonts w:cs="Arial"/>
                <w:color w:val="auto"/>
                <w:szCs w:val="16"/>
              </w:rPr>
            </w:pPr>
            <w:r w:rsidRPr="001A6A9E">
              <w:rPr>
                <w:rFonts w:cs="Arial"/>
                <w:color w:val="auto"/>
                <w:szCs w:val="16"/>
              </w:rPr>
              <w:t>3 144</w:t>
            </w:r>
          </w:p>
        </w:tc>
        <w:tc>
          <w:tcPr>
            <w:tcW w:w="893" w:type="dxa"/>
            <w:vMerge w:val="restart"/>
            <w:noWrap/>
          </w:tcPr>
          <w:p w14:paraId="266F985A" w14:textId="35D3E235" w:rsidR="0082254D" w:rsidRPr="001A6A9E" w:rsidRDefault="0082254D" w:rsidP="00276E7A">
            <w:pPr>
              <w:pStyle w:val="Tabele"/>
              <w:jc w:val="right"/>
              <w:rPr>
                <w:rFonts w:cs="Arial"/>
                <w:color w:val="auto"/>
                <w:szCs w:val="16"/>
              </w:rPr>
            </w:pPr>
            <w:r>
              <w:rPr>
                <w:rFonts w:cs="Arial"/>
                <w:color w:val="auto"/>
                <w:szCs w:val="16"/>
              </w:rPr>
              <w:t>5905</w:t>
            </w:r>
          </w:p>
        </w:tc>
        <w:tc>
          <w:tcPr>
            <w:tcW w:w="894" w:type="dxa"/>
            <w:vMerge w:val="restart"/>
          </w:tcPr>
          <w:p w14:paraId="223477C2" w14:textId="577AD571" w:rsidR="0082254D" w:rsidRPr="001A6A9E" w:rsidRDefault="0082254D" w:rsidP="0082254D">
            <w:pPr>
              <w:pStyle w:val="Tabele"/>
              <w:jc w:val="right"/>
              <w:rPr>
                <w:rFonts w:cs="Arial"/>
                <w:color w:val="auto"/>
                <w:szCs w:val="16"/>
              </w:rPr>
            </w:pPr>
            <w:r w:rsidRPr="001A6A9E">
              <w:rPr>
                <w:rFonts w:cs="Arial"/>
                <w:color w:val="auto"/>
                <w:szCs w:val="16"/>
              </w:rPr>
              <w:t>1 48</w:t>
            </w:r>
            <w:r>
              <w:rPr>
                <w:rFonts w:cs="Arial"/>
                <w:color w:val="auto"/>
                <w:szCs w:val="16"/>
              </w:rPr>
              <w:t>8</w:t>
            </w:r>
          </w:p>
        </w:tc>
      </w:tr>
      <w:tr w:rsidR="0082254D" w:rsidRPr="00F85B97" w14:paraId="48E8651D" w14:textId="77777777" w:rsidTr="0082254D">
        <w:trPr>
          <w:trHeight w:val="236"/>
        </w:trPr>
        <w:tc>
          <w:tcPr>
            <w:tcW w:w="1878" w:type="dxa"/>
            <w:hideMark/>
          </w:tcPr>
          <w:p w14:paraId="2801E323" w14:textId="77777777" w:rsidR="0082254D" w:rsidRPr="001A6A9E" w:rsidRDefault="0082254D" w:rsidP="005B59E2">
            <w:pPr>
              <w:pStyle w:val="Tabele"/>
              <w:rPr>
                <w:color w:val="auto"/>
              </w:rPr>
            </w:pPr>
            <w:r w:rsidRPr="001A6A9E">
              <w:rPr>
                <w:color w:val="auto"/>
              </w:rPr>
              <w:t>Węgiel kamienny</w:t>
            </w:r>
          </w:p>
        </w:tc>
        <w:tc>
          <w:tcPr>
            <w:tcW w:w="893" w:type="dxa"/>
            <w:shd w:val="clear" w:color="auto" w:fill="C5E0B3"/>
            <w:noWrap/>
            <w:hideMark/>
          </w:tcPr>
          <w:p w14:paraId="6B736E70" w14:textId="087B27E2" w:rsidR="0082254D" w:rsidRPr="001A6A9E" w:rsidRDefault="0082254D" w:rsidP="005B59E2">
            <w:pPr>
              <w:pStyle w:val="Tabele"/>
              <w:jc w:val="right"/>
              <w:rPr>
                <w:color w:val="auto"/>
              </w:rPr>
            </w:pPr>
            <w:r w:rsidRPr="001A6A9E">
              <w:rPr>
                <w:color w:val="auto"/>
              </w:rPr>
              <w:t>45 736</w:t>
            </w:r>
          </w:p>
        </w:tc>
        <w:tc>
          <w:tcPr>
            <w:tcW w:w="893" w:type="dxa"/>
            <w:shd w:val="clear" w:color="auto" w:fill="C5E0B3"/>
            <w:noWrap/>
            <w:hideMark/>
          </w:tcPr>
          <w:p w14:paraId="46609C6C" w14:textId="77777777" w:rsidR="0082254D" w:rsidRPr="001A6A9E" w:rsidRDefault="0082254D" w:rsidP="005B59E2">
            <w:pPr>
              <w:pStyle w:val="Tabele"/>
              <w:jc w:val="right"/>
              <w:rPr>
                <w:color w:val="auto"/>
              </w:rPr>
            </w:pPr>
            <w:r w:rsidRPr="001A6A9E">
              <w:rPr>
                <w:color w:val="auto"/>
              </w:rPr>
              <w:t>35 302</w:t>
            </w:r>
          </w:p>
        </w:tc>
        <w:tc>
          <w:tcPr>
            <w:tcW w:w="893" w:type="dxa"/>
            <w:shd w:val="clear" w:color="auto" w:fill="C5E0B3"/>
            <w:noWrap/>
            <w:hideMark/>
          </w:tcPr>
          <w:p w14:paraId="035DBE12" w14:textId="77777777" w:rsidR="0082254D" w:rsidRPr="001A6A9E" w:rsidRDefault="0082254D" w:rsidP="005B59E2">
            <w:pPr>
              <w:pStyle w:val="Tabele"/>
              <w:jc w:val="right"/>
              <w:rPr>
                <w:color w:val="auto"/>
              </w:rPr>
            </w:pPr>
            <w:r w:rsidRPr="001A6A9E">
              <w:rPr>
                <w:color w:val="auto"/>
              </w:rPr>
              <w:t>32 136</w:t>
            </w:r>
          </w:p>
        </w:tc>
        <w:tc>
          <w:tcPr>
            <w:tcW w:w="894" w:type="dxa"/>
            <w:shd w:val="clear" w:color="auto" w:fill="C5E0B3"/>
            <w:noWrap/>
            <w:hideMark/>
          </w:tcPr>
          <w:p w14:paraId="3E515C0E" w14:textId="77777777" w:rsidR="0082254D" w:rsidRPr="001A6A9E" w:rsidRDefault="0082254D" w:rsidP="005B59E2">
            <w:pPr>
              <w:pStyle w:val="Tabele"/>
              <w:jc w:val="right"/>
              <w:rPr>
                <w:color w:val="auto"/>
              </w:rPr>
            </w:pPr>
            <w:r w:rsidRPr="001A6A9E">
              <w:rPr>
                <w:color w:val="auto"/>
              </w:rPr>
              <w:t>22 554</w:t>
            </w:r>
          </w:p>
        </w:tc>
        <w:tc>
          <w:tcPr>
            <w:tcW w:w="893" w:type="dxa"/>
            <w:noWrap/>
            <w:hideMark/>
          </w:tcPr>
          <w:p w14:paraId="524562AC" w14:textId="77777777" w:rsidR="0082254D" w:rsidRPr="001A6A9E" w:rsidRDefault="0082254D" w:rsidP="005B59E2">
            <w:pPr>
              <w:pStyle w:val="Tabele"/>
              <w:jc w:val="right"/>
              <w:rPr>
                <w:color w:val="auto"/>
              </w:rPr>
            </w:pPr>
            <w:r w:rsidRPr="001A6A9E">
              <w:rPr>
                <w:rFonts w:cs="Arial"/>
                <w:color w:val="auto"/>
                <w:szCs w:val="16"/>
              </w:rPr>
              <w:t>18 590</w:t>
            </w:r>
          </w:p>
        </w:tc>
        <w:tc>
          <w:tcPr>
            <w:tcW w:w="893" w:type="dxa"/>
            <w:noWrap/>
            <w:hideMark/>
          </w:tcPr>
          <w:p w14:paraId="4AE7354E" w14:textId="77777777" w:rsidR="0082254D" w:rsidRPr="001A6A9E" w:rsidRDefault="0082254D" w:rsidP="005B59E2">
            <w:pPr>
              <w:pStyle w:val="Tabele"/>
              <w:jc w:val="right"/>
              <w:rPr>
                <w:color w:val="auto"/>
              </w:rPr>
            </w:pPr>
            <w:r w:rsidRPr="001A6A9E">
              <w:rPr>
                <w:rFonts w:cs="Arial"/>
                <w:color w:val="auto"/>
                <w:szCs w:val="16"/>
              </w:rPr>
              <w:t>10 867</w:t>
            </w:r>
          </w:p>
        </w:tc>
        <w:tc>
          <w:tcPr>
            <w:tcW w:w="893" w:type="dxa"/>
            <w:vMerge/>
            <w:noWrap/>
            <w:hideMark/>
          </w:tcPr>
          <w:p w14:paraId="22F4BC7E" w14:textId="1C35E019" w:rsidR="0082254D" w:rsidRPr="001A6A9E" w:rsidRDefault="0082254D" w:rsidP="005B59E2">
            <w:pPr>
              <w:pStyle w:val="Tabele"/>
              <w:jc w:val="right"/>
              <w:rPr>
                <w:color w:val="auto"/>
              </w:rPr>
            </w:pPr>
          </w:p>
        </w:tc>
        <w:tc>
          <w:tcPr>
            <w:tcW w:w="894" w:type="dxa"/>
            <w:vMerge/>
          </w:tcPr>
          <w:p w14:paraId="21EFE85F" w14:textId="570E8E27" w:rsidR="0082254D" w:rsidRPr="001A6A9E" w:rsidRDefault="0082254D" w:rsidP="005B59E2">
            <w:pPr>
              <w:pStyle w:val="Tabele"/>
              <w:jc w:val="right"/>
              <w:rPr>
                <w:color w:val="auto"/>
              </w:rPr>
            </w:pPr>
          </w:p>
        </w:tc>
      </w:tr>
      <w:tr w:rsidR="0082254D" w:rsidRPr="00F85B97" w14:paraId="38DD24D2" w14:textId="77777777" w:rsidTr="0082254D">
        <w:trPr>
          <w:trHeight w:val="236"/>
        </w:trPr>
        <w:tc>
          <w:tcPr>
            <w:tcW w:w="1878" w:type="dxa"/>
            <w:hideMark/>
          </w:tcPr>
          <w:p w14:paraId="167BE001" w14:textId="77777777" w:rsidR="0082254D" w:rsidRPr="001A6A9E" w:rsidRDefault="0082254D" w:rsidP="005B59E2">
            <w:pPr>
              <w:pStyle w:val="Tabele"/>
              <w:rPr>
                <w:color w:val="auto"/>
              </w:rPr>
            </w:pPr>
            <w:r w:rsidRPr="001A6A9E">
              <w:rPr>
                <w:color w:val="auto"/>
              </w:rPr>
              <w:t>Węgiel koksujący</w:t>
            </w:r>
          </w:p>
        </w:tc>
        <w:tc>
          <w:tcPr>
            <w:tcW w:w="893" w:type="dxa"/>
            <w:shd w:val="clear" w:color="auto" w:fill="C5E0B3"/>
            <w:noWrap/>
            <w:hideMark/>
          </w:tcPr>
          <w:p w14:paraId="294D515E" w14:textId="0540F9CB" w:rsidR="0082254D" w:rsidRPr="001A6A9E" w:rsidRDefault="0082254D" w:rsidP="005B59E2">
            <w:pPr>
              <w:pStyle w:val="Tabele"/>
              <w:jc w:val="right"/>
              <w:rPr>
                <w:color w:val="auto"/>
              </w:rPr>
            </w:pPr>
            <w:r w:rsidRPr="001A6A9E">
              <w:rPr>
                <w:color w:val="auto"/>
              </w:rPr>
              <w:t>9 948</w:t>
            </w:r>
          </w:p>
        </w:tc>
        <w:tc>
          <w:tcPr>
            <w:tcW w:w="893" w:type="dxa"/>
            <w:shd w:val="clear" w:color="auto" w:fill="C5E0B3"/>
            <w:noWrap/>
            <w:hideMark/>
          </w:tcPr>
          <w:p w14:paraId="1637562C" w14:textId="77777777" w:rsidR="0082254D" w:rsidRPr="001A6A9E" w:rsidRDefault="0082254D" w:rsidP="005B59E2">
            <w:pPr>
              <w:pStyle w:val="Tabele"/>
              <w:jc w:val="right"/>
              <w:rPr>
                <w:color w:val="auto"/>
              </w:rPr>
            </w:pPr>
            <w:r w:rsidRPr="001A6A9E">
              <w:rPr>
                <w:color w:val="auto"/>
              </w:rPr>
              <w:t>8 216</w:t>
            </w:r>
          </w:p>
        </w:tc>
        <w:tc>
          <w:tcPr>
            <w:tcW w:w="893" w:type="dxa"/>
            <w:shd w:val="clear" w:color="auto" w:fill="C5E0B3"/>
            <w:noWrap/>
            <w:hideMark/>
          </w:tcPr>
          <w:p w14:paraId="63F19359" w14:textId="77777777" w:rsidR="0082254D" w:rsidRPr="001A6A9E" w:rsidRDefault="0082254D" w:rsidP="005B59E2">
            <w:pPr>
              <w:pStyle w:val="Tabele"/>
              <w:jc w:val="right"/>
              <w:rPr>
                <w:color w:val="auto"/>
              </w:rPr>
            </w:pPr>
            <w:r w:rsidRPr="001A6A9E">
              <w:rPr>
                <w:color w:val="auto"/>
              </w:rPr>
              <w:t>9 155</w:t>
            </w:r>
          </w:p>
        </w:tc>
        <w:tc>
          <w:tcPr>
            <w:tcW w:w="894" w:type="dxa"/>
            <w:shd w:val="clear" w:color="auto" w:fill="C5E0B3"/>
            <w:noWrap/>
            <w:hideMark/>
          </w:tcPr>
          <w:p w14:paraId="45AEB478" w14:textId="77777777" w:rsidR="0082254D" w:rsidRPr="001A6A9E" w:rsidRDefault="0082254D" w:rsidP="005B59E2">
            <w:pPr>
              <w:pStyle w:val="Tabele"/>
              <w:jc w:val="right"/>
              <w:rPr>
                <w:color w:val="auto"/>
              </w:rPr>
            </w:pPr>
            <w:r w:rsidRPr="001A6A9E">
              <w:rPr>
                <w:color w:val="auto"/>
              </w:rPr>
              <w:t>8 654</w:t>
            </w:r>
          </w:p>
        </w:tc>
        <w:tc>
          <w:tcPr>
            <w:tcW w:w="893" w:type="dxa"/>
            <w:noWrap/>
            <w:hideMark/>
          </w:tcPr>
          <w:p w14:paraId="5A4E3217" w14:textId="77777777" w:rsidR="0082254D" w:rsidRPr="001A6A9E" w:rsidRDefault="0082254D" w:rsidP="005B59E2">
            <w:pPr>
              <w:pStyle w:val="Tabele"/>
              <w:jc w:val="right"/>
              <w:rPr>
                <w:color w:val="auto"/>
              </w:rPr>
            </w:pPr>
            <w:r w:rsidRPr="001A6A9E">
              <w:rPr>
                <w:rFonts w:cs="Arial"/>
                <w:color w:val="auto"/>
                <w:szCs w:val="16"/>
              </w:rPr>
              <w:t>7 345</w:t>
            </w:r>
          </w:p>
        </w:tc>
        <w:tc>
          <w:tcPr>
            <w:tcW w:w="893" w:type="dxa"/>
            <w:noWrap/>
            <w:hideMark/>
          </w:tcPr>
          <w:p w14:paraId="04E475AD" w14:textId="77777777" w:rsidR="0082254D" w:rsidRPr="001A6A9E" w:rsidRDefault="0082254D" w:rsidP="005B59E2">
            <w:pPr>
              <w:pStyle w:val="Tabele"/>
              <w:jc w:val="right"/>
              <w:rPr>
                <w:color w:val="auto"/>
              </w:rPr>
            </w:pPr>
            <w:r w:rsidRPr="001A6A9E">
              <w:rPr>
                <w:rFonts w:cs="Arial"/>
                <w:color w:val="auto"/>
                <w:szCs w:val="16"/>
              </w:rPr>
              <w:t>7 259</w:t>
            </w:r>
          </w:p>
        </w:tc>
        <w:tc>
          <w:tcPr>
            <w:tcW w:w="893" w:type="dxa"/>
            <w:noWrap/>
            <w:hideMark/>
          </w:tcPr>
          <w:p w14:paraId="4B830EBE" w14:textId="77777777" w:rsidR="0082254D" w:rsidRPr="001A6A9E" w:rsidRDefault="0082254D" w:rsidP="005B59E2">
            <w:pPr>
              <w:pStyle w:val="Tabele"/>
              <w:jc w:val="right"/>
              <w:rPr>
                <w:color w:val="auto"/>
              </w:rPr>
            </w:pPr>
            <w:r w:rsidRPr="001A6A9E">
              <w:rPr>
                <w:rFonts w:cs="Arial"/>
                <w:color w:val="auto"/>
                <w:szCs w:val="16"/>
              </w:rPr>
              <w:t>7 177</w:t>
            </w:r>
          </w:p>
        </w:tc>
        <w:tc>
          <w:tcPr>
            <w:tcW w:w="894" w:type="dxa"/>
          </w:tcPr>
          <w:p w14:paraId="7DD95EE5" w14:textId="77777777" w:rsidR="0082254D" w:rsidRPr="001A6A9E" w:rsidRDefault="0082254D" w:rsidP="005B59E2">
            <w:pPr>
              <w:pStyle w:val="Tabele"/>
              <w:jc w:val="right"/>
              <w:rPr>
                <w:color w:val="auto"/>
              </w:rPr>
            </w:pPr>
            <w:r w:rsidRPr="001A6A9E">
              <w:rPr>
                <w:rFonts w:cs="Arial"/>
                <w:color w:val="auto"/>
                <w:szCs w:val="16"/>
              </w:rPr>
              <w:t>7 001</w:t>
            </w:r>
          </w:p>
        </w:tc>
      </w:tr>
      <w:tr w:rsidR="0082254D" w:rsidRPr="00F85B97" w14:paraId="2F7AC5F9" w14:textId="77777777" w:rsidTr="0082254D">
        <w:trPr>
          <w:trHeight w:val="236"/>
        </w:trPr>
        <w:tc>
          <w:tcPr>
            <w:tcW w:w="1878" w:type="dxa"/>
            <w:hideMark/>
          </w:tcPr>
          <w:p w14:paraId="16DA5BF1" w14:textId="77777777" w:rsidR="0082254D" w:rsidRPr="001A6A9E" w:rsidRDefault="0082254D" w:rsidP="005B59E2">
            <w:pPr>
              <w:pStyle w:val="Tabele"/>
              <w:rPr>
                <w:color w:val="auto"/>
              </w:rPr>
            </w:pPr>
            <w:r w:rsidRPr="001A6A9E">
              <w:rPr>
                <w:color w:val="auto"/>
              </w:rPr>
              <w:t>Koks</w:t>
            </w:r>
          </w:p>
        </w:tc>
        <w:tc>
          <w:tcPr>
            <w:tcW w:w="893" w:type="dxa"/>
            <w:shd w:val="clear" w:color="auto" w:fill="C5E0B3"/>
            <w:noWrap/>
            <w:hideMark/>
          </w:tcPr>
          <w:p w14:paraId="5205E33F" w14:textId="79EE4788" w:rsidR="0082254D" w:rsidRPr="001A6A9E" w:rsidRDefault="0082254D" w:rsidP="005B59E2">
            <w:pPr>
              <w:pStyle w:val="Tabele"/>
              <w:jc w:val="right"/>
              <w:rPr>
                <w:color w:val="auto"/>
              </w:rPr>
            </w:pPr>
            <w:r w:rsidRPr="001A6A9E">
              <w:rPr>
                <w:color w:val="auto"/>
              </w:rPr>
              <w:t>5 721</w:t>
            </w:r>
          </w:p>
        </w:tc>
        <w:tc>
          <w:tcPr>
            <w:tcW w:w="893" w:type="dxa"/>
            <w:shd w:val="clear" w:color="auto" w:fill="C5E0B3"/>
            <w:noWrap/>
            <w:hideMark/>
          </w:tcPr>
          <w:p w14:paraId="46EBD8A7" w14:textId="77777777" w:rsidR="0082254D" w:rsidRPr="001A6A9E" w:rsidRDefault="0082254D" w:rsidP="005B59E2">
            <w:pPr>
              <w:pStyle w:val="Tabele"/>
              <w:jc w:val="right"/>
              <w:rPr>
                <w:color w:val="auto"/>
              </w:rPr>
            </w:pPr>
            <w:r w:rsidRPr="001A6A9E">
              <w:rPr>
                <w:color w:val="auto"/>
              </w:rPr>
              <w:t>6 701</w:t>
            </w:r>
          </w:p>
        </w:tc>
        <w:tc>
          <w:tcPr>
            <w:tcW w:w="893" w:type="dxa"/>
            <w:shd w:val="clear" w:color="auto" w:fill="C5E0B3"/>
            <w:noWrap/>
            <w:hideMark/>
          </w:tcPr>
          <w:p w14:paraId="60E366AB" w14:textId="77777777" w:rsidR="0082254D" w:rsidRPr="001A6A9E" w:rsidRDefault="0082254D" w:rsidP="005B59E2">
            <w:pPr>
              <w:pStyle w:val="Tabele"/>
              <w:jc w:val="right"/>
              <w:rPr>
                <w:color w:val="auto"/>
              </w:rPr>
            </w:pPr>
            <w:r w:rsidRPr="001A6A9E">
              <w:rPr>
                <w:color w:val="auto"/>
              </w:rPr>
              <w:t>6 666</w:t>
            </w:r>
          </w:p>
        </w:tc>
        <w:tc>
          <w:tcPr>
            <w:tcW w:w="894" w:type="dxa"/>
            <w:shd w:val="clear" w:color="auto" w:fill="C5E0B3"/>
            <w:noWrap/>
            <w:hideMark/>
          </w:tcPr>
          <w:p w14:paraId="0EE68C76" w14:textId="77777777" w:rsidR="0082254D" w:rsidRPr="001A6A9E" w:rsidRDefault="0082254D" w:rsidP="005B59E2">
            <w:pPr>
              <w:pStyle w:val="Tabele"/>
              <w:jc w:val="right"/>
              <w:rPr>
                <w:color w:val="auto"/>
              </w:rPr>
            </w:pPr>
            <w:r w:rsidRPr="001A6A9E">
              <w:rPr>
                <w:color w:val="auto"/>
              </w:rPr>
              <w:t>5 205</w:t>
            </w:r>
          </w:p>
        </w:tc>
        <w:tc>
          <w:tcPr>
            <w:tcW w:w="893" w:type="dxa"/>
            <w:noWrap/>
            <w:hideMark/>
          </w:tcPr>
          <w:p w14:paraId="3DA73248" w14:textId="77777777" w:rsidR="0082254D" w:rsidRPr="001A6A9E" w:rsidRDefault="0082254D" w:rsidP="005B59E2">
            <w:pPr>
              <w:pStyle w:val="Tabele"/>
              <w:jc w:val="right"/>
              <w:rPr>
                <w:color w:val="auto"/>
              </w:rPr>
            </w:pPr>
            <w:r w:rsidRPr="001A6A9E">
              <w:rPr>
                <w:rFonts w:cs="Arial"/>
                <w:color w:val="auto"/>
                <w:szCs w:val="16"/>
              </w:rPr>
              <w:t>5 330</w:t>
            </w:r>
          </w:p>
        </w:tc>
        <w:tc>
          <w:tcPr>
            <w:tcW w:w="893" w:type="dxa"/>
            <w:noWrap/>
            <w:hideMark/>
          </w:tcPr>
          <w:p w14:paraId="5240BC76" w14:textId="77777777" w:rsidR="0082254D" w:rsidRPr="001A6A9E" w:rsidRDefault="0082254D" w:rsidP="005B59E2">
            <w:pPr>
              <w:pStyle w:val="Tabele"/>
              <w:jc w:val="right"/>
              <w:rPr>
                <w:color w:val="auto"/>
              </w:rPr>
            </w:pPr>
            <w:r w:rsidRPr="001A6A9E">
              <w:rPr>
                <w:rFonts w:cs="Arial"/>
                <w:color w:val="auto"/>
                <w:szCs w:val="16"/>
              </w:rPr>
              <w:t>5 344</w:t>
            </w:r>
          </w:p>
        </w:tc>
        <w:tc>
          <w:tcPr>
            <w:tcW w:w="893" w:type="dxa"/>
            <w:noWrap/>
            <w:hideMark/>
          </w:tcPr>
          <w:p w14:paraId="188ADF93" w14:textId="77777777" w:rsidR="0082254D" w:rsidRPr="001A6A9E" w:rsidRDefault="0082254D" w:rsidP="005B59E2">
            <w:pPr>
              <w:pStyle w:val="Tabele"/>
              <w:jc w:val="right"/>
              <w:rPr>
                <w:color w:val="auto"/>
              </w:rPr>
            </w:pPr>
            <w:r w:rsidRPr="001A6A9E">
              <w:rPr>
                <w:rFonts w:cs="Arial"/>
                <w:color w:val="auto"/>
                <w:szCs w:val="16"/>
              </w:rPr>
              <w:t>5 349</w:t>
            </w:r>
          </w:p>
        </w:tc>
        <w:tc>
          <w:tcPr>
            <w:tcW w:w="894" w:type="dxa"/>
          </w:tcPr>
          <w:p w14:paraId="22AFC2AD" w14:textId="77777777" w:rsidR="0082254D" w:rsidRPr="001A6A9E" w:rsidRDefault="0082254D" w:rsidP="005B59E2">
            <w:pPr>
              <w:pStyle w:val="Tabele"/>
              <w:jc w:val="right"/>
              <w:rPr>
                <w:color w:val="auto"/>
              </w:rPr>
            </w:pPr>
            <w:r w:rsidRPr="001A6A9E">
              <w:rPr>
                <w:rFonts w:cs="Arial"/>
                <w:color w:val="auto"/>
                <w:szCs w:val="16"/>
              </w:rPr>
              <w:t>5 276</w:t>
            </w:r>
          </w:p>
        </w:tc>
      </w:tr>
      <w:tr w:rsidR="0082254D" w:rsidRPr="00F85B97" w14:paraId="67BCE23D" w14:textId="77777777" w:rsidTr="0082254D">
        <w:trPr>
          <w:trHeight w:val="236"/>
        </w:trPr>
        <w:tc>
          <w:tcPr>
            <w:tcW w:w="1878" w:type="dxa"/>
            <w:hideMark/>
          </w:tcPr>
          <w:p w14:paraId="0693FAE7" w14:textId="77777777" w:rsidR="0082254D" w:rsidRPr="001A6A9E" w:rsidRDefault="0082254D" w:rsidP="005B59E2">
            <w:pPr>
              <w:pStyle w:val="Tabele"/>
              <w:rPr>
                <w:color w:val="auto"/>
              </w:rPr>
            </w:pPr>
            <w:r w:rsidRPr="001A6A9E">
              <w:rPr>
                <w:color w:val="auto"/>
              </w:rPr>
              <w:t>Ropa naftowa</w:t>
            </w:r>
          </w:p>
        </w:tc>
        <w:tc>
          <w:tcPr>
            <w:tcW w:w="893" w:type="dxa"/>
            <w:shd w:val="clear" w:color="auto" w:fill="C5E0B3"/>
            <w:noWrap/>
            <w:hideMark/>
          </w:tcPr>
          <w:p w14:paraId="760D35AC" w14:textId="7998F31D" w:rsidR="0082254D" w:rsidRPr="001A6A9E" w:rsidRDefault="0082254D" w:rsidP="005B59E2">
            <w:pPr>
              <w:pStyle w:val="Tabele"/>
              <w:jc w:val="right"/>
              <w:rPr>
                <w:color w:val="auto"/>
              </w:rPr>
            </w:pPr>
            <w:r w:rsidRPr="001A6A9E">
              <w:rPr>
                <w:color w:val="auto"/>
              </w:rPr>
              <w:t>840</w:t>
            </w:r>
          </w:p>
        </w:tc>
        <w:tc>
          <w:tcPr>
            <w:tcW w:w="893" w:type="dxa"/>
            <w:shd w:val="clear" w:color="auto" w:fill="C5E0B3"/>
            <w:noWrap/>
            <w:hideMark/>
          </w:tcPr>
          <w:p w14:paraId="73D10BCE" w14:textId="77777777" w:rsidR="0082254D" w:rsidRPr="001A6A9E" w:rsidRDefault="0082254D" w:rsidP="005B59E2">
            <w:pPr>
              <w:pStyle w:val="Tabele"/>
              <w:jc w:val="right"/>
              <w:rPr>
                <w:color w:val="auto"/>
              </w:rPr>
            </w:pPr>
            <w:r w:rsidRPr="001A6A9E">
              <w:rPr>
                <w:color w:val="auto"/>
              </w:rPr>
              <w:t>681</w:t>
            </w:r>
          </w:p>
        </w:tc>
        <w:tc>
          <w:tcPr>
            <w:tcW w:w="893" w:type="dxa"/>
            <w:shd w:val="clear" w:color="auto" w:fill="C5E0B3"/>
            <w:noWrap/>
            <w:hideMark/>
          </w:tcPr>
          <w:p w14:paraId="35BED5A6" w14:textId="77777777" w:rsidR="0082254D" w:rsidRPr="001A6A9E" w:rsidRDefault="0082254D" w:rsidP="005B59E2">
            <w:pPr>
              <w:pStyle w:val="Tabele"/>
              <w:jc w:val="right"/>
              <w:rPr>
                <w:color w:val="auto"/>
              </w:rPr>
            </w:pPr>
            <w:r w:rsidRPr="001A6A9E">
              <w:rPr>
                <w:color w:val="auto"/>
              </w:rPr>
              <w:t>922</w:t>
            </w:r>
          </w:p>
        </w:tc>
        <w:tc>
          <w:tcPr>
            <w:tcW w:w="894" w:type="dxa"/>
            <w:shd w:val="clear" w:color="auto" w:fill="C5E0B3"/>
            <w:noWrap/>
            <w:hideMark/>
          </w:tcPr>
          <w:p w14:paraId="751705DC" w14:textId="77777777" w:rsidR="0082254D" w:rsidRPr="001A6A9E" w:rsidRDefault="0082254D" w:rsidP="005B59E2">
            <w:pPr>
              <w:pStyle w:val="Tabele"/>
              <w:jc w:val="right"/>
              <w:rPr>
                <w:color w:val="auto"/>
              </w:rPr>
            </w:pPr>
            <w:r w:rsidRPr="001A6A9E">
              <w:rPr>
                <w:color w:val="auto"/>
              </w:rPr>
              <w:t>934</w:t>
            </w:r>
          </w:p>
        </w:tc>
        <w:tc>
          <w:tcPr>
            <w:tcW w:w="893" w:type="dxa"/>
            <w:noWrap/>
            <w:hideMark/>
          </w:tcPr>
          <w:p w14:paraId="0F48D0D8" w14:textId="77777777" w:rsidR="0082254D" w:rsidRPr="001A6A9E" w:rsidRDefault="0082254D" w:rsidP="005B59E2">
            <w:pPr>
              <w:pStyle w:val="Tabele"/>
              <w:jc w:val="right"/>
              <w:rPr>
                <w:color w:val="auto"/>
              </w:rPr>
            </w:pPr>
            <w:r w:rsidRPr="001A6A9E">
              <w:rPr>
                <w:rFonts w:cs="Arial"/>
                <w:color w:val="auto"/>
                <w:szCs w:val="16"/>
              </w:rPr>
              <w:t>1 000</w:t>
            </w:r>
          </w:p>
        </w:tc>
        <w:tc>
          <w:tcPr>
            <w:tcW w:w="893" w:type="dxa"/>
            <w:noWrap/>
            <w:hideMark/>
          </w:tcPr>
          <w:p w14:paraId="7780B520" w14:textId="77777777" w:rsidR="0082254D" w:rsidRPr="001A6A9E" w:rsidRDefault="0082254D" w:rsidP="005B59E2">
            <w:pPr>
              <w:pStyle w:val="Tabele"/>
              <w:jc w:val="right"/>
              <w:rPr>
                <w:color w:val="auto"/>
              </w:rPr>
            </w:pPr>
            <w:r w:rsidRPr="001A6A9E">
              <w:rPr>
                <w:rFonts w:cs="Arial"/>
                <w:color w:val="auto"/>
                <w:szCs w:val="16"/>
              </w:rPr>
              <w:t>1 000</w:t>
            </w:r>
          </w:p>
        </w:tc>
        <w:tc>
          <w:tcPr>
            <w:tcW w:w="893" w:type="dxa"/>
            <w:noWrap/>
            <w:hideMark/>
          </w:tcPr>
          <w:p w14:paraId="1FB1717B" w14:textId="77777777" w:rsidR="0082254D" w:rsidRPr="001A6A9E" w:rsidRDefault="0082254D" w:rsidP="005B59E2">
            <w:pPr>
              <w:pStyle w:val="Tabele"/>
              <w:jc w:val="right"/>
              <w:rPr>
                <w:color w:val="auto"/>
              </w:rPr>
            </w:pPr>
            <w:r w:rsidRPr="001A6A9E">
              <w:rPr>
                <w:rFonts w:cs="Arial"/>
                <w:color w:val="auto"/>
                <w:szCs w:val="16"/>
              </w:rPr>
              <w:t>1 000</w:t>
            </w:r>
          </w:p>
        </w:tc>
        <w:tc>
          <w:tcPr>
            <w:tcW w:w="894" w:type="dxa"/>
          </w:tcPr>
          <w:p w14:paraId="755B420A" w14:textId="77777777" w:rsidR="0082254D" w:rsidRPr="001A6A9E" w:rsidRDefault="0082254D" w:rsidP="005B59E2">
            <w:pPr>
              <w:pStyle w:val="Tabele"/>
              <w:jc w:val="right"/>
              <w:rPr>
                <w:color w:val="auto"/>
              </w:rPr>
            </w:pPr>
            <w:r w:rsidRPr="001A6A9E">
              <w:rPr>
                <w:rFonts w:cs="Arial"/>
                <w:color w:val="auto"/>
                <w:szCs w:val="16"/>
              </w:rPr>
              <w:t>1 000</w:t>
            </w:r>
          </w:p>
        </w:tc>
      </w:tr>
      <w:tr w:rsidR="0082254D" w:rsidRPr="00F85B97" w14:paraId="13632BAD" w14:textId="77777777" w:rsidTr="0082254D">
        <w:trPr>
          <w:trHeight w:val="236"/>
        </w:trPr>
        <w:tc>
          <w:tcPr>
            <w:tcW w:w="1878" w:type="dxa"/>
            <w:hideMark/>
          </w:tcPr>
          <w:p w14:paraId="544022F0" w14:textId="77777777" w:rsidR="0082254D" w:rsidRPr="001A6A9E" w:rsidRDefault="0082254D" w:rsidP="005B59E2">
            <w:pPr>
              <w:pStyle w:val="Tabele"/>
              <w:rPr>
                <w:color w:val="auto"/>
              </w:rPr>
            </w:pPr>
            <w:r w:rsidRPr="001A6A9E">
              <w:rPr>
                <w:color w:val="auto"/>
              </w:rPr>
              <w:t>LPG</w:t>
            </w:r>
          </w:p>
        </w:tc>
        <w:tc>
          <w:tcPr>
            <w:tcW w:w="893" w:type="dxa"/>
            <w:shd w:val="clear" w:color="auto" w:fill="C5E0B3"/>
            <w:noWrap/>
            <w:hideMark/>
          </w:tcPr>
          <w:p w14:paraId="3B8936CA" w14:textId="071FA394" w:rsidR="0082254D" w:rsidRPr="001A6A9E" w:rsidRDefault="0082254D" w:rsidP="005B59E2">
            <w:pPr>
              <w:pStyle w:val="Tabele"/>
              <w:jc w:val="right"/>
              <w:rPr>
                <w:color w:val="auto"/>
              </w:rPr>
            </w:pPr>
            <w:r w:rsidRPr="001A6A9E">
              <w:rPr>
                <w:color w:val="auto"/>
              </w:rPr>
              <w:t>312</w:t>
            </w:r>
          </w:p>
        </w:tc>
        <w:tc>
          <w:tcPr>
            <w:tcW w:w="893" w:type="dxa"/>
            <w:shd w:val="clear" w:color="auto" w:fill="C5E0B3"/>
            <w:noWrap/>
            <w:hideMark/>
          </w:tcPr>
          <w:p w14:paraId="1A07C8EA" w14:textId="77777777" w:rsidR="0082254D" w:rsidRPr="001A6A9E" w:rsidRDefault="0082254D" w:rsidP="005B59E2">
            <w:pPr>
              <w:pStyle w:val="Tabele"/>
              <w:jc w:val="right"/>
              <w:rPr>
                <w:color w:val="auto"/>
              </w:rPr>
            </w:pPr>
            <w:r w:rsidRPr="001A6A9E">
              <w:rPr>
                <w:color w:val="auto"/>
              </w:rPr>
              <w:t>466</w:t>
            </w:r>
          </w:p>
        </w:tc>
        <w:tc>
          <w:tcPr>
            <w:tcW w:w="893" w:type="dxa"/>
            <w:shd w:val="clear" w:color="auto" w:fill="C5E0B3"/>
            <w:noWrap/>
            <w:hideMark/>
          </w:tcPr>
          <w:p w14:paraId="37B37134" w14:textId="77777777" w:rsidR="0082254D" w:rsidRPr="001A6A9E" w:rsidRDefault="0082254D" w:rsidP="005B59E2">
            <w:pPr>
              <w:pStyle w:val="Tabele"/>
              <w:jc w:val="right"/>
              <w:rPr>
                <w:color w:val="auto"/>
              </w:rPr>
            </w:pPr>
            <w:r w:rsidRPr="001A6A9E">
              <w:rPr>
                <w:color w:val="auto"/>
              </w:rPr>
              <w:t>632</w:t>
            </w:r>
          </w:p>
        </w:tc>
        <w:tc>
          <w:tcPr>
            <w:tcW w:w="894" w:type="dxa"/>
            <w:shd w:val="clear" w:color="auto" w:fill="C5E0B3"/>
            <w:noWrap/>
            <w:hideMark/>
          </w:tcPr>
          <w:p w14:paraId="7A0ABA91" w14:textId="77777777" w:rsidR="0082254D" w:rsidRPr="001A6A9E" w:rsidRDefault="0082254D" w:rsidP="005B59E2">
            <w:pPr>
              <w:pStyle w:val="Tabele"/>
              <w:jc w:val="right"/>
              <w:rPr>
                <w:color w:val="auto"/>
              </w:rPr>
            </w:pPr>
            <w:r w:rsidRPr="001A6A9E">
              <w:rPr>
                <w:color w:val="auto"/>
              </w:rPr>
              <w:t>749</w:t>
            </w:r>
          </w:p>
        </w:tc>
        <w:tc>
          <w:tcPr>
            <w:tcW w:w="893" w:type="dxa"/>
            <w:noWrap/>
            <w:hideMark/>
          </w:tcPr>
          <w:p w14:paraId="08A45559" w14:textId="77777777" w:rsidR="0082254D" w:rsidRPr="001A6A9E" w:rsidRDefault="0082254D" w:rsidP="005B59E2">
            <w:pPr>
              <w:pStyle w:val="Tabele"/>
              <w:jc w:val="right"/>
              <w:rPr>
                <w:color w:val="auto"/>
              </w:rPr>
            </w:pPr>
            <w:r w:rsidRPr="001A6A9E">
              <w:rPr>
                <w:rFonts w:cs="Arial"/>
                <w:color w:val="auto"/>
                <w:szCs w:val="16"/>
              </w:rPr>
              <w:t>521</w:t>
            </w:r>
          </w:p>
        </w:tc>
        <w:tc>
          <w:tcPr>
            <w:tcW w:w="893" w:type="dxa"/>
            <w:noWrap/>
            <w:hideMark/>
          </w:tcPr>
          <w:p w14:paraId="236AF6CC" w14:textId="77777777" w:rsidR="0082254D" w:rsidRPr="001A6A9E" w:rsidRDefault="0082254D" w:rsidP="005B59E2">
            <w:pPr>
              <w:pStyle w:val="Tabele"/>
              <w:jc w:val="right"/>
              <w:rPr>
                <w:color w:val="auto"/>
              </w:rPr>
            </w:pPr>
            <w:r w:rsidRPr="001A6A9E">
              <w:rPr>
                <w:rFonts w:cs="Arial"/>
                <w:color w:val="auto"/>
                <w:szCs w:val="16"/>
              </w:rPr>
              <w:t>488</w:t>
            </w:r>
          </w:p>
        </w:tc>
        <w:tc>
          <w:tcPr>
            <w:tcW w:w="893" w:type="dxa"/>
            <w:noWrap/>
            <w:hideMark/>
          </w:tcPr>
          <w:p w14:paraId="598AC42D" w14:textId="77777777" w:rsidR="0082254D" w:rsidRPr="001A6A9E" w:rsidRDefault="0082254D" w:rsidP="005B59E2">
            <w:pPr>
              <w:pStyle w:val="Tabele"/>
              <w:jc w:val="right"/>
              <w:rPr>
                <w:color w:val="auto"/>
              </w:rPr>
            </w:pPr>
            <w:r w:rsidRPr="001A6A9E">
              <w:rPr>
                <w:rFonts w:cs="Arial"/>
                <w:color w:val="auto"/>
                <w:szCs w:val="16"/>
              </w:rPr>
              <w:t>468</w:t>
            </w:r>
          </w:p>
        </w:tc>
        <w:tc>
          <w:tcPr>
            <w:tcW w:w="894" w:type="dxa"/>
          </w:tcPr>
          <w:p w14:paraId="3B94EAE8" w14:textId="77777777" w:rsidR="0082254D" w:rsidRPr="001A6A9E" w:rsidRDefault="0082254D" w:rsidP="005B59E2">
            <w:pPr>
              <w:pStyle w:val="Tabele"/>
              <w:jc w:val="right"/>
              <w:rPr>
                <w:color w:val="auto"/>
              </w:rPr>
            </w:pPr>
            <w:r w:rsidRPr="001A6A9E">
              <w:rPr>
                <w:rFonts w:cs="Arial"/>
                <w:color w:val="auto"/>
                <w:szCs w:val="16"/>
              </w:rPr>
              <w:t>455</w:t>
            </w:r>
          </w:p>
        </w:tc>
      </w:tr>
      <w:tr w:rsidR="0082254D" w:rsidRPr="00F85B97" w14:paraId="37E7D0B7" w14:textId="77777777" w:rsidTr="0082254D">
        <w:trPr>
          <w:trHeight w:val="236"/>
        </w:trPr>
        <w:tc>
          <w:tcPr>
            <w:tcW w:w="1878" w:type="dxa"/>
            <w:hideMark/>
          </w:tcPr>
          <w:p w14:paraId="5E8F3F2C" w14:textId="77777777" w:rsidR="0082254D" w:rsidRPr="001A6A9E" w:rsidRDefault="0082254D" w:rsidP="005B59E2">
            <w:pPr>
              <w:pStyle w:val="Tabele"/>
              <w:rPr>
                <w:color w:val="auto"/>
              </w:rPr>
            </w:pPr>
            <w:r w:rsidRPr="001A6A9E">
              <w:rPr>
                <w:color w:val="auto"/>
              </w:rPr>
              <w:t>Benzyna</w:t>
            </w:r>
          </w:p>
        </w:tc>
        <w:tc>
          <w:tcPr>
            <w:tcW w:w="893" w:type="dxa"/>
            <w:shd w:val="clear" w:color="auto" w:fill="C5E0B3"/>
            <w:noWrap/>
            <w:hideMark/>
          </w:tcPr>
          <w:p w14:paraId="38776515" w14:textId="580CF90D" w:rsidR="0082254D" w:rsidRPr="001A6A9E" w:rsidRDefault="0082254D" w:rsidP="005B59E2">
            <w:pPr>
              <w:pStyle w:val="Tabele"/>
              <w:jc w:val="right"/>
              <w:rPr>
                <w:color w:val="auto"/>
              </w:rPr>
            </w:pPr>
            <w:r w:rsidRPr="001A6A9E">
              <w:rPr>
                <w:color w:val="auto"/>
              </w:rPr>
              <w:t>4 415</w:t>
            </w:r>
          </w:p>
        </w:tc>
        <w:tc>
          <w:tcPr>
            <w:tcW w:w="893" w:type="dxa"/>
            <w:shd w:val="clear" w:color="auto" w:fill="C5E0B3"/>
            <w:noWrap/>
            <w:hideMark/>
          </w:tcPr>
          <w:p w14:paraId="576DB842" w14:textId="77777777" w:rsidR="0082254D" w:rsidRPr="001A6A9E" w:rsidRDefault="0082254D" w:rsidP="005B59E2">
            <w:pPr>
              <w:pStyle w:val="Tabele"/>
              <w:jc w:val="right"/>
              <w:rPr>
                <w:color w:val="auto"/>
              </w:rPr>
            </w:pPr>
            <w:r w:rsidRPr="001A6A9E">
              <w:rPr>
                <w:color w:val="auto"/>
              </w:rPr>
              <w:t>4 326</w:t>
            </w:r>
          </w:p>
        </w:tc>
        <w:tc>
          <w:tcPr>
            <w:tcW w:w="893" w:type="dxa"/>
            <w:shd w:val="clear" w:color="auto" w:fill="C5E0B3"/>
            <w:noWrap/>
            <w:hideMark/>
          </w:tcPr>
          <w:p w14:paraId="2742AFD1" w14:textId="77777777" w:rsidR="0082254D" w:rsidRPr="001A6A9E" w:rsidRDefault="0082254D" w:rsidP="005B59E2">
            <w:pPr>
              <w:pStyle w:val="Tabele"/>
              <w:jc w:val="right"/>
              <w:rPr>
                <w:color w:val="auto"/>
              </w:rPr>
            </w:pPr>
            <w:r w:rsidRPr="001A6A9E">
              <w:rPr>
                <w:color w:val="auto"/>
              </w:rPr>
              <w:t>4 046</w:t>
            </w:r>
          </w:p>
        </w:tc>
        <w:tc>
          <w:tcPr>
            <w:tcW w:w="894" w:type="dxa"/>
            <w:shd w:val="clear" w:color="auto" w:fill="C5E0B3"/>
            <w:noWrap/>
            <w:hideMark/>
          </w:tcPr>
          <w:p w14:paraId="445FB7B9" w14:textId="77777777" w:rsidR="0082254D" w:rsidRPr="001A6A9E" w:rsidRDefault="0082254D" w:rsidP="005B59E2">
            <w:pPr>
              <w:pStyle w:val="Tabele"/>
              <w:jc w:val="right"/>
              <w:rPr>
                <w:color w:val="auto"/>
              </w:rPr>
            </w:pPr>
            <w:r w:rsidRPr="001A6A9E">
              <w:rPr>
                <w:color w:val="auto"/>
              </w:rPr>
              <w:t>4 089</w:t>
            </w:r>
          </w:p>
        </w:tc>
        <w:tc>
          <w:tcPr>
            <w:tcW w:w="893" w:type="dxa"/>
            <w:noWrap/>
            <w:hideMark/>
          </w:tcPr>
          <w:p w14:paraId="27180309" w14:textId="77777777" w:rsidR="0082254D" w:rsidRPr="001A6A9E" w:rsidRDefault="0082254D" w:rsidP="005B59E2">
            <w:pPr>
              <w:pStyle w:val="Tabele"/>
              <w:jc w:val="right"/>
              <w:rPr>
                <w:color w:val="auto"/>
              </w:rPr>
            </w:pPr>
            <w:r w:rsidRPr="001A6A9E">
              <w:rPr>
                <w:rFonts w:cs="Arial"/>
                <w:color w:val="auto"/>
                <w:szCs w:val="16"/>
              </w:rPr>
              <w:t>4 151</w:t>
            </w:r>
          </w:p>
        </w:tc>
        <w:tc>
          <w:tcPr>
            <w:tcW w:w="893" w:type="dxa"/>
            <w:noWrap/>
            <w:hideMark/>
          </w:tcPr>
          <w:p w14:paraId="5F39270A" w14:textId="77777777" w:rsidR="0082254D" w:rsidRPr="001A6A9E" w:rsidRDefault="0082254D" w:rsidP="005B59E2">
            <w:pPr>
              <w:pStyle w:val="Tabele"/>
              <w:jc w:val="right"/>
              <w:rPr>
                <w:color w:val="auto"/>
              </w:rPr>
            </w:pPr>
            <w:r w:rsidRPr="001A6A9E">
              <w:rPr>
                <w:rFonts w:cs="Arial"/>
                <w:color w:val="auto"/>
                <w:szCs w:val="16"/>
              </w:rPr>
              <w:t>3 989</w:t>
            </w:r>
          </w:p>
        </w:tc>
        <w:tc>
          <w:tcPr>
            <w:tcW w:w="893" w:type="dxa"/>
            <w:noWrap/>
            <w:hideMark/>
          </w:tcPr>
          <w:p w14:paraId="2E9BA25F" w14:textId="77777777" w:rsidR="0082254D" w:rsidRPr="001A6A9E" w:rsidRDefault="0082254D" w:rsidP="005B59E2">
            <w:pPr>
              <w:pStyle w:val="Tabele"/>
              <w:jc w:val="right"/>
              <w:rPr>
                <w:color w:val="auto"/>
              </w:rPr>
            </w:pPr>
            <w:r w:rsidRPr="001A6A9E">
              <w:rPr>
                <w:rFonts w:cs="Arial"/>
                <w:color w:val="auto"/>
                <w:szCs w:val="16"/>
              </w:rPr>
              <w:t>4 005</w:t>
            </w:r>
          </w:p>
        </w:tc>
        <w:tc>
          <w:tcPr>
            <w:tcW w:w="894" w:type="dxa"/>
          </w:tcPr>
          <w:p w14:paraId="23B0D408" w14:textId="77777777" w:rsidR="0082254D" w:rsidRPr="001A6A9E" w:rsidRDefault="0082254D" w:rsidP="005B59E2">
            <w:pPr>
              <w:pStyle w:val="Tabele"/>
              <w:jc w:val="right"/>
              <w:rPr>
                <w:color w:val="auto"/>
              </w:rPr>
            </w:pPr>
            <w:r w:rsidRPr="001A6A9E">
              <w:rPr>
                <w:rFonts w:cs="Arial"/>
                <w:color w:val="auto"/>
                <w:szCs w:val="16"/>
              </w:rPr>
              <w:t>3 640</w:t>
            </w:r>
          </w:p>
        </w:tc>
      </w:tr>
      <w:tr w:rsidR="0082254D" w:rsidRPr="00F85B97" w14:paraId="6516A0C5" w14:textId="77777777" w:rsidTr="0082254D">
        <w:trPr>
          <w:trHeight w:val="236"/>
        </w:trPr>
        <w:tc>
          <w:tcPr>
            <w:tcW w:w="1878" w:type="dxa"/>
            <w:hideMark/>
          </w:tcPr>
          <w:p w14:paraId="533EBCB1" w14:textId="77777777" w:rsidR="0082254D" w:rsidRPr="001A6A9E" w:rsidRDefault="0082254D" w:rsidP="005B59E2">
            <w:pPr>
              <w:pStyle w:val="Tabele"/>
              <w:rPr>
                <w:color w:val="auto"/>
              </w:rPr>
            </w:pPr>
            <w:r w:rsidRPr="001A6A9E">
              <w:rPr>
                <w:color w:val="auto"/>
              </w:rPr>
              <w:t>Olej napędowy</w:t>
            </w:r>
          </w:p>
        </w:tc>
        <w:tc>
          <w:tcPr>
            <w:tcW w:w="893" w:type="dxa"/>
            <w:shd w:val="clear" w:color="auto" w:fill="C5E0B3"/>
            <w:noWrap/>
            <w:hideMark/>
          </w:tcPr>
          <w:p w14:paraId="28D9C5B1" w14:textId="3A2F1EF4" w:rsidR="0082254D" w:rsidRPr="001A6A9E" w:rsidRDefault="0082254D" w:rsidP="005B59E2">
            <w:pPr>
              <w:pStyle w:val="Tabele"/>
              <w:jc w:val="right"/>
              <w:rPr>
                <w:color w:val="auto"/>
              </w:rPr>
            </w:pPr>
            <w:r w:rsidRPr="001A6A9E">
              <w:rPr>
                <w:color w:val="auto"/>
              </w:rPr>
              <w:t>7 643</w:t>
            </w:r>
          </w:p>
        </w:tc>
        <w:tc>
          <w:tcPr>
            <w:tcW w:w="893" w:type="dxa"/>
            <w:shd w:val="clear" w:color="auto" w:fill="C5E0B3"/>
            <w:noWrap/>
            <w:hideMark/>
          </w:tcPr>
          <w:p w14:paraId="4581E6A6" w14:textId="77777777" w:rsidR="0082254D" w:rsidRPr="001A6A9E" w:rsidRDefault="0082254D" w:rsidP="005B59E2">
            <w:pPr>
              <w:pStyle w:val="Tabele"/>
              <w:jc w:val="right"/>
              <w:rPr>
                <w:color w:val="auto"/>
              </w:rPr>
            </w:pPr>
            <w:r w:rsidRPr="001A6A9E">
              <w:rPr>
                <w:color w:val="auto"/>
              </w:rPr>
              <w:t>10 743</w:t>
            </w:r>
          </w:p>
        </w:tc>
        <w:tc>
          <w:tcPr>
            <w:tcW w:w="893" w:type="dxa"/>
            <w:shd w:val="clear" w:color="auto" w:fill="C5E0B3"/>
            <w:noWrap/>
            <w:hideMark/>
          </w:tcPr>
          <w:p w14:paraId="237A55DC" w14:textId="77777777" w:rsidR="0082254D" w:rsidRPr="001A6A9E" w:rsidRDefault="0082254D" w:rsidP="005B59E2">
            <w:pPr>
              <w:pStyle w:val="Tabele"/>
              <w:jc w:val="right"/>
              <w:rPr>
                <w:color w:val="auto"/>
              </w:rPr>
            </w:pPr>
            <w:r w:rsidRPr="001A6A9E">
              <w:rPr>
                <w:color w:val="auto"/>
              </w:rPr>
              <w:t>12 075</w:t>
            </w:r>
          </w:p>
        </w:tc>
        <w:tc>
          <w:tcPr>
            <w:tcW w:w="894" w:type="dxa"/>
            <w:shd w:val="clear" w:color="auto" w:fill="C5E0B3"/>
            <w:noWrap/>
            <w:hideMark/>
          </w:tcPr>
          <w:p w14:paraId="273C8D73" w14:textId="77777777" w:rsidR="0082254D" w:rsidRPr="001A6A9E" w:rsidRDefault="0082254D" w:rsidP="005B59E2">
            <w:pPr>
              <w:pStyle w:val="Tabele"/>
              <w:jc w:val="right"/>
              <w:rPr>
                <w:color w:val="auto"/>
              </w:rPr>
            </w:pPr>
            <w:r w:rsidRPr="001A6A9E">
              <w:rPr>
                <w:color w:val="auto"/>
              </w:rPr>
              <w:t>13 253</w:t>
            </w:r>
          </w:p>
        </w:tc>
        <w:tc>
          <w:tcPr>
            <w:tcW w:w="893" w:type="dxa"/>
            <w:noWrap/>
            <w:hideMark/>
          </w:tcPr>
          <w:p w14:paraId="590B34EA" w14:textId="77777777" w:rsidR="0082254D" w:rsidRPr="001A6A9E" w:rsidRDefault="0082254D" w:rsidP="005B59E2">
            <w:pPr>
              <w:pStyle w:val="Tabele"/>
              <w:jc w:val="right"/>
              <w:rPr>
                <w:color w:val="auto"/>
              </w:rPr>
            </w:pPr>
            <w:r w:rsidRPr="001A6A9E">
              <w:rPr>
                <w:rFonts w:cs="Arial"/>
                <w:color w:val="auto"/>
                <w:szCs w:val="16"/>
              </w:rPr>
              <w:t>12 197</w:t>
            </w:r>
          </w:p>
        </w:tc>
        <w:tc>
          <w:tcPr>
            <w:tcW w:w="893" w:type="dxa"/>
            <w:noWrap/>
            <w:hideMark/>
          </w:tcPr>
          <w:p w14:paraId="1DF9E16E" w14:textId="77777777" w:rsidR="0082254D" w:rsidRPr="001A6A9E" w:rsidRDefault="0082254D" w:rsidP="005B59E2">
            <w:pPr>
              <w:pStyle w:val="Tabele"/>
              <w:jc w:val="right"/>
              <w:rPr>
                <w:color w:val="auto"/>
              </w:rPr>
            </w:pPr>
            <w:r w:rsidRPr="001A6A9E">
              <w:rPr>
                <w:rFonts w:cs="Arial"/>
                <w:color w:val="auto"/>
                <w:szCs w:val="16"/>
              </w:rPr>
              <w:t>10 918</w:t>
            </w:r>
          </w:p>
        </w:tc>
        <w:tc>
          <w:tcPr>
            <w:tcW w:w="893" w:type="dxa"/>
            <w:noWrap/>
            <w:hideMark/>
          </w:tcPr>
          <w:p w14:paraId="164A0C6F" w14:textId="77777777" w:rsidR="0082254D" w:rsidRPr="001A6A9E" w:rsidRDefault="0082254D" w:rsidP="005B59E2">
            <w:pPr>
              <w:pStyle w:val="Tabele"/>
              <w:jc w:val="right"/>
              <w:rPr>
                <w:color w:val="auto"/>
              </w:rPr>
            </w:pPr>
            <w:r w:rsidRPr="001A6A9E">
              <w:rPr>
                <w:rFonts w:cs="Arial"/>
                <w:color w:val="auto"/>
                <w:szCs w:val="16"/>
              </w:rPr>
              <w:t>9 582</w:t>
            </w:r>
          </w:p>
        </w:tc>
        <w:tc>
          <w:tcPr>
            <w:tcW w:w="894" w:type="dxa"/>
          </w:tcPr>
          <w:p w14:paraId="31CBBF23" w14:textId="77777777" w:rsidR="0082254D" w:rsidRPr="001A6A9E" w:rsidRDefault="0082254D" w:rsidP="005B59E2">
            <w:pPr>
              <w:pStyle w:val="Tabele"/>
              <w:jc w:val="right"/>
              <w:rPr>
                <w:color w:val="auto"/>
              </w:rPr>
            </w:pPr>
            <w:r w:rsidRPr="001A6A9E">
              <w:rPr>
                <w:rFonts w:cs="Arial"/>
                <w:color w:val="auto"/>
                <w:szCs w:val="16"/>
              </w:rPr>
              <w:t>8 242</w:t>
            </w:r>
          </w:p>
        </w:tc>
      </w:tr>
      <w:tr w:rsidR="0082254D" w:rsidRPr="00F85B97" w14:paraId="579D7FC1" w14:textId="77777777" w:rsidTr="0082254D">
        <w:trPr>
          <w:trHeight w:val="236"/>
        </w:trPr>
        <w:tc>
          <w:tcPr>
            <w:tcW w:w="1878" w:type="dxa"/>
          </w:tcPr>
          <w:p w14:paraId="3022919D" w14:textId="77777777" w:rsidR="0082254D" w:rsidRPr="001A6A9E" w:rsidRDefault="0082254D" w:rsidP="005B59E2">
            <w:pPr>
              <w:pStyle w:val="Tabele"/>
              <w:rPr>
                <w:color w:val="auto"/>
              </w:rPr>
            </w:pPr>
            <w:r w:rsidRPr="001A6A9E">
              <w:rPr>
                <w:color w:val="auto"/>
              </w:rPr>
              <w:t>Gaz ziemny</w:t>
            </w:r>
          </w:p>
        </w:tc>
        <w:tc>
          <w:tcPr>
            <w:tcW w:w="893" w:type="dxa"/>
            <w:shd w:val="clear" w:color="auto" w:fill="C5E0B3"/>
            <w:noWrap/>
          </w:tcPr>
          <w:p w14:paraId="39390B07" w14:textId="6B2F21E8" w:rsidR="0082254D" w:rsidRPr="001A6A9E" w:rsidRDefault="0082254D" w:rsidP="005B59E2">
            <w:pPr>
              <w:pStyle w:val="Tabele"/>
              <w:jc w:val="right"/>
              <w:rPr>
                <w:color w:val="auto"/>
              </w:rPr>
            </w:pPr>
            <w:r w:rsidRPr="001A6A9E">
              <w:rPr>
                <w:color w:val="auto"/>
              </w:rPr>
              <w:t>3 884</w:t>
            </w:r>
          </w:p>
        </w:tc>
        <w:tc>
          <w:tcPr>
            <w:tcW w:w="893" w:type="dxa"/>
            <w:shd w:val="clear" w:color="auto" w:fill="C5E0B3"/>
            <w:noWrap/>
          </w:tcPr>
          <w:p w14:paraId="5C68E0F6" w14:textId="77777777" w:rsidR="0082254D" w:rsidRPr="001A6A9E" w:rsidRDefault="0082254D" w:rsidP="005B59E2">
            <w:pPr>
              <w:pStyle w:val="Tabele"/>
              <w:jc w:val="right"/>
              <w:rPr>
                <w:color w:val="auto"/>
              </w:rPr>
            </w:pPr>
            <w:r w:rsidRPr="001A6A9E">
              <w:rPr>
                <w:color w:val="auto"/>
              </w:rPr>
              <w:t>3 693</w:t>
            </w:r>
          </w:p>
        </w:tc>
        <w:tc>
          <w:tcPr>
            <w:tcW w:w="893" w:type="dxa"/>
            <w:shd w:val="clear" w:color="auto" w:fill="C5E0B3"/>
            <w:noWrap/>
          </w:tcPr>
          <w:p w14:paraId="3E8B19E7" w14:textId="77777777" w:rsidR="0082254D" w:rsidRPr="001A6A9E" w:rsidRDefault="0082254D" w:rsidP="005B59E2">
            <w:pPr>
              <w:pStyle w:val="Tabele"/>
              <w:jc w:val="right"/>
              <w:rPr>
                <w:color w:val="auto"/>
              </w:rPr>
            </w:pPr>
            <w:r w:rsidRPr="001A6A9E">
              <w:rPr>
                <w:color w:val="auto"/>
              </w:rPr>
              <w:t>3 683</w:t>
            </w:r>
          </w:p>
        </w:tc>
        <w:tc>
          <w:tcPr>
            <w:tcW w:w="894" w:type="dxa"/>
            <w:shd w:val="clear" w:color="auto" w:fill="C5E0B3"/>
            <w:noWrap/>
          </w:tcPr>
          <w:p w14:paraId="796D9944" w14:textId="77777777" w:rsidR="0082254D" w:rsidRPr="001A6A9E" w:rsidRDefault="0082254D" w:rsidP="005B59E2">
            <w:pPr>
              <w:pStyle w:val="Tabele"/>
              <w:jc w:val="right"/>
              <w:rPr>
                <w:color w:val="auto"/>
              </w:rPr>
            </w:pPr>
            <w:r w:rsidRPr="001A6A9E">
              <w:rPr>
                <w:color w:val="auto"/>
              </w:rPr>
              <w:t>3 396</w:t>
            </w:r>
          </w:p>
        </w:tc>
        <w:tc>
          <w:tcPr>
            <w:tcW w:w="893" w:type="dxa"/>
            <w:noWrap/>
          </w:tcPr>
          <w:p w14:paraId="7C9DCA8C" w14:textId="77777777" w:rsidR="0082254D" w:rsidRPr="001A6A9E" w:rsidRDefault="0082254D" w:rsidP="005B59E2">
            <w:pPr>
              <w:pStyle w:val="Tabele"/>
              <w:jc w:val="right"/>
              <w:rPr>
                <w:color w:val="auto"/>
              </w:rPr>
            </w:pPr>
            <w:r w:rsidRPr="001A6A9E">
              <w:rPr>
                <w:rFonts w:cs="Arial"/>
                <w:color w:val="auto"/>
                <w:szCs w:val="16"/>
              </w:rPr>
              <w:t>3 300</w:t>
            </w:r>
          </w:p>
        </w:tc>
        <w:tc>
          <w:tcPr>
            <w:tcW w:w="893" w:type="dxa"/>
            <w:noWrap/>
          </w:tcPr>
          <w:p w14:paraId="4C705F02" w14:textId="77777777" w:rsidR="0082254D" w:rsidRPr="001A6A9E" w:rsidRDefault="0082254D" w:rsidP="005B59E2">
            <w:pPr>
              <w:pStyle w:val="Tabele"/>
              <w:jc w:val="right"/>
              <w:rPr>
                <w:color w:val="auto"/>
              </w:rPr>
            </w:pPr>
            <w:r w:rsidRPr="001A6A9E">
              <w:rPr>
                <w:rFonts w:cs="Arial"/>
                <w:color w:val="auto"/>
                <w:szCs w:val="16"/>
              </w:rPr>
              <w:t>3 300</w:t>
            </w:r>
          </w:p>
        </w:tc>
        <w:tc>
          <w:tcPr>
            <w:tcW w:w="893" w:type="dxa"/>
            <w:noWrap/>
          </w:tcPr>
          <w:p w14:paraId="0DF9BD33" w14:textId="77777777" w:rsidR="0082254D" w:rsidRPr="001A6A9E" w:rsidRDefault="0082254D" w:rsidP="005B59E2">
            <w:pPr>
              <w:pStyle w:val="Tabele"/>
              <w:jc w:val="right"/>
              <w:rPr>
                <w:color w:val="auto"/>
              </w:rPr>
            </w:pPr>
            <w:r w:rsidRPr="001A6A9E">
              <w:rPr>
                <w:rFonts w:cs="Arial"/>
                <w:color w:val="auto"/>
                <w:szCs w:val="16"/>
              </w:rPr>
              <w:t>3 300</w:t>
            </w:r>
          </w:p>
        </w:tc>
        <w:tc>
          <w:tcPr>
            <w:tcW w:w="894" w:type="dxa"/>
          </w:tcPr>
          <w:p w14:paraId="40DC0F77" w14:textId="77777777" w:rsidR="0082254D" w:rsidRPr="001A6A9E" w:rsidRDefault="0082254D" w:rsidP="005B59E2">
            <w:pPr>
              <w:pStyle w:val="Tabele"/>
              <w:jc w:val="right"/>
              <w:rPr>
                <w:color w:val="auto"/>
              </w:rPr>
            </w:pPr>
            <w:r w:rsidRPr="001A6A9E">
              <w:rPr>
                <w:rFonts w:cs="Arial"/>
                <w:color w:val="auto"/>
                <w:szCs w:val="16"/>
              </w:rPr>
              <w:t>3 000</w:t>
            </w:r>
          </w:p>
        </w:tc>
      </w:tr>
      <w:tr w:rsidR="0082254D" w:rsidRPr="00F85B97" w14:paraId="11E3BD93" w14:textId="77777777" w:rsidTr="0082254D">
        <w:trPr>
          <w:trHeight w:val="236"/>
        </w:trPr>
        <w:tc>
          <w:tcPr>
            <w:tcW w:w="1878" w:type="dxa"/>
          </w:tcPr>
          <w:p w14:paraId="503AE5BB" w14:textId="77777777" w:rsidR="0082254D" w:rsidRPr="001A6A9E" w:rsidRDefault="0082254D" w:rsidP="005B59E2">
            <w:pPr>
              <w:pStyle w:val="Tabele"/>
              <w:rPr>
                <w:color w:val="auto"/>
              </w:rPr>
            </w:pPr>
            <w:r w:rsidRPr="001A6A9E">
              <w:rPr>
                <w:color w:val="auto"/>
              </w:rPr>
              <w:t>Paliwo jądrowe</w:t>
            </w:r>
          </w:p>
        </w:tc>
        <w:tc>
          <w:tcPr>
            <w:tcW w:w="893" w:type="dxa"/>
            <w:shd w:val="clear" w:color="auto" w:fill="C5E0B3"/>
            <w:noWrap/>
          </w:tcPr>
          <w:p w14:paraId="7E8C0FDF" w14:textId="49ABEA13" w:rsidR="0082254D" w:rsidRPr="001A6A9E" w:rsidRDefault="0082254D" w:rsidP="005B59E2">
            <w:pPr>
              <w:pStyle w:val="Tabele"/>
              <w:jc w:val="right"/>
              <w:rPr>
                <w:color w:val="auto"/>
              </w:rPr>
            </w:pPr>
            <w:r w:rsidRPr="001A6A9E">
              <w:rPr>
                <w:color w:val="auto"/>
              </w:rPr>
              <w:t>0</w:t>
            </w:r>
          </w:p>
        </w:tc>
        <w:tc>
          <w:tcPr>
            <w:tcW w:w="893" w:type="dxa"/>
            <w:shd w:val="clear" w:color="auto" w:fill="C5E0B3"/>
            <w:noWrap/>
          </w:tcPr>
          <w:p w14:paraId="5E49CF27" w14:textId="77777777" w:rsidR="0082254D" w:rsidRPr="001A6A9E" w:rsidRDefault="0082254D" w:rsidP="005B59E2">
            <w:pPr>
              <w:pStyle w:val="Tabele"/>
              <w:jc w:val="right"/>
              <w:rPr>
                <w:color w:val="auto"/>
              </w:rPr>
            </w:pPr>
            <w:r w:rsidRPr="001A6A9E">
              <w:rPr>
                <w:color w:val="auto"/>
              </w:rPr>
              <w:t>0</w:t>
            </w:r>
          </w:p>
        </w:tc>
        <w:tc>
          <w:tcPr>
            <w:tcW w:w="893" w:type="dxa"/>
            <w:shd w:val="clear" w:color="auto" w:fill="C5E0B3"/>
            <w:noWrap/>
          </w:tcPr>
          <w:p w14:paraId="509CEFCC" w14:textId="77777777" w:rsidR="0082254D" w:rsidRPr="001A6A9E" w:rsidRDefault="0082254D" w:rsidP="005B59E2">
            <w:pPr>
              <w:pStyle w:val="Tabele"/>
              <w:jc w:val="right"/>
              <w:rPr>
                <w:color w:val="auto"/>
              </w:rPr>
            </w:pPr>
            <w:r w:rsidRPr="001A6A9E">
              <w:rPr>
                <w:color w:val="auto"/>
              </w:rPr>
              <w:t>0</w:t>
            </w:r>
          </w:p>
        </w:tc>
        <w:tc>
          <w:tcPr>
            <w:tcW w:w="894" w:type="dxa"/>
            <w:shd w:val="clear" w:color="auto" w:fill="C5E0B3"/>
            <w:noWrap/>
          </w:tcPr>
          <w:p w14:paraId="2FA83CC7" w14:textId="77777777" w:rsidR="0082254D" w:rsidRPr="001A6A9E" w:rsidRDefault="0082254D" w:rsidP="005B59E2">
            <w:pPr>
              <w:pStyle w:val="Tabele"/>
              <w:jc w:val="right"/>
              <w:rPr>
                <w:color w:val="auto"/>
              </w:rPr>
            </w:pPr>
            <w:r w:rsidRPr="001A6A9E">
              <w:rPr>
                <w:color w:val="auto"/>
              </w:rPr>
              <w:t>0</w:t>
            </w:r>
          </w:p>
        </w:tc>
        <w:tc>
          <w:tcPr>
            <w:tcW w:w="893" w:type="dxa"/>
            <w:noWrap/>
          </w:tcPr>
          <w:p w14:paraId="643065B3" w14:textId="77777777" w:rsidR="0082254D" w:rsidRPr="001A6A9E" w:rsidRDefault="0082254D" w:rsidP="005B59E2">
            <w:pPr>
              <w:pStyle w:val="Tabele"/>
              <w:jc w:val="right"/>
              <w:rPr>
                <w:color w:val="auto"/>
              </w:rPr>
            </w:pPr>
            <w:r w:rsidRPr="001A6A9E">
              <w:rPr>
                <w:rFonts w:cs="Arial"/>
                <w:color w:val="auto"/>
                <w:szCs w:val="16"/>
              </w:rPr>
              <w:t>0</w:t>
            </w:r>
          </w:p>
        </w:tc>
        <w:tc>
          <w:tcPr>
            <w:tcW w:w="893" w:type="dxa"/>
            <w:noWrap/>
          </w:tcPr>
          <w:p w14:paraId="2FBA61D7" w14:textId="77777777" w:rsidR="0082254D" w:rsidRPr="001A6A9E" w:rsidRDefault="0082254D" w:rsidP="005B59E2">
            <w:pPr>
              <w:pStyle w:val="Tabele"/>
              <w:jc w:val="right"/>
              <w:rPr>
                <w:color w:val="auto"/>
              </w:rPr>
            </w:pPr>
            <w:r w:rsidRPr="001A6A9E">
              <w:rPr>
                <w:rFonts w:cs="Arial"/>
                <w:color w:val="auto"/>
                <w:szCs w:val="16"/>
              </w:rPr>
              <w:t>0</w:t>
            </w:r>
          </w:p>
        </w:tc>
        <w:tc>
          <w:tcPr>
            <w:tcW w:w="893" w:type="dxa"/>
            <w:noWrap/>
          </w:tcPr>
          <w:p w14:paraId="1C483878" w14:textId="77777777" w:rsidR="0082254D" w:rsidRPr="001A6A9E" w:rsidRDefault="0082254D" w:rsidP="005B59E2">
            <w:pPr>
              <w:pStyle w:val="Tabele"/>
              <w:jc w:val="right"/>
              <w:rPr>
                <w:color w:val="auto"/>
              </w:rPr>
            </w:pPr>
            <w:r w:rsidRPr="001A6A9E">
              <w:rPr>
                <w:rFonts w:cs="Arial"/>
                <w:color w:val="auto"/>
                <w:szCs w:val="16"/>
              </w:rPr>
              <w:t>0</w:t>
            </w:r>
          </w:p>
        </w:tc>
        <w:tc>
          <w:tcPr>
            <w:tcW w:w="894" w:type="dxa"/>
          </w:tcPr>
          <w:p w14:paraId="19AB1263" w14:textId="77777777" w:rsidR="0082254D" w:rsidRPr="001A6A9E" w:rsidRDefault="0082254D" w:rsidP="005B59E2">
            <w:pPr>
              <w:pStyle w:val="Tabele"/>
              <w:jc w:val="right"/>
              <w:rPr>
                <w:color w:val="auto"/>
              </w:rPr>
            </w:pPr>
            <w:r w:rsidRPr="001A6A9E">
              <w:rPr>
                <w:rFonts w:cs="Arial"/>
                <w:color w:val="auto"/>
                <w:szCs w:val="16"/>
              </w:rPr>
              <w:t>0</w:t>
            </w:r>
          </w:p>
        </w:tc>
      </w:tr>
      <w:tr w:rsidR="0082254D" w:rsidRPr="00F85B97" w14:paraId="6DF1CD38" w14:textId="77777777" w:rsidTr="0082254D">
        <w:trPr>
          <w:trHeight w:val="236"/>
        </w:trPr>
        <w:tc>
          <w:tcPr>
            <w:tcW w:w="1878" w:type="dxa"/>
          </w:tcPr>
          <w:p w14:paraId="68EC5B2F" w14:textId="77777777" w:rsidR="0082254D" w:rsidRPr="001A6A9E" w:rsidRDefault="0082254D" w:rsidP="005B59E2">
            <w:pPr>
              <w:pStyle w:val="Tabele"/>
              <w:rPr>
                <w:color w:val="auto"/>
              </w:rPr>
            </w:pPr>
            <w:r w:rsidRPr="001A6A9E">
              <w:rPr>
                <w:color w:val="auto"/>
              </w:rPr>
              <w:t>Biopaliwa</w:t>
            </w:r>
          </w:p>
        </w:tc>
        <w:tc>
          <w:tcPr>
            <w:tcW w:w="893" w:type="dxa"/>
            <w:shd w:val="clear" w:color="auto" w:fill="C5E0B3"/>
            <w:noWrap/>
          </w:tcPr>
          <w:p w14:paraId="4E730F69" w14:textId="72329BCE" w:rsidR="0082254D" w:rsidRPr="001A6A9E" w:rsidRDefault="0082254D" w:rsidP="005B59E2">
            <w:pPr>
              <w:pStyle w:val="Tabele"/>
              <w:jc w:val="right"/>
              <w:rPr>
                <w:color w:val="auto"/>
              </w:rPr>
            </w:pPr>
            <w:r w:rsidRPr="001A6A9E">
              <w:rPr>
                <w:color w:val="auto"/>
              </w:rPr>
              <w:t>117</w:t>
            </w:r>
          </w:p>
        </w:tc>
        <w:tc>
          <w:tcPr>
            <w:tcW w:w="893" w:type="dxa"/>
            <w:shd w:val="clear" w:color="auto" w:fill="C5E0B3"/>
            <w:noWrap/>
          </w:tcPr>
          <w:p w14:paraId="2F231A38" w14:textId="77777777" w:rsidR="0082254D" w:rsidRPr="001A6A9E" w:rsidRDefault="0082254D" w:rsidP="005B59E2">
            <w:pPr>
              <w:pStyle w:val="Tabele"/>
              <w:jc w:val="right"/>
              <w:rPr>
                <w:color w:val="auto"/>
              </w:rPr>
            </w:pPr>
            <w:r w:rsidRPr="001A6A9E">
              <w:rPr>
                <w:color w:val="auto"/>
              </w:rPr>
              <w:t>446</w:t>
            </w:r>
          </w:p>
        </w:tc>
        <w:tc>
          <w:tcPr>
            <w:tcW w:w="893" w:type="dxa"/>
            <w:shd w:val="clear" w:color="auto" w:fill="C5E0B3"/>
            <w:noWrap/>
          </w:tcPr>
          <w:p w14:paraId="70B19F79" w14:textId="77777777" w:rsidR="0082254D" w:rsidRPr="001A6A9E" w:rsidRDefault="0082254D" w:rsidP="005B59E2">
            <w:pPr>
              <w:pStyle w:val="Tabele"/>
              <w:jc w:val="right"/>
              <w:rPr>
                <w:color w:val="auto"/>
              </w:rPr>
            </w:pPr>
            <w:r w:rsidRPr="001A6A9E">
              <w:rPr>
                <w:color w:val="auto"/>
              </w:rPr>
              <w:t>936</w:t>
            </w:r>
          </w:p>
        </w:tc>
        <w:tc>
          <w:tcPr>
            <w:tcW w:w="894" w:type="dxa"/>
            <w:shd w:val="clear" w:color="auto" w:fill="C5E0B3"/>
            <w:noWrap/>
          </w:tcPr>
          <w:p w14:paraId="693FC995" w14:textId="77777777" w:rsidR="0082254D" w:rsidRPr="001A6A9E" w:rsidRDefault="0082254D" w:rsidP="005B59E2">
            <w:pPr>
              <w:pStyle w:val="Tabele"/>
              <w:jc w:val="right"/>
              <w:rPr>
                <w:color w:val="auto"/>
              </w:rPr>
            </w:pPr>
            <w:r w:rsidRPr="001A6A9E">
              <w:rPr>
                <w:color w:val="auto"/>
              </w:rPr>
              <w:t>973</w:t>
            </w:r>
          </w:p>
        </w:tc>
        <w:tc>
          <w:tcPr>
            <w:tcW w:w="893" w:type="dxa"/>
            <w:noWrap/>
          </w:tcPr>
          <w:p w14:paraId="4F25573C" w14:textId="77777777" w:rsidR="0082254D" w:rsidRPr="001A6A9E" w:rsidRDefault="0082254D" w:rsidP="005B59E2">
            <w:pPr>
              <w:pStyle w:val="Tabele"/>
              <w:jc w:val="right"/>
              <w:rPr>
                <w:color w:val="auto"/>
              </w:rPr>
            </w:pPr>
            <w:r w:rsidRPr="001A6A9E">
              <w:rPr>
                <w:rFonts w:cs="Arial"/>
                <w:color w:val="auto"/>
                <w:szCs w:val="16"/>
              </w:rPr>
              <w:t>1 651</w:t>
            </w:r>
          </w:p>
        </w:tc>
        <w:tc>
          <w:tcPr>
            <w:tcW w:w="893" w:type="dxa"/>
            <w:noWrap/>
          </w:tcPr>
          <w:p w14:paraId="6690672B" w14:textId="77777777" w:rsidR="0082254D" w:rsidRPr="001A6A9E" w:rsidRDefault="0082254D" w:rsidP="005B59E2">
            <w:pPr>
              <w:pStyle w:val="Tabele"/>
              <w:jc w:val="right"/>
              <w:rPr>
                <w:color w:val="auto"/>
              </w:rPr>
            </w:pPr>
            <w:r w:rsidRPr="001A6A9E">
              <w:rPr>
                <w:rFonts w:cs="Arial"/>
                <w:color w:val="auto"/>
                <w:szCs w:val="16"/>
              </w:rPr>
              <w:t>1 684</w:t>
            </w:r>
          </w:p>
        </w:tc>
        <w:tc>
          <w:tcPr>
            <w:tcW w:w="893" w:type="dxa"/>
            <w:noWrap/>
          </w:tcPr>
          <w:p w14:paraId="4CD2DCAC" w14:textId="77777777" w:rsidR="0082254D" w:rsidRPr="001A6A9E" w:rsidRDefault="0082254D" w:rsidP="005B59E2">
            <w:pPr>
              <w:pStyle w:val="Tabele"/>
              <w:jc w:val="right"/>
              <w:rPr>
                <w:color w:val="auto"/>
              </w:rPr>
            </w:pPr>
            <w:r w:rsidRPr="001A6A9E">
              <w:rPr>
                <w:rFonts w:cs="Arial"/>
                <w:color w:val="auto"/>
                <w:szCs w:val="16"/>
              </w:rPr>
              <w:t>1 684</w:t>
            </w:r>
          </w:p>
        </w:tc>
        <w:tc>
          <w:tcPr>
            <w:tcW w:w="894" w:type="dxa"/>
          </w:tcPr>
          <w:p w14:paraId="50689C95" w14:textId="77777777" w:rsidR="0082254D" w:rsidRPr="001A6A9E" w:rsidRDefault="0082254D" w:rsidP="005B59E2">
            <w:pPr>
              <w:pStyle w:val="Tabele"/>
              <w:jc w:val="right"/>
              <w:rPr>
                <w:color w:val="auto"/>
              </w:rPr>
            </w:pPr>
            <w:r w:rsidRPr="001A6A9E">
              <w:rPr>
                <w:rFonts w:cs="Arial"/>
                <w:color w:val="auto"/>
                <w:szCs w:val="16"/>
              </w:rPr>
              <w:t>1 805</w:t>
            </w:r>
          </w:p>
        </w:tc>
      </w:tr>
      <w:tr w:rsidR="0082254D" w:rsidRPr="00F85B97" w14:paraId="7BE0991C" w14:textId="77777777" w:rsidTr="0082254D">
        <w:trPr>
          <w:trHeight w:val="236"/>
        </w:trPr>
        <w:tc>
          <w:tcPr>
            <w:tcW w:w="1878" w:type="dxa"/>
          </w:tcPr>
          <w:p w14:paraId="705AD29B" w14:textId="77777777" w:rsidR="0082254D" w:rsidRPr="001A6A9E" w:rsidRDefault="0082254D" w:rsidP="005B59E2">
            <w:pPr>
              <w:pStyle w:val="Tabele"/>
              <w:rPr>
                <w:color w:val="auto"/>
              </w:rPr>
            </w:pPr>
            <w:r w:rsidRPr="001A6A9E">
              <w:rPr>
                <w:color w:val="auto"/>
              </w:rPr>
              <w:t>Biogaz</w:t>
            </w:r>
          </w:p>
        </w:tc>
        <w:tc>
          <w:tcPr>
            <w:tcW w:w="893" w:type="dxa"/>
            <w:shd w:val="clear" w:color="auto" w:fill="C5E0B3"/>
            <w:noWrap/>
          </w:tcPr>
          <w:p w14:paraId="674E687C" w14:textId="0C3F5EEF" w:rsidR="0082254D" w:rsidRPr="001A6A9E" w:rsidRDefault="0082254D" w:rsidP="005B59E2">
            <w:pPr>
              <w:pStyle w:val="Tabele"/>
              <w:jc w:val="right"/>
              <w:rPr>
                <w:color w:val="auto"/>
              </w:rPr>
            </w:pPr>
            <w:r w:rsidRPr="001A6A9E">
              <w:rPr>
                <w:rFonts w:cs="Arial"/>
                <w:color w:val="auto"/>
                <w:szCs w:val="16"/>
              </w:rPr>
              <w:t>54</w:t>
            </w:r>
          </w:p>
        </w:tc>
        <w:tc>
          <w:tcPr>
            <w:tcW w:w="893" w:type="dxa"/>
            <w:shd w:val="clear" w:color="auto" w:fill="C5E0B3"/>
            <w:noWrap/>
          </w:tcPr>
          <w:p w14:paraId="460B57B4" w14:textId="77777777" w:rsidR="0082254D" w:rsidRPr="001A6A9E" w:rsidRDefault="0082254D" w:rsidP="005B59E2">
            <w:pPr>
              <w:pStyle w:val="Tabele"/>
              <w:jc w:val="right"/>
              <w:rPr>
                <w:color w:val="auto"/>
              </w:rPr>
            </w:pPr>
            <w:r w:rsidRPr="001A6A9E">
              <w:rPr>
                <w:rFonts w:cs="Arial"/>
                <w:color w:val="auto"/>
                <w:szCs w:val="16"/>
              </w:rPr>
              <w:t>115</w:t>
            </w:r>
          </w:p>
        </w:tc>
        <w:tc>
          <w:tcPr>
            <w:tcW w:w="893" w:type="dxa"/>
            <w:shd w:val="clear" w:color="auto" w:fill="C5E0B3"/>
            <w:noWrap/>
          </w:tcPr>
          <w:p w14:paraId="3C307B7E" w14:textId="77777777" w:rsidR="0082254D" w:rsidRPr="001A6A9E" w:rsidRDefault="0082254D" w:rsidP="005B59E2">
            <w:pPr>
              <w:pStyle w:val="Tabele"/>
              <w:jc w:val="right"/>
              <w:rPr>
                <w:color w:val="auto"/>
              </w:rPr>
            </w:pPr>
            <w:r w:rsidRPr="001A6A9E">
              <w:rPr>
                <w:rFonts w:cs="Arial"/>
                <w:color w:val="auto"/>
                <w:szCs w:val="16"/>
              </w:rPr>
              <w:t>229</w:t>
            </w:r>
          </w:p>
        </w:tc>
        <w:tc>
          <w:tcPr>
            <w:tcW w:w="894" w:type="dxa"/>
            <w:shd w:val="clear" w:color="auto" w:fill="C5E0B3"/>
            <w:noWrap/>
          </w:tcPr>
          <w:p w14:paraId="2AFE6837" w14:textId="77777777" w:rsidR="0082254D" w:rsidRPr="001A6A9E" w:rsidRDefault="0082254D" w:rsidP="005B59E2">
            <w:pPr>
              <w:pStyle w:val="Tabele"/>
              <w:jc w:val="right"/>
              <w:rPr>
                <w:color w:val="auto"/>
              </w:rPr>
            </w:pPr>
            <w:r w:rsidRPr="001A6A9E">
              <w:rPr>
                <w:rFonts w:cs="Arial"/>
                <w:color w:val="auto"/>
                <w:szCs w:val="16"/>
              </w:rPr>
              <w:t>322</w:t>
            </w:r>
          </w:p>
        </w:tc>
        <w:tc>
          <w:tcPr>
            <w:tcW w:w="893" w:type="dxa"/>
            <w:noWrap/>
          </w:tcPr>
          <w:p w14:paraId="7CF0DED8" w14:textId="77777777" w:rsidR="0082254D" w:rsidRPr="001A6A9E" w:rsidRDefault="0082254D" w:rsidP="005B59E2">
            <w:pPr>
              <w:pStyle w:val="Tabele"/>
              <w:jc w:val="right"/>
              <w:rPr>
                <w:rFonts w:cs="Arial"/>
                <w:color w:val="auto"/>
                <w:szCs w:val="16"/>
              </w:rPr>
            </w:pPr>
            <w:r w:rsidRPr="001A6A9E">
              <w:rPr>
                <w:rFonts w:cs="Arial"/>
                <w:color w:val="auto"/>
                <w:szCs w:val="16"/>
              </w:rPr>
              <w:t>573</w:t>
            </w:r>
          </w:p>
        </w:tc>
        <w:tc>
          <w:tcPr>
            <w:tcW w:w="893" w:type="dxa"/>
            <w:noWrap/>
          </w:tcPr>
          <w:p w14:paraId="3FA1EEA4" w14:textId="77777777" w:rsidR="0082254D" w:rsidRPr="001A6A9E" w:rsidRDefault="0082254D" w:rsidP="005B59E2">
            <w:pPr>
              <w:pStyle w:val="Tabele"/>
              <w:jc w:val="right"/>
              <w:rPr>
                <w:rFonts w:cs="Arial"/>
                <w:color w:val="auto"/>
                <w:szCs w:val="16"/>
              </w:rPr>
            </w:pPr>
            <w:r w:rsidRPr="001A6A9E">
              <w:rPr>
                <w:rFonts w:cs="Arial"/>
                <w:color w:val="auto"/>
                <w:szCs w:val="16"/>
              </w:rPr>
              <w:t>784</w:t>
            </w:r>
          </w:p>
        </w:tc>
        <w:tc>
          <w:tcPr>
            <w:tcW w:w="893" w:type="dxa"/>
            <w:noWrap/>
          </w:tcPr>
          <w:p w14:paraId="424CF241" w14:textId="77777777" w:rsidR="0082254D" w:rsidRPr="001A6A9E" w:rsidRDefault="0082254D" w:rsidP="005B59E2">
            <w:pPr>
              <w:pStyle w:val="Tabele"/>
              <w:jc w:val="right"/>
              <w:rPr>
                <w:rFonts w:cs="Arial"/>
                <w:color w:val="auto"/>
                <w:szCs w:val="16"/>
              </w:rPr>
            </w:pPr>
            <w:r w:rsidRPr="001A6A9E">
              <w:rPr>
                <w:rFonts w:cs="Arial"/>
                <w:color w:val="auto"/>
                <w:szCs w:val="16"/>
              </w:rPr>
              <w:t>876</w:t>
            </w:r>
          </w:p>
        </w:tc>
        <w:tc>
          <w:tcPr>
            <w:tcW w:w="894" w:type="dxa"/>
          </w:tcPr>
          <w:p w14:paraId="1CF677F0" w14:textId="77777777" w:rsidR="0082254D" w:rsidRPr="001A6A9E" w:rsidRDefault="0082254D" w:rsidP="005B59E2">
            <w:pPr>
              <w:pStyle w:val="Tabele"/>
              <w:jc w:val="right"/>
              <w:rPr>
                <w:rFonts w:cs="Arial"/>
                <w:color w:val="auto"/>
                <w:szCs w:val="16"/>
              </w:rPr>
            </w:pPr>
            <w:r w:rsidRPr="001A6A9E">
              <w:rPr>
                <w:rFonts w:cs="Arial"/>
                <w:color w:val="auto"/>
                <w:szCs w:val="16"/>
              </w:rPr>
              <w:t>851</w:t>
            </w:r>
          </w:p>
        </w:tc>
      </w:tr>
      <w:tr w:rsidR="0082254D" w:rsidRPr="00F85B97" w14:paraId="4B3A3E90" w14:textId="77777777" w:rsidTr="0082254D">
        <w:trPr>
          <w:trHeight w:val="236"/>
        </w:trPr>
        <w:tc>
          <w:tcPr>
            <w:tcW w:w="1878" w:type="dxa"/>
          </w:tcPr>
          <w:p w14:paraId="725ED289" w14:textId="77777777" w:rsidR="0082254D" w:rsidRPr="001A6A9E" w:rsidRDefault="0082254D" w:rsidP="005B59E2">
            <w:pPr>
              <w:pStyle w:val="Tabele"/>
              <w:rPr>
                <w:color w:val="auto"/>
              </w:rPr>
            </w:pPr>
            <w:r w:rsidRPr="001A6A9E">
              <w:rPr>
                <w:color w:val="auto"/>
              </w:rPr>
              <w:t>Biometan</w:t>
            </w:r>
          </w:p>
        </w:tc>
        <w:tc>
          <w:tcPr>
            <w:tcW w:w="893" w:type="dxa"/>
            <w:shd w:val="clear" w:color="auto" w:fill="C5E0B3"/>
            <w:noWrap/>
          </w:tcPr>
          <w:p w14:paraId="3ABFCC47" w14:textId="510B7905" w:rsidR="0082254D" w:rsidRPr="001A6A9E" w:rsidRDefault="0082254D" w:rsidP="005B59E2">
            <w:pPr>
              <w:pStyle w:val="Tabele"/>
              <w:jc w:val="right"/>
              <w:rPr>
                <w:color w:val="auto"/>
              </w:rPr>
            </w:pPr>
            <w:r w:rsidRPr="001A6A9E">
              <w:rPr>
                <w:color w:val="auto"/>
              </w:rPr>
              <w:t>0</w:t>
            </w:r>
          </w:p>
        </w:tc>
        <w:tc>
          <w:tcPr>
            <w:tcW w:w="893" w:type="dxa"/>
            <w:shd w:val="clear" w:color="auto" w:fill="C5E0B3"/>
            <w:noWrap/>
          </w:tcPr>
          <w:p w14:paraId="6B0C9908" w14:textId="77777777" w:rsidR="0082254D" w:rsidRPr="001A6A9E" w:rsidRDefault="0082254D" w:rsidP="005B59E2">
            <w:pPr>
              <w:pStyle w:val="Tabele"/>
              <w:jc w:val="right"/>
              <w:rPr>
                <w:color w:val="auto"/>
              </w:rPr>
            </w:pPr>
            <w:r w:rsidRPr="001A6A9E">
              <w:rPr>
                <w:color w:val="auto"/>
              </w:rPr>
              <w:t>0</w:t>
            </w:r>
          </w:p>
        </w:tc>
        <w:tc>
          <w:tcPr>
            <w:tcW w:w="893" w:type="dxa"/>
            <w:shd w:val="clear" w:color="auto" w:fill="C5E0B3"/>
            <w:noWrap/>
          </w:tcPr>
          <w:p w14:paraId="5D57AE8E" w14:textId="77777777" w:rsidR="0082254D" w:rsidRPr="001A6A9E" w:rsidRDefault="0082254D" w:rsidP="005B59E2">
            <w:pPr>
              <w:pStyle w:val="Tabele"/>
              <w:jc w:val="right"/>
              <w:rPr>
                <w:color w:val="auto"/>
              </w:rPr>
            </w:pPr>
            <w:r w:rsidRPr="001A6A9E">
              <w:rPr>
                <w:color w:val="auto"/>
              </w:rPr>
              <w:t>0</w:t>
            </w:r>
          </w:p>
        </w:tc>
        <w:tc>
          <w:tcPr>
            <w:tcW w:w="894" w:type="dxa"/>
            <w:shd w:val="clear" w:color="auto" w:fill="C5E0B3"/>
            <w:noWrap/>
          </w:tcPr>
          <w:p w14:paraId="07D07819" w14:textId="77777777" w:rsidR="0082254D" w:rsidRPr="001A6A9E" w:rsidRDefault="0082254D" w:rsidP="005B59E2">
            <w:pPr>
              <w:pStyle w:val="Tabele"/>
              <w:jc w:val="right"/>
              <w:rPr>
                <w:color w:val="auto"/>
              </w:rPr>
            </w:pPr>
            <w:r w:rsidRPr="001A6A9E">
              <w:rPr>
                <w:color w:val="auto"/>
              </w:rPr>
              <w:t>0</w:t>
            </w:r>
          </w:p>
        </w:tc>
        <w:tc>
          <w:tcPr>
            <w:tcW w:w="893" w:type="dxa"/>
            <w:noWrap/>
          </w:tcPr>
          <w:p w14:paraId="639C09E2" w14:textId="54EAE59A" w:rsidR="0082254D" w:rsidRPr="001A6A9E" w:rsidRDefault="0082254D" w:rsidP="005B59E2">
            <w:pPr>
              <w:pStyle w:val="Tabele"/>
              <w:jc w:val="right"/>
              <w:rPr>
                <w:color w:val="auto"/>
              </w:rPr>
            </w:pPr>
            <w:r w:rsidRPr="001A6A9E">
              <w:rPr>
                <w:rFonts w:cs="Arial"/>
                <w:color w:val="auto"/>
                <w:szCs w:val="16"/>
              </w:rPr>
              <w:t>54</w:t>
            </w:r>
          </w:p>
        </w:tc>
        <w:tc>
          <w:tcPr>
            <w:tcW w:w="893" w:type="dxa"/>
            <w:noWrap/>
          </w:tcPr>
          <w:p w14:paraId="743402C8" w14:textId="781207B0" w:rsidR="0082254D" w:rsidRPr="001A6A9E" w:rsidRDefault="0082254D" w:rsidP="005B59E2">
            <w:pPr>
              <w:pStyle w:val="Tabele"/>
              <w:jc w:val="right"/>
              <w:rPr>
                <w:color w:val="auto"/>
              </w:rPr>
            </w:pPr>
            <w:r w:rsidRPr="70334A68">
              <w:rPr>
                <w:rFonts w:cs="Arial"/>
                <w:color w:val="auto"/>
              </w:rPr>
              <w:t>1 270</w:t>
            </w:r>
          </w:p>
        </w:tc>
        <w:tc>
          <w:tcPr>
            <w:tcW w:w="893" w:type="dxa"/>
            <w:noWrap/>
          </w:tcPr>
          <w:p w14:paraId="0A5BB124" w14:textId="18E9FDC9" w:rsidR="0082254D" w:rsidRPr="001A6A9E" w:rsidRDefault="0082254D" w:rsidP="005B59E2">
            <w:pPr>
              <w:pStyle w:val="Tabele"/>
              <w:jc w:val="right"/>
              <w:rPr>
                <w:color w:val="auto"/>
              </w:rPr>
            </w:pPr>
            <w:r w:rsidRPr="001A6A9E">
              <w:rPr>
                <w:rFonts w:cs="Arial"/>
                <w:color w:val="auto"/>
                <w:szCs w:val="16"/>
              </w:rPr>
              <w:t>2 493</w:t>
            </w:r>
          </w:p>
        </w:tc>
        <w:tc>
          <w:tcPr>
            <w:tcW w:w="894" w:type="dxa"/>
          </w:tcPr>
          <w:p w14:paraId="7AA75691" w14:textId="77777777" w:rsidR="0082254D" w:rsidRPr="001A6A9E" w:rsidRDefault="0082254D" w:rsidP="005B59E2">
            <w:pPr>
              <w:pStyle w:val="Tabele"/>
              <w:jc w:val="right"/>
              <w:rPr>
                <w:color w:val="auto"/>
              </w:rPr>
            </w:pPr>
            <w:r w:rsidRPr="001A6A9E">
              <w:rPr>
                <w:rFonts w:cs="Arial"/>
                <w:color w:val="auto"/>
                <w:szCs w:val="16"/>
              </w:rPr>
              <w:t>3 336</w:t>
            </w:r>
          </w:p>
        </w:tc>
      </w:tr>
      <w:tr w:rsidR="0082254D" w:rsidRPr="00A75091" w14:paraId="2B132D96" w14:textId="77777777" w:rsidTr="0082254D">
        <w:trPr>
          <w:trHeight w:val="236"/>
        </w:trPr>
        <w:tc>
          <w:tcPr>
            <w:tcW w:w="1878" w:type="dxa"/>
          </w:tcPr>
          <w:p w14:paraId="147EF71D" w14:textId="77777777" w:rsidR="0082254D" w:rsidRPr="00A75091" w:rsidRDefault="0082254D" w:rsidP="005B59E2">
            <w:pPr>
              <w:pStyle w:val="Tabele"/>
              <w:rPr>
                <w:color w:val="auto"/>
              </w:rPr>
            </w:pPr>
            <w:r w:rsidRPr="00A75091">
              <w:rPr>
                <w:color w:val="auto"/>
              </w:rPr>
              <w:t>Biomasa stała</w:t>
            </w:r>
          </w:p>
        </w:tc>
        <w:tc>
          <w:tcPr>
            <w:tcW w:w="893" w:type="dxa"/>
            <w:shd w:val="clear" w:color="auto" w:fill="C5E0B3"/>
            <w:noWrap/>
          </w:tcPr>
          <w:p w14:paraId="65DAD8C4" w14:textId="434249C9" w:rsidR="0082254D" w:rsidRPr="00A75091" w:rsidRDefault="0082254D" w:rsidP="005B59E2">
            <w:pPr>
              <w:pStyle w:val="Tabele"/>
              <w:jc w:val="right"/>
              <w:rPr>
                <w:color w:val="auto"/>
              </w:rPr>
            </w:pPr>
            <w:r w:rsidRPr="00A75091">
              <w:rPr>
                <w:color w:val="auto"/>
              </w:rPr>
              <w:t>4166</w:t>
            </w:r>
          </w:p>
        </w:tc>
        <w:tc>
          <w:tcPr>
            <w:tcW w:w="893" w:type="dxa"/>
            <w:shd w:val="clear" w:color="auto" w:fill="C5E0B3"/>
            <w:noWrap/>
          </w:tcPr>
          <w:p w14:paraId="17BAD11D" w14:textId="77777777" w:rsidR="0082254D" w:rsidRPr="00A75091" w:rsidRDefault="0082254D" w:rsidP="005B59E2">
            <w:pPr>
              <w:pStyle w:val="Tabele"/>
              <w:jc w:val="right"/>
              <w:rPr>
                <w:color w:val="auto"/>
              </w:rPr>
            </w:pPr>
            <w:r w:rsidRPr="00A75091">
              <w:rPr>
                <w:color w:val="auto"/>
              </w:rPr>
              <w:t>5 866</w:t>
            </w:r>
          </w:p>
        </w:tc>
        <w:tc>
          <w:tcPr>
            <w:tcW w:w="893" w:type="dxa"/>
            <w:shd w:val="clear" w:color="auto" w:fill="C5E0B3"/>
            <w:noWrap/>
          </w:tcPr>
          <w:p w14:paraId="74F50D50" w14:textId="77777777" w:rsidR="0082254D" w:rsidRPr="00A75091" w:rsidRDefault="0082254D" w:rsidP="005B59E2">
            <w:pPr>
              <w:pStyle w:val="Tabele"/>
              <w:jc w:val="right"/>
              <w:rPr>
                <w:color w:val="auto"/>
              </w:rPr>
            </w:pPr>
            <w:r w:rsidRPr="00A75091">
              <w:rPr>
                <w:color w:val="auto"/>
              </w:rPr>
              <w:t>6 268</w:t>
            </w:r>
          </w:p>
        </w:tc>
        <w:tc>
          <w:tcPr>
            <w:tcW w:w="894" w:type="dxa"/>
            <w:shd w:val="clear" w:color="auto" w:fill="C5E0B3"/>
            <w:noWrap/>
          </w:tcPr>
          <w:p w14:paraId="780CB6B6" w14:textId="77777777" w:rsidR="0082254D" w:rsidRPr="00A75091" w:rsidRDefault="0082254D" w:rsidP="005B59E2">
            <w:pPr>
              <w:pStyle w:val="Tabele"/>
              <w:jc w:val="right"/>
              <w:rPr>
                <w:color w:val="auto"/>
              </w:rPr>
            </w:pPr>
            <w:r w:rsidRPr="00A75091">
              <w:rPr>
                <w:color w:val="auto"/>
              </w:rPr>
              <w:t>8 964</w:t>
            </w:r>
          </w:p>
        </w:tc>
        <w:tc>
          <w:tcPr>
            <w:tcW w:w="893" w:type="dxa"/>
            <w:noWrap/>
          </w:tcPr>
          <w:p w14:paraId="1ACA5FAD" w14:textId="77777777" w:rsidR="0082254D" w:rsidRPr="00A75091" w:rsidRDefault="0082254D" w:rsidP="005B59E2">
            <w:pPr>
              <w:pStyle w:val="Tabele"/>
              <w:jc w:val="right"/>
              <w:rPr>
                <w:color w:val="auto"/>
              </w:rPr>
            </w:pPr>
            <w:r w:rsidRPr="00A75091">
              <w:rPr>
                <w:rFonts w:cs="Arial"/>
                <w:color w:val="auto"/>
                <w:szCs w:val="16"/>
              </w:rPr>
              <w:t>8 213</w:t>
            </w:r>
          </w:p>
        </w:tc>
        <w:tc>
          <w:tcPr>
            <w:tcW w:w="893" w:type="dxa"/>
            <w:noWrap/>
          </w:tcPr>
          <w:p w14:paraId="60C5378D" w14:textId="77777777" w:rsidR="0082254D" w:rsidRPr="00A75091" w:rsidRDefault="0082254D" w:rsidP="005B59E2">
            <w:pPr>
              <w:pStyle w:val="Tabele"/>
              <w:jc w:val="right"/>
              <w:rPr>
                <w:color w:val="auto"/>
              </w:rPr>
            </w:pPr>
            <w:r w:rsidRPr="00A75091">
              <w:rPr>
                <w:rFonts w:cs="Arial"/>
                <w:color w:val="auto"/>
                <w:szCs w:val="16"/>
              </w:rPr>
              <w:t>8 107</w:t>
            </w:r>
          </w:p>
        </w:tc>
        <w:tc>
          <w:tcPr>
            <w:tcW w:w="893" w:type="dxa"/>
            <w:noWrap/>
          </w:tcPr>
          <w:p w14:paraId="08F115E9" w14:textId="77777777" w:rsidR="0082254D" w:rsidRPr="00A75091" w:rsidRDefault="0082254D" w:rsidP="005B59E2">
            <w:pPr>
              <w:pStyle w:val="Tabele"/>
              <w:jc w:val="right"/>
              <w:rPr>
                <w:color w:val="auto"/>
              </w:rPr>
            </w:pPr>
            <w:r w:rsidRPr="00A75091">
              <w:rPr>
                <w:rFonts w:cs="Arial"/>
                <w:color w:val="auto"/>
                <w:szCs w:val="16"/>
              </w:rPr>
              <w:t>7 195</w:t>
            </w:r>
          </w:p>
        </w:tc>
        <w:tc>
          <w:tcPr>
            <w:tcW w:w="894" w:type="dxa"/>
          </w:tcPr>
          <w:p w14:paraId="23E23E86" w14:textId="77777777" w:rsidR="0082254D" w:rsidRPr="00A75091" w:rsidRDefault="0082254D" w:rsidP="005B59E2">
            <w:pPr>
              <w:pStyle w:val="Tabele"/>
              <w:jc w:val="right"/>
              <w:rPr>
                <w:color w:val="auto"/>
              </w:rPr>
            </w:pPr>
            <w:r w:rsidRPr="00A75091">
              <w:rPr>
                <w:rFonts w:cs="Arial"/>
                <w:color w:val="auto"/>
                <w:szCs w:val="16"/>
              </w:rPr>
              <w:t>6 590</w:t>
            </w:r>
          </w:p>
        </w:tc>
      </w:tr>
      <w:tr w:rsidR="0082254D" w:rsidRPr="00F85B97" w14:paraId="6E31F4D7" w14:textId="77777777" w:rsidTr="0082254D">
        <w:trPr>
          <w:trHeight w:val="236"/>
        </w:trPr>
        <w:tc>
          <w:tcPr>
            <w:tcW w:w="1878" w:type="dxa"/>
          </w:tcPr>
          <w:p w14:paraId="19C8950F" w14:textId="77777777" w:rsidR="0082254D" w:rsidRPr="001A6A9E" w:rsidRDefault="0082254D" w:rsidP="005B59E2">
            <w:pPr>
              <w:pStyle w:val="Tabele"/>
              <w:rPr>
                <w:color w:val="auto"/>
              </w:rPr>
            </w:pPr>
            <w:r w:rsidRPr="001A6A9E">
              <w:rPr>
                <w:color w:val="auto"/>
              </w:rPr>
              <w:t>Odpady komunalne i przemysłowe</w:t>
            </w:r>
          </w:p>
        </w:tc>
        <w:tc>
          <w:tcPr>
            <w:tcW w:w="893" w:type="dxa"/>
            <w:shd w:val="clear" w:color="auto" w:fill="C5E0B3"/>
            <w:noWrap/>
          </w:tcPr>
          <w:p w14:paraId="3F0B1174" w14:textId="14ECA932" w:rsidR="0082254D" w:rsidRPr="001A6A9E" w:rsidRDefault="0082254D" w:rsidP="005B59E2">
            <w:pPr>
              <w:pStyle w:val="Tabele"/>
              <w:jc w:val="right"/>
              <w:rPr>
                <w:color w:val="auto"/>
              </w:rPr>
            </w:pPr>
            <w:r w:rsidRPr="001A6A9E">
              <w:rPr>
                <w:color w:val="auto"/>
              </w:rPr>
              <w:t>157</w:t>
            </w:r>
          </w:p>
        </w:tc>
        <w:tc>
          <w:tcPr>
            <w:tcW w:w="893" w:type="dxa"/>
            <w:shd w:val="clear" w:color="auto" w:fill="C5E0B3"/>
            <w:noWrap/>
          </w:tcPr>
          <w:p w14:paraId="26A9610A" w14:textId="77777777" w:rsidR="0082254D" w:rsidRPr="001A6A9E" w:rsidRDefault="0082254D" w:rsidP="005B59E2">
            <w:pPr>
              <w:pStyle w:val="Tabele"/>
              <w:jc w:val="right"/>
              <w:rPr>
                <w:color w:val="auto"/>
              </w:rPr>
            </w:pPr>
            <w:r w:rsidRPr="001A6A9E">
              <w:rPr>
                <w:color w:val="auto"/>
              </w:rPr>
              <w:t>400</w:t>
            </w:r>
          </w:p>
        </w:tc>
        <w:tc>
          <w:tcPr>
            <w:tcW w:w="893" w:type="dxa"/>
            <w:shd w:val="clear" w:color="auto" w:fill="C5E0B3"/>
            <w:noWrap/>
          </w:tcPr>
          <w:p w14:paraId="4AFC8490" w14:textId="77777777" w:rsidR="0082254D" w:rsidRPr="001A6A9E" w:rsidRDefault="0082254D" w:rsidP="005B59E2">
            <w:pPr>
              <w:pStyle w:val="Tabele"/>
              <w:jc w:val="right"/>
              <w:rPr>
                <w:color w:val="auto"/>
              </w:rPr>
            </w:pPr>
            <w:r w:rsidRPr="001A6A9E">
              <w:rPr>
                <w:color w:val="auto"/>
              </w:rPr>
              <w:t>564</w:t>
            </w:r>
          </w:p>
        </w:tc>
        <w:tc>
          <w:tcPr>
            <w:tcW w:w="894" w:type="dxa"/>
            <w:shd w:val="clear" w:color="auto" w:fill="C5E0B3"/>
            <w:noWrap/>
          </w:tcPr>
          <w:p w14:paraId="54767089" w14:textId="77777777" w:rsidR="0082254D" w:rsidRPr="001A6A9E" w:rsidRDefault="0082254D" w:rsidP="005B59E2">
            <w:pPr>
              <w:pStyle w:val="Tabele"/>
              <w:jc w:val="right"/>
              <w:rPr>
                <w:color w:val="auto"/>
              </w:rPr>
            </w:pPr>
            <w:r w:rsidRPr="001A6A9E">
              <w:rPr>
                <w:color w:val="auto"/>
              </w:rPr>
              <w:t>1 193</w:t>
            </w:r>
          </w:p>
        </w:tc>
        <w:tc>
          <w:tcPr>
            <w:tcW w:w="893" w:type="dxa"/>
            <w:noWrap/>
          </w:tcPr>
          <w:p w14:paraId="5EC82B02" w14:textId="77777777" w:rsidR="0082254D" w:rsidRPr="001A6A9E" w:rsidRDefault="0082254D" w:rsidP="005B59E2">
            <w:pPr>
              <w:pStyle w:val="Tabele"/>
              <w:jc w:val="right"/>
              <w:rPr>
                <w:color w:val="auto"/>
              </w:rPr>
            </w:pPr>
            <w:r w:rsidRPr="001A6A9E">
              <w:rPr>
                <w:rFonts w:cs="Arial"/>
                <w:color w:val="auto"/>
                <w:szCs w:val="16"/>
              </w:rPr>
              <w:t>1 309</w:t>
            </w:r>
          </w:p>
        </w:tc>
        <w:tc>
          <w:tcPr>
            <w:tcW w:w="893" w:type="dxa"/>
            <w:noWrap/>
          </w:tcPr>
          <w:p w14:paraId="4026D381" w14:textId="77777777" w:rsidR="0082254D" w:rsidRPr="001A6A9E" w:rsidRDefault="0082254D" w:rsidP="005B59E2">
            <w:pPr>
              <w:pStyle w:val="Tabele"/>
              <w:jc w:val="right"/>
              <w:rPr>
                <w:color w:val="auto"/>
              </w:rPr>
            </w:pPr>
            <w:r w:rsidRPr="001A6A9E">
              <w:rPr>
                <w:rFonts w:cs="Arial"/>
                <w:color w:val="auto"/>
                <w:szCs w:val="16"/>
              </w:rPr>
              <w:t>1 456</w:t>
            </w:r>
          </w:p>
        </w:tc>
        <w:tc>
          <w:tcPr>
            <w:tcW w:w="893" w:type="dxa"/>
            <w:noWrap/>
          </w:tcPr>
          <w:p w14:paraId="2C8CC54B" w14:textId="77777777" w:rsidR="0082254D" w:rsidRPr="001A6A9E" w:rsidRDefault="0082254D" w:rsidP="005B59E2">
            <w:pPr>
              <w:pStyle w:val="Tabele"/>
              <w:jc w:val="right"/>
              <w:rPr>
                <w:color w:val="auto"/>
              </w:rPr>
            </w:pPr>
            <w:r w:rsidRPr="001A6A9E">
              <w:rPr>
                <w:rFonts w:cs="Arial"/>
                <w:color w:val="auto"/>
                <w:szCs w:val="16"/>
              </w:rPr>
              <w:t>1 488</w:t>
            </w:r>
          </w:p>
        </w:tc>
        <w:tc>
          <w:tcPr>
            <w:tcW w:w="894" w:type="dxa"/>
          </w:tcPr>
          <w:p w14:paraId="2F79A863" w14:textId="77777777" w:rsidR="0082254D" w:rsidRPr="001A6A9E" w:rsidRDefault="0082254D" w:rsidP="005B59E2">
            <w:pPr>
              <w:pStyle w:val="Tabele"/>
              <w:jc w:val="right"/>
              <w:rPr>
                <w:color w:val="auto"/>
              </w:rPr>
            </w:pPr>
            <w:r w:rsidRPr="001A6A9E">
              <w:rPr>
                <w:rFonts w:cs="Arial"/>
                <w:color w:val="auto"/>
                <w:szCs w:val="16"/>
              </w:rPr>
              <w:t>1 393</w:t>
            </w:r>
          </w:p>
        </w:tc>
      </w:tr>
      <w:tr w:rsidR="0082254D" w:rsidRPr="00F85B97" w14:paraId="0E603178" w14:textId="77777777" w:rsidTr="0082254D">
        <w:trPr>
          <w:trHeight w:val="236"/>
        </w:trPr>
        <w:tc>
          <w:tcPr>
            <w:tcW w:w="1878" w:type="dxa"/>
            <w:hideMark/>
          </w:tcPr>
          <w:p w14:paraId="0D8AC023" w14:textId="2F12C67A" w:rsidR="0082254D" w:rsidRPr="001A6A9E" w:rsidRDefault="00657DEF" w:rsidP="005B59E2">
            <w:pPr>
              <w:pStyle w:val="Tabele"/>
              <w:rPr>
                <w:color w:val="auto"/>
              </w:rPr>
            </w:pPr>
            <w:r>
              <w:rPr>
                <w:color w:val="auto"/>
              </w:rPr>
              <w:t>W</w:t>
            </w:r>
            <w:r w:rsidR="0082254D" w:rsidRPr="001A6A9E">
              <w:rPr>
                <w:color w:val="auto"/>
              </w:rPr>
              <w:t>odór</w:t>
            </w:r>
          </w:p>
        </w:tc>
        <w:tc>
          <w:tcPr>
            <w:tcW w:w="893" w:type="dxa"/>
            <w:shd w:val="clear" w:color="auto" w:fill="C5E0B3"/>
            <w:noWrap/>
            <w:hideMark/>
          </w:tcPr>
          <w:p w14:paraId="1EF9C513" w14:textId="7836B95F" w:rsidR="0082254D" w:rsidRPr="001A6A9E" w:rsidRDefault="0082254D" w:rsidP="005B59E2">
            <w:pPr>
              <w:pStyle w:val="Tabele"/>
              <w:jc w:val="right"/>
              <w:rPr>
                <w:color w:val="auto"/>
              </w:rPr>
            </w:pPr>
            <w:r w:rsidRPr="001A6A9E">
              <w:rPr>
                <w:color w:val="auto"/>
              </w:rPr>
              <w:t>0</w:t>
            </w:r>
          </w:p>
        </w:tc>
        <w:tc>
          <w:tcPr>
            <w:tcW w:w="893" w:type="dxa"/>
            <w:shd w:val="clear" w:color="auto" w:fill="C5E0B3"/>
            <w:noWrap/>
            <w:hideMark/>
          </w:tcPr>
          <w:p w14:paraId="6F0A32E1" w14:textId="77777777" w:rsidR="0082254D" w:rsidRPr="001A6A9E" w:rsidRDefault="0082254D" w:rsidP="005B59E2">
            <w:pPr>
              <w:pStyle w:val="Tabele"/>
              <w:jc w:val="right"/>
              <w:rPr>
                <w:color w:val="auto"/>
              </w:rPr>
            </w:pPr>
            <w:r w:rsidRPr="001A6A9E">
              <w:rPr>
                <w:color w:val="auto"/>
              </w:rPr>
              <w:t>0</w:t>
            </w:r>
          </w:p>
        </w:tc>
        <w:tc>
          <w:tcPr>
            <w:tcW w:w="893" w:type="dxa"/>
            <w:shd w:val="clear" w:color="auto" w:fill="C5E0B3"/>
            <w:noWrap/>
            <w:hideMark/>
          </w:tcPr>
          <w:p w14:paraId="754EDECA" w14:textId="77777777" w:rsidR="0082254D" w:rsidRPr="001A6A9E" w:rsidRDefault="0082254D" w:rsidP="005B59E2">
            <w:pPr>
              <w:pStyle w:val="Tabele"/>
              <w:jc w:val="right"/>
              <w:rPr>
                <w:color w:val="auto"/>
              </w:rPr>
            </w:pPr>
            <w:r w:rsidRPr="001A6A9E">
              <w:rPr>
                <w:color w:val="auto"/>
              </w:rPr>
              <w:t>0</w:t>
            </w:r>
          </w:p>
        </w:tc>
        <w:tc>
          <w:tcPr>
            <w:tcW w:w="894" w:type="dxa"/>
            <w:shd w:val="clear" w:color="auto" w:fill="C5E0B3"/>
            <w:noWrap/>
            <w:hideMark/>
          </w:tcPr>
          <w:p w14:paraId="6DC5F1BA" w14:textId="77777777" w:rsidR="0082254D" w:rsidRPr="001A6A9E" w:rsidRDefault="0082254D" w:rsidP="005B59E2">
            <w:pPr>
              <w:pStyle w:val="Tabele"/>
              <w:jc w:val="right"/>
              <w:rPr>
                <w:color w:val="auto"/>
              </w:rPr>
            </w:pPr>
            <w:r w:rsidRPr="001A6A9E">
              <w:rPr>
                <w:color w:val="auto"/>
              </w:rPr>
              <w:t>0</w:t>
            </w:r>
          </w:p>
        </w:tc>
        <w:tc>
          <w:tcPr>
            <w:tcW w:w="893" w:type="dxa"/>
            <w:noWrap/>
            <w:hideMark/>
          </w:tcPr>
          <w:p w14:paraId="5DD760A2" w14:textId="77777777" w:rsidR="0082254D" w:rsidRPr="001A6A9E" w:rsidRDefault="0082254D" w:rsidP="005B59E2">
            <w:pPr>
              <w:pStyle w:val="Tabele"/>
              <w:jc w:val="right"/>
              <w:rPr>
                <w:color w:val="auto"/>
              </w:rPr>
            </w:pPr>
            <w:r w:rsidRPr="001A6A9E">
              <w:rPr>
                <w:rFonts w:cs="Arial"/>
                <w:color w:val="auto"/>
                <w:szCs w:val="16"/>
              </w:rPr>
              <w:t>5</w:t>
            </w:r>
          </w:p>
        </w:tc>
        <w:tc>
          <w:tcPr>
            <w:tcW w:w="893" w:type="dxa"/>
            <w:noWrap/>
            <w:hideMark/>
          </w:tcPr>
          <w:p w14:paraId="2AA30EA1" w14:textId="77777777" w:rsidR="0082254D" w:rsidRPr="001A6A9E" w:rsidRDefault="0082254D" w:rsidP="005B59E2">
            <w:pPr>
              <w:pStyle w:val="Tabele"/>
              <w:jc w:val="right"/>
              <w:rPr>
                <w:color w:val="auto"/>
              </w:rPr>
            </w:pPr>
            <w:r w:rsidRPr="001A6A9E">
              <w:rPr>
                <w:rFonts w:cs="Arial"/>
                <w:color w:val="auto"/>
                <w:szCs w:val="16"/>
              </w:rPr>
              <w:t>349</w:t>
            </w:r>
          </w:p>
        </w:tc>
        <w:tc>
          <w:tcPr>
            <w:tcW w:w="893" w:type="dxa"/>
            <w:noWrap/>
            <w:hideMark/>
          </w:tcPr>
          <w:p w14:paraId="4C74FFEB" w14:textId="77777777" w:rsidR="0082254D" w:rsidRPr="001A6A9E" w:rsidRDefault="0082254D" w:rsidP="005B59E2">
            <w:pPr>
              <w:pStyle w:val="Tabele"/>
              <w:jc w:val="right"/>
              <w:rPr>
                <w:color w:val="auto"/>
              </w:rPr>
            </w:pPr>
            <w:r w:rsidRPr="001A6A9E">
              <w:rPr>
                <w:rFonts w:cs="Arial"/>
                <w:color w:val="auto"/>
                <w:szCs w:val="16"/>
              </w:rPr>
              <w:t>982</w:t>
            </w:r>
          </w:p>
        </w:tc>
        <w:tc>
          <w:tcPr>
            <w:tcW w:w="894" w:type="dxa"/>
          </w:tcPr>
          <w:p w14:paraId="3F8AB483" w14:textId="77777777" w:rsidR="0082254D" w:rsidRPr="001A6A9E" w:rsidRDefault="0082254D" w:rsidP="005B59E2">
            <w:pPr>
              <w:pStyle w:val="Tabele"/>
              <w:jc w:val="right"/>
              <w:rPr>
                <w:color w:val="auto"/>
              </w:rPr>
            </w:pPr>
            <w:r w:rsidRPr="001A6A9E">
              <w:rPr>
                <w:rFonts w:cs="Arial"/>
                <w:color w:val="auto"/>
                <w:szCs w:val="16"/>
              </w:rPr>
              <w:t>3 982</w:t>
            </w:r>
          </w:p>
        </w:tc>
      </w:tr>
    </w:tbl>
    <w:p w14:paraId="6B4AD966" w14:textId="1B568643" w:rsidR="005C4144" w:rsidRPr="00550750" w:rsidRDefault="005C4144" w:rsidP="001A6A9E">
      <w:pPr>
        <w:pStyle w:val="Legenda"/>
      </w:pPr>
      <w:r w:rsidRPr="00550750">
        <w:t>Źródło: Opracowanie własne ARE S</w:t>
      </w:r>
      <w:r>
        <w:t>.</w:t>
      </w:r>
      <w:r w:rsidRPr="00550750">
        <w:t>A</w:t>
      </w:r>
      <w:r>
        <w:t>.</w:t>
      </w:r>
      <w:r w:rsidRPr="00550750">
        <w:t xml:space="preserve"> (STEAM-PL)</w:t>
      </w:r>
    </w:p>
    <w:p w14:paraId="318312CB" w14:textId="77777777" w:rsidR="005C4144" w:rsidRPr="009D6EA6" w:rsidRDefault="005C4144" w:rsidP="00797A1F">
      <w:pPr>
        <w:pStyle w:val="Nagwek2"/>
      </w:pPr>
      <w:bookmarkStart w:id="425" w:name="_Toc507408726"/>
      <w:bookmarkStart w:id="426" w:name="_Toc156465108"/>
      <w:bookmarkStart w:id="427" w:name="_Toc171587331"/>
      <w:bookmarkStart w:id="428" w:name="_Toc174710905"/>
      <w:bookmarkStart w:id="429" w:name="_Toc202966898"/>
      <w:r w:rsidRPr="009D6EA6">
        <w:t>Import netto</w:t>
      </w:r>
      <w:r>
        <w:t xml:space="preserve"> z </w:t>
      </w:r>
      <w:r w:rsidRPr="009D6EA6">
        <w:t>podziałem na rodzaj paliwa</w:t>
      </w:r>
      <w:bookmarkEnd w:id="425"/>
      <w:bookmarkEnd w:id="426"/>
      <w:bookmarkEnd w:id="427"/>
      <w:bookmarkEnd w:id="428"/>
      <w:bookmarkEnd w:id="429"/>
    </w:p>
    <w:p w14:paraId="0C74CF97" w14:textId="59253576" w:rsidR="0031115F" w:rsidRDefault="005C4144" w:rsidP="0031115F">
      <w:r>
        <w:t>W tabeli (</w:t>
      </w:r>
      <w:r w:rsidR="00F06710">
        <w:fldChar w:fldCharType="begin"/>
      </w:r>
      <w:r w:rsidR="00F06710">
        <w:instrText xml:space="preserve"> REF _Ref195871812 \h </w:instrText>
      </w:r>
      <w:r w:rsidR="00F06710">
        <w:fldChar w:fldCharType="separate"/>
      </w:r>
      <w:r w:rsidR="00F27D6F">
        <w:t xml:space="preserve">Tabela </w:t>
      </w:r>
      <w:r w:rsidR="00F27D6F">
        <w:rPr>
          <w:noProof/>
        </w:rPr>
        <w:t>3</w:t>
      </w:r>
      <w:r w:rsidR="00F27D6F">
        <w:t>.</w:t>
      </w:r>
      <w:r w:rsidR="00F27D6F">
        <w:rPr>
          <w:noProof/>
        </w:rPr>
        <w:t>3</w:t>
      </w:r>
      <w:r w:rsidR="00F06710">
        <w:fldChar w:fldCharType="end"/>
      </w:r>
      <w:r>
        <w:t xml:space="preserve">) </w:t>
      </w:r>
      <w:bookmarkStart w:id="430" w:name="_Ref156899048"/>
      <w:r w:rsidR="0031115F" w:rsidRPr="00074BFA">
        <w:t>zestawiono stan obecny oraz prognozy</w:t>
      </w:r>
      <w:r w:rsidR="0031115F">
        <w:t xml:space="preserve"> w </w:t>
      </w:r>
      <w:r w:rsidR="0031115F" w:rsidRPr="00074BFA">
        <w:t>zakresie importu netto paliw</w:t>
      </w:r>
      <w:r w:rsidR="0031115F">
        <w:t xml:space="preserve"> i </w:t>
      </w:r>
      <w:r w:rsidR="0031115F" w:rsidRPr="00074BFA">
        <w:t>nośników energii.</w:t>
      </w:r>
      <w:r w:rsidR="0031115F">
        <w:t xml:space="preserve"> Z </w:t>
      </w:r>
      <w:r w:rsidR="0031115F" w:rsidRPr="00074BFA">
        <w:t>zaprezentowanych danych wynikają następujące wnioski</w:t>
      </w:r>
      <w:r w:rsidR="0031115F">
        <w:t>:</w:t>
      </w:r>
    </w:p>
    <w:p w14:paraId="784C7F29" w14:textId="78C8F9C6" w:rsidR="0031115F" w:rsidRDefault="0031115F" w:rsidP="0031115F">
      <w:pPr>
        <w:pStyle w:val="wyliczenie"/>
      </w:pPr>
      <w:r>
        <w:t>utrzymywanie się dodatniego salda importu węgla kamiennego w perspektywie 2025 r., z uwagi na różnice w kosztach dostaw węgla z rynku krajowego i kierunków zagranicznych (na niekorzyść węgla krajowego), w późniejszym okresie zmiana tej relacji</w:t>
      </w:r>
      <w:r w:rsidR="00CF5D6B">
        <w:t>,</w:t>
      </w:r>
    </w:p>
    <w:p w14:paraId="29B747A6" w14:textId="77777777" w:rsidR="0031115F" w:rsidRDefault="0031115F" w:rsidP="0031115F">
      <w:pPr>
        <w:pStyle w:val="wyliczenie"/>
      </w:pPr>
      <w:r>
        <w:t xml:space="preserve">utrzymywanie się eksportu węgla koksującego na stabilnym poziomie. Brak własnych wystarczających źródeł podaży powoduje, że Unia Europejska jest praktycznie w całości zależna od importu węgla koksowego, a Polska obok Czech jest jedynym producentem na terenie UE. Polscy producenci korzystają z tzw. renty geograficznej, </w:t>
      </w:r>
    </w:p>
    <w:p w14:paraId="7744799A" w14:textId="77777777" w:rsidR="0031115F" w:rsidRDefault="0031115F" w:rsidP="0031115F">
      <w:pPr>
        <w:pStyle w:val="wyliczenie"/>
      </w:pPr>
      <w:r>
        <w:t>stopniowy spadek uzależnienia od dostaw ropy naftowej z importu w wyniku transformacji sektora, nakierowanej na dywersyfikacje technologiczną (rozwój elektromobilności i większe wykorzystanie paliw alternatywnych),</w:t>
      </w:r>
    </w:p>
    <w:p w14:paraId="18FA0208" w14:textId="77777777" w:rsidR="0031115F" w:rsidRDefault="0031115F" w:rsidP="0031115F">
      <w:pPr>
        <w:pStyle w:val="wyliczenie"/>
      </w:pPr>
      <w:r>
        <w:t>stopniowy spadek uzależnienia od dostaw gotowych produktów paliwowych (LPG, benzyna, ON),</w:t>
      </w:r>
    </w:p>
    <w:p w14:paraId="4A2CB4C3" w14:textId="74F8EE97" w:rsidR="0031115F" w:rsidRDefault="0031115F" w:rsidP="0031115F">
      <w:pPr>
        <w:pStyle w:val="wyliczenie"/>
      </w:pPr>
      <w:r>
        <w:t>wzrost dostaw gazu ziemnego z zagranicy w perspektywie 2030 r., następnie stopniowy spadek uzależnienia od importu jako długofalowy wynik transformacji,</w:t>
      </w:r>
    </w:p>
    <w:p w14:paraId="301F7E19" w14:textId="77777777" w:rsidR="0031115F" w:rsidRDefault="0031115F" w:rsidP="0031115F">
      <w:pPr>
        <w:pStyle w:val="wyliczenie"/>
      </w:pPr>
      <w:r>
        <w:t>konieczność importowania paliwa jądrowego do nowopowstałych bloków jądrowych, ponieważ Polska nie posiada złóż uranu w ilości, dla której byłoby opłacalne wydobycie, choć nie wyklucza się w przyszłości eksploatacji tych złóż. Na rynku światowym paliwo jądrowe jest powszechnie dostępne, (dotyczy to zarówno rudy uranowej, jak i zdolności przeróbczych na sześciofluorek uranu oraz zdolności zakładów wzbogacania i produkcji elementów paliwowych do reaktorów, więc import prawdopodobnie będzie tańszym rozwiązaniem),</w:t>
      </w:r>
    </w:p>
    <w:p w14:paraId="43355614" w14:textId="11BDC982" w:rsidR="0031115F" w:rsidRDefault="0031115F" w:rsidP="0031115F">
      <w:pPr>
        <w:pStyle w:val="wyliczenie"/>
      </w:pPr>
      <w:r>
        <w:t>niewielki poziom importu biomasy i biopali</w:t>
      </w:r>
      <w:r w:rsidR="00B755CB">
        <w:t>w</w:t>
      </w:r>
      <w:r>
        <w:t>,</w:t>
      </w:r>
    </w:p>
    <w:p w14:paraId="1AD6A0AD" w14:textId="0201CFE1" w:rsidR="0031115F" w:rsidRDefault="0031115F" w:rsidP="0031115F">
      <w:pPr>
        <w:pStyle w:val="wyliczenie"/>
      </w:pPr>
      <w:r>
        <w:t xml:space="preserve">w prognozach nie uwzględniono importu wodoru ze względu na </w:t>
      </w:r>
      <w:r w:rsidR="00206F0F">
        <w:t xml:space="preserve">obecną </w:t>
      </w:r>
      <w:r>
        <w:t>wysoką niepewność możliwości importu tego surowca.</w:t>
      </w:r>
    </w:p>
    <w:p w14:paraId="39BD1B9F" w14:textId="398D3849" w:rsidR="005C4144" w:rsidRPr="00C41AFF" w:rsidRDefault="005C4144" w:rsidP="005C4144">
      <w:pPr>
        <w:pStyle w:val="Legenda"/>
      </w:pPr>
      <w:bookmarkStart w:id="431" w:name="_Ref167820677"/>
      <w:bookmarkStart w:id="432" w:name="_Ref195871812"/>
      <w:bookmarkStart w:id="433" w:name="_Toc171587203"/>
      <w:bookmarkStart w:id="434" w:name="_Toc174710987"/>
      <w:bookmarkStart w:id="435" w:name="_Toc202966993"/>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3</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3</w:t>
      </w:r>
      <w:r w:rsidR="00653D9A">
        <w:rPr>
          <w:noProof/>
        </w:rPr>
        <w:fldChar w:fldCharType="end"/>
      </w:r>
      <w:bookmarkEnd w:id="430"/>
      <w:bookmarkEnd w:id="431"/>
      <w:bookmarkEnd w:id="432"/>
      <w:r>
        <w:t xml:space="preserve">. </w:t>
      </w:r>
      <w:r w:rsidRPr="00C41AFF">
        <w:t>Saldo importowo-eksportowe netto [ktoe]</w:t>
      </w:r>
      <w:bookmarkEnd w:id="433"/>
      <w:bookmarkEnd w:id="434"/>
      <w:bookmarkEnd w:id="435"/>
    </w:p>
    <w:tbl>
      <w:tblPr>
        <w:tblStyle w:val="KPEiK"/>
        <w:tblW w:w="4958" w:type="pct"/>
        <w:tblLayout w:type="fixed"/>
        <w:tblLook w:val="04A0" w:firstRow="1" w:lastRow="0" w:firstColumn="1" w:lastColumn="0" w:noHBand="0" w:noVBand="1"/>
      </w:tblPr>
      <w:tblGrid>
        <w:gridCol w:w="1528"/>
        <w:gridCol w:w="852"/>
        <w:gridCol w:w="884"/>
        <w:gridCol w:w="953"/>
        <w:gridCol w:w="955"/>
        <w:gridCol w:w="953"/>
        <w:gridCol w:w="953"/>
        <w:gridCol w:w="955"/>
        <w:gridCol w:w="953"/>
      </w:tblGrid>
      <w:tr w:rsidR="005117BB" w:rsidRPr="00C41AFF" w14:paraId="0DD5269E" w14:textId="77777777" w:rsidTr="0071476B">
        <w:trPr>
          <w:cnfStyle w:val="100000000000" w:firstRow="1" w:lastRow="0" w:firstColumn="0" w:lastColumn="0" w:oddVBand="0" w:evenVBand="0" w:oddHBand="0" w:evenHBand="0" w:firstRowFirstColumn="0" w:firstRowLastColumn="0" w:lastRowFirstColumn="0" w:lastRowLastColumn="0"/>
          <w:trHeight w:val="228"/>
          <w:tblHeader/>
        </w:trPr>
        <w:tc>
          <w:tcPr>
            <w:tcW w:w="1528" w:type="dxa"/>
          </w:tcPr>
          <w:p w14:paraId="26D97BDA" w14:textId="77777777" w:rsidR="005117BB" w:rsidRPr="00C41AFF" w:rsidRDefault="005117BB">
            <w:pPr>
              <w:pStyle w:val="Tabele"/>
              <w:jc w:val="center"/>
            </w:pPr>
          </w:p>
        </w:tc>
        <w:tc>
          <w:tcPr>
            <w:tcW w:w="852" w:type="dxa"/>
            <w:hideMark/>
          </w:tcPr>
          <w:p w14:paraId="007132EA" w14:textId="77777777" w:rsidR="005117BB" w:rsidRPr="00C41AFF" w:rsidRDefault="005117BB">
            <w:pPr>
              <w:pStyle w:val="Tabele"/>
              <w:jc w:val="center"/>
              <w:rPr>
                <w:bCs/>
              </w:rPr>
            </w:pPr>
            <w:r w:rsidRPr="00C41AFF">
              <w:rPr>
                <w:bCs/>
              </w:rPr>
              <w:t>2005</w:t>
            </w:r>
          </w:p>
        </w:tc>
        <w:tc>
          <w:tcPr>
            <w:tcW w:w="884" w:type="dxa"/>
            <w:hideMark/>
          </w:tcPr>
          <w:p w14:paraId="11BAF0E2" w14:textId="77777777" w:rsidR="005117BB" w:rsidRPr="00C41AFF" w:rsidRDefault="005117BB">
            <w:pPr>
              <w:pStyle w:val="Tabele"/>
              <w:jc w:val="center"/>
              <w:rPr>
                <w:bCs/>
              </w:rPr>
            </w:pPr>
            <w:r w:rsidRPr="00C41AFF">
              <w:rPr>
                <w:bCs/>
              </w:rPr>
              <w:t>2010</w:t>
            </w:r>
          </w:p>
        </w:tc>
        <w:tc>
          <w:tcPr>
            <w:tcW w:w="953" w:type="dxa"/>
            <w:hideMark/>
          </w:tcPr>
          <w:p w14:paraId="4BB7D895" w14:textId="77777777" w:rsidR="005117BB" w:rsidRPr="00C41AFF" w:rsidRDefault="005117BB">
            <w:pPr>
              <w:pStyle w:val="Tabele"/>
              <w:jc w:val="center"/>
              <w:rPr>
                <w:bCs/>
              </w:rPr>
            </w:pPr>
            <w:r w:rsidRPr="00C41AFF">
              <w:rPr>
                <w:bCs/>
              </w:rPr>
              <w:t>2015</w:t>
            </w:r>
          </w:p>
        </w:tc>
        <w:tc>
          <w:tcPr>
            <w:tcW w:w="955" w:type="dxa"/>
            <w:hideMark/>
          </w:tcPr>
          <w:p w14:paraId="66FCA03C" w14:textId="77777777" w:rsidR="005117BB" w:rsidRPr="00C41AFF" w:rsidRDefault="005117BB">
            <w:pPr>
              <w:pStyle w:val="Tabele"/>
              <w:jc w:val="center"/>
              <w:rPr>
                <w:bCs/>
              </w:rPr>
            </w:pPr>
            <w:r w:rsidRPr="00C41AFF">
              <w:rPr>
                <w:bCs/>
              </w:rPr>
              <w:t>2020</w:t>
            </w:r>
          </w:p>
        </w:tc>
        <w:tc>
          <w:tcPr>
            <w:tcW w:w="953" w:type="dxa"/>
            <w:hideMark/>
          </w:tcPr>
          <w:p w14:paraId="049C06B3" w14:textId="77777777" w:rsidR="005117BB" w:rsidRPr="00C41AFF" w:rsidRDefault="005117BB">
            <w:pPr>
              <w:pStyle w:val="Tabele"/>
              <w:jc w:val="center"/>
              <w:rPr>
                <w:bCs/>
              </w:rPr>
            </w:pPr>
            <w:r w:rsidRPr="00C41AFF">
              <w:rPr>
                <w:bCs/>
              </w:rPr>
              <w:t>2025</w:t>
            </w:r>
          </w:p>
        </w:tc>
        <w:tc>
          <w:tcPr>
            <w:tcW w:w="953" w:type="dxa"/>
            <w:hideMark/>
          </w:tcPr>
          <w:p w14:paraId="70B9BFE4" w14:textId="77777777" w:rsidR="005117BB" w:rsidRPr="00C41AFF" w:rsidRDefault="005117BB">
            <w:pPr>
              <w:pStyle w:val="Tabele"/>
              <w:jc w:val="center"/>
              <w:rPr>
                <w:bCs/>
              </w:rPr>
            </w:pPr>
            <w:r w:rsidRPr="00C41AFF">
              <w:rPr>
                <w:bCs/>
              </w:rPr>
              <w:t>2030</w:t>
            </w:r>
          </w:p>
        </w:tc>
        <w:tc>
          <w:tcPr>
            <w:tcW w:w="955" w:type="dxa"/>
            <w:hideMark/>
          </w:tcPr>
          <w:p w14:paraId="210376E1" w14:textId="77777777" w:rsidR="005117BB" w:rsidRPr="00C41AFF" w:rsidRDefault="005117BB">
            <w:pPr>
              <w:pStyle w:val="Tabele"/>
              <w:jc w:val="center"/>
              <w:rPr>
                <w:bCs/>
              </w:rPr>
            </w:pPr>
            <w:r w:rsidRPr="00C41AFF">
              <w:rPr>
                <w:bCs/>
              </w:rPr>
              <w:t>2035</w:t>
            </w:r>
          </w:p>
        </w:tc>
        <w:tc>
          <w:tcPr>
            <w:tcW w:w="953" w:type="dxa"/>
          </w:tcPr>
          <w:p w14:paraId="1CF462B1" w14:textId="77777777" w:rsidR="005117BB" w:rsidRPr="00C41AFF" w:rsidRDefault="005117BB">
            <w:pPr>
              <w:pStyle w:val="Tabele"/>
              <w:jc w:val="center"/>
              <w:rPr>
                <w:bCs/>
              </w:rPr>
            </w:pPr>
            <w:r>
              <w:rPr>
                <w:bCs/>
              </w:rPr>
              <w:t>2040</w:t>
            </w:r>
          </w:p>
        </w:tc>
      </w:tr>
      <w:tr w:rsidR="005117BB" w:rsidRPr="00F85B97" w14:paraId="745D0C41" w14:textId="77777777" w:rsidTr="0071476B">
        <w:trPr>
          <w:trHeight w:val="228"/>
        </w:trPr>
        <w:tc>
          <w:tcPr>
            <w:tcW w:w="1528" w:type="dxa"/>
            <w:hideMark/>
          </w:tcPr>
          <w:p w14:paraId="45373F0F" w14:textId="77777777" w:rsidR="005117BB" w:rsidRPr="005117BB" w:rsidRDefault="005117BB">
            <w:pPr>
              <w:pStyle w:val="Tabele"/>
              <w:rPr>
                <w:color w:val="auto"/>
                <w:szCs w:val="16"/>
              </w:rPr>
            </w:pPr>
            <w:r w:rsidRPr="005117BB">
              <w:rPr>
                <w:color w:val="auto"/>
                <w:szCs w:val="16"/>
              </w:rPr>
              <w:t>Węgiel kamienny</w:t>
            </w:r>
          </w:p>
        </w:tc>
        <w:tc>
          <w:tcPr>
            <w:tcW w:w="852" w:type="dxa"/>
            <w:shd w:val="clear" w:color="auto" w:fill="C5E0B3"/>
            <w:noWrap/>
            <w:hideMark/>
          </w:tcPr>
          <w:p w14:paraId="737AFD1C" w14:textId="77777777" w:rsidR="005117BB" w:rsidRPr="005117BB" w:rsidRDefault="005117BB">
            <w:pPr>
              <w:pStyle w:val="Tabele"/>
              <w:jc w:val="right"/>
              <w:rPr>
                <w:color w:val="auto"/>
                <w:szCs w:val="16"/>
              </w:rPr>
            </w:pPr>
            <w:r w:rsidRPr="005117BB">
              <w:rPr>
                <w:color w:val="auto"/>
                <w:szCs w:val="16"/>
              </w:rPr>
              <w:t>-8 161</w:t>
            </w:r>
          </w:p>
        </w:tc>
        <w:tc>
          <w:tcPr>
            <w:tcW w:w="884" w:type="dxa"/>
            <w:shd w:val="clear" w:color="auto" w:fill="C5E0B3"/>
            <w:noWrap/>
            <w:hideMark/>
          </w:tcPr>
          <w:p w14:paraId="504D1322" w14:textId="77777777" w:rsidR="005117BB" w:rsidRPr="005117BB" w:rsidRDefault="005117BB">
            <w:pPr>
              <w:pStyle w:val="Tabele"/>
              <w:jc w:val="right"/>
              <w:rPr>
                <w:color w:val="auto"/>
                <w:szCs w:val="16"/>
              </w:rPr>
            </w:pPr>
            <w:r w:rsidRPr="005117BB">
              <w:rPr>
                <w:color w:val="auto"/>
                <w:szCs w:val="16"/>
              </w:rPr>
              <w:t>489</w:t>
            </w:r>
          </w:p>
        </w:tc>
        <w:tc>
          <w:tcPr>
            <w:tcW w:w="953" w:type="dxa"/>
            <w:shd w:val="clear" w:color="auto" w:fill="C5E0B3"/>
            <w:noWrap/>
            <w:hideMark/>
          </w:tcPr>
          <w:p w14:paraId="37E3D1D9" w14:textId="77777777" w:rsidR="005117BB" w:rsidRPr="005117BB" w:rsidRDefault="005117BB">
            <w:pPr>
              <w:pStyle w:val="Tabele"/>
              <w:jc w:val="right"/>
              <w:rPr>
                <w:color w:val="auto"/>
                <w:szCs w:val="16"/>
              </w:rPr>
            </w:pPr>
            <w:r w:rsidRPr="005117BB">
              <w:rPr>
                <w:color w:val="auto"/>
                <w:szCs w:val="16"/>
              </w:rPr>
              <w:t>-1 588</w:t>
            </w:r>
          </w:p>
        </w:tc>
        <w:tc>
          <w:tcPr>
            <w:tcW w:w="955" w:type="dxa"/>
            <w:shd w:val="clear" w:color="auto" w:fill="C5E0B3"/>
            <w:noWrap/>
            <w:hideMark/>
          </w:tcPr>
          <w:p w14:paraId="39F64B26" w14:textId="77777777" w:rsidR="005117BB" w:rsidRPr="005117BB" w:rsidRDefault="005117BB">
            <w:pPr>
              <w:pStyle w:val="Tabele"/>
              <w:jc w:val="right"/>
              <w:rPr>
                <w:color w:val="auto"/>
                <w:szCs w:val="16"/>
              </w:rPr>
            </w:pPr>
            <w:r w:rsidRPr="005117BB">
              <w:rPr>
                <w:color w:val="auto"/>
                <w:szCs w:val="16"/>
              </w:rPr>
              <w:t>4 865</w:t>
            </w:r>
          </w:p>
        </w:tc>
        <w:tc>
          <w:tcPr>
            <w:tcW w:w="953" w:type="dxa"/>
            <w:noWrap/>
            <w:hideMark/>
          </w:tcPr>
          <w:p w14:paraId="38ADB810" w14:textId="77777777" w:rsidR="005117BB" w:rsidRPr="005117BB" w:rsidRDefault="005117BB">
            <w:pPr>
              <w:pStyle w:val="Tabele"/>
              <w:jc w:val="right"/>
              <w:rPr>
                <w:color w:val="auto"/>
                <w:szCs w:val="16"/>
              </w:rPr>
            </w:pPr>
            <w:r w:rsidRPr="005117BB">
              <w:rPr>
                <w:rFonts w:cs="Arial"/>
                <w:color w:val="auto"/>
                <w:szCs w:val="16"/>
              </w:rPr>
              <w:t>1 961</w:t>
            </w:r>
          </w:p>
        </w:tc>
        <w:tc>
          <w:tcPr>
            <w:tcW w:w="953" w:type="dxa"/>
            <w:noWrap/>
            <w:hideMark/>
          </w:tcPr>
          <w:p w14:paraId="7B7B0DAF" w14:textId="77777777" w:rsidR="005117BB" w:rsidRPr="005117BB" w:rsidRDefault="005117BB">
            <w:pPr>
              <w:pStyle w:val="Tabele"/>
              <w:jc w:val="right"/>
              <w:rPr>
                <w:color w:val="auto"/>
                <w:szCs w:val="16"/>
              </w:rPr>
            </w:pPr>
            <w:r w:rsidRPr="005117BB">
              <w:rPr>
                <w:rFonts w:cs="Arial"/>
                <w:color w:val="auto"/>
                <w:szCs w:val="16"/>
              </w:rPr>
              <w:t>-980</w:t>
            </w:r>
          </w:p>
        </w:tc>
        <w:tc>
          <w:tcPr>
            <w:tcW w:w="955" w:type="dxa"/>
            <w:noWrap/>
            <w:hideMark/>
          </w:tcPr>
          <w:p w14:paraId="3AC8E48A" w14:textId="77777777" w:rsidR="005117BB" w:rsidRPr="005117BB" w:rsidRDefault="005117BB">
            <w:pPr>
              <w:pStyle w:val="Tabele"/>
              <w:jc w:val="right"/>
              <w:rPr>
                <w:color w:val="auto"/>
                <w:szCs w:val="16"/>
              </w:rPr>
            </w:pPr>
            <w:r w:rsidRPr="005117BB">
              <w:rPr>
                <w:rFonts w:cs="Arial"/>
                <w:color w:val="auto"/>
                <w:szCs w:val="16"/>
              </w:rPr>
              <w:t>-1 014</w:t>
            </w:r>
          </w:p>
        </w:tc>
        <w:tc>
          <w:tcPr>
            <w:tcW w:w="953" w:type="dxa"/>
          </w:tcPr>
          <w:p w14:paraId="47F4669D" w14:textId="77777777" w:rsidR="005117BB" w:rsidRPr="005117BB" w:rsidRDefault="005117BB">
            <w:pPr>
              <w:pStyle w:val="Tabele"/>
              <w:jc w:val="right"/>
              <w:rPr>
                <w:color w:val="auto"/>
                <w:szCs w:val="16"/>
              </w:rPr>
            </w:pPr>
            <w:r w:rsidRPr="005117BB">
              <w:rPr>
                <w:rFonts w:cs="Arial"/>
                <w:color w:val="auto"/>
                <w:szCs w:val="16"/>
              </w:rPr>
              <w:t>-1 043</w:t>
            </w:r>
          </w:p>
        </w:tc>
      </w:tr>
      <w:tr w:rsidR="005117BB" w:rsidRPr="00F85B97" w14:paraId="362EBB69" w14:textId="77777777" w:rsidTr="0071476B">
        <w:trPr>
          <w:trHeight w:val="228"/>
        </w:trPr>
        <w:tc>
          <w:tcPr>
            <w:tcW w:w="1528" w:type="dxa"/>
            <w:hideMark/>
          </w:tcPr>
          <w:p w14:paraId="30AC0A62" w14:textId="77777777" w:rsidR="005117BB" w:rsidRPr="005117BB" w:rsidRDefault="005117BB">
            <w:pPr>
              <w:pStyle w:val="Tabele"/>
              <w:rPr>
                <w:color w:val="auto"/>
                <w:szCs w:val="16"/>
              </w:rPr>
            </w:pPr>
            <w:r w:rsidRPr="005117BB">
              <w:rPr>
                <w:color w:val="auto"/>
                <w:szCs w:val="16"/>
              </w:rPr>
              <w:t>Węgiel koksujący</w:t>
            </w:r>
          </w:p>
        </w:tc>
        <w:tc>
          <w:tcPr>
            <w:tcW w:w="852" w:type="dxa"/>
            <w:shd w:val="clear" w:color="auto" w:fill="C5E0B3"/>
            <w:noWrap/>
            <w:hideMark/>
          </w:tcPr>
          <w:p w14:paraId="53171350" w14:textId="77777777" w:rsidR="005117BB" w:rsidRPr="005117BB" w:rsidRDefault="005117BB">
            <w:pPr>
              <w:pStyle w:val="Tabele"/>
              <w:jc w:val="right"/>
              <w:rPr>
                <w:color w:val="auto"/>
                <w:szCs w:val="16"/>
              </w:rPr>
            </w:pPr>
            <w:r w:rsidRPr="005117BB">
              <w:rPr>
                <w:color w:val="auto"/>
                <w:szCs w:val="16"/>
              </w:rPr>
              <w:t>-1 801</w:t>
            </w:r>
          </w:p>
        </w:tc>
        <w:tc>
          <w:tcPr>
            <w:tcW w:w="884" w:type="dxa"/>
            <w:shd w:val="clear" w:color="auto" w:fill="C5E0B3"/>
            <w:noWrap/>
            <w:hideMark/>
          </w:tcPr>
          <w:p w14:paraId="374CC95E" w14:textId="77777777" w:rsidR="005117BB" w:rsidRPr="005117BB" w:rsidRDefault="005117BB">
            <w:pPr>
              <w:pStyle w:val="Tabele"/>
              <w:jc w:val="right"/>
              <w:rPr>
                <w:color w:val="auto"/>
                <w:szCs w:val="16"/>
              </w:rPr>
            </w:pPr>
            <w:r w:rsidRPr="005117BB">
              <w:rPr>
                <w:color w:val="auto"/>
                <w:szCs w:val="16"/>
              </w:rPr>
              <w:t>944</w:t>
            </w:r>
          </w:p>
        </w:tc>
        <w:tc>
          <w:tcPr>
            <w:tcW w:w="953" w:type="dxa"/>
            <w:shd w:val="clear" w:color="auto" w:fill="C5E0B3"/>
            <w:noWrap/>
            <w:hideMark/>
          </w:tcPr>
          <w:p w14:paraId="17D5E4CE" w14:textId="77777777" w:rsidR="005117BB" w:rsidRPr="005117BB" w:rsidRDefault="005117BB">
            <w:pPr>
              <w:pStyle w:val="Tabele"/>
              <w:jc w:val="right"/>
              <w:rPr>
                <w:color w:val="auto"/>
                <w:szCs w:val="16"/>
              </w:rPr>
            </w:pPr>
            <w:r w:rsidRPr="005117BB">
              <w:rPr>
                <w:color w:val="auto"/>
                <w:szCs w:val="16"/>
              </w:rPr>
              <w:t>275</w:t>
            </w:r>
          </w:p>
        </w:tc>
        <w:tc>
          <w:tcPr>
            <w:tcW w:w="955" w:type="dxa"/>
            <w:shd w:val="clear" w:color="auto" w:fill="C5E0B3"/>
            <w:noWrap/>
            <w:hideMark/>
          </w:tcPr>
          <w:p w14:paraId="03B77B85" w14:textId="77777777" w:rsidR="005117BB" w:rsidRPr="005117BB" w:rsidRDefault="005117BB">
            <w:pPr>
              <w:pStyle w:val="Tabele"/>
              <w:jc w:val="right"/>
              <w:rPr>
                <w:color w:val="auto"/>
                <w:szCs w:val="16"/>
              </w:rPr>
            </w:pPr>
            <w:r w:rsidRPr="005117BB">
              <w:rPr>
                <w:color w:val="auto"/>
                <w:szCs w:val="16"/>
              </w:rPr>
              <w:t>-634</w:t>
            </w:r>
          </w:p>
        </w:tc>
        <w:tc>
          <w:tcPr>
            <w:tcW w:w="953" w:type="dxa"/>
            <w:noWrap/>
            <w:hideMark/>
          </w:tcPr>
          <w:p w14:paraId="310A5823" w14:textId="77777777" w:rsidR="005117BB" w:rsidRPr="005117BB" w:rsidRDefault="005117BB">
            <w:pPr>
              <w:pStyle w:val="Tabele"/>
              <w:jc w:val="right"/>
              <w:rPr>
                <w:color w:val="auto"/>
                <w:szCs w:val="16"/>
              </w:rPr>
            </w:pPr>
            <w:r w:rsidRPr="005117BB">
              <w:rPr>
                <w:rFonts w:cs="Arial"/>
                <w:color w:val="auto"/>
                <w:szCs w:val="16"/>
              </w:rPr>
              <w:t>148</w:t>
            </w:r>
          </w:p>
        </w:tc>
        <w:tc>
          <w:tcPr>
            <w:tcW w:w="953" w:type="dxa"/>
            <w:noWrap/>
            <w:hideMark/>
          </w:tcPr>
          <w:p w14:paraId="74E400BE" w14:textId="77777777" w:rsidR="005117BB" w:rsidRPr="005117BB" w:rsidRDefault="005117BB">
            <w:pPr>
              <w:pStyle w:val="Tabele"/>
              <w:jc w:val="right"/>
              <w:rPr>
                <w:color w:val="auto"/>
                <w:szCs w:val="16"/>
              </w:rPr>
            </w:pPr>
            <w:r w:rsidRPr="005117BB">
              <w:rPr>
                <w:rFonts w:cs="Arial"/>
                <w:color w:val="auto"/>
                <w:szCs w:val="16"/>
              </w:rPr>
              <w:t>223</w:t>
            </w:r>
          </w:p>
        </w:tc>
        <w:tc>
          <w:tcPr>
            <w:tcW w:w="955" w:type="dxa"/>
            <w:noWrap/>
            <w:hideMark/>
          </w:tcPr>
          <w:p w14:paraId="69FD648B" w14:textId="77777777" w:rsidR="005117BB" w:rsidRPr="005117BB" w:rsidRDefault="005117BB">
            <w:pPr>
              <w:pStyle w:val="Tabele"/>
              <w:jc w:val="right"/>
              <w:rPr>
                <w:color w:val="auto"/>
                <w:szCs w:val="16"/>
              </w:rPr>
            </w:pPr>
            <w:r w:rsidRPr="005117BB">
              <w:rPr>
                <w:rFonts w:cs="Arial"/>
                <w:color w:val="auto"/>
                <w:szCs w:val="16"/>
              </w:rPr>
              <w:t>286</w:t>
            </w:r>
          </w:p>
        </w:tc>
        <w:tc>
          <w:tcPr>
            <w:tcW w:w="953" w:type="dxa"/>
          </w:tcPr>
          <w:p w14:paraId="39071B83" w14:textId="77777777" w:rsidR="005117BB" w:rsidRPr="005117BB" w:rsidRDefault="005117BB">
            <w:pPr>
              <w:pStyle w:val="Tabele"/>
              <w:jc w:val="right"/>
              <w:rPr>
                <w:color w:val="auto"/>
                <w:szCs w:val="16"/>
              </w:rPr>
            </w:pPr>
            <w:r w:rsidRPr="005117BB">
              <w:rPr>
                <w:rFonts w:cs="Arial"/>
                <w:color w:val="auto"/>
                <w:szCs w:val="16"/>
              </w:rPr>
              <w:t>342</w:t>
            </w:r>
          </w:p>
        </w:tc>
      </w:tr>
      <w:tr w:rsidR="005117BB" w:rsidRPr="00F85B97" w14:paraId="17197154" w14:textId="77777777" w:rsidTr="0071476B">
        <w:trPr>
          <w:trHeight w:val="228"/>
        </w:trPr>
        <w:tc>
          <w:tcPr>
            <w:tcW w:w="1528" w:type="dxa"/>
            <w:hideMark/>
          </w:tcPr>
          <w:p w14:paraId="39D87CE4" w14:textId="77777777" w:rsidR="005117BB" w:rsidRPr="005117BB" w:rsidRDefault="005117BB">
            <w:pPr>
              <w:pStyle w:val="Tabele"/>
              <w:rPr>
                <w:color w:val="auto"/>
                <w:szCs w:val="16"/>
              </w:rPr>
            </w:pPr>
            <w:r w:rsidRPr="005117BB">
              <w:rPr>
                <w:color w:val="auto"/>
                <w:szCs w:val="16"/>
              </w:rPr>
              <w:t>Koks</w:t>
            </w:r>
          </w:p>
        </w:tc>
        <w:tc>
          <w:tcPr>
            <w:tcW w:w="852" w:type="dxa"/>
            <w:shd w:val="clear" w:color="auto" w:fill="C5E0B3"/>
            <w:noWrap/>
            <w:hideMark/>
          </w:tcPr>
          <w:p w14:paraId="413C1730" w14:textId="77777777" w:rsidR="005117BB" w:rsidRPr="005117BB" w:rsidRDefault="005117BB">
            <w:pPr>
              <w:pStyle w:val="Tabele"/>
              <w:jc w:val="right"/>
              <w:rPr>
                <w:color w:val="auto"/>
                <w:szCs w:val="16"/>
              </w:rPr>
            </w:pPr>
            <w:r w:rsidRPr="005117BB">
              <w:rPr>
                <w:color w:val="auto"/>
                <w:szCs w:val="16"/>
              </w:rPr>
              <w:t>-3 068</w:t>
            </w:r>
          </w:p>
        </w:tc>
        <w:tc>
          <w:tcPr>
            <w:tcW w:w="884" w:type="dxa"/>
            <w:shd w:val="clear" w:color="auto" w:fill="C5E0B3"/>
            <w:noWrap/>
            <w:hideMark/>
          </w:tcPr>
          <w:p w14:paraId="3952568B" w14:textId="77777777" w:rsidR="005117BB" w:rsidRPr="005117BB" w:rsidRDefault="005117BB">
            <w:pPr>
              <w:pStyle w:val="Tabele"/>
              <w:jc w:val="right"/>
              <w:rPr>
                <w:color w:val="auto"/>
                <w:szCs w:val="16"/>
              </w:rPr>
            </w:pPr>
            <w:r w:rsidRPr="005117BB">
              <w:rPr>
                <w:color w:val="auto"/>
                <w:szCs w:val="16"/>
              </w:rPr>
              <w:t>-4 227</w:t>
            </w:r>
          </w:p>
        </w:tc>
        <w:tc>
          <w:tcPr>
            <w:tcW w:w="953" w:type="dxa"/>
            <w:shd w:val="clear" w:color="auto" w:fill="C5E0B3"/>
            <w:noWrap/>
            <w:hideMark/>
          </w:tcPr>
          <w:p w14:paraId="26CEDEA0" w14:textId="77777777" w:rsidR="005117BB" w:rsidRPr="005117BB" w:rsidRDefault="005117BB">
            <w:pPr>
              <w:pStyle w:val="Tabele"/>
              <w:jc w:val="right"/>
              <w:rPr>
                <w:color w:val="auto"/>
                <w:szCs w:val="16"/>
              </w:rPr>
            </w:pPr>
            <w:r w:rsidRPr="005117BB">
              <w:rPr>
                <w:color w:val="auto"/>
                <w:szCs w:val="16"/>
              </w:rPr>
              <w:t>-4 333</w:t>
            </w:r>
          </w:p>
        </w:tc>
        <w:tc>
          <w:tcPr>
            <w:tcW w:w="955" w:type="dxa"/>
            <w:shd w:val="clear" w:color="auto" w:fill="C5E0B3"/>
            <w:noWrap/>
            <w:hideMark/>
          </w:tcPr>
          <w:p w14:paraId="693F6894" w14:textId="77777777" w:rsidR="005117BB" w:rsidRPr="005117BB" w:rsidRDefault="005117BB">
            <w:pPr>
              <w:pStyle w:val="Tabele"/>
              <w:jc w:val="right"/>
              <w:rPr>
                <w:color w:val="auto"/>
                <w:szCs w:val="16"/>
              </w:rPr>
            </w:pPr>
            <w:r w:rsidRPr="005117BB">
              <w:rPr>
                <w:color w:val="auto"/>
                <w:szCs w:val="16"/>
              </w:rPr>
              <w:t>-4 115</w:t>
            </w:r>
          </w:p>
        </w:tc>
        <w:tc>
          <w:tcPr>
            <w:tcW w:w="953" w:type="dxa"/>
            <w:noWrap/>
            <w:hideMark/>
          </w:tcPr>
          <w:p w14:paraId="409BE868" w14:textId="77777777" w:rsidR="005117BB" w:rsidRPr="005117BB" w:rsidRDefault="005117BB">
            <w:pPr>
              <w:pStyle w:val="Tabele"/>
              <w:jc w:val="right"/>
              <w:rPr>
                <w:color w:val="auto"/>
                <w:szCs w:val="16"/>
              </w:rPr>
            </w:pPr>
            <w:r w:rsidRPr="005117BB">
              <w:rPr>
                <w:rFonts w:cs="Arial"/>
                <w:color w:val="auto"/>
                <w:szCs w:val="16"/>
              </w:rPr>
              <w:t>-3 983</w:t>
            </w:r>
          </w:p>
        </w:tc>
        <w:tc>
          <w:tcPr>
            <w:tcW w:w="953" w:type="dxa"/>
            <w:noWrap/>
            <w:hideMark/>
          </w:tcPr>
          <w:p w14:paraId="382FB42D" w14:textId="77777777" w:rsidR="005117BB" w:rsidRPr="005117BB" w:rsidRDefault="005117BB">
            <w:pPr>
              <w:pStyle w:val="Tabele"/>
              <w:jc w:val="right"/>
              <w:rPr>
                <w:color w:val="auto"/>
                <w:szCs w:val="16"/>
              </w:rPr>
            </w:pPr>
            <w:r w:rsidRPr="005117BB">
              <w:rPr>
                <w:rFonts w:cs="Arial"/>
                <w:color w:val="auto"/>
                <w:szCs w:val="16"/>
              </w:rPr>
              <w:t>-4 101</w:t>
            </w:r>
          </w:p>
        </w:tc>
        <w:tc>
          <w:tcPr>
            <w:tcW w:w="955" w:type="dxa"/>
            <w:noWrap/>
            <w:hideMark/>
          </w:tcPr>
          <w:p w14:paraId="191FE663" w14:textId="77777777" w:rsidR="005117BB" w:rsidRPr="005117BB" w:rsidRDefault="005117BB">
            <w:pPr>
              <w:pStyle w:val="Tabele"/>
              <w:jc w:val="right"/>
              <w:rPr>
                <w:color w:val="auto"/>
                <w:szCs w:val="16"/>
              </w:rPr>
            </w:pPr>
            <w:r w:rsidRPr="005117BB">
              <w:rPr>
                <w:rFonts w:cs="Arial"/>
                <w:color w:val="auto"/>
                <w:szCs w:val="16"/>
              </w:rPr>
              <w:t>-4 221</w:t>
            </w:r>
          </w:p>
        </w:tc>
        <w:tc>
          <w:tcPr>
            <w:tcW w:w="953" w:type="dxa"/>
          </w:tcPr>
          <w:p w14:paraId="77D614BD" w14:textId="77777777" w:rsidR="005117BB" w:rsidRPr="005117BB" w:rsidRDefault="005117BB">
            <w:pPr>
              <w:pStyle w:val="Tabele"/>
              <w:jc w:val="right"/>
              <w:rPr>
                <w:color w:val="auto"/>
                <w:szCs w:val="16"/>
              </w:rPr>
            </w:pPr>
            <w:r w:rsidRPr="005117BB">
              <w:rPr>
                <w:rFonts w:cs="Arial"/>
                <w:color w:val="auto"/>
                <w:szCs w:val="16"/>
              </w:rPr>
              <w:t>-4 341</w:t>
            </w:r>
          </w:p>
        </w:tc>
      </w:tr>
      <w:tr w:rsidR="005117BB" w:rsidRPr="00F85B97" w14:paraId="407D634D" w14:textId="77777777" w:rsidTr="0071476B">
        <w:trPr>
          <w:trHeight w:val="228"/>
        </w:trPr>
        <w:tc>
          <w:tcPr>
            <w:tcW w:w="1528" w:type="dxa"/>
            <w:hideMark/>
          </w:tcPr>
          <w:p w14:paraId="461D5352" w14:textId="77777777" w:rsidR="005117BB" w:rsidRPr="005117BB" w:rsidRDefault="005117BB">
            <w:pPr>
              <w:pStyle w:val="Tabele"/>
              <w:rPr>
                <w:color w:val="auto"/>
                <w:szCs w:val="16"/>
              </w:rPr>
            </w:pPr>
            <w:r w:rsidRPr="005117BB">
              <w:rPr>
                <w:color w:val="auto"/>
                <w:szCs w:val="16"/>
              </w:rPr>
              <w:t xml:space="preserve">Węgiel brunatny </w:t>
            </w:r>
          </w:p>
        </w:tc>
        <w:tc>
          <w:tcPr>
            <w:tcW w:w="852" w:type="dxa"/>
            <w:shd w:val="clear" w:color="auto" w:fill="C5E0B3"/>
            <w:noWrap/>
            <w:hideMark/>
          </w:tcPr>
          <w:p w14:paraId="6E124648" w14:textId="77777777" w:rsidR="005117BB" w:rsidRPr="005117BB" w:rsidRDefault="005117BB">
            <w:pPr>
              <w:pStyle w:val="Tabele"/>
              <w:jc w:val="right"/>
              <w:rPr>
                <w:color w:val="auto"/>
                <w:szCs w:val="16"/>
              </w:rPr>
            </w:pPr>
            <w:r w:rsidRPr="005117BB">
              <w:rPr>
                <w:color w:val="auto"/>
                <w:szCs w:val="16"/>
              </w:rPr>
              <w:t>-2</w:t>
            </w:r>
          </w:p>
        </w:tc>
        <w:tc>
          <w:tcPr>
            <w:tcW w:w="884" w:type="dxa"/>
            <w:shd w:val="clear" w:color="auto" w:fill="C5E0B3"/>
            <w:noWrap/>
            <w:hideMark/>
          </w:tcPr>
          <w:p w14:paraId="4E1F1BA9" w14:textId="77777777" w:rsidR="005117BB" w:rsidRPr="005117BB" w:rsidRDefault="005117BB">
            <w:pPr>
              <w:pStyle w:val="Tabele"/>
              <w:jc w:val="right"/>
              <w:rPr>
                <w:color w:val="auto"/>
                <w:szCs w:val="16"/>
              </w:rPr>
            </w:pPr>
            <w:r w:rsidRPr="005117BB">
              <w:rPr>
                <w:color w:val="auto"/>
                <w:szCs w:val="16"/>
              </w:rPr>
              <w:t>-19</w:t>
            </w:r>
          </w:p>
        </w:tc>
        <w:tc>
          <w:tcPr>
            <w:tcW w:w="953" w:type="dxa"/>
            <w:shd w:val="clear" w:color="auto" w:fill="C5E0B3"/>
            <w:noWrap/>
            <w:hideMark/>
          </w:tcPr>
          <w:p w14:paraId="1A7504A1" w14:textId="77777777" w:rsidR="005117BB" w:rsidRPr="005117BB" w:rsidRDefault="005117BB">
            <w:pPr>
              <w:pStyle w:val="Tabele"/>
              <w:jc w:val="right"/>
              <w:rPr>
                <w:color w:val="auto"/>
                <w:szCs w:val="16"/>
              </w:rPr>
            </w:pPr>
            <w:r w:rsidRPr="005117BB">
              <w:rPr>
                <w:color w:val="auto"/>
                <w:szCs w:val="16"/>
              </w:rPr>
              <w:t>16</w:t>
            </w:r>
          </w:p>
        </w:tc>
        <w:tc>
          <w:tcPr>
            <w:tcW w:w="955" w:type="dxa"/>
            <w:shd w:val="clear" w:color="auto" w:fill="C5E0B3"/>
            <w:noWrap/>
            <w:hideMark/>
          </w:tcPr>
          <w:p w14:paraId="163F4CFD" w14:textId="77777777" w:rsidR="005117BB" w:rsidRPr="005117BB" w:rsidRDefault="005117BB">
            <w:pPr>
              <w:pStyle w:val="Tabele"/>
              <w:jc w:val="right"/>
              <w:rPr>
                <w:color w:val="auto"/>
                <w:szCs w:val="16"/>
              </w:rPr>
            </w:pPr>
            <w:r w:rsidRPr="005117BB">
              <w:rPr>
                <w:color w:val="auto"/>
                <w:szCs w:val="16"/>
              </w:rPr>
              <w:t>19</w:t>
            </w:r>
          </w:p>
        </w:tc>
        <w:tc>
          <w:tcPr>
            <w:tcW w:w="953" w:type="dxa"/>
            <w:noWrap/>
            <w:hideMark/>
          </w:tcPr>
          <w:p w14:paraId="157937BE" w14:textId="77777777" w:rsidR="005117BB" w:rsidRPr="005117BB" w:rsidRDefault="005117BB">
            <w:pPr>
              <w:pStyle w:val="Tabele"/>
              <w:jc w:val="right"/>
              <w:rPr>
                <w:color w:val="auto"/>
                <w:szCs w:val="16"/>
              </w:rPr>
            </w:pPr>
            <w:r w:rsidRPr="005117BB">
              <w:rPr>
                <w:rFonts w:cs="Arial"/>
                <w:color w:val="auto"/>
                <w:szCs w:val="16"/>
              </w:rPr>
              <w:t>9</w:t>
            </w:r>
          </w:p>
        </w:tc>
        <w:tc>
          <w:tcPr>
            <w:tcW w:w="953" w:type="dxa"/>
            <w:noWrap/>
            <w:hideMark/>
          </w:tcPr>
          <w:p w14:paraId="665C1F7B" w14:textId="77777777" w:rsidR="005117BB" w:rsidRPr="005117BB" w:rsidRDefault="005117BB">
            <w:pPr>
              <w:pStyle w:val="Tabele"/>
              <w:jc w:val="right"/>
              <w:rPr>
                <w:color w:val="auto"/>
                <w:szCs w:val="16"/>
              </w:rPr>
            </w:pPr>
            <w:r w:rsidRPr="005117BB">
              <w:rPr>
                <w:rFonts w:cs="Arial"/>
                <w:color w:val="auto"/>
                <w:szCs w:val="16"/>
              </w:rPr>
              <w:t>4</w:t>
            </w:r>
          </w:p>
        </w:tc>
        <w:tc>
          <w:tcPr>
            <w:tcW w:w="955" w:type="dxa"/>
            <w:noWrap/>
            <w:hideMark/>
          </w:tcPr>
          <w:p w14:paraId="77309902" w14:textId="77777777" w:rsidR="005117BB" w:rsidRPr="005117BB" w:rsidRDefault="005117BB">
            <w:pPr>
              <w:pStyle w:val="Tabele"/>
              <w:jc w:val="right"/>
              <w:rPr>
                <w:color w:val="auto"/>
                <w:szCs w:val="16"/>
              </w:rPr>
            </w:pPr>
            <w:r w:rsidRPr="005117BB">
              <w:rPr>
                <w:rFonts w:cs="Arial"/>
                <w:color w:val="auto"/>
                <w:szCs w:val="16"/>
              </w:rPr>
              <w:t>0</w:t>
            </w:r>
          </w:p>
        </w:tc>
        <w:tc>
          <w:tcPr>
            <w:tcW w:w="953" w:type="dxa"/>
          </w:tcPr>
          <w:p w14:paraId="1E6ACE13" w14:textId="77777777" w:rsidR="005117BB" w:rsidRPr="005117BB" w:rsidRDefault="005117BB">
            <w:pPr>
              <w:pStyle w:val="Tabele"/>
              <w:jc w:val="right"/>
              <w:rPr>
                <w:color w:val="auto"/>
                <w:szCs w:val="16"/>
              </w:rPr>
            </w:pPr>
            <w:r w:rsidRPr="005117BB">
              <w:rPr>
                <w:rFonts w:cs="Arial"/>
                <w:color w:val="auto"/>
                <w:szCs w:val="16"/>
              </w:rPr>
              <w:t>0</w:t>
            </w:r>
          </w:p>
        </w:tc>
      </w:tr>
      <w:tr w:rsidR="005117BB" w:rsidRPr="00F85B97" w14:paraId="25A54CB3" w14:textId="77777777" w:rsidTr="0071476B">
        <w:trPr>
          <w:trHeight w:val="228"/>
        </w:trPr>
        <w:tc>
          <w:tcPr>
            <w:tcW w:w="1528" w:type="dxa"/>
            <w:hideMark/>
          </w:tcPr>
          <w:p w14:paraId="25574AA1" w14:textId="77777777" w:rsidR="005117BB" w:rsidRPr="005117BB" w:rsidRDefault="005117BB">
            <w:pPr>
              <w:pStyle w:val="Tabele"/>
              <w:rPr>
                <w:color w:val="auto"/>
                <w:szCs w:val="16"/>
              </w:rPr>
            </w:pPr>
            <w:r w:rsidRPr="005117BB">
              <w:rPr>
                <w:color w:val="auto"/>
                <w:szCs w:val="16"/>
              </w:rPr>
              <w:t>Ropa naftowa</w:t>
            </w:r>
          </w:p>
        </w:tc>
        <w:tc>
          <w:tcPr>
            <w:tcW w:w="852" w:type="dxa"/>
            <w:shd w:val="clear" w:color="auto" w:fill="C5E0B3"/>
            <w:noWrap/>
            <w:hideMark/>
          </w:tcPr>
          <w:p w14:paraId="20D6CB2C" w14:textId="77777777" w:rsidR="005117BB" w:rsidRPr="005117BB" w:rsidRDefault="005117BB">
            <w:pPr>
              <w:pStyle w:val="Tabele"/>
              <w:jc w:val="right"/>
              <w:rPr>
                <w:color w:val="auto"/>
                <w:szCs w:val="16"/>
              </w:rPr>
            </w:pPr>
            <w:r w:rsidRPr="005117BB">
              <w:rPr>
                <w:color w:val="auto"/>
                <w:szCs w:val="16"/>
              </w:rPr>
              <w:t>17 741</w:t>
            </w:r>
          </w:p>
        </w:tc>
        <w:tc>
          <w:tcPr>
            <w:tcW w:w="884" w:type="dxa"/>
            <w:shd w:val="clear" w:color="auto" w:fill="C5E0B3"/>
            <w:noWrap/>
            <w:hideMark/>
          </w:tcPr>
          <w:p w14:paraId="6B3D11CD" w14:textId="77777777" w:rsidR="005117BB" w:rsidRPr="005117BB" w:rsidRDefault="005117BB">
            <w:pPr>
              <w:pStyle w:val="Tabele"/>
              <w:jc w:val="right"/>
              <w:rPr>
                <w:color w:val="auto"/>
                <w:szCs w:val="16"/>
              </w:rPr>
            </w:pPr>
            <w:r w:rsidRPr="005117BB">
              <w:rPr>
                <w:color w:val="auto"/>
                <w:szCs w:val="16"/>
              </w:rPr>
              <w:t>22 484</w:t>
            </w:r>
          </w:p>
        </w:tc>
        <w:tc>
          <w:tcPr>
            <w:tcW w:w="953" w:type="dxa"/>
            <w:shd w:val="clear" w:color="auto" w:fill="C5E0B3"/>
            <w:noWrap/>
            <w:hideMark/>
          </w:tcPr>
          <w:p w14:paraId="20E0D5DE" w14:textId="77777777" w:rsidR="005117BB" w:rsidRPr="005117BB" w:rsidRDefault="005117BB">
            <w:pPr>
              <w:pStyle w:val="Tabele"/>
              <w:jc w:val="right"/>
              <w:rPr>
                <w:color w:val="auto"/>
                <w:szCs w:val="16"/>
              </w:rPr>
            </w:pPr>
            <w:r w:rsidRPr="005117BB">
              <w:rPr>
                <w:color w:val="auto"/>
                <w:szCs w:val="16"/>
              </w:rPr>
              <w:t>26 311</w:t>
            </w:r>
          </w:p>
        </w:tc>
        <w:tc>
          <w:tcPr>
            <w:tcW w:w="955" w:type="dxa"/>
            <w:shd w:val="clear" w:color="auto" w:fill="C5E0B3"/>
            <w:noWrap/>
            <w:hideMark/>
          </w:tcPr>
          <w:p w14:paraId="6C796ACE" w14:textId="77777777" w:rsidR="005117BB" w:rsidRPr="005117BB" w:rsidRDefault="005117BB">
            <w:pPr>
              <w:pStyle w:val="Tabele"/>
              <w:jc w:val="right"/>
              <w:rPr>
                <w:color w:val="auto"/>
                <w:szCs w:val="16"/>
              </w:rPr>
            </w:pPr>
            <w:r w:rsidRPr="005117BB">
              <w:rPr>
                <w:color w:val="auto"/>
                <w:szCs w:val="16"/>
              </w:rPr>
              <w:t>25 418</w:t>
            </w:r>
          </w:p>
        </w:tc>
        <w:tc>
          <w:tcPr>
            <w:tcW w:w="953" w:type="dxa"/>
            <w:noWrap/>
            <w:hideMark/>
          </w:tcPr>
          <w:p w14:paraId="090353C8" w14:textId="77777777" w:rsidR="005117BB" w:rsidRPr="005117BB" w:rsidRDefault="005117BB">
            <w:pPr>
              <w:pStyle w:val="Tabele"/>
              <w:jc w:val="right"/>
              <w:rPr>
                <w:color w:val="auto"/>
                <w:szCs w:val="16"/>
              </w:rPr>
            </w:pPr>
            <w:r w:rsidRPr="005117BB">
              <w:rPr>
                <w:rFonts w:cs="Arial"/>
                <w:color w:val="auto"/>
                <w:szCs w:val="16"/>
              </w:rPr>
              <w:t>23 592</w:t>
            </w:r>
          </w:p>
        </w:tc>
        <w:tc>
          <w:tcPr>
            <w:tcW w:w="953" w:type="dxa"/>
            <w:noWrap/>
            <w:hideMark/>
          </w:tcPr>
          <w:p w14:paraId="5FB1C558" w14:textId="77777777" w:rsidR="005117BB" w:rsidRPr="005117BB" w:rsidRDefault="005117BB">
            <w:pPr>
              <w:pStyle w:val="Tabele"/>
              <w:jc w:val="right"/>
              <w:rPr>
                <w:color w:val="auto"/>
                <w:szCs w:val="16"/>
              </w:rPr>
            </w:pPr>
            <w:r w:rsidRPr="005117BB">
              <w:rPr>
                <w:rFonts w:cs="Arial"/>
                <w:color w:val="auto"/>
                <w:szCs w:val="16"/>
              </w:rPr>
              <w:t>22 187</w:t>
            </w:r>
          </w:p>
        </w:tc>
        <w:tc>
          <w:tcPr>
            <w:tcW w:w="955" w:type="dxa"/>
            <w:noWrap/>
            <w:hideMark/>
          </w:tcPr>
          <w:p w14:paraId="41ECA8D2" w14:textId="77777777" w:rsidR="005117BB" w:rsidRPr="005117BB" w:rsidRDefault="005117BB">
            <w:pPr>
              <w:pStyle w:val="Tabele"/>
              <w:jc w:val="right"/>
              <w:rPr>
                <w:color w:val="auto"/>
                <w:szCs w:val="16"/>
              </w:rPr>
            </w:pPr>
            <w:r w:rsidRPr="005117BB">
              <w:rPr>
                <w:rFonts w:cs="Arial"/>
                <w:color w:val="auto"/>
                <w:szCs w:val="16"/>
              </w:rPr>
              <w:t>20 857</w:t>
            </w:r>
          </w:p>
        </w:tc>
        <w:tc>
          <w:tcPr>
            <w:tcW w:w="953" w:type="dxa"/>
          </w:tcPr>
          <w:p w14:paraId="2F1550B0" w14:textId="77777777" w:rsidR="005117BB" w:rsidRPr="005117BB" w:rsidRDefault="005117BB">
            <w:pPr>
              <w:pStyle w:val="Tabele"/>
              <w:jc w:val="right"/>
              <w:rPr>
                <w:color w:val="auto"/>
                <w:szCs w:val="16"/>
              </w:rPr>
            </w:pPr>
            <w:r w:rsidRPr="005117BB">
              <w:rPr>
                <w:rFonts w:cs="Arial"/>
                <w:color w:val="auto"/>
                <w:szCs w:val="16"/>
              </w:rPr>
              <w:t>19 090</w:t>
            </w:r>
          </w:p>
        </w:tc>
      </w:tr>
      <w:tr w:rsidR="005117BB" w:rsidRPr="00F85B97" w14:paraId="1ECD395C" w14:textId="77777777" w:rsidTr="0071476B">
        <w:trPr>
          <w:trHeight w:val="228"/>
        </w:trPr>
        <w:tc>
          <w:tcPr>
            <w:tcW w:w="1528" w:type="dxa"/>
            <w:hideMark/>
          </w:tcPr>
          <w:p w14:paraId="517C2A25" w14:textId="77777777" w:rsidR="005117BB" w:rsidRPr="005117BB" w:rsidRDefault="005117BB">
            <w:pPr>
              <w:pStyle w:val="Tabele"/>
              <w:rPr>
                <w:color w:val="auto"/>
                <w:szCs w:val="16"/>
              </w:rPr>
            </w:pPr>
            <w:r w:rsidRPr="005117BB">
              <w:rPr>
                <w:color w:val="auto"/>
                <w:szCs w:val="16"/>
              </w:rPr>
              <w:t>LPG</w:t>
            </w:r>
          </w:p>
        </w:tc>
        <w:tc>
          <w:tcPr>
            <w:tcW w:w="852" w:type="dxa"/>
            <w:shd w:val="clear" w:color="auto" w:fill="C5E0B3"/>
            <w:noWrap/>
            <w:hideMark/>
          </w:tcPr>
          <w:p w14:paraId="2369B359" w14:textId="77777777" w:rsidR="005117BB" w:rsidRPr="005117BB" w:rsidRDefault="005117BB">
            <w:pPr>
              <w:pStyle w:val="Tabele"/>
              <w:jc w:val="right"/>
              <w:rPr>
                <w:color w:val="auto"/>
                <w:szCs w:val="16"/>
              </w:rPr>
            </w:pPr>
            <w:r w:rsidRPr="005117BB">
              <w:rPr>
                <w:color w:val="auto"/>
                <w:szCs w:val="16"/>
              </w:rPr>
              <w:t>2 172</w:t>
            </w:r>
          </w:p>
        </w:tc>
        <w:tc>
          <w:tcPr>
            <w:tcW w:w="884" w:type="dxa"/>
            <w:shd w:val="clear" w:color="auto" w:fill="C5E0B3"/>
            <w:noWrap/>
            <w:hideMark/>
          </w:tcPr>
          <w:p w14:paraId="29121202" w14:textId="77777777" w:rsidR="005117BB" w:rsidRPr="005117BB" w:rsidRDefault="005117BB">
            <w:pPr>
              <w:pStyle w:val="Tabele"/>
              <w:jc w:val="right"/>
              <w:rPr>
                <w:color w:val="auto"/>
                <w:szCs w:val="16"/>
              </w:rPr>
            </w:pPr>
            <w:r w:rsidRPr="005117BB">
              <w:rPr>
                <w:color w:val="auto"/>
                <w:szCs w:val="16"/>
              </w:rPr>
              <w:t>1 974</w:t>
            </w:r>
          </w:p>
        </w:tc>
        <w:tc>
          <w:tcPr>
            <w:tcW w:w="953" w:type="dxa"/>
            <w:shd w:val="clear" w:color="auto" w:fill="C5E0B3"/>
            <w:noWrap/>
            <w:hideMark/>
          </w:tcPr>
          <w:p w14:paraId="3549A4CE" w14:textId="77777777" w:rsidR="005117BB" w:rsidRPr="005117BB" w:rsidRDefault="005117BB">
            <w:pPr>
              <w:pStyle w:val="Tabele"/>
              <w:jc w:val="right"/>
              <w:rPr>
                <w:color w:val="auto"/>
                <w:szCs w:val="16"/>
              </w:rPr>
            </w:pPr>
            <w:r w:rsidRPr="005117BB">
              <w:rPr>
                <w:color w:val="auto"/>
                <w:szCs w:val="16"/>
              </w:rPr>
              <w:t>1 868</w:t>
            </w:r>
          </w:p>
        </w:tc>
        <w:tc>
          <w:tcPr>
            <w:tcW w:w="955" w:type="dxa"/>
            <w:shd w:val="clear" w:color="auto" w:fill="C5E0B3"/>
            <w:noWrap/>
            <w:hideMark/>
          </w:tcPr>
          <w:p w14:paraId="654430A6" w14:textId="77777777" w:rsidR="005117BB" w:rsidRPr="005117BB" w:rsidRDefault="005117BB">
            <w:pPr>
              <w:pStyle w:val="Tabele"/>
              <w:jc w:val="right"/>
              <w:rPr>
                <w:color w:val="auto"/>
                <w:szCs w:val="16"/>
              </w:rPr>
            </w:pPr>
            <w:r w:rsidRPr="005117BB">
              <w:rPr>
                <w:color w:val="auto"/>
                <w:szCs w:val="16"/>
              </w:rPr>
              <w:t>1 838</w:t>
            </w:r>
          </w:p>
        </w:tc>
        <w:tc>
          <w:tcPr>
            <w:tcW w:w="953" w:type="dxa"/>
            <w:noWrap/>
            <w:hideMark/>
          </w:tcPr>
          <w:p w14:paraId="040B4AE4" w14:textId="77777777" w:rsidR="005117BB" w:rsidRPr="005117BB" w:rsidRDefault="005117BB">
            <w:pPr>
              <w:pStyle w:val="Tabele"/>
              <w:jc w:val="right"/>
              <w:rPr>
                <w:color w:val="auto"/>
                <w:szCs w:val="16"/>
              </w:rPr>
            </w:pPr>
            <w:r w:rsidRPr="005117BB">
              <w:rPr>
                <w:rFonts w:cs="Arial"/>
                <w:color w:val="auto"/>
                <w:szCs w:val="16"/>
              </w:rPr>
              <w:t>1 906</w:t>
            </w:r>
          </w:p>
        </w:tc>
        <w:tc>
          <w:tcPr>
            <w:tcW w:w="953" w:type="dxa"/>
            <w:noWrap/>
            <w:hideMark/>
          </w:tcPr>
          <w:p w14:paraId="4044C699" w14:textId="77777777" w:rsidR="005117BB" w:rsidRPr="005117BB" w:rsidRDefault="005117BB">
            <w:pPr>
              <w:pStyle w:val="Tabele"/>
              <w:jc w:val="right"/>
              <w:rPr>
                <w:color w:val="auto"/>
                <w:szCs w:val="16"/>
              </w:rPr>
            </w:pPr>
            <w:r w:rsidRPr="005117BB">
              <w:rPr>
                <w:rFonts w:cs="Arial"/>
                <w:color w:val="auto"/>
                <w:szCs w:val="16"/>
              </w:rPr>
              <w:t>1 409</w:t>
            </w:r>
          </w:p>
        </w:tc>
        <w:tc>
          <w:tcPr>
            <w:tcW w:w="955" w:type="dxa"/>
            <w:noWrap/>
            <w:hideMark/>
          </w:tcPr>
          <w:p w14:paraId="2983B725" w14:textId="77777777" w:rsidR="005117BB" w:rsidRPr="005117BB" w:rsidRDefault="005117BB">
            <w:pPr>
              <w:pStyle w:val="Tabele"/>
              <w:jc w:val="right"/>
              <w:rPr>
                <w:color w:val="auto"/>
                <w:szCs w:val="16"/>
              </w:rPr>
            </w:pPr>
            <w:r w:rsidRPr="005117BB">
              <w:rPr>
                <w:rFonts w:cs="Arial"/>
                <w:color w:val="auto"/>
                <w:szCs w:val="16"/>
              </w:rPr>
              <w:t>1 073</w:t>
            </w:r>
          </w:p>
        </w:tc>
        <w:tc>
          <w:tcPr>
            <w:tcW w:w="953" w:type="dxa"/>
          </w:tcPr>
          <w:p w14:paraId="3D15DEEF" w14:textId="77777777" w:rsidR="005117BB" w:rsidRPr="005117BB" w:rsidRDefault="005117BB">
            <w:pPr>
              <w:pStyle w:val="Tabele"/>
              <w:jc w:val="right"/>
              <w:rPr>
                <w:color w:val="auto"/>
                <w:szCs w:val="16"/>
              </w:rPr>
            </w:pPr>
            <w:r w:rsidRPr="005117BB">
              <w:rPr>
                <w:rFonts w:cs="Arial"/>
                <w:color w:val="auto"/>
                <w:szCs w:val="16"/>
              </w:rPr>
              <w:t>826</w:t>
            </w:r>
          </w:p>
        </w:tc>
      </w:tr>
      <w:tr w:rsidR="005117BB" w:rsidRPr="00F85B97" w14:paraId="751295EA" w14:textId="77777777" w:rsidTr="0071476B">
        <w:trPr>
          <w:trHeight w:val="228"/>
        </w:trPr>
        <w:tc>
          <w:tcPr>
            <w:tcW w:w="1528" w:type="dxa"/>
            <w:hideMark/>
          </w:tcPr>
          <w:p w14:paraId="421E3CFD" w14:textId="77777777" w:rsidR="005117BB" w:rsidRPr="005117BB" w:rsidRDefault="005117BB">
            <w:pPr>
              <w:pStyle w:val="Tabele"/>
              <w:rPr>
                <w:color w:val="auto"/>
                <w:szCs w:val="16"/>
              </w:rPr>
            </w:pPr>
            <w:r w:rsidRPr="005117BB">
              <w:rPr>
                <w:color w:val="auto"/>
                <w:szCs w:val="16"/>
              </w:rPr>
              <w:t>Benzyna</w:t>
            </w:r>
          </w:p>
        </w:tc>
        <w:tc>
          <w:tcPr>
            <w:tcW w:w="852" w:type="dxa"/>
            <w:shd w:val="clear" w:color="auto" w:fill="C5E0B3"/>
            <w:noWrap/>
            <w:hideMark/>
          </w:tcPr>
          <w:p w14:paraId="1D168317" w14:textId="77777777" w:rsidR="005117BB" w:rsidRPr="005117BB" w:rsidRDefault="005117BB">
            <w:pPr>
              <w:pStyle w:val="Tabele"/>
              <w:jc w:val="right"/>
              <w:rPr>
                <w:color w:val="auto"/>
                <w:szCs w:val="16"/>
              </w:rPr>
            </w:pPr>
            <w:r w:rsidRPr="005117BB">
              <w:rPr>
                <w:color w:val="auto"/>
                <w:szCs w:val="16"/>
              </w:rPr>
              <w:t>-69</w:t>
            </w:r>
          </w:p>
        </w:tc>
        <w:tc>
          <w:tcPr>
            <w:tcW w:w="884" w:type="dxa"/>
            <w:shd w:val="clear" w:color="auto" w:fill="C5E0B3"/>
            <w:noWrap/>
            <w:hideMark/>
          </w:tcPr>
          <w:p w14:paraId="03AFC048" w14:textId="77777777" w:rsidR="005117BB" w:rsidRPr="005117BB" w:rsidRDefault="005117BB">
            <w:pPr>
              <w:pStyle w:val="Tabele"/>
              <w:jc w:val="right"/>
              <w:rPr>
                <w:color w:val="auto"/>
                <w:szCs w:val="16"/>
              </w:rPr>
            </w:pPr>
            <w:r w:rsidRPr="005117BB">
              <w:rPr>
                <w:color w:val="auto"/>
                <w:szCs w:val="16"/>
              </w:rPr>
              <w:t>111</w:t>
            </w:r>
          </w:p>
        </w:tc>
        <w:tc>
          <w:tcPr>
            <w:tcW w:w="953" w:type="dxa"/>
            <w:shd w:val="clear" w:color="auto" w:fill="C5E0B3"/>
            <w:noWrap/>
            <w:hideMark/>
          </w:tcPr>
          <w:p w14:paraId="0870431B" w14:textId="77777777" w:rsidR="005117BB" w:rsidRPr="005117BB" w:rsidRDefault="005117BB">
            <w:pPr>
              <w:pStyle w:val="Tabele"/>
              <w:jc w:val="right"/>
              <w:rPr>
                <w:color w:val="auto"/>
                <w:szCs w:val="16"/>
              </w:rPr>
            </w:pPr>
            <w:r w:rsidRPr="005117BB">
              <w:rPr>
                <w:color w:val="auto"/>
                <w:szCs w:val="16"/>
              </w:rPr>
              <w:t>-204</w:t>
            </w:r>
          </w:p>
        </w:tc>
        <w:tc>
          <w:tcPr>
            <w:tcW w:w="955" w:type="dxa"/>
            <w:shd w:val="clear" w:color="auto" w:fill="C5E0B3"/>
            <w:noWrap/>
            <w:hideMark/>
          </w:tcPr>
          <w:p w14:paraId="55CB1815" w14:textId="77777777" w:rsidR="005117BB" w:rsidRPr="005117BB" w:rsidRDefault="005117BB">
            <w:pPr>
              <w:pStyle w:val="Tabele"/>
              <w:jc w:val="right"/>
              <w:rPr>
                <w:color w:val="auto"/>
                <w:szCs w:val="16"/>
              </w:rPr>
            </w:pPr>
            <w:r w:rsidRPr="005117BB">
              <w:rPr>
                <w:color w:val="auto"/>
                <w:szCs w:val="16"/>
              </w:rPr>
              <w:t>187</w:t>
            </w:r>
          </w:p>
        </w:tc>
        <w:tc>
          <w:tcPr>
            <w:tcW w:w="953" w:type="dxa"/>
            <w:noWrap/>
            <w:hideMark/>
          </w:tcPr>
          <w:p w14:paraId="6B67BD16" w14:textId="77777777" w:rsidR="005117BB" w:rsidRPr="005117BB" w:rsidRDefault="005117BB">
            <w:pPr>
              <w:pStyle w:val="Tabele"/>
              <w:jc w:val="right"/>
              <w:rPr>
                <w:color w:val="auto"/>
                <w:szCs w:val="16"/>
              </w:rPr>
            </w:pPr>
            <w:r w:rsidRPr="005117BB">
              <w:rPr>
                <w:rFonts w:cs="Arial"/>
                <w:color w:val="auto"/>
                <w:szCs w:val="16"/>
              </w:rPr>
              <w:t>365</w:t>
            </w:r>
          </w:p>
        </w:tc>
        <w:tc>
          <w:tcPr>
            <w:tcW w:w="953" w:type="dxa"/>
            <w:noWrap/>
            <w:hideMark/>
          </w:tcPr>
          <w:p w14:paraId="05CDDE92" w14:textId="77777777" w:rsidR="005117BB" w:rsidRPr="005117BB" w:rsidRDefault="005117BB">
            <w:pPr>
              <w:pStyle w:val="Tabele"/>
              <w:jc w:val="right"/>
              <w:rPr>
                <w:color w:val="auto"/>
                <w:szCs w:val="16"/>
              </w:rPr>
            </w:pPr>
            <w:r w:rsidRPr="005117BB">
              <w:rPr>
                <w:rFonts w:cs="Arial"/>
                <w:color w:val="auto"/>
                <w:szCs w:val="16"/>
              </w:rPr>
              <w:t>328</w:t>
            </w:r>
          </w:p>
        </w:tc>
        <w:tc>
          <w:tcPr>
            <w:tcW w:w="955" w:type="dxa"/>
            <w:noWrap/>
            <w:hideMark/>
          </w:tcPr>
          <w:p w14:paraId="45E037F8" w14:textId="77777777" w:rsidR="005117BB" w:rsidRPr="005117BB" w:rsidRDefault="005117BB">
            <w:pPr>
              <w:pStyle w:val="Tabele"/>
              <w:jc w:val="right"/>
              <w:rPr>
                <w:color w:val="auto"/>
                <w:szCs w:val="16"/>
              </w:rPr>
            </w:pPr>
            <w:r w:rsidRPr="005117BB">
              <w:rPr>
                <w:rFonts w:cs="Arial"/>
                <w:color w:val="auto"/>
                <w:szCs w:val="16"/>
              </w:rPr>
              <w:t>313</w:t>
            </w:r>
          </w:p>
        </w:tc>
        <w:tc>
          <w:tcPr>
            <w:tcW w:w="953" w:type="dxa"/>
          </w:tcPr>
          <w:p w14:paraId="45CFF006" w14:textId="77777777" w:rsidR="005117BB" w:rsidRPr="005117BB" w:rsidRDefault="005117BB">
            <w:pPr>
              <w:pStyle w:val="Tabele"/>
              <w:jc w:val="right"/>
              <w:rPr>
                <w:color w:val="auto"/>
                <w:szCs w:val="16"/>
              </w:rPr>
            </w:pPr>
            <w:r w:rsidRPr="005117BB">
              <w:rPr>
                <w:rFonts w:cs="Arial"/>
                <w:color w:val="auto"/>
                <w:szCs w:val="16"/>
              </w:rPr>
              <w:t>266</w:t>
            </w:r>
          </w:p>
        </w:tc>
      </w:tr>
      <w:tr w:rsidR="005117BB" w:rsidRPr="00F85B97" w14:paraId="2BA6D27A" w14:textId="77777777" w:rsidTr="0071476B">
        <w:trPr>
          <w:trHeight w:val="228"/>
        </w:trPr>
        <w:tc>
          <w:tcPr>
            <w:tcW w:w="1528" w:type="dxa"/>
            <w:hideMark/>
          </w:tcPr>
          <w:p w14:paraId="650E2E63" w14:textId="77777777" w:rsidR="005117BB" w:rsidRPr="005117BB" w:rsidRDefault="005117BB">
            <w:pPr>
              <w:pStyle w:val="Tabele"/>
              <w:rPr>
                <w:color w:val="auto"/>
                <w:szCs w:val="16"/>
              </w:rPr>
            </w:pPr>
            <w:r w:rsidRPr="005117BB">
              <w:rPr>
                <w:color w:val="auto"/>
                <w:szCs w:val="16"/>
              </w:rPr>
              <w:t>Olej napędowy</w:t>
            </w:r>
          </w:p>
        </w:tc>
        <w:tc>
          <w:tcPr>
            <w:tcW w:w="852" w:type="dxa"/>
            <w:shd w:val="clear" w:color="auto" w:fill="C5E0B3"/>
            <w:noWrap/>
            <w:hideMark/>
          </w:tcPr>
          <w:p w14:paraId="6C1679E2" w14:textId="77777777" w:rsidR="005117BB" w:rsidRPr="005117BB" w:rsidRDefault="005117BB">
            <w:pPr>
              <w:pStyle w:val="Tabele"/>
              <w:jc w:val="right"/>
              <w:rPr>
                <w:color w:val="auto"/>
                <w:szCs w:val="16"/>
              </w:rPr>
            </w:pPr>
            <w:r w:rsidRPr="005117BB">
              <w:rPr>
                <w:color w:val="auto"/>
                <w:szCs w:val="16"/>
              </w:rPr>
              <w:t>2 260</w:t>
            </w:r>
          </w:p>
        </w:tc>
        <w:tc>
          <w:tcPr>
            <w:tcW w:w="884" w:type="dxa"/>
            <w:shd w:val="clear" w:color="auto" w:fill="C5E0B3"/>
            <w:noWrap/>
            <w:hideMark/>
          </w:tcPr>
          <w:p w14:paraId="354EBED9" w14:textId="77777777" w:rsidR="005117BB" w:rsidRPr="005117BB" w:rsidRDefault="005117BB">
            <w:pPr>
              <w:pStyle w:val="Tabele"/>
              <w:jc w:val="right"/>
              <w:rPr>
                <w:color w:val="auto"/>
                <w:szCs w:val="16"/>
              </w:rPr>
            </w:pPr>
            <w:r w:rsidRPr="005117BB">
              <w:rPr>
                <w:color w:val="auto"/>
                <w:szCs w:val="16"/>
              </w:rPr>
              <w:t>2 202</w:t>
            </w:r>
          </w:p>
        </w:tc>
        <w:tc>
          <w:tcPr>
            <w:tcW w:w="953" w:type="dxa"/>
            <w:shd w:val="clear" w:color="auto" w:fill="C5E0B3"/>
            <w:noWrap/>
            <w:hideMark/>
          </w:tcPr>
          <w:p w14:paraId="28FC6C77" w14:textId="77777777" w:rsidR="005117BB" w:rsidRPr="005117BB" w:rsidRDefault="005117BB">
            <w:pPr>
              <w:pStyle w:val="Tabele"/>
              <w:jc w:val="right"/>
              <w:rPr>
                <w:color w:val="auto"/>
                <w:szCs w:val="16"/>
              </w:rPr>
            </w:pPr>
            <w:r w:rsidRPr="005117BB">
              <w:rPr>
                <w:color w:val="auto"/>
                <w:szCs w:val="16"/>
              </w:rPr>
              <w:t>309</w:t>
            </w:r>
          </w:p>
        </w:tc>
        <w:tc>
          <w:tcPr>
            <w:tcW w:w="955" w:type="dxa"/>
            <w:shd w:val="clear" w:color="auto" w:fill="C5E0B3"/>
            <w:noWrap/>
            <w:hideMark/>
          </w:tcPr>
          <w:p w14:paraId="76D9DEB4" w14:textId="77777777" w:rsidR="005117BB" w:rsidRPr="005117BB" w:rsidRDefault="005117BB">
            <w:pPr>
              <w:pStyle w:val="Tabele"/>
              <w:jc w:val="right"/>
              <w:rPr>
                <w:color w:val="auto"/>
                <w:szCs w:val="16"/>
              </w:rPr>
            </w:pPr>
            <w:r w:rsidRPr="005117BB">
              <w:rPr>
                <w:color w:val="auto"/>
                <w:szCs w:val="16"/>
              </w:rPr>
              <w:t>4 124</w:t>
            </w:r>
          </w:p>
        </w:tc>
        <w:tc>
          <w:tcPr>
            <w:tcW w:w="953" w:type="dxa"/>
            <w:noWrap/>
            <w:hideMark/>
          </w:tcPr>
          <w:p w14:paraId="1F41988D" w14:textId="77777777" w:rsidR="005117BB" w:rsidRPr="005117BB" w:rsidRDefault="005117BB">
            <w:pPr>
              <w:pStyle w:val="Tabele"/>
              <w:jc w:val="right"/>
              <w:rPr>
                <w:color w:val="auto"/>
                <w:szCs w:val="16"/>
              </w:rPr>
            </w:pPr>
            <w:r w:rsidRPr="005117BB">
              <w:rPr>
                <w:rFonts w:cs="Arial"/>
                <w:color w:val="auto"/>
                <w:szCs w:val="16"/>
              </w:rPr>
              <w:t>4 918</w:t>
            </w:r>
          </w:p>
        </w:tc>
        <w:tc>
          <w:tcPr>
            <w:tcW w:w="953" w:type="dxa"/>
            <w:noWrap/>
            <w:hideMark/>
          </w:tcPr>
          <w:p w14:paraId="32862820" w14:textId="77777777" w:rsidR="005117BB" w:rsidRPr="005117BB" w:rsidRDefault="005117BB">
            <w:pPr>
              <w:pStyle w:val="Tabele"/>
              <w:jc w:val="right"/>
              <w:rPr>
                <w:color w:val="auto"/>
                <w:szCs w:val="16"/>
              </w:rPr>
            </w:pPr>
            <w:r w:rsidRPr="005117BB">
              <w:rPr>
                <w:rFonts w:cs="Arial"/>
                <w:color w:val="auto"/>
                <w:szCs w:val="16"/>
              </w:rPr>
              <w:t>4 256</w:t>
            </w:r>
          </w:p>
        </w:tc>
        <w:tc>
          <w:tcPr>
            <w:tcW w:w="955" w:type="dxa"/>
            <w:noWrap/>
            <w:hideMark/>
          </w:tcPr>
          <w:p w14:paraId="5FBE115D" w14:textId="77777777" w:rsidR="005117BB" w:rsidRPr="005117BB" w:rsidRDefault="005117BB">
            <w:pPr>
              <w:pStyle w:val="Tabele"/>
              <w:jc w:val="right"/>
              <w:rPr>
                <w:color w:val="auto"/>
                <w:szCs w:val="16"/>
              </w:rPr>
            </w:pPr>
            <w:r w:rsidRPr="005117BB">
              <w:rPr>
                <w:rFonts w:cs="Arial"/>
                <w:color w:val="auto"/>
                <w:szCs w:val="16"/>
              </w:rPr>
              <w:t>3 618</w:t>
            </w:r>
          </w:p>
        </w:tc>
        <w:tc>
          <w:tcPr>
            <w:tcW w:w="953" w:type="dxa"/>
          </w:tcPr>
          <w:p w14:paraId="19AD1067" w14:textId="77777777" w:rsidR="005117BB" w:rsidRPr="005117BB" w:rsidRDefault="005117BB">
            <w:pPr>
              <w:pStyle w:val="Tabele"/>
              <w:jc w:val="right"/>
              <w:rPr>
                <w:color w:val="auto"/>
                <w:szCs w:val="16"/>
              </w:rPr>
            </w:pPr>
            <w:r w:rsidRPr="005117BB">
              <w:rPr>
                <w:rFonts w:cs="Arial"/>
                <w:color w:val="auto"/>
                <w:szCs w:val="16"/>
              </w:rPr>
              <w:t>3 034</w:t>
            </w:r>
          </w:p>
        </w:tc>
      </w:tr>
      <w:tr w:rsidR="005117BB" w:rsidRPr="00F85B97" w14:paraId="6485FB9D" w14:textId="77777777" w:rsidTr="0071476B">
        <w:trPr>
          <w:trHeight w:val="228"/>
        </w:trPr>
        <w:tc>
          <w:tcPr>
            <w:tcW w:w="1528" w:type="dxa"/>
            <w:hideMark/>
          </w:tcPr>
          <w:p w14:paraId="39E56E42" w14:textId="77777777" w:rsidR="005117BB" w:rsidRPr="005117BB" w:rsidRDefault="005117BB">
            <w:pPr>
              <w:pStyle w:val="Tabele"/>
              <w:rPr>
                <w:color w:val="auto"/>
                <w:szCs w:val="16"/>
              </w:rPr>
            </w:pPr>
            <w:r w:rsidRPr="005117BB">
              <w:rPr>
                <w:color w:val="auto"/>
                <w:szCs w:val="16"/>
              </w:rPr>
              <w:t>Gaz ziemny</w:t>
            </w:r>
          </w:p>
        </w:tc>
        <w:tc>
          <w:tcPr>
            <w:tcW w:w="852" w:type="dxa"/>
            <w:shd w:val="clear" w:color="auto" w:fill="C5E0B3"/>
            <w:noWrap/>
            <w:hideMark/>
          </w:tcPr>
          <w:p w14:paraId="31C3BA73" w14:textId="77777777" w:rsidR="005117BB" w:rsidRPr="005117BB" w:rsidRDefault="005117BB">
            <w:pPr>
              <w:pStyle w:val="Tabele"/>
              <w:jc w:val="right"/>
              <w:rPr>
                <w:color w:val="auto"/>
                <w:szCs w:val="16"/>
              </w:rPr>
            </w:pPr>
            <w:r w:rsidRPr="005117BB">
              <w:rPr>
                <w:color w:val="auto"/>
                <w:szCs w:val="16"/>
              </w:rPr>
              <w:t>8 531</w:t>
            </w:r>
          </w:p>
        </w:tc>
        <w:tc>
          <w:tcPr>
            <w:tcW w:w="884" w:type="dxa"/>
            <w:shd w:val="clear" w:color="auto" w:fill="C5E0B3"/>
            <w:noWrap/>
            <w:hideMark/>
          </w:tcPr>
          <w:p w14:paraId="3CD48F1E" w14:textId="77777777" w:rsidR="005117BB" w:rsidRPr="005117BB" w:rsidRDefault="005117BB">
            <w:pPr>
              <w:pStyle w:val="Tabele"/>
              <w:jc w:val="right"/>
              <w:rPr>
                <w:color w:val="auto"/>
                <w:szCs w:val="16"/>
              </w:rPr>
            </w:pPr>
            <w:r w:rsidRPr="005117BB">
              <w:rPr>
                <w:color w:val="auto"/>
                <w:szCs w:val="16"/>
              </w:rPr>
              <w:t>8 874</w:t>
            </w:r>
          </w:p>
        </w:tc>
        <w:tc>
          <w:tcPr>
            <w:tcW w:w="953" w:type="dxa"/>
            <w:shd w:val="clear" w:color="auto" w:fill="C5E0B3"/>
            <w:noWrap/>
            <w:hideMark/>
          </w:tcPr>
          <w:p w14:paraId="4183345C" w14:textId="77777777" w:rsidR="005117BB" w:rsidRPr="005117BB" w:rsidRDefault="005117BB">
            <w:pPr>
              <w:pStyle w:val="Tabele"/>
              <w:jc w:val="right"/>
              <w:rPr>
                <w:color w:val="auto"/>
                <w:szCs w:val="16"/>
              </w:rPr>
            </w:pPr>
            <w:r w:rsidRPr="005117BB">
              <w:rPr>
                <w:color w:val="auto"/>
                <w:szCs w:val="16"/>
              </w:rPr>
              <w:t>9 947</w:t>
            </w:r>
          </w:p>
        </w:tc>
        <w:tc>
          <w:tcPr>
            <w:tcW w:w="955" w:type="dxa"/>
            <w:shd w:val="clear" w:color="auto" w:fill="C5E0B3"/>
            <w:noWrap/>
            <w:hideMark/>
          </w:tcPr>
          <w:p w14:paraId="617C8BAE" w14:textId="77777777" w:rsidR="005117BB" w:rsidRPr="005117BB" w:rsidRDefault="005117BB">
            <w:pPr>
              <w:pStyle w:val="Tabele"/>
              <w:jc w:val="right"/>
              <w:rPr>
                <w:color w:val="auto"/>
                <w:szCs w:val="16"/>
              </w:rPr>
            </w:pPr>
            <w:r w:rsidRPr="005117BB">
              <w:rPr>
                <w:color w:val="auto"/>
                <w:szCs w:val="16"/>
              </w:rPr>
              <w:t>13 647</w:t>
            </w:r>
          </w:p>
        </w:tc>
        <w:tc>
          <w:tcPr>
            <w:tcW w:w="953" w:type="dxa"/>
            <w:noWrap/>
            <w:hideMark/>
          </w:tcPr>
          <w:p w14:paraId="02077F63" w14:textId="77777777" w:rsidR="005117BB" w:rsidRPr="005117BB" w:rsidRDefault="005117BB">
            <w:pPr>
              <w:pStyle w:val="Tabele"/>
              <w:jc w:val="right"/>
              <w:rPr>
                <w:color w:val="auto"/>
                <w:szCs w:val="16"/>
              </w:rPr>
            </w:pPr>
            <w:r w:rsidRPr="005117BB">
              <w:rPr>
                <w:rFonts w:cs="Arial"/>
                <w:color w:val="auto"/>
                <w:szCs w:val="16"/>
              </w:rPr>
              <w:t>16 894</w:t>
            </w:r>
          </w:p>
        </w:tc>
        <w:tc>
          <w:tcPr>
            <w:tcW w:w="953" w:type="dxa"/>
            <w:noWrap/>
            <w:hideMark/>
          </w:tcPr>
          <w:p w14:paraId="74AE9F07" w14:textId="77777777" w:rsidR="005117BB" w:rsidRPr="005117BB" w:rsidRDefault="005117BB">
            <w:pPr>
              <w:pStyle w:val="Tabele"/>
              <w:jc w:val="right"/>
              <w:rPr>
                <w:color w:val="auto"/>
                <w:szCs w:val="16"/>
              </w:rPr>
            </w:pPr>
            <w:r w:rsidRPr="005117BB">
              <w:rPr>
                <w:rFonts w:cs="Arial"/>
                <w:color w:val="auto"/>
                <w:szCs w:val="16"/>
              </w:rPr>
              <w:t>16 360</w:t>
            </w:r>
          </w:p>
        </w:tc>
        <w:tc>
          <w:tcPr>
            <w:tcW w:w="955" w:type="dxa"/>
            <w:noWrap/>
            <w:hideMark/>
          </w:tcPr>
          <w:p w14:paraId="6A17B3DF" w14:textId="77777777" w:rsidR="005117BB" w:rsidRPr="005117BB" w:rsidRDefault="005117BB">
            <w:pPr>
              <w:pStyle w:val="Tabele"/>
              <w:jc w:val="right"/>
              <w:rPr>
                <w:color w:val="auto"/>
                <w:szCs w:val="16"/>
              </w:rPr>
            </w:pPr>
            <w:r w:rsidRPr="005117BB">
              <w:rPr>
                <w:rFonts w:cs="Arial"/>
                <w:color w:val="auto"/>
                <w:szCs w:val="16"/>
              </w:rPr>
              <w:t>10 894</w:t>
            </w:r>
          </w:p>
        </w:tc>
        <w:tc>
          <w:tcPr>
            <w:tcW w:w="953" w:type="dxa"/>
          </w:tcPr>
          <w:p w14:paraId="2A5C6B2C" w14:textId="77777777" w:rsidR="005117BB" w:rsidRPr="005117BB" w:rsidRDefault="005117BB">
            <w:pPr>
              <w:pStyle w:val="Tabele"/>
              <w:jc w:val="right"/>
              <w:rPr>
                <w:color w:val="auto"/>
                <w:szCs w:val="16"/>
              </w:rPr>
            </w:pPr>
            <w:r w:rsidRPr="005117BB">
              <w:rPr>
                <w:rFonts w:cs="Arial"/>
                <w:color w:val="auto"/>
                <w:szCs w:val="16"/>
              </w:rPr>
              <w:t>6 800</w:t>
            </w:r>
          </w:p>
        </w:tc>
      </w:tr>
      <w:tr w:rsidR="005117BB" w:rsidRPr="00F85B97" w14:paraId="38DD2975" w14:textId="77777777" w:rsidTr="0071476B">
        <w:trPr>
          <w:trHeight w:val="228"/>
        </w:trPr>
        <w:tc>
          <w:tcPr>
            <w:tcW w:w="1528" w:type="dxa"/>
          </w:tcPr>
          <w:p w14:paraId="031299EB" w14:textId="77777777" w:rsidR="005117BB" w:rsidRPr="005117BB" w:rsidRDefault="005117BB">
            <w:pPr>
              <w:pStyle w:val="Tabele"/>
              <w:rPr>
                <w:color w:val="auto"/>
                <w:szCs w:val="16"/>
              </w:rPr>
            </w:pPr>
            <w:r w:rsidRPr="005117BB">
              <w:rPr>
                <w:color w:val="auto"/>
                <w:szCs w:val="16"/>
              </w:rPr>
              <w:t>Paliwo jądrowe</w:t>
            </w:r>
          </w:p>
        </w:tc>
        <w:tc>
          <w:tcPr>
            <w:tcW w:w="852" w:type="dxa"/>
            <w:shd w:val="clear" w:color="auto" w:fill="C5E0B3"/>
            <w:noWrap/>
          </w:tcPr>
          <w:p w14:paraId="7BA784B7" w14:textId="77777777" w:rsidR="005117BB" w:rsidRPr="005117BB" w:rsidRDefault="005117BB">
            <w:pPr>
              <w:pStyle w:val="Tabele"/>
              <w:jc w:val="right"/>
              <w:rPr>
                <w:color w:val="auto"/>
                <w:szCs w:val="16"/>
              </w:rPr>
            </w:pPr>
            <w:r w:rsidRPr="005117BB">
              <w:rPr>
                <w:color w:val="auto"/>
                <w:szCs w:val="16"/>
              </w:rPr>
              <w:t>0</w:t>
            </w:r>
          </w:p>
        </w:tc>
        <w:tc>
          <w:tcPr>
            <w:tcW w:w="884" w:type="dxa"/>
            <w:shd w:val="clear" w:color="auto" w:fill="C5E0B3"/>
            <w:noWrap/>
          </w:tcPr>
          <w:p w14:paraId="649B5119" w14:textId="77777777" w:rsidR="005117BB" w:rsidRPr="005117BB" w:rsidRDefault="005117BB">
            <w:pPr>
              <w:pStyle w:val="Tabele"/>
              <w:jc w:val="right"/>
              <w:rPr>
                <w:color w:val="auto"/>
                <w:szCs w:val="16"/>
              </w:rPr>
            </w:pPr>
            <w:r w:rsidRPr="005117BB">
              <w:rPr>
                <w:color w:val="auto"/>
                <w:szCs w:val="16"/>
              </w:rPr>
              <w:t>0</w:t>
            </w:r>
          </w:p>
        </w:tc>
        <w:tc>
          <w:tcPr>
            <w:tcW w:w="953" w:type="dxa"/>
            <w:shd w:val="clear" w:color="auto" w:fill="C5E0B3"/>
            <w:noWrap/>
          </w:tcPr>
          <w:p w14:paraId="35831D26" w14:textId="77777777" w:rsidR="005117BB" w:rsidRPr="005117BB" w:rsidRDefault="005117BB">
            <w:pPr>
              <w:pStyle w:val="Tabele"/>
              <w:jc w:val="right"/>
              <w:rPr>
                <w:color w:val="auto"/>
                <w:szCs w:val="16"/>
              </w:rPr>
            </w:pPr>
            <w:r w:rsidRPr="005117BB">
              <w:rPr>
                <w:color w:val="auto"/>
                <w:szCs w:val="16"/>
              </w:rPr>
              <w:t>0</w:t>
            </w:r>
          </w:p>
        </w:tc>
        <w:tc>
          <w:tcPr>
            <w:tcW w:w="955" w:type="dxa"/>
            <w:shd w:val="clear" w:color="auto" w:fill="C5E0B3"/>
            <w:noWrap/>
          </w:tcPr>
          <w:p w14:paraId="02021852" w14:textId="77777777" w:rsidR="005117BB" w:rsidRPr="005117BB" w:rsidRDefault="005117BB">
            <w:pPr>
              <w:pStyle w:val="Tabele"/>
              <w:jc w:val="right"/>
              <w:rPr>
                <w:color w:val="auto"/>
                <w:szCs w:val="16"/>
              </w:rPr>
            </w:pPr>
            <w:r w:rsidRPr="005117BB">
              <w:rPr>
                <w:color w:val="auto"/>
                <w:szCs w:val="16"/>
              </w:rPr>
              <w:t>0</w:t>
            </w:r>
          </w:p>
        </w:tc>
        <w:tc>
          <w:tcPr>
            <w:tcW w:w="953" w:type="dxa"/>
            <w:noWrap/>
          </w:tcPr>
          <w:p w14:paraId="256BA947" w14:textId="77777777" w:rsidR="005117BB" w:rsidRPr="005117BB" w:rsidRDefault="005117BB">
            <w:pPr>
              <w:pStyle w:val="Tabele"/>
              <w:jc w:val="right"/>
              <w:rPr>
                <w:color w:val="auto"/>
                <w:szCs w:val="16"/>
              </w:rPr>
            </w:pPr>
            <w:r w:rsidRPr="005117BB">
              <w:rPr>
                <w:rFonts w:cs="Arial"/>
                <w:color w:val="auto"/>
                <w:szCs w:val="16"/>
              </w:rPr>
              <w:t>0</w:t>
            </w:r>
          </w:p>
        </w:tc>
        <w:tc>
          <w:tcPr>
            <w:tcW w:w="953" w:type="dxa"/>
            <w:noWrap/>
          </w:tcPr>
          <w:p w14:paraId="2E49D812" w14:textId="77777777" w:rsidR="005117BB" w:rsidRPr="005117BB" w:rsidRDefault="005117BB">
            <w:pPr>
              <w:pStyle w:val="Tabele"/>
              <w:jc w:val="right"/>
              <w:rPr>
                <w:color w:val="auto"/>
                <w:szCs w:val="16"/>
              </w:rPr>
            </w:pPr>
            <w:r w:rsidRPr="005117BB">
              <w:rPr>
                <w:rFonts w:cs="Arial"/>
                <w:color w:val="auto"/>
                <w:szCs w:val="16"/>
              </w:rPr>
              <w:t>0</w:t>
            </w:r>
          </w:p>
        </w:tc>
        <w:tc>
          <w:tcPr>
            <w:tcW w:w="955" w:type="dxa"/>
            <w:noWrap/>
          </w:tcPr>
          <w:p w14:paraId="61F2FBC2" w14:textId="77777777" w:rsidR="005117BB" w:rsidRPr="005117BB" w:rsidRDefault="005117BB">
            <w:pPr>
              <w:pStyle w:val="Tabele"/>
              <w:jc w:val="right"/>
              <w:rPr>
                <w:color w:val="auto"/>
                <w:szCs w:val="16"/>
              </w:rPr>
            </w:pPr>
            <w:r w:rsidRPr="005117BB">
              <w:rPr>
                <w:rFonts w:cs="Arial"/>
                <w:color w:val="auto"/>
                <w:szCs w:val="16"/>
              </w:rPr>
              <w:t>0</w:t>
            </w:r>
          </w:p>
        </w:tc>
        <w:tc>
          <w:tcPr>
            <w:tcW w:w="953" w:type="dxa"/>
          </w:tcPr>
          <w:p w14:paraId="41B13DC8" w14:textId="77777777" w:rsidR="005117BB" w:rsidRPr="005117BB" w:rsidRDefault="005117BB">
            <w:pPr>
              <w:pStyle w:val="Tabele"/>
              <w:jc w:val="right"/>
              <w:rPr>
                <w:color w:val="auto"/>
                <w:szCs w:val="16"/>
              </w:rPr>
            </w:pPr>
            <w:r w:rsidRPr="005117BB">
              <w:rPr>
                <w:rFonts w:cs="Arial"/>
                <w:color w:val="auto"/>
                <w:szCs w:val="16"/>
              </w:rPr>
              <w:t>0</w:t>
            </w:r>
          </w:p>
        </w:tc>
      </w:tr>
      <w:tr w:rsidR="005117BB" w:rsidRPr="00F85B97" w14:paraId="18957F5C" w14:textId="77777777" w:rsidTr="0071476B">
        <w:trPr>
          <w:trHeight w:val="228"/>
        </w:trPr>
        <w:tc>
          <w:tcPr>
            <w:tcW w:w="1528" w:type="dxa"/>
            <w:vAlign w:val="top"/>
          </w:tcPr>
          <w:p w14:paraId="178C3091" w14:textId="5FA7C1BB" w:rsidR="005117BB" w:rsidRPr="0071476B" w:rsidRDefault="0071476B">
            <w:pPr>
              <w:pStyle w:val="Tabele"/>
              <w:rPr>
                <w:color w:val="000000" w:themeColor="text1"/>
                <w:szCs w:val="16"/>
              </w:rPr>
            </w:pPr>
            <w:r w:rsidRPr="0071476B">
              <w:rPr>
                <w:color w:val="000000" w:themeColor="text1"/>
              </w:rPr>
              <w:t>Biopaliwa</w:t>
            </w:r>
          </w:p>
        </w:tc>
        <w:tc>
          <w:tcPr>
            <w:tcW w:w="852" w:type="dxa"/>
            <w:shd w:val="clear" w:color="auto" w:fill="C5E0B3"/>
            <w:noWrap/>
            <w:vAlign w:val="top"/>
          </w:tcPr>
          <w:p w14:paraId="782FF3F4" w14:textId="41C00D68" w:rsidR="005117BB" w:rsidRPr="0071476B" w:rsidRDefault="0071476B">
            <w:pPr>
              <w:pStyle w:val="Tabele"/>
              <w:jc w:val="right"/>
              <w:rPr>
                <w:color w:val="000000" w:themeColor="text1"/>
                <w:szCs w:val="16"/>
              </w:rPr>
            </w:pPr>
            <w:r w:rsidRPr="0071476B">
              <w:rPr>
                <w:color w:val="000000" w:themeColor="text1"/>
              </w:rPr>
              <w:t>-65</w:t>
            </w:r>
          </w:p>
        </w:tc>
        <w:tc>
          <w:tcPr>
            <w:tcW w:w="884" w:type="dxa"/>
            <w:shd w:val="clear" w:color="auto" w:fill="C5E0B3"/>
            <w:noWrap/>
            <w:vAlign w:val="top"/>
          </w:tcPr>
          <w:p w14:paraId="62AECA34" w14:textId="7FCF2CE3" w:rsidR="005117BB" w:rsidRPr="0071476B" w:rsidRDefault="0071476B">
            <w:pPr>
              <w:pStyle w:val="Tabele"/>
              <w:jc w:val="right"/>
              <w:rPr>
                <w:color w:val="000000" w:themeColor="text1"/>
                <w:szCs w:val="16"/>
              </w:rPr>
            </w:pPr>
            <w:r w:rsidRPr="0071476B">
              <w:rPr>
                <w:color w:val="000000" w:themeColor="text1"/>
              </w:rPr>
              <w:t>427</w:t>
            </w:r>
          </w:p>
        </w:tc>
        <w:tc>
          <w:tcPr>
            <w:tcW w:w="953" w:type="dxa"/>
            <w:shd w:val="clear" w:color="auto" w:fill="C5E0B3"/>
            <w:noWrap/>
            <w:vAlign w:val="top"/>
          </w:tcPr>
          <w:p w14:paraId="669022C0" w14:textId="49FA0610" w:rsidR="005117BB" w:rsidRPr="0071476B" w:rsidRDefault="0071476B">
            <w:pPr>
              <w:pStyle w:val="Tabele"/>
              <w:jc w:val="right"/>
              <w:rPr>
                <w:color w:val="000000" w:themeColor="text1"/>
                <w:szCs w:val="16"/>
              </w:rPr>
            </w:pPr>
            <w:r w:rsidRPr="0071476B">
              <w:rPr>
                <w:color w:val="000000" w:themeColor="text1"/>
              </w:rPr>
              <w:t>-144</w:t>
            </w:r>
          </w:p>
        </w:tc>
        <w:tc>
          <w:tcPr>
            <w:tcW w:w="955" w:type="dxa"/>
            <w:shd w:val="clear" w:color="auto" w:fill="C5E0B3"/>
            <w:noWrap/>
            <w:vAlign w:val="top"/>
          </w:tcPr>
          <w:p w14:paraId="4292153D" w14:textId="17C7688F" w:rsidR="005117BB" w:rsidRPr="0071476B" w:rsidRDefault="0071476B">
            <w:pPr>
              <w:pStyle w:val="Tabele"/>
              <w:jc w:val="right"/>
              <w:rPr>
                <w:color w:val="000000" w:themeColor="text1"/>
                <w:szCs w:val="16"/>
              </w:rPr>
            </w:pPr>
            <w:r w:rsidRPr="0071476B">
              <w:rPr>
                <w:color w:val="000000" w:themeColor="text1"/>
              </w:rPr>
              <w:t>67</w:t>
            </w:r>
          </w:p>
        </w:tc>
        <w:tc>
          <w:tcPr>
            <w:tcW w:w="953" w:type="dxa"/>
            <w:noWrap/>
            <w:vAlign w:val="top"/>
          </w:tcPr>
          <w:p w14:paraId="794597CE" w14:textId="5802FA22" w:rsidR="005117BB" w:rsidRPr="0071476B" w:rsidRDefault="0071476B">
            <w:pPr>
              <w:pStyle w:val="Tabele"/>
              <w:jc w:val="right"/>
              <w:rPr>
                <w:color w:val="000000" w:themeColor="text1"/>
                <w:szCs w:val="16"/>
              </w:rPr>
            </w:pPr>
            <w:r w:rsidRPr="0071476B">
              <w:rPr>
                <w:color w:val="000000" w:themeColor="text1"/>
              </w:rPr>
              <w:t>112</w:t>
            </w:r>
          </w:p>
        </w:tc>
        <w:tc>
          <w:tcPr>
            <w:tcW w:w="953" w:type="dxa"/>
            <w:noWrap/>
            <w:vAlign w:val="top"/>
          </w:tcPr>
          <w:p w14:paraId="7DDDA115" w14:textId="0542CF6F" w:rsidR="005117BB" w:rsidRPr="0071476B" w:rsidRDefault="0071476B">
            <w:pPr>
              <w:pStyle w:val="Tabele"/>
              <w:jc w:val="right"/>
              <w:rPr>
                <w:color w:val="000000" w:themeColor="text1"/>
                <w:szCs w:val="16"/>
              </w:rPr>
            </w:pPr>
            <w:r w:rsidRPr="0071476B">
              <w:rPr>
                <w:color w:val="000000" w:themeColor="text1"/>
              </w:rPr>
              <w:t>115</w:t>
            </w:r>
          </w:p>
        </w:tc>
        <w:tc>
          <w:tcPr>
            <w:tcW w:w="955" w:type="dxa"/>
            <w:noWrap/>
            <w:vAlign w:val="top"/>
          </w:tcPr>
          <w:p w14:paraId="3A79AE85" w14:textId="6F1C8A12" w:rsidR="005117BB" w:rsidRPr="0071476B" w:rsidRDefault="0071476B">
            <w:pPr>
              <w:pStyle w:val="Tabele"/>
              <w:jc w:val="right"/>
              <w:rPr>
                <w:color w:val="000000" w:themeColor="text1"/>
                <w:szCs w:val="16"/>
              </w:rPr>
            </w:pPr>
            <w:r w:rsidRPr="0071476B">
              <w:rPr>
                <w:color w:val="000000" w:themeColor="text1"/>
              </w:rPr>
              <w:t>115</w:t>
            </w:r>
          </w:p>
        </w:tc>
        <w:tc>
          <w:tcPr>
            <w:tcW w:w="953" w:type="dxa"/>
            <w:vAlign w:val="top"/>
          </w:tcPr>
          <w:p w14:paraId="692902F3" w14:textId="34E9CFF2" w:rsidR="005117BB" w:rsidRPr="0071476B" w:rsidRDefault="0071476B">
            <w:pPr>
              <w:pStyle w:val="Tabele"/>
              <w:jc w:val="right"/>
              <w:rPr>
                <w:color w:val="000000" w:themeColor="text1"/>
                <w:szCs w:val="16"/>
              </w:rPr>
            </w:pPr>
            <w:r w:rsidRPr="0071476B">
              <w:rPr>
                <w:color w:val="000000" w:themeColor="text1"/>
              </w:rPr>
              <w:t>123</w:t>
            </w:r>
          </w:p>
        </w:tc>
      </w:tr>
      <w:tr w:rsidR="005117BB" w:rsidRPr="00F85B97" w14:paraId="58A96681" w14:textId="77777777" w:rsidTr="0071476B">
        <w:trPr>
          <w:trHeight w:val="228"/>
        </w:trPr>
        <w:tc>
          <w:tcPr>
            <w:tcW w:w="1528" w:type="dxa"/>
            <w:vAlign w:val="top"/>
          </w:tcPr>
          <w:p w14:paraId="3A43BCF8" w14:textId="08DB570D" w:rsidR="005117BB" w:rsidRPr="0071476B" w:rsidRDefault="0071476B">
            <w:pPr>
              <w:pStyle w:val="Tabele"/>
              <w:rPr>
                <w:color w:val="000000" w:themeColor="text1"/>
                <w:szCs w:val="16"/>
              </w:rPr>
            </w:pPr>
            <w:r w:rsidRPr="0071476B">
              <w:rPr>
                <w:color w:val="000000" w:themeColor="text1"/>
              </w:rPr>
              <w:t>Biomasa stała</w:t>
            </w:r>
          </w:p>
        </w:tc>
        <w:tc>
          <w:tcPr>
            <w:tcW w:w="852" w:type="dxa"/>
            <w:shd w:val="clear" w:color="auto" w:fill="C5E0B3"/>
            <w:noWrap/>
            <w:vAlign w:val="top"/>
          </w:tcPr>
          <w:p w14:paraId="53B55A0C" w14:textId="61A742EC" w:rsidR="005117BB" w:rsidRPr="0071476B" w:rsidRDefault="0071476B">
            <w:pPr>
              <w:pStyle w:val="Tabele"/>
              <w:jc w:val="right"/>
              <w:rPr>
                <w:color w:val="000000" w:themeColor="text1"/>
                <w:szCs w:val="16"/>
              </w:rPr>
            </w:pPr>
            <w:r w:rsidRPr="0071476B">
              <w:rPr>
                <w:color w:val="000000" w:themeColor="text1"/>
              </w:rPr>
              <w:t>0</w:t>
            </w:r>
          </w:p>
        </w:tc>
        <w:tc>
          <w:tcPr>
            <w:tcW w:w="884" w:type="dxa"/>
            <w:shd w:val="clear" w:color="auto" w:fill="C5E0B3"/>
            <w:noWrap/>
            <w:vAlign w:val="top"/>
          </w:tcPr>
          <w:p w14:paraId="6F4C6409" w14:textId="68BF3039" w:rsidR="005117BB" w:rsidRPr="0071476B" w:rsidRDefault="0071476B">
            <w:pPr>
              <w:pStyle w:val="Tabele"/>
              <w:jc w:val="right"/>
              <w:rPr>
                <w:color w:val="000000" w:themeColor="text1"/>
                <w:szCs w:val="16"/>
              </w:rPr>
            </w:pPr>
            <w:r w:rsidRPr="0071476B">
              <w:rPr>
                <w:color w:val="000000" w:themeColor="text1"/>
              </w:rPr>
              <w:t>0</w:t>
            </w:r>
          </w:p>
        </w:tc>
        <w:tc>
          <w:tcPr>
            <w:tcW w:w="953" w:type="dxa"/>
            <w:shd w:val="clear" w:color="auto" w:fill="C5E0B3"/>
            <w:noWrap/>
            <w:vAlign w:val="top"/>
          </w:tcPr>
          <w:p w14:paraId="60A699C4" w14:textId="09A9E868" w:rsidR="005117BB" w:rsidRPr="0071476B" w:rsidRDefault="0071476B">
            <w:pPr>
              <w:pStyle w:val="Tabele"/>
              <w:jc w:val="right"/>
              <w:rPr>
                <w:color w:val="000000" w:themeColor="text1"/>
                <w:szCs w:val="16"/>
              </w:rPr>
            </w:pPr>
            <w:r w:rsidRPr="0071476B">
              <w:rPr>
                <w:color w:val="000000" w:themeColor="text1"/>
              </w:rPr>
              <w:t>506</w:t>
            </w:r>
          </w:p>
        </w:tc>
        <w:tc>
          <w:tcPr>
            <w:tcW w:w="955" w:type="dxa"/>
            <w:shd w:val="clear" w:color="auto" w:fill="C5E0B3"/>
            <w:noWrap/>
            <w:vAlign w:val="top"/>
          </w:tcPr>
          <w:p w14:paraId="7265CEA4" w14:textId="56458E42" w:rsidR="005117BB" w:rsidRPr="0071476B" w:rsidRDefault="0071476B">
            <w:pPr>
              <w:pStyle w:val="Tabele"/>
              <w:jc w:val="right"/>
              <w:rPr>
                <w:color w:val="000000" w:themeColor="text1"/>
                <w:szCs w:val="16"/>
              </w:rPr>
            </w:pPr>
            <w:r w:rsidRPr="0071476B">
              <w:rPr>
                <w:color w:val="000000" w:themeColor="text1"/>
              </w:rPr>
              <w:t>366</w:t>
            </w:r>
          </w:p>
        </w:tc>
        <w:tc>
          <w:tcPr>
            <w:tcW w:w="953" w:type="dxa"/>
            <w:noWrap/>
            <w:vAlign w:val="top"/>
          </w:tcPr>
          <w:p w14:paraId="46B54CA2" w14:textId="456F67D2" w:rsidR="005117BB" w:rsidRPr="0071476B" w:rsidRDefault="0071476B">
            <w:pPr>
              <w:pStyle w:val="Tabele"/>
              <w:jc w:val="right"/>
              <w:rPr>
                <w:color w:val="000000" w:themeColor="text1"/>
                <w:szCs w:val="16"/>
              </w:rPr>
            </w:pPr>
            <w:r w:rsidRPr="0071476B">
              <w:rPr>
                <w:color w:val="000000" w:themeColor="text1"/>
              </w:rPr>
              <w:t>310</w:t>
            </w:r>
          </w:p>
        </w:tc>
        <w:tc>
          <w:tcPr>
            <w:tcW w:w="953" w:type="dxa"/>
            <w:noWrap/>
            <w:vAlign w:val="top"/>
          </w:tcPr>
          <w:p w14:paraId="3449C1C9" w14:textId="5DEEC811" w:rsidR="005117BB" w:rsidRPr="0071476B" w:rsidRDefault="0071476B">
            <w:pPr>
              <w:pStyle w:val="Tabele"/>
              <w:jc w:val="right"/>
              <w:rPr>
                <w:color w:val="000000" w:themeColor="text1"/>
                <w:szCs w:val="16"/>
              </w:rPr>
            </w:pPr>
            <w:r w:rsidRPr="0071476B">
              <w:rPr>
                <w:color w:val="000000" w:themeColor="text1"/>
              </w:rPr>
              <w:t>302</w:t>
            </w:r>
          </w:p>
        </w:tc>
        <w:tc>
          <w:tcPr>
            <w:tcW w:w="955" w:type="dxa"/>
            <w:noWrap/>
            <w:vAlign w:val="top"/>
          </w:tcPr>
          <w:p w14:paraId="0C9C1B2F" w14:textId="2C7E19C8" w:rsidR="005117BB" w:rsidRPr="0071476B" w:rsidRDefault="0071476B">
            <w:pPr>
              <w:pStyle w:val="Tabele"/>
              <w:jc w:val="right"/>
              <w:rPr>
                <w:color w:val="000000" w:themeColor="text1"/>
                <w:szCs w:val="16"/>
              </w:rPr>
            </w:pPr>
            <w:r w:rsidRPr="0071476B">
              <w:rPr>
                <w:color w:val="000000" w:themeColor="text1"/>
              </w:rPr>
              <w:t>234</w:t>
            </w:r>
          </w:p>
        </w:tc>
        <w:tc>
          <w:tcPr>
            <w:tcW w:w="953" w:type="dxa"/>
            <w:vAlign w:val="top"/>
          </w:tcPr>
          <w:p w14:paraId="5BCB8169" w14:textId="7CAFCCD1" w:rsidR="005117BB" w:rsidRPr="0071476B" w:rsidRDefault="0071476B">
            <w:pPr>
              <w:pStyle w:val="Tabele"/>
              <w:jc w:val="right"/>
              <w:rPr>
                <w:color w:val="000000" w:themeColor="text1"/>
                <w:szCs w:val="16"/>
              </w:rPr>
            </w:pPr>
            <w:r w:rsidRPr="0071476B">
              <w:rPr>
                <w:color w:val="000000" w:themeColor="text1"/>
              </w:rPr>
              <w:t>188</w:t>
            </w:r>
          </w:p>
        </w:tc>
      </w:tr>
      <w:tr w:rsidR="005117BB" w:rsidRPr="00F85B97" w14:paraId="63BD72FC" w14:textId="77777777" w:rsidTr="0071476B">
        <w:trPr>
          <w:trHeight w:val="228"/>
        </w:trPr>
        <w:tc>
          <w:tcPr>
            <w:tcW w:w="1528" w:type="dxa"/>
            <w:vAlign w:val="top"/>
          </w:tcPr>
          <w:p w14:paraId="75CE5008" w14:textId="1C631439" w:rsidR="005117BB" w:rsidRPr="0071476B" w:rsidRDefault="00A936EB">
            <w:pPr>
              <w:pStyle w:val="Tabele"/>
              <w:rPr>
                <w:color w:val="000000" w:themeColor="text1"/>
                <w:szCs w:val="16"/>
              </w:rPr>
            </w:pPr>
            <w:r>
              <w:rPr>
                <w:color w:val="000000" w:themeColor="text1"/>
              </w:rPr>
              <w:t>W</w:t>
            </w:r>
            <w:r w:rsidR="0071476B" w:rsidRPr="0071476B">
              <w:rPr>
                <w:color w:val="000000" w:themeColor="text1"/>
              </w:rPr>
              <w:t>odór</w:t>
            </w:r>
          </w:p>
        </w:tc>
        <w:tc>
          <w:tcPr>
            <w:tcW w:w="852" w:type="dxa"/>
            <w:shd w:val="clear" w:color="auto" w:fill="C5E0B3"/>
            <w:noWrap/>
            <w:vAlign w:val="top"/>
          </w:tcPr>
          <w:p w14:paraId="06E135B3" w14:textId="72AFD1A9" w:rsidR="005117BB" w:rsidRPr="0071476B" w:rsidRDefault="0071476B">
            <w:pPr>
              <w:pStyle w:val="Tabele"/>
              <w:jc w:val="right"/>
              <w:rPr>
                <w:color w:val="000000" w:themeColor="text1"/>
                <w:szCs w:val="16"/>
              </w:rPr>
            </w:pPr>
            <w:r w:rsidRPr="0071476B">
              <w:rPr>
                <w:color w:val="000000" w:themeColor="text1"/>
              </w:rPr>
              <w:t>0</w:t>
            </w:r>
          </w:p>
        </w:tc>
        <w:tc>
          <w:tcPr>
            <w:tcW w:w="884" w:type="dxa"/>
            <w:shd w:val="clear" w:color="auto" w:fill="C5E0B3"/>
            <w:noWrap/>
            <w:vAlign w:val="top"/>
          </w:tcPr>
          <w:p w14:paraId="08D5D1FF" w14:textId="5E0B30B6" w:rsidR="005117BB" w:rsidRPr="0071476B" w:rsidRDefault="0071476B">
            <w:pPr>
              <w:pStyle w:val="Tabele"/>
              <w:jc w:val="right"/>
              <w:rPr>
                <w:color w:val="000000" w:themeColor="text1"/>
                <w:szCs w:val="16"/>
              </w:rPr>
            </w:pPr>
            <w:r w:rsidRPr="0071476B">
              <w:rPr>
                <w:color w:val="000000" w:themeColor="text1"/>
              </w:rPr>
              <w:t>0</w:t>
            </w:r>
          </w:p>
        </w:tc>
        <w:tc>
          <w:tcPr>
            <w:tcW w:w="953" w:type="dxa"/>
            <w:shd w:val="clear" w:color="auto" w:fill="C5E0B3"/>
            <w:noWrap/>
            <w:vAlign w:val="top"/>
          </w:tcPr>
          <w:p w14:paraId="0DE5DF6F" w14:textId="6E589ABE" w:rsidR="005117BB" w:rsidRPr="0071476B" w:rsidRDefault="0071476B">
            <w:pPr>
              <w:pStyle w:val="Tabele"/>
              <w:jc w:val="right"/>
              <w:rPr>
                <w:color w:val="000000" w:themeColor="text1"/>
                <w:szCs w:val="16"/>
              </w:rPr>
            </w:pPr>
            <w:r w:rsidRPr="0071476B">
              <w:rPr>
                <w:color w:val="000000" w:themeColor="text1"/>
              </w:rPr>
              <w:t>0</w:t>
            </w:r>
          </w:p>
        </w:tc>
        <w:tc>
          <w:tcPr>
            <w:tcW w:w="955" w:type="dxa"/>
            <w:shd w:val="clear" w:color="auto" w:fill="C5E0B3"/>
            <w:noWrap/>
            <w:vAlign w:val="top"/>
          </w:tcPr>
          <w:p w14:paraId="46B956DA" w14:textId="5835690D" w:rsidR="005117BB" w:rsidRPr="0071476B" w:rsidRDefault="0071476B">
            <w:pPr>
              <w:pStyle w:val="Tabele"/>
              <w:jc w:val="right"/>
              <w:rPr>
                <w:color w:val="000000" w:themeColor="text1"/>
                <w:szCs w:val="16"/>
              </w:rPr>
            </w:pPr>
            <w:r w:rsidRPr="0071476B">
              <w:rPr>
                <w:color w:val="000000" w:themeColor="text1"/>
              </w:rPr>
              <w:t>0</w:t>
            </w:r>
          </w:p>
        </w:tc>
        <w:tc>
          <w:tcPr>
            <w:tcW w:w="953" w:type="dxa"/>
            <w:noWrap/>
            <w:vAlign w:val="top"/>
          </w:tcPr>
          <w:p w14:paraId="4F45C582" w14:textId="140C05A5" w:rsidR="005117BB" w:rsidRPr="0071476B" w:rsidRDefault="0071476B">
            <w:pPr>
              <w:pStyle w:val="Tabele"/>
              <w:jc w:val="right"/>
              <w:rPr>
                <w:color w:val="000000" w:themeColor="text1"/>
                <w:szCs w:val="16"/>
              </w:rPr>
            </w:pPr>
            <w:r w:rsidRPr="0071476B">
              <w:rPr>
                <w:color w:val="000000" w:themeColor="text1"/>
              </w:rPr>
              <w:t>0</w:t>
            </w:r>
          </w:p>
        </w:tc>
        <w:tc>
          <w:tcPr>
            <w:tcW w:w="953" w:type="dxa"/>
            <w:noWrap/>
            <w:vAlign w:val="top"/>
          </w:tcPr>
          <w:p w14:paraId="42B6DDAC" w14:textId="2C415054" w:rsidR="005117BB" w:rsidRPr="0071476B" w:rsidRDefault="0071476B">
            <w:pPr>
              <w:pStyle w:val="Tabele"/>
              <w:jc w:val="right"/>
              <w:rPr>
                <w:color w:val="000000" w:themeColor="text1"/>
                <w:szCs w:val="16"/>
              </w:rPr>
            </w:pPr>
            <w:r w:rsidRPr="0071476B">
              <w:rPr>
                <w:color w:val="000000" w:themeColor="text1"/>
              </w:rPr>
              <w:t>0</w:t>
            </w:r>
          </w:p>
        </w:tc>
        <w:tc>
          <w:tcPr>
            <w:tcW w:w="955" w:type="dxa"/>
            <w:noWrap/>
            <w:vAlign w:val="top"/>
          </w:tcPr>
          <w:p w14:paraId="7C62FA54" w14:textId="60B361A2" w:rsidR="005117BB" w:rsidRPr="0071476B" w:rsidRDefault="0071476B">
            <w:pPr>
              <w:pStyle w:val="Tabele"/>
              <w:jc w:val="right"/>
              <w:rPr>
                <w:color w:val="000000" w:themeColor="text1"/>
                <w:szCs w:val="16"/>
              </w:rPr>
            </w:pPr>
            <w:r w:rsidRPr="0071476B">
              <w:rPr>
                <w:color w:val="000000" w:themeColor="text1"/>
              </w:rPr>
              <w:t>0</w:t>
            </w:r>
          </w:p>
        </w:tc>
        <w:tc>
          <w:tcPr>
            <w:tcW w:w="953" w:type="dxa"/>
            <w:vAlign w:val="top"/>
          </w:tcPr>
          <w:p w14:paraId="7C2A6977" w14:textId="5CB569C1" w:rsidR="005117BB" w:rsidRPr="0071476B" w:rsidRDefault="0071476B">
            <w:pPr>
              <w:pStyle w:val="Tabele"/>
              <w:jc w:val="right"/>
              <w:rPr>
                <w:color w:val="000000" w:themeColor="text1"/>
                <w:szCs w:val="16"/>
              </w:rPr>
            </w:pPr>
            <w:r w:rsidRPr="0071476B">
              <w:rPr>
                <w:color w:val="000000" w:themeColor="text1"/>
              </w:rPr>
              <w:t>0</w:t>
            </w:r>
          </w:p>
        </w:tc>
      </w:tr>
    </w:tbl>
    <w:p w14:paraId="18CFBA09" w14:textId="6F86ABF4" w:rsidR="005C4144" w:rsidRPr="00C41AFF" w:rsidRDefault="005C4144" w:rsidP="005117BB">
      <w:pPr>
        <w:pStyle w:val="Legenda"/>
      </w:pPr>
      <w:r w:rsidRPr="00C41AFF">
        <w:t>Źródło: Opracowanie własne ARE S</w:t>
      </w:r>
      <w:r>
        <w:t>.</w:t>
      </w:r>
      <w:r w:rsidRPr="00C41AFF">
        <w:t>A</w:t>
      </w:r>
      <w:r>
        <w:t>.</w:t>
      </w:r>
      <w:r w:rsidRPr="00C41AFF">
        <w:t xml:space="preserve"> (STEAM-PL, MESSAGE-PL), EUROSTAT</w:t>
      </w:r>
    </w:p>
    <w:p w14:paraId="0BD46440" w14:textId="3FB052A3" w:rsidR="00514967" w:rsidRDefault="005C4144" w:rsidP="005C4144">
      <w:r w:rsidRPr="00B81C42">
        <w:t>W analizie założono zerowe saldo importowo-eksportowe energii elektryczne</w:t>
      </w:r>
      <w:r>
        <w:t>j (</w:t>
      </w:r>
      <w:r w:rsidR="00313CE9">
        <w:fldChar w:fldCharType="begin"/>
      </w:r>
      <w:r w:rsidR="00313CE9">
        <w:instrText xml:space="preserve"> REF _Ref195871858 \h </w:instrText>
      </w:r>
      <w:r w:rsidR="00313CE9">
        <w:fldChar w:fldCharType="separate"/>
      </w:r>
      <w:r w:rsidR="00F27D6F">
        <w:t xml:space="preserve">Tabela </w:t>
      </w:r>
      <w:r w:rsidR="00F27D6F">
        <w:rPr>
          <w:noProof/>
        </w:rPr>
        <w:t>3</w:t>
      </w:r>
      <w:r w:rsidR="00F27D6F">
        <w:t>.</w:t>
      </w:r>
      <w:r w:rsidR="00F27D6F">
        <w:rPr>
          <w:noProof/>
        </w:rPr>
        <w:t>4</w:t>
      </w:r>
      <w:r w:rsidR="00313CE9">
        <w:fldChar w:fldCharType="end"/>
      </w:r>
      <w:r>
        <w:t>)</w:t>
      </w:r>
      <w:r w:rsidRPr="00B81C42">
        <w:t xml:space="preserve">, </w:t>
      </w:r>
      <w:r w:rsidR="00514967" w:rsidRPr="00B81C42">
        <w:t>co nie oznacza, że</w:t>
      </w:r>
      <w:r w:rsidR="00514967">
        <w:t> </w:t>
      </w:r>
      <w:r w:rsidR="00514967" w:rsidRPr="00B81C42">
        <w:t>wykluczona została</w:t>
      </w:r>
      <w:r w:rsidR="00514967">
        <w:t xml:space="preserve"> w </w:t>
      </w:r>
      <w:r w:rsidR="00514967" w:rsidRPr="00B81C42">
        <w:t xml:space="preserve">obliczeniach modelowych możliwość </w:t>
      </w:r>
      <w:r w:rsidR="00514967">
        <w:t>wymiany międzysystemowej</w:t>
      </w:r>
      <w:r w:rsidR="00514967" w:rsidRPr="00B81C42">
        <w:t>. Biorąc po uwagę relacje cenowe</w:t>
      </w:r>
      <w:r w:rsidR="00514967">
        <w:t xml:space="preserve"> i </w:t>
      </w:r>
      <w:r w:rsidR="00514967" w:rsidRPr="00B81C42">
        <w:t xml:space="preserve">różnice występujące na poszczególnych rynkach, dodatnie saldo importowo-eksportowe jest bardzo prawdopodobne, niemniej jednak określenie kierunków przepływu energii na połączeniach międzysystemowych jest obarczone dużą niepewnością. Powyższe założenie bazuje na celach wskazanych do </w:t>
      </w:r>
      <w:r w:rsidR="00514967" w:rsidRPr="00CE227B">
        <w:rPr>
          <w:i/>
        </w:rPr>
        <w:t xml:space="preserve">Założeń do aktualizacji Polityki energetycznej Polski do 2040 r. (PEP2040) </w:t>
      </w:r>
      <w:r w:rsidR="00CE227B" w:rsidRPr="00CE227B">
        <w:rPr>
          <w:i/>
          <w:iCs/>
        </w:rPr>
        <w:t>–</w:t>
      </w:r>
      <w:r w:rsidR="00514967" w:rsidRPr="00CE227B">
        <w:rPr>
          <w:i/>
        </w:rPr>
        <w:t xml:space="preserve"> Wzmocnienie bezpieczeństwa i niezależności energetycznej</w:t>
      </w:r>
      <w:r w:rsidR="00514967">
        <w:t xml:space="preserve"> w </w:t>
      </w:r>
      <w:r w:rsidR="00514967" w:rsidRPr="00B81C42">
        <w:t>odniesieniu do kwestii budowania niezależności energetycznej.</w:t>
      </w:r>
    </w:p>
    <w:p w14:paraId="4A77B654" w14:textId="6DD2CD42" w:rsidR="005C4144" w:rsidRPr="009D6EA6" w:rsidRDefault="005C4144" w:rsidP="005C4144">
      <w:pPr>
        <w:pStyle w:val="Legenda"/>
      </w:pPr>
      <w:bookmarkStart w:id="436" w:name="_Ref156898790"/>
      <w:bookmarkStart w:id="437" w:name="_Ref195871858"/>
      <w:bookmarkStart w:id="438" w:name="_Toc171587204"/>
      <w:bookmarkStart w:id="439" w:name="_Toc174710988"/>
      <w:bookmarkStart w:id="440" w:name="_Toc202966994"/>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3</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4</w:t>
      </w:r>
      <w:r w:rsidR="00653D9A">
        <w:rPr>
          <w:noProof/>
        </w:rPr>
        <w:fldChar w:fldCharType="end"/>
      </w:r>
      <w:bookmarkEnd w:id="436"/>
      <w:bookmarkEnd w:id="437"/>
      <w:r>
        <w:t xml:space="preserve">. </w:t>
      </w:r>
      <w:r w:rsidRPr="009D6EA6">
        <w:t>Saldo importowo-eksportowe netto energii elektrycznej [ktoe]</w:t>
      </w:r>
      <w:bookmarkEnd w:id="438"/>
      <w:bookmarkEnd w:id="439"/>
      <w:bookmarkEnd w:id="440"/>
    </w:p>
    <w:tbl>
      <w:tblPr>
        <w:tblStyle w:val="KPEiK"/>
        <w:tblW w:w="5000" w:type="pct"/>
        <w:tblLook w:val="04A0" w:firstRow="1" w:lastRow="0" w:firstColumn="1" w:lastColumn="0" w:noHBand="0" w:noVBand="1"/>
      </w:tblPr>
      <w:tblGrid>
        <w:gridCol w:w="2051"/>
        <w:gridCol w:w="875"/>
        <w:gridCol w:w="877"/>
        <w:gridCol w:w="876"/>
        <w:gridCol w:w="877"/>
        <w:gridCol w:w="877"/>
        <w:gridCol w:w="876"/>
        <w:gridCol w:w="877"/>
        <w:gridCol w:w="876"/>
      </w:tblGrid>
      <w:tr w:rsidR="0037221E" w:rsidRPr="0037221E" w14:paraId="41C55729" w14:textId="77777777" w:rsidTr="00996A3F">
        <w:trPr>
          <w:cnfStyle w:val="100000000000" w:firstRow="1" w:lastRow="0" w:firstColumn="0" w:lastColumn="0" w:oddVBand="0" w:evenVBand="0" w:oddHBand="0" w:evenHBand="0" w:firstRowFirstColumn="0" w:firstRowLastColumn="0" w:lastRowFirstColumn="0" w:lastRowLastColumn="0"/>
          <w:trHeight w:val="231"/>
          <w:tblHeader/>
        </w:trPr>
        <w:tc>
          <w:tcPr>
            <w:tcW w:w="2051" w:type="dxa"/>
            <w:noWrap/>
          </w:tcPr>
          <w:p w14:paraId="6D9A99F7" w14:textId="77777777" w:rsidR="0037221E" w:rsidRPr="00F85B97" w:rsidRDefault="0037221E">
            <w:pPr>
              <w:pStyle w:val="Tabele"/>
              <w:jc w:val="center"/>
            </w:pPr>
          </w:p>
        </w:tc>
        <w:tc>
          <w:tcPr>
            <w:tcW w:w="889" w:type="dxa"/>
            <w:hideMark/>
          </w:tcPr>
          <w:p w14:paraId="5F1196AF" w14:textId="77777777" w:rsidR="0037221E" w:rsidRPr="009D6EA6" w:rsidRDefault="0037221E">
            <w:pPr>
              <w:pStyle w:val="Tabele"/>
              <w:jc w:val="center"/>
            </w:pPr>
            <w:r w:rsidRPr="009D6EA6">
              <w:t>2005</w:t>
            </w:r>
          </w:p>
        </w:tc>
        <w:tc>
          <w:tcPr>
            <w:tcW w:w="890" w:type="dxa"/>
            <w:hideMark/>
          </w:tcPr>
          <w:p w14:paraId="40CE9E73" w14:textId="77777777" w:rsidR="0037221E" w:rsidRPr="009D6EA6" w:rsidRDefault="0037221E">
            <w:pPr>
              <w:pStyle w:val="Tabele"/>
              <w:jc w:val="center"/>
            </w:pPr>
            <w:r w:rsidRPr="009D6EA6">
              <w:t>2010</w:t>
            </w:r>
          </w:p>
        </w:tc>
        <w:tc>
          <w:tcPr>
            <w:tcW w:w="889" w:type="dxa"/>
            <w:hideMark/>
          </w:tcPr>
          <w:p w14:paraId="51A18AAD" w14:textId="77777777" w:rsidR="0037221E" w:rsidRPr="009D6EA6" w:rsidRDefault="0037221E">
            <w:pPr>
              <w:pStyle w:val="Tabele"/>
              <w:jc w:val="center"/>
            </w:pPr>
            <w:r w:rsidRPr="009D6EA6">
              <w:t>2015</w:t>
            </w:r>
          </w:p>
        </w:tc>
        <w:tc>
          <w:tcPr>
            <w:tcW w:w="890" w:type="dxa"/>
            <w:hideMark/>
          </w:tcPr>
          <w:p w14:paraId="3D51F414" w14:textId="77777777" w:rsidR="0037221E" w:rsidRPr="009D6EA6" w:rsidRDefault="0037221E">
            <w:pPr>
              <w:pStyle w:val="Tabele"/>
              <w:jc w:val="center"/>
            </w:pPr>
            <w:r w:rsidRPr="009D6EA6">
              <w:t>2020</w:t>
            </w:r>
          </w:p>
        </w:tc>
        <w:tc>
          <w:tcPr>
            <w:tcW w:w="890" w:type="dxa"/>
            <w:hideMark/>
          </w:tcPr>
          <w:p w14:paraId="0C0D65F5" w14:textId="77777777" w:rsidR="0037221E" w:rsidRPr="009D6EA6" w:rsidRDefault="0037221E">
            <w:pPr>
              <w:pStyle w:val="Tabele"/>
              <w:jc w:val="center"/>
            </w:pPr>
            <w:r w:rsidRPr="009D6EA6">
              <w:t>2025</w:t>
            </w:r>
          </w:p>
        </w:tc>
        <w:tc>
          <w:tcPr>
            <w:tcW w:w="889" w:type="dxa"/>
            <w:hideMark/>
          </w:tcPr>
          <w:p w14:paraId="790D0E70" w14:textId="77777777" w:rsidR="0037221E" w:rsidRPr="009D6EA6" w:rsidRDefault="0037221E">
            <w:pPr>
              <w:pStyle w:val="Tabele"/>
              <w:jc w:val="center"/>
            </w:pPr>
            <w:r w:rsidRPr="009D6EA6">
              <w:t>2030</w:t>
            </w:r>
          </w:p>
        </w:tc>
        <w:tc>
          <w:tcPr>
            <w:tcW w:w="890" w:type="dxa"/>
            <w:hideMark/>
          </w:tcPr>
          <w:p w14:paraId="04EFE5DD" w14:textId="77777777" w:rsidR="0037221E" w:rsidRPr="009D6EA6" w:rsidRDefault="0037221E">
            <w:pPr>
              <w:pStyle w:val="Tabele"/>
              <w:jc w:val="center"/>
            </w:pPr>
            <w:r w:rsidRPr="009D6EA6">
              <w:t>2035</w:t>
            </w:r>
          </w:p>
        </w:tc>
        <w:tc>
          <w:tcPr>
            <w:tcW w:w="889" w:type="dxa"/>
          </w:tcPr>
          <w:p w14:paraId="0251F67A" w14:textId="77777777" w:rsidR="0037221E" w:rsidRPr="009D6EA6" w:rsidRDefault="0037221E">
            <w:pPr>
              <w:pStyle w:val="Tabele"/>
              <w:jc w:val="center"/>
            </w:pPr>
            <w:r>
              <w:t>2040</w:t>
            </w:r>
          </w:p>
        </w:tc>
      </w:tr>
      <w:tr w:rsidR="0037221E" w:rsidRPr="0037221E" w14:paraId="0FEBB702" w14:textId="77777777" w:rsidTr="00996A3F">
        <w:trPr>
          <w:trHeight w:val="231"/>
        </w:trPr>
        <w:tc>
          <w:tcPr>
            <w:tcW w:w="2051" w:type="dxa"/>
            <w:hideMark/>
          </w:tcPr>
          <w:p w14:paraId="4AAD84C1" w14:textId="77777777" w:rsidR="0037221E" w:rsidRPr="0037221E" w:rsidRDefault="0037221E">
            <w:pPr>
              <w:pStyle w:val="Tabele"/>
              <w:rPr>
                <w:color w:val="auto"/>
              </w:rPr>
            </w:pPr>
            <w:r w:rsidRPr="0037221E">
              <w:rPr>
                <w:color w:val="auto"/>
              </w:rPr>
              <w:t>Energia elektryczna</w:t>
            </w:r>
          </w:p>
        </w:tc>
        <w:tc>
          <w:tcPr>
            <w:tcW w:w="889" w:type="dxa"/>
            <w:shd w:val="clear" w:color="auto" w:fill="C5E0B3"/>
            <w:hideMark/>
          </w:tcPr>
          <w:p w14:paraId="7DCAB72D" w14:textId="77777777" w:rsidR="0037221E" w:rsidRPr="0037221E" w:rsidRDefault="0037221E">
            <w:pPr>
              <w:pStyle w:val="Tabele"/>
              <w:jc w:val="right"/>
              <w:rPr>
                <w:color w:val="auto"/>
              </w:rPr>
            </w:pPr>
            <w:r w:rsidRPr="0037221E">
              <w:rPr>
                <w:color w:val="auto"/>
              </w:rPr>
              <w:t>-962</w:t>
            </w:r>
          </w:p>
        </w:tc>
        <w:tc>
          <w:tcPr>
            <w:tcW w:w="890" w:type="dxa"/>
            <w:shd w:val="clear" w:color="auto" w:fill="C5E0B3"/>
            <w:hideMark/>
          </w:tcPr>
          <w:p w14:paraId="64E23C18" w14:textId="77777777" w:rsidR="0037221E" w:rsidRPr="0037221E" w:rsidRDefault="0037221E">
            <w:pPr>
              <w:pStyle w:val="Tabele"/>
              <w:jc w:val="right"/>
              <w:rPr>
                <w:color w:val="auto"/>
              </w:rPr>
            </w:pPr>
            <w:r w:rsidRPr="0037221E">
              <w:rPr>
                <w:color w:val="auto"/>
              </w:rPr>
              <w:t>-116</w:t>
            </w:r>
          </w:p>
        </w:tc>
        <w:tc>
          <w:tcPr>
            <w:tcW w:w="889" w:type="dxa"/>
            <w:shd w:val="clear" w:color="auto" w:fill="C5E0B3"/>
            <w:hideMark/>
          </w:tcPr>
          <w:p w14:paraId="56286392" w14:textId="77777777" w:rsidR="0037221E" w:rsidRPr="0037221E" w:rsidRDefault="0037221E">
            <w:pPr>
              <w:pStyle w:val="Tabele"/>
              <w:jc w:val="right"/>
              <w:rPr>
                <w:color w:val="auto"/>
              </w:rPr>
            </w:pPr>
            <w:r w:rsidRPr="0037221E">
              <w:rPr>
                <w:color w:val="auto"/>
              </w:rPr>
              <w:t>-29</w:t>
            </w:r>
          </w:p>
        </w:tc>
        <w:tc>
          <w:tcPr>
            <w:tcW w:w="890" w:type="dxa"/>
            <w:shd w:val="clear" w:color="auto" w:fill="C5E0B3"/>
            <w:hideMark/>
          </w:tcPr>
          <w:p w14:paraId="6680C5BB" w14:textId="77777777" w:rsidR="0037221E" w:rsidRPr="0037221E" w:rsidRDefault="0037221E">
            <w:pPr>
              <w:pStyle w:val="Tabele"/>
              <w:jc w:val="right"/>
              <w:rPr>
                <w:color w:val="auto"/>
              </w:rPr>
            </w:pPr>
            <w:r w:rsidRPr="0037221E">
              <w:rPr>
                <w:color w:val="auto"/>
              </w:rPr>
              <w:t>1 141</w:t>
            </w:r>
          </w:p>
        </w:tc>
        <w:tc>
          <w:tcPr>
            <w:tcW w:w="890" w:type="dxa"/>
            <w:hideMark/>
          </w:tcPr>
          <w:p w14:paraId="752E9423" w14:textId="77777777" w:rsidR="0037221E" w:rsidRPr="0037221E" w:rsidRDefault="0037221E">
            <w:pPr>
              <w:pStyle w:val="Tabele"/>
              <w:jc w:val="right"/>
              <w:rPr>
                <w:color w:val="auto"/>
              </w:rPr>
            </w:pPr>
            <w:r w:rsidRPr="0037221E">
              <w:rPr>
                <w:color w:val="auto"/>
              </w:rPr>
              <w:t>0</w:t>
            </w:r>
          </w:p>
        </w:tc>
        <w:tc>
          <w:tcPr>
            <w:tcW w:w="889" w:type="dxa"/>
            <w:hideMark/>
          </w:tcPr>
          <w:p w14:paraId="16F5F090" w14:textId="77777777" w:rsidR="0037221E" w:rsidRPr="0037221E" w:rsidRDefault="0037221E">
            <w:pPr>
              <w:pStyle w:val="Tabele"/>
              <w:jc w:val="right"/>
              <w:rPr>
                <w:color w:val="auto"/>
              </w:rPr>
            </w:pPr>
            <w:r w:rsidRPr="0037221E">
              <w:rPr>
                <w:color w:val="auto"/>
              </w:rPr>
              <w:t>0</w:t>
            </w:r>
          </w:p>
        </w:tc>
        <w:tc>
          <w:tcPr>
            <w:tcW w:w="890" w:type="dxa"/>
            <w:hideMark/>
          </w:tcPr>
          <w:p w14:paraId="741A82E0" w14:textId="77777777" w:rsidR="0037221E" w:rsidRPr="0037221E" w:rsidRDefault="0037221E">
            <w:pPr>
              <w:pStyle w:val="Tabele"/>
              <w:jc w:val="right"/>
              <w:rPr>
                <w:color w:val="auto"/>
              </w:rPr>
            </w:pPr>
            <w:r w:rsidRPr="0037221E">
              <w:rPr>
                <w:color w:val="auto"/>
              </w:rPr>
              <w:t>0</w:t>
            </w:r>
          </w:p>
        </w:tc>
        <w:tc>
          <w:tcPr>
            <w:tcW w:w="889" w:type="dxa"/>
          </w:tcPr>
          <w:p w14:paraId="381BBEEA" w14:textId="77777777" w:rsidR="0037221E" w:rsidRPr="0037221E" w:rsidRDefault="0037221E">
            <w:pPr>
              <w:pStyle w:val="Tabele"/>
              <w:jc w:val="right"/>
              <w:rPr>
                <w:color w:val="auto"/>
              </w:rPr>
            </w:pPr>
            <w:r w:rsidRPr="0037221E">
              <w:rPr>
                <w:color w:val="auto"/>
              </w:rPr>
              <w:t>0</w:t>
            </w:r>
          </w:p>
        </w:tc>
      </w:tr>
    </w:tbl>
    <w:p w14:paraId="60D88192" w14:textId="77777777" w:rsidR="005C4144" w:rsidRPr="009D6EA6" w:rsidRDefault="005C4144" w:rsidP="005C4144">
      <w:pPr>
        <w:pStyle w:val="adnotacje"/>
      </w:pPr>
      <w:r w:rsidRPr="009D6EA6">
        <w:t>znak "-" przed wartością oznacza eksport</w:t>
      </w:r>
    </w:p>
    <w:p w14:paraId="6CEFA091" w14:textId="77777777" w:rsidR="005C4144" w:rsidRPr="009D6EA6" w:rsidRDefault="005C4144" w:rsidP="005C4144">
      <w:pPr>
        <w:pStyle w:val="adnotacje"/>
      </w:pPr>
      <w:r w:rsidRPr="009D6EA6">
        <w:t>znak "+" przed wartością oznacza import</w:t>
      </w:r>
    </w:p>
    <w:p w14:paraId="5638D91B" w14:textId="3FEFD569" w:rsidR="005C4144" w:rsidRPr="009D6EA6" w:rsidRDefault="005C4144" w:rsidP="00652D1E">
      <w:pPr>
        <w:pStyle w:val="Legenda"/>
      </w:pPr>
      <w:r w:rsidRPr="009D6EA6">
        <w:t>Źródło: Opracowanie własne ARE S</w:t>
      </w:r>
      <w:r>
        <w:t>.</w:t>
      </w:r>
      <w:r w:rsidRPr="009D6EA6">
        <w:t>A</w:t>
      </w:r>
      <w:r>
        <w:t>.</w:t>
      </w:r>
      <w:r w:rsidRPr="009D6EA6">
        <w:t xml:space="preserve"> (MESSAGE-PL), EUROSTAT</w:t>
      </w:r>
    </w:p>
    <w:p w14:paraId="5DEDB208" w14:textId="1D494EDB" w:rsidR="005C4144" w:rsidRDefault="0006626E" w:rsidP="005C4144">
      <w:r w:rsidRPr="00B81C42">
        <w:t>Stopień uzależnienia od importu</w:t>
      </w:r>
      <w:r>
        <w:t xml:space="preserve"> z </w:t>
      </w:r>
      <w:r w:rsidRPr="00B81C42">
        <w:t>państw trzecich został zdefiniowany jako całkowity wolumen importu energii</w:t>
      </w:r>
      <w:r>
        <w:t xml:space="preserve"> z </w:t>
      </w:r>
      <w:r w:rsidRPr="00B81C42">
        <w:t xml:space="preserve">państw spoza UE przez krajowe zużycie brutto energii </w:t>
      </w:r>
      <w:r w:rsidR="005C4144">
        <w:t>(</w:t>
      </w:r>
      <w:r w:rsidR="00313CE9">
        <w:fldChar w:fldCharType="begin"/>
      </w:r>
      <w:r w:rsidR="00313CE9">
        <w:instrText xml:space="preserve"> REF _Ref195871882 \h </w:instrText>
      </w:r>
      <w:r w:rsidR="00313CE9">
        <w:fldChar w:fldCharType="separate"/>
      </w:r>
      <w:r w:rsidR="00F27D6F">
        <w:t xml:space="preserve">Tabela </w:t>
      </w:r>
      <w:r w:rsidR="00F27D6F">
        <w:rPr>
          <w:noProof/>
        </w:rPr>
        <w:t>3</w:t>
      </w:r>
      <w:r w:rsidR="00F27D6F">
        <w:t>.</w:t>
      </w:r>
      <w:r w:rsidR="00F27D6F">
        <w:rPr>
          <w:noProof/>
        </w:rPr>
        <w:t>5</w:t>
      </w:r>
      <w:r w:rsidR="00313CE9">
        <w:fldChar w:fldCharType="end"/>
      </w:r>
      <w:r w:rsidR="005C4144">
        <w:t>)</w:t>
      </w:r>
      <w:r w:rsidR="005C4144" w:rsidRPr="00F85B97">
        <w:t>.</w:t>
      </w:r>
      <w:r w:rsidR="005C4144">
        <w:t xml:space="preserve"> </w:t>
      </w:r>
    </w:p>
    <w:p w14:paraId="3951AF73" w14:textId="12B36198" w:rsidR="005C4144" w:rsidRPr="00C41AFF" w:rsidRDefault="005C4144" w:rsidP="005C4144">
      <w:pPr>
        <w:pStyle w:val="Legenda"/>
      </w:pPr>
      <w:bookmarkStart w:id="441" w:name="_Ref156899149"/>
      <w:bookmarkStart w:id="442" w:name="_Ref195871882"/>
      <w:bookmarkStart w:id="443" w:name="_Toc171587205"/>
      <w:bookmarkStart w:id="444" w:name="_Toc174710989"/>
      <w:bookmarkStart w:id="445" w:name="_Toc202966995"/>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3</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5</w:t>
      </w:r>
      <w:r w:rsidR="00653D9A">
        <w:rPr>
          <w:noProof/>
        </w:rPr>
        <w:fldChar w:fldCharType="end"/>
      </w:r>
      <w:bookmarkEnd w:id="441"/>
      <w:bookmarkEnd w:id="442"/>
      <w:r>
        <w:t xml:space="preserve">. </w:t>
      </w:r>
      <w:r w:rsidRPr="00C41AFF">
        <w:t>Uzależnienie od importu</w:t>
      </w:r>
      <w:r>
        <w:t xml:space="preserve"> z </w:t>
      </w:r>
      <w:r w:rsidRPr="00C41AFF">
        <w:t>państw trzecich</w:t>
      </w:r>
      <w:bookmarkEnd w:id="443"/>
      <w:bookmarkEnd w:id="444"/>
      <w:bookmarkEnd w:id="445"/>
      <w:r w:rsidRPr="00C41AFF">
        <w:t xml:space="preserve"> </w:t>
      </w:r>
    </w:p>
    <w:tbl>
      <w:tblPr>
        <w:tblStyle w:val="KPEiK"/>
        <w:tblW w:w="4917" w:type="pct"/>
        <w:tblLayout w:type="fixed"/>
        <w:tblLook w:val="04A0" w:firstRow="1" w:lastRow="0" w:firstColumn="1" w:lastColumn="0" w:noHBand="0" w:noVBand="1"/>
      </w:tblPr>
      <w:tblGrid>
        <w:gridCol w:w="2283"/>
        <w:gridCol w:w="927"/>
        <w:gridCol w:w="838"/>
        <w:gridCol w:w="811"/>
        <w:gridCol w:w="749"/>
        <w:gridCol w:w="871"/>
        <w:gridCol w:w="811"/>
        <w:gridCol w:w="811"/>
        <w:gridCol w:w="811"/>
      </w:tblGrid>
      <w:tr w:rsidR="003A1EEA" w:rsidRPr="00C41AFF" w14:paraId="08B039EB" w14:textId="77777777" w:rsidTr="003A1EEA">
        <w:trPr>
          <w:cnfStyle w:val="100000000000" w:firstRow="1" w:lastRow="0" w:firstColumn="0" w:lastColumn="0" w:oddVBand="0" w:evenVBand="0" w:oddHBand="0" w:evenHBand="0" w:firstRowFirstColumn="0" w:firstRowLastColumn="0" w:lastRowFirstColumn="0" w:lastRowLastColumn="0"/>
          <w:trHeight w:val="232"/>
          <w:tblHeader/>
        </w:trPr>
        <w:tc>
          <w:tcPr>
            <w:tcW w:w="2282" w:type="dxa"/>
            <w:noWrap/>
          </w:tcPr>
          <w:p w14:paraId="0DC49EA7" w14:textId="77777777" w:rsidR="00F84BE0" w:rsidRPr="00C41AFF" w:rsidRDefault="00F84BE0">
            <w:pPr>
              <w:pStyle w:val="Tabele"/>
              <w:jc w:val="center"/>
            </w:pPr>
          </w:p>
        </w:tc>
        <w:tc>
          <w:tcPr>
            <w:tcW w:w="927" w:type="dxa"/>
            <w:hideMark/>
          </w:tcPr>
          <w:p w14:paraId="4B073845" w14:textId="77777777" w:rsidR="00F84BE0" w:rsidRPr="00C41AFF" w:rsidRDefault="00F84BE0">
            <w:pPr>
              <w:pStyle w:val="Tabele"/>
              <w:jc w:val="center"/>
              <w:rPr>
                <w:bCs/>
              </w:rPr>
            </w:pPr>
            <w:r w:rsidRPr="00C41AFF">
              <w:rPr>
                <w:bCs/>
              </w:rPr>
              <w:t>2005</w:t>
            </w:r>
          </w:p>
        </w:tc>
        <w:tc>
          <w:tcPr>
            <w:tcW w:w="838" w:type="dxa"/>
            <w:hideMark/>
          </w:tcPr>
          <w:p w14:paraId="6F069378" w14:textId="77777777" w:rsidR="00F84BE0" w:rsidRPr="00C41AFF" w:rsidRDefault="00F84BE0">
            <w:pPr>
              <w:pStyle w:val="Tabele"/>
              <w:jc w:val="center"/>
              <w:rPr>
                <w:bCs/>
              </w:rPr>
            </w:pPr>
            <w:r w:rsidRPr="00C41AFF">
              <w:rPr>
                <w:bCs/>
              </w:rPr>
              <w:t>2010</w:t>
            </w:r>
          </w:p>
        </w:tc>
        <w:tc>
          <w:tcPr>
            <w:tcW w:w="811" w:type="dxa"/>
            <w:hideMark/>
          </w:tcPr>
          <w:p w14:paraId="6A544BB7" w14:textId="77777777" w:rsidR="00F84BE0" w:rsidRPr="00C41AFF" w:rsidRDefault="00F84BE0">
            <w:pPr>
              <w:pStyle w:val="Tabele"/>
              <w:jc w:val="center"/>
              <w:rPr>
                <w:bCs/>
              </w:rPr>
            </w:pPr>
            <w:r w:rsidRPr="00C41AFF">
              <w:rPr>
                <w:bCs/>
              </w:rPr>
              <w:t>2015</w:t>
            </w:r>
          </w:p>
        </w:tc>
        <w:tc>
          <w:tcPr>
            <w:tcW w:w="749" w:type="dxa"/>
            <w:hideMark/>
          </w:tcPr>
          <w:p w14:paraId="3EE9A5B0" w14:textId="77777777" w:rsidR="00F84BE0" w:rsidRPr="00C41AFF" w:rsidRDefault="00F84BE0">
            <w:pPr>
              <w:pStyle w:val="Tabele"/>
              <w:jc w:val="center"/>
              <w:rPr>
                <w:bCs/>
              </w:rPr>
            </w:pPr>
            <w:r w:rsidRPr="00C41AFF">
              <w:rPr>
                <w:bCs/>
              </w:rPr>
              <w:t>2020</w:t>
            </w:r>
          </w:p>
        </w:tc>
        <w:tc>
          <w:tcPr>
            <w:tcW w:w="871" w:type="dxa"/>
            <w:hideMark/>
          </w:tcPr>
          <w:p w14:paraId="24863498" w14:textId="77777777" w:rsidR="00F84BE0" w:rsidRPr="00C41AFF" w:rsidRDefault="00F84BE0">
            <w:pPr>
              <w:pStyle w:val="Tabele"/>
              <w:jc w:val="center"/>
              <w:rPr>
                <w:bCs/>
              </w:rPr>
            </w:pPr>
            <w:r w:rsidRPr="00C41AFF">
              <w:rPr>
                <w:bCs/>
              </w:rPr>
              <w:t>2025</w:t>
            </w:r>
          </w:p>
        </w:tc>
        <w:tc>
          <w:tcPr>
            <w:tcW w:w="811" w:type="dxa"/>
            <w:hideMark/>
          </w:tcPr>
          <w:p w14:paraId="4B9C7506" w14:textId="77777777" w:rsidR="00F84BE0" w:rsidRPr="00C41AFF" w:rsidRDefault="00F84BE0">
            <w:pPr>
              <w:pStyle w:val="Tabele"/>
              <w:jc w:val="center"/>
              <w:rPr>
                <w:bCs/>
              </w:rPr>
            </w:pPr>
            <w:r w:rsidRPr="00C41AFF">
              <w:rPr>
                <w:bCs/>
              </w:rPr>
              <w:t>2030</w:t>
            </w:r>
          </w:p>
        </w:tc>
        <w:tc>
          <w:tcPr>
            <w:tcW w:w="811" w:type="dxa"/>
            <w:hideMark/>
          </w:tcPr>
          <w:p w14:paraId="4C423DCC" w14:textId="77777777" w:rsidR="00F84BE0" w:rsidRPr="00C41AFF" w:rsidRDefault="00F84BE0">
            <w:pPr>
              <w:pStyle w:val="Tabele"/>
              <w:jc w:val="center"/>
              <w:rPr>
                <w:bCs/>
              </w:rPr>
            </w:pPr>
            <w:r w:rsidRPr="00C41AFF">
              <w:rPr>
                <w:bCs/>
              </w:rPr>
              <w:t>2035</w:t>
            </w:r>
          </w:p>
        </w:tc>
        <w:tc>
          <w:tcPr>
            <w:tcW w:w="811" w:type="dxa"/>
          </w:tcPr>
          <w:p w14:paraId="2449940D" w14:textId="31744C8A" w:rsidR="00F84BE0" w:rsidRPr="00C41AFF" w:rsidRDefault="00F84BE0">
            <w:pPr>
              <w:pStyle w:val="Tabele"/>
              <w:jc w:val="center"/>
              <w:rPr>
                <w:bCs/>
              </w:rPr>
            </w:pPr>
            <w:r>
              <w:rPr>
                <w:bCs/>
              </w:rPr>
              <w:t>2040</w:t>
            </w:r>
          </w:p>
        </w:tc>
      </w:tr>
      <w:tr w:rsidR="003A1EEA" w:rsidRPr="00F85B97" w14:paraId="22863EAA" w14:textId="77777777" w:rsidTr="003A1EEA">
        <w:trPr>
          <w:trHeight w:val="232"/>
        </w:trPr>
        <w:tc>
          <w:tcPr>
            <w:tcW w:w="2282" w:type="dxa"/>
            <w:hideMark/>
          </w:tcPr>
          <w:p w14:paraId="6BAA95A7" w14:textId="77777777" w:rsidR="00F84BE0" w:rsidRPr="00D90D86" w:rsidRDefault="00F84BE0">
            <w:pPr>
              <w:pStyle w:val="Tabele"/>
              <w:rPr>
                <w:color w:val="auto"/>
                <w:szCs w:val="16"/>
              </w:rPr>
            </w:pPr>
            <w:r w:rsidRPr="00D90D86">
              <w:rPr>
                <w:color w:val="auto"/>
                <w:szCs w:val="16"/>
              </w:rPr>
              <w:t>Energia elektryczna</w:t>
            </w:r>
          </w:p>
        </w:tc>
        <w:tc>
          <w:tcPr>
            <w:tcW w:w="927" w:type="dxa"/>
            <w:shd w:val="clear" w:color="auto" w:fill="C5E0B3"/>
            <w:vAlign w:val="top"/>
            <w:hideMark/>
          </w:tcPr>
          <w:p w14:paraId="0A3C2B19" w14:textId="77777777" w:rsidR="00F84BE0" w:rsidRPr="00D90D86" w:rsidRDefault="00F84BE0">
            <w:pPr>
              <w:pStyle w:val="Tabele"/>
              <w:jc w:val="right"/>
              <w:rPr>
                <w:color w:val="auto"/>
                <w:szCs w:val="16"/>
              </w:rPr>
            </w:pPr>
            <w:r w:rsidRPr="00D90D86">
              <w:rPr>
                <w:color w:val="auto"/>
                <w:szCs w:val="16"/>
              </w:rPr>
              <w:t>1,4%</w:t>
            </w:r>
          </w:p>
        </w:tc>
        <w:tc>
          <w:tcPr>
            <w:tcW w:w="838" w:type="dxa"/>
            <w:shd w:val="clear" w:color="auto" w:fill="C5E0B3"/>
            <w:vAlign w:val="top"/>
            <w:hideMark/>
          </w:tcPr>
          <w:p w14:paraId="414E0246" w14:textId="77777777" w:rsidR="00F84BE0" w:rsidRPr="00D90D86" w:rsidRDefault="00F84BE0">
            <w:pPr>
              <w:pStyle w:val="Tabele"/>
              <w:jc w:val="right"/>
              <w:rPr>
                <w:color w:val="auto"/>
                <w:szCs w:val="16"/>
              </w:rPr>
            </w:pPr>
            <w:r w:rsidRPr="00D90D86">
              <w:rPr>
                <w:color w:val="auto"/>
                <w:szCs w:val="16"/>
              </w:rPr>
              <w:t>0,0%</w:t>
            </w:r>
          </w:p>
        </w:tc>
        <w:tc>
          <w:tcPr>
            <w:tcW w:w="811" w:type="dxa"/>
            <w:shd w:val="clear" w:color="auto" w:fill="C5E0B3"/>
            <w:vAlign w:val="top"/>
            <w:hideMark/>
          </w:tcPr>
          <w:p w14:paraId="68BA0700" w14:textId="77777777" w:rsidR="00F84BE0" w:rsidRPr="00D90D86" w:rsidRDefault="00F84BE0">
            <w:pPr>
              <w:pStyle w:val="Tabele"/>
              <w:jc w:val="right"/>
              <w:rPr>
                <w:color w:val="auto"/>
                <w:szCs w:val="16"/>
              </w:rPr>
            </w:pPr>
            <w:r w:rsidRPr="00D90D86">
              <w:rPr>
                <w:color w:val="auto"/>
                <w:szCs w:val="16"/>
              </w:rPr>
              <w:t>0,0%</w:t>
            </w:r>
          </w:p>
        </w:tc>
        <w:tc>
          <w:tcPr>
            <w:tcW w:w="749" w:type="dxa"/>
            <w:shd w:val="clear" w:color="auto" w:fill="C5E0B3"/>
            <w:vAlign w:val="top"/>
            <w:hideMark/>
          </w:tcPr>
          <w:p w14:paraId="43AB8775" w14:textId="77777777" w:rsidR="00F84BE0" w:rsidRPr="00D90D86" w:rsidRDefault="00F84BE0">
            <w:pPr>
              <w:pStyle w:val="Tabele"/>
              <w:jc w:val="right"/>
              <w:rPr>
                <w:color w:val="auto"/>
                <w:szCs w:val="16"/>
              </w:rPr>
            </w:pPr>
            <w:r w:rsidRPr="00D90D86">
              <w:rPr>
                <w:color w:val="auto"/>
                <w:szCs w:val="16"/>
              </w:rPr>
              <w:t>0,9%</w:t>
            </w:r>
          </w:p>
        </w:tc>
        <w:tc>
          <w:tcPr>
            <w:tcW w:w="871" w:type="dxa"/>
            <w:hideMark/>
          </w:tcPr>
          <w:p w14:paraId="26786208" w14:textId="77777777" w:rsidR="00F84BE0" w:rsidRPr="00D90D86" w:rsidRDefault="00F84BE0">
            <w:pPr>
              <w:pStyle w:val="Tabele"/>
              <w:jc w:val="right"/>
              <w:rPr>
                <w:color w:val="auto"/>
                <w:szCs w:val="16"/>
              </w:rPr>
            </w:pPr>
            <w:r w:rsidRPr="00D90D86">
              <w:rPr>
                <w:rFonts w:cs="Arial"/>
                <w:color w:val="auto"/>
                <w:szCs w:val="16"/>
              </w:rPr>
              <w:t>0,0%</w:t>
            </w:r>
          </w:p>
        </w:tc>
        <w:tc>
          <w:tcPr>
            <w:tcW w:w="811" w:type="dxa"/>
            <w:hideMark/>
          </w:tcPr>
          <w:p w14:paraId="73558E2A" w14:textId="77777777" w:rsidR="00F84BE0" w:rsidRPr="00D90D86" w:rsidRDefault="00F84BE0">
            <w:pPr>
              <w:pStyle w:val="Tabele"/>
              <w:jc w:val="right"/>
              <w:rPr>
                <w:color w:val="auto"/>
                <w:szCs w:val="16"/>
              </w:rPr>
            </w:pPr>
            <w:r w:rsidRPr="00D90D86">
              <w:rPr>
                <w:rFonts w:cs="Arial"/>
                <w:color w:val="auto"/>
                <w:szCs w:val="16"/>
              </w:rPr>
              <w:t>0,0%</w:t>
            </w:r>
          </w:p>
        </w:tc>
        <w:tc>
          <w:tcPr>
            <w:tcW w:w="811" w:type="dxa"/>
            <w:hideMark/>
          </w:tcPr>
          <w:p w14:paraId="343BE97A" w14:textId="77777777" w:rsidR="00F84BE0" w:rsidRPr="00D90D86" w:rsidRDefault="00F84BE0">
            <w:pPr>
              <w:pStyle w:val="Tabele"/>
              <w:jc w:val="right"/>
              <w:rPr>
                <w:color w:val="auto"/>
                <w:szCs w:val="16"/>
              </w:rPr>
            </w:pPr>
            <w:r w:rsidRPr="00D90D86">
              <w:rPr>
                <w:rFonts w:cs="Arial"/>
                <w:color w:val="auto"/>
                <w:szCs w:val="16"/>
              </w:rPr>
              <w:t>0,0%</w:t>
            </w:r>
          </w:p>
        </w:tc>
        <w:tc>
          <w:tcPr>
            <w:tcW w:w="811" w:type="dxa"/>
          </w:tcPr>
          <w:p w14:paraId="7978CFD9" w14:textId="77777777" w:rsidR="00F84BE0" w:rsidRPr="00D90D86" w:rsidRDefault="00F84BE0">
            <w:pPr>
              <w:pStyle w:val="Tabele"/>
              <w:jc w:val="right"/>
              <w:rPr>
                <w:color w:val="auto"/>
                <w:szCs w:val="16"/>
              </w:rPr>
            </w:pPr>
            <w:r w:rsidRPr="00D90D86">
              <w:rPr>
                <w:rFonts w:cs="Arial"/>
                <w:color w:val="auto"/>
                <w:szCs w:val="16"/>
              </w:rPr>
              <w:t>0,0%</w:t>
            </w:r>
          </w:p>
        </w:tc>
      </w:tr>
      <w:tr w:rsidR="003A1EEA" w:rsidRPr="00F85B97" w14:paraId="13BE161B" w14:textId="77777777" w:rsidTr="003A1EEA">
        <w:trPr>
          <w:trHeight w:val="232"/>
        </w:trPr>
        <w:tc>
          <w:tcPr>
            <w:tcW w:w="2282" w:type="dxa"/>
            <w:hideMark/>
          </w:tcPr>
          <w:p w14:paraId="131ED0C2" w14:textId="77777777" w:rsidR="00F84BE0" w:rsidRPr="00D90D86" w:rsidRDefault="00F84BE0">
            <w:pPr>
              <w:pStyle w:val="Tabele"/>
              <w:rPr>
                <w:color w:val="auto"/>
                <w:szCs w:val="16"/>
              </w:rPr>
            </w:pPr>
            <w:r w:rsidRPr="00D90D86">
              <w:rPr>
                <w:color w:val="auto"/>
                <w:szCs w:val="16"/>
              </w:rPr>
              <w:t>Węgiel kamienny</w:t>
            </w:r>
          </w:p>
        </w:tc>
        <w:tc>
          <w:tcPr>
            <w:tcW w:w="927" w:type="dxa"/>
            <w:shd w:val="clear" w:color="auto" w:fill="C5E0B3"/>
            <w:vAlign w:val="top"/>
            <w:hideMark/>
          </w:tcPr>
          <w:p w14:paraId="203B6384" w14:textId="77777777" w:rsidR="00F84BE0" w:rsidRPr="00D90D86" w:rsidRDefault="00F84BE0">
            <w:pPr>
              <w:pStyle w:val="Tabele"/>
              <w:jc w:val="right"/>
              <w:rPr>
                <w:color w:val="auto"/>
                <w:szCs w:val="16"/>
              </w:rPr>
            </w:pPr>
            <w:r w:rsidRPr="00D90D86">
              <w:rPr>
                <w:color w:val="auto"/>
                <w:szCs w:val="16"/>
              </w:rPr>
              <w:t>4,2%</w:t>
            </w:r>
          </w:p>
        </w:tc>
        <w:tc>
          <w:tcPr>
            <w:tcW w:w="838" w:type="dxa"/>
            <w:shd w:val="clear" w:color="auto" w:fill="C5E0B3"/>
            <w:vAlign w:val="top"/>
            <w:hideMark/>
          </w:tcPr>
          <w:p w14:paraId="21658BE8" w14:textId="77777777" w:rsidR="00F84BE0" w:rsidRPr="00D90D86" w:rsidRDefault="00F84BE0">
            <w:pPr>
              <w:pStyle w:val="Tabele"/>
              <w:jc w:val="right"/>
              <w:rPr>
                <w:color w:val="auto"/>
                <w:szCs w:val="16"/>
              </w:rPr>
            </w:pPr>
            <w:r w:rsidRPr="00D90D86">
              <w:rPr>
                <w:color w:val="auto"/>
                <w:szCs w:val="16"/>
              </w:rPr>
              <w:t>13,1%</w:t>
            </w:r>
          </w:p>
        </w:tc>
        <w:tc>
          <w:tcPr>
            <w:tcW w:w="811" w:type="dxa"/>
            <w:shd w:val="clear" w:color="auto" w:fill="C5E0B3"/>
            <w:vAlign w:val="top"/>
            <w:hideMark/>
          </w:tcPr>
          <w:p w14:paraId="4FB50BA9" w14:textId="77777777" w:rsidR="00F84BE0" w:rsidRPr="00D90D86" w:rsidRDefault="00F84BE0">
            <w:pPr>
              <w:pStyle w:val="Tabele"/>
              <w:jc w:val="right"/>
              <w:rPr>
                <w:color w:val="auto"/>
                <w:szCs w:val="16"/>
              </w:rPr>
            </w:pPr>
            <w:r w:rsidRPr="00D90D86">
              <w:rPr>
                <w:color w:val="auto"/>
                <w:szCs w:val="16"/>
              </w:rPr>
              <w:t>8,6%</w:t>
            </w:r>
          </w:p>
        </w:tc>
        <w:tc>
          <w:tcPr>
            <w:tcW w:w="749" w:type="dxa"/>
            <w:shd w:val="clear" w:color="auto" w:fill="C5E0B3"/>
            <w:vAlign w:val="top"/>
            <w:hideMark/>
          </w:tcPr>
          <w:p w14:paraId="6F8D3E10" w14:textId="77777777" w:rsidR="00F84BE0" w:rsidRPr="00D90D86" w:rsidRDefault="00F84BE0">
            <w:pPr>
              <w:pStyle w:val="Tabele"/>
              <w:jc w:val="right"/>
              <w:rPr>
                <w:color w:val="auto"/>
                <w:szCs w:val="16"/>
              </w:rPr>
            </w:pPr>
            <w:r w:rsidRPr="00D90D86">
              <w:rPr>
                <w:color w:val="auto"/>
                <w:szCs w:val="16"/>
              </w:rPr>
              <w:t>22,3%</w:t>
            </w:r>
          </w:p>
        </w:tc>
        <w:tc>
          <w:tcPr>
            <w:tcW w:w="871" w:type="dxa"/>
            <w:hideMark/>
          </w:tcPr>
          <w:p w14:paraId="1892ECB1" w14:textId="77777777" w:rsidR="00F84BE0" w:rsidRPr="00D90D86" w:rsidRDefault="00F84BE0">
            <w:pPr>
              <w:pStyle w:val="Tabele"/>
              <w:jc w:val="right"/>
              <w:rPr>
                <w:color w:val="auto"/>
                <w:szCs w:val="16"/>
              </w:rPr>
            </w:pPr>
            <w:r w:rsidRPr="00D90D86">
              <w:rPr>
                <w:rFonts w:cs="Arial"/>
                <w:color w:val="auto"/>
                <w:szCs w:val="16"/>
              </w:rPr>
              <w:t>15,4%</w:t>
            </w:r>
          </w:p>
        </w:tc>
        <w:tc>
          <w:tcPr>
            <w:tcW w:w="811" w:type="dxa"/>
            <w:hideMark/>
          </w:tcPr>
          <w:p w14:paraId="578F05F6" w14:textId="77777777" w:rsidR="00F84BE0" w:rsidRPr="00D90D86" w:rsidRDefault="00F84BE0">
            <w:pPr>
              <w:pStyle w:val="Tabele"/>
              <w:jc w:val="right"/>
              <w:rPr>
                <w:color w:val="auto"/>
                <w:szCs w:val="16"/>
              </w:rPr>
            </w:pPr>
            <w:r w:rsidRPr="00D90D86">
              <w:rPr>
                <w:rFonts w:cs="Arial"/>
                <w:color w:val="auto"/>
                <w:szCs w:val="16"/>
              </w:rPr>
              <w:t>3,0%</w:t>
            </w:r>
          </w:p>
        </w:tc>
        <w:tc>
          <w:tcPr>
            <w:tcW w:w="811" w:type="dxa"/>
            <w:hideMark/>
          </w:tcPr>
          <w:p w14:paraId="24E48908" w14:textId="77777777" w:rsidR="00F84BE0" w:rsidRPr="00D90D86" w:rsidRDefault="00F84BE0">
            <w:pPr>
              <w:pStyle w:val="Tabele"/>
              <w:jc w:val="right"/>
              <w:rPr>
                <w:color w:val="auto"/>
                <w:szCs w:val="16"/>
              </w:rPr>
            </w:pPr>
            <w:r w:rsidRPr="00D90D86">
              <w:rPr>
                <w:rFonts w:cs="Arial"/>
                <w:color w:val="auto"/>
                <w:szCs w:val="16"/>
              </w:rPr>
              <w:t>3,0%</w:t>
            </w:r>
          </w:p>
        </w:tc>
        <w:tc>
          <w:tcPr>
            <w:tcW w:w="811" w:type="dxa"/>
          </w:tcPr>
          <w:p w14:paraId="6E69C980" w14:textId="77777777" w:rsidR="00F84BE0" w:rsidRPr="00D90D86" w:rsidRDefault="00F84BE0">
            <w:pPr>
              <w:pStyle w:val="Tabele"/>
              <w:jc w:val="right"/>
              <w:rPr>
                <w:color w:val="auto"/>
                <w:szCs w:val="16"/>
              </w:rPr>
            </w:pPr>
            <w:r w:rsidRPr="00D90D86">
              <w:rPr>
                <w:rFonts w:cs="Arial"/>
                <w:color w:val="auto"/>
                <w:szCs w:val="16"/>
              </w:rPr>
              <w:t>2,9%</w:t>
            </w:r>
          </w:p>
        </w:tc>
      </w:tr>
      <w:tr w:rsidR="003A1EEA" w:rsidRPr="00F85B97" w14:paraId="705CA8E4" w14:textId="77777777" w:rsidTr="003A1EEA">
        <w:trPr>
          <w:trHeight w:val="232"/>
        </w:trPr>
        <w:tc>
          <w:tcPr>
            <w:tcW w:w="2282" w:type="dxa"/>
            <w:hideMark/>
          </w:tcPr>
          <w:p w14:paraId="7E62B9FC" w14:textId="77777777" w:rsidR="00F84BE0" w:rsidRPr="00D90D86" w:rsidRDefault="00F84BE0">
            <w:pPr>
              <w:pStyle w:val="Tabele"/>
              <w:rPr>
                <w:color w:val="auto"/>
                <w:szCs w:val="16"/>
              </w:rPr>
            </w:pPr>
            <w:r w:rsidRPr="00D90D86">
              <w:rPr>
                <w:color w:val="auto"/>
                <w:szCs w:val="16"/>
              </w:rPr>
              <w:t>Węgiel koksujący</w:t>
            </w:r>
          </w:p>
        </w:tc>
        <w:tc>
          <w:tcPr>
            <w:tcW w:w="927" w:type="dxa"/>
            <w:shd w:val="clear" w:color="auto" w:fill="C5E0B3"/>
            <w:vAlign w:val="top"/>
            <w:hideMark/>
          </w:tcPr>
          <w:p w14:paraId="2C85F0E2" w14:textId="77777777" w:rsidR="00F84BE0" w:rsidRPr="00D90D86" w:rsidRDefault="00F84BE0">
            <w:pPr>
              <w:pStyle w:val="Tabele"/>
              <w:jc w:val="right"/>
              <w:rPr>
                <w:color w:val="auto"/>
                <w:szCs w:val="16"/>
              </w:rPr>
            </w:pPr>
            <w:r w:rsidRPr="00D90D86">
              <w:rPr>
                <w:color w:val="auto"/>
                <w:szCs w:val="16"/>
              </w:rPr>
              <w:t>0,3%</w:t>
            </w:r>
          </w:p>
        </w:tc>
        <w:tc>
          <w:tcPr>
            <w:tcW w:w="838" w:type="dxa"/>
            <w:shd w:val="clear" w:color="auto" w:fill="C5E0B3"/>
            <w:vAlign w:val="top"/>
            <w:hideMark/>
          </w:tcPr>
          <w:p w14:paraId="2976DD27" w14:textId="77777777" w:rsidR="00F84BE0" w:rsidRPr="00D90D86" w:rsidRDefault="00F84BE0">
            <w:pPr>
              <w:pStyle w:val="Tabele"/>
              <w:jc w:val="right"/>
              <w:rPr>
                <w:color w:val="auto"/>
                <w:szCs w:val="16"/>
              </w:rPr>
            </w:pPr>
            <w:r w:rsidRPr="00D90D86">
              <w:rPr>
                <w:color w:val="auto"/>
                <w:szCs w:val="16"/>
              </w:rPr>
              <w:t>18,3%</w:t>
            </w:r>
          </w:p>
        </w:tc>
        <w:tc>
          <w:tcPr>
            <w:tcW w:w="811" w:type="dxa"/>
            <w:shd w:val="clear" w:color="auto" w:fill="C5E0B3"/>
            <w:vAlign w:val="top"/>
            <w:hideMark/>
          </w:tcPr>
          <w:p w14:paraId="500EECD8" w14:textId="77777777" w:rsidR="00F84BE0" w:rsidRPr="00D90D86" w:rsidRDefault="00F84BE0">
            <w:pPr>
              <w:pStyle w:val="Tabele"/>
              <w:jc w:val="right"/>
              <w:rPr>
                <w:color w:val="auto"/>
                <w:szCs w:val="16"/>
              </w:rPr>
            </w:pPr>
            <w:r w:rsidRPr="00D90D86">
              <w:rPr>
                <w:color w:val="auto"/>
                <w:szCs w:val="16"/>
              </w:rPr>
              <w:t>17,0%</w:t>
            </w:r>
          </w:p>
        </w:tc>
        <w:tc>
          <w:tcPr>
            <w:tcW w:w="749" w:type="dxa"/>
            <w:shd w:val="clear" w:color="auto" w:fill="C5E0B3"/>
            <w:vAlign w:val="top"/>
            <w:hideMark/>
          </w:tcPr>
          <w:p w14:paraId="67A105D7" w14:textId="77777777" w:rsidR="00F84BE0" w:rsidRPr="00D90D86" w:rsidRDefault="00F84BE0">
            <w:pPr>
              <w:pStyle w:val="Tabele"/>
              <w:jc w:val="right"/>
              <w:rPr>
                <w:color w:val="auto"/>
                <w:szCs w:val="16"/>
              </w:rPr>
            </w:pPr>
            <w:r w:rsidRPr="00D90D86">
              <w:rPr>
                <w:color w:val="auto"/>
                <w:szCs w:val="16"/>
              </w:rPr>
              <w:t>16,1%</w:t>
            </w:r>
          </w:p>
        </w:tc>
        <w:tc>
          <w:tcPr>
            <w:tcW w:w="871" w:type="dxa"/>
            <w:hideMark/>
          </w:tcPr>
          <w:p w14:paraId="2769EE1C" w14:textId="77777777" w:rsidR="00F84BE0" w:rsidRPr="00D90D86" w:rsidRDefault="00F84BE0">
            <w:pPr>
              <w:pStyle w:val="Tabele"/>
              <w:jc w:val="right"/>
              <w:rPr>
                <w:color w:val="auto"/>
                <w:szCs w:val="16"/>
              </w:rPr>
            </w:pPr>
            <w:r w:rsidRPr="00D90D86">
              <w:rPr>
                <w:rFonts w:cs="Arial"/>
                <w:color w:val="auto"/>
                <w:szCs w:val="16"/>
              </w:rPr>
              <w:t>20,7%</w:t>
            </w:r>
          </w:p>
        </w:tc>
        <w:tc>
          <w:tcPr>
            <w:tcW w:w="811" w:type="dxa"/>
            <w:hideMark/>
          </w:tcPr>
          <w:p w14:paraId="25E07C51" w14:textId="77777777" w:rsidR="00F84BE0" w:rsidRPr="00D90D86" w:rsidRDefault="00F84BE0">
            <w:pPr>
              <w:pStyle w:val="Tabele"/>
              <w:jc w:val="right"/>
              <w:rPr>
                <w:color w:val="auto"/>
                <w:szCs w:val="16"/>
              </w:rPr>
            </w:pPr>
            <w:r w:rsidRPr="00D90D86">
              <w:rPr>
                <w:rFonts w:cs="Arial"/>
                <w:color w:val="auto"/>
                <w:szCs w:val="16"/>
              </w:rPr>
              <w:t>21,9%</w:t>
            </w:r>
          </w:p>
        </w:tc>
        <w:tc>
          <w:tcPr>
            <w:tcW w:w="811" w:type="dxa"/>
            <w:hideMark/>
          </w:tcPr>
          <w:p w14:paraId="300E0897" w14:textId="77777777" w:rsidR="00F84BE0" w:rsidRPr="00D90D86" w:rsidRDefault="00F84BE0">
            <w:pPr>
              <w:pStyle w:val="Tabele"/>
              <w:jc w:val="right"/>
              <w:rPr>
                <w:color w:val="auto"/>
                <w:szCs w:val="16"/>
              </w:rPr>
            </w:pPr>
            <w:r w:rsidRPr="00D90D86">
              <w:rPr>
                <w:rFonts w:cs="Arial"/>
                <w:color w:val="auto"/>
                <w:szCs w:val="16"/>
              </w:rPr>
              <w:t>23,0%</w:t>
            </w:r>
          </w:p>
        </w:tc>
        <w:tc>
          <w:tcPr>
            <w:tcW w:w="811" w:type="dxa"/>
          </w:tcPr>
          <w:p w14:paraId="256C688A" w14:textId="77777777" w:rsidR="00F84BE0" w:rsidRPr="00D90D86" w:rsidRDefault="00F84BE0">
            <w:pPr>
              <w:pStyle w:val="Tabele"/>
              <w:jc w:val="right"/>
              <w:rPr>
                <w:color w:val="auto"/>
                <w:szCs w:val="16"/>
              </w:rPr>
            </w:pPr>
            <w:r w:rsidRPr="00D90D86">
              <w:rPr>
                <w:rFonts w:cs="Arial"/>
                <w:color w:val="auto"/>
                <w:szCs w:val="16"/>
              </w:rPr>
              <w:t>24,3%</w:t>
            </w:r>
          </w:p>
        </w:tc>
      </w:tr>
      <w:tr w:rsidR="003A1EEA" w:rsidRPr="00F85B97" w14:paraId="418C4F15" w14:textId="77777777" w:rsidTr="003A1EEA">
        <w:trPr>
          <w:trHeight w:val="232"/>
        </w:trPr>
        <w:tc>
          <w:tcPr>
            <w:tcW w:w="2282" w:type="dxa"/>
            <w:hideMark/>
          </w:tcPr>
          <w:p w14:paraId="2DC81EF3" w14:textId="77777777" w:rsidR="00F84BE0" w:rsidRPr="00D90D86" w:rsidRDefault="00F84BE0">
            <w:pPr>
              <w:pStyle w:val="Tabele"/>
              <w:rPr>
                <w:color w:val="auto"/>
                <w:szCs w:val="16"/>
              </w:rPr>
            </w:pPr>
            <w:r w:rsidRPr="00D90D86">
              <w:rPr>
                <w:color w:val="auto"/>
                <w:szCs w:val="16"/>
              </w:rPr>
              <w:t>Koks</w:t>
            </w:r>
          </w:p>
        </w:tc>
        <w:tc>
          <w:tcPr>
            <w:tcW w:w="927" w:type="dxa"/>
            <w:shd w:val="clear" w:color="auto" w:fill="C5E0B3"/>
            <w:vAlign w:val="top"/>
            <w:hideMark/>
          </w:tcPr>
          <w:p w14:paraId="71582E4F" w14:textId="77777777" w:rsidR="00F84BE0" w:rsidRPr="00D90D86" w:rsidRDefault="00F84BE0">
            <w:pPr>
              <w:pStyle w:val="Tabele"/>
              <w:jc w:val="right"/>
              <w:rPr>
                <w:color w:val="auto"/>
                <w:szCs w:val="16"/>
              </w:rPr>
            </w:pPr>
            <w:r w:rsidRPr="00D90D86">
              <w:rPr>
                <w:color w:val="auto"/>
                <w:szCs w:val="16"/>
              </w:rPr>
              <w:t>0,5%</w:t>
            </w:r>
          </w:p>
        </w:tc>
        <w:tc>
          <w:tcPr>
            <w:tcW w:w="838" w:type="dxa"/>
            <w:shd w:val="clear" w:color="auto" w:fill="C5E0B3"/>
            <w:vAlign w:val="top"/>
            <w:hideMark/>
          </w:tcPr>
          <w:p w14:paraId="5EF58B54" w14:textId="77777777" w:rsidR="00F84BE0" w:rsidRPr="00D90D86" w:rsidRDefault="00F84BE0">
            <w:pPr>
              <w:pStyle w:val="Tabele"/>
              <w:jc w:val="right"/>
              <w:rPr>
                <w:color w:val="auto"/>
                <w:szCs w:val="16"/>
              </w:rPr>
            </w:pPr>
            <w:r w:rsidRPr="00D90D86">
              <w:rPr>
                <w:color w:val="auto"/>
                <w:szCs w:val="16"/>
              </w:rPr>
              <w:t>1,2%</w:t>
            </w:r>
          </w:p>
        </w:tc>
        <w:tc>
          <w:tcPr>
            <w:tcW w:w="811" w:type="dxa"/>
            <w:shd w:val="clear" w:color="auto" w:fill="C5E0B3"/>
            <w:vAlign w:val="top"/>
            <w:hideMark/>
          </w:tcPr>
          <w:p w14:paraId="0CEEEE75" w14:textId="77777777" w:rsidR="00F84BE0" w:rsidRPr="00D90D86" w:rsidRDefault="00F84BE0">
            <w:pPr>
              <w:pStyle w:val="Tabele"/>
              <w:jc w:val="right"/>
              <w:rPr>
                <w:color w:val="auto"/>
                <w:szCs w:val="16"/>
              </w:rPr>
            </w:pPr>
            <w:r w:rsidRPr="00D90D86">
              <w:rPr>
                <w:color w:val="auto"/>
                <w:szCs w:val="16"/>
              </w:rPr>
              <w:t>2,0%</w:t>
            </w:r>
          </w:p>
        </w:tc>
        <w:tc>
          <w:tcPr>
            <w:tcW w:w="749" w:type="dxa"/>
            <w:shd w:val="clear" w:color="auto" w:fill="C5E0B3"/>
            <w:vAlign w:val="top"/>
            <w:hideMark/>
          </w:tcPr>
          <w:p w14:paraId="453EC948" w14:textId="77777777" w:rsidR="00F84BE0" w:rsidRPr="00D90D86" w:rsidRDefault="00F84BE0">
            <w:pPr>
              <w:pStyle w:val="Tabele"/>
              <w:jc w:val="right"/>
              <w:rPr>
                <w:color w:val="auto"/>
                <w:szCs w:val="16"/>
              </w:rPr>
            </w:pPr>
            <w:r w:rsidRPr="00D90D86">
              <w:rPr>
                <w:color w:val="auto"/>
                <w:szCs w:val="16"/>
              </w:rPr>
              <w:t>3,8%</w:t>
            </w:r>
          </w:p>
        </w:tc>
        <w:tc>
          <w:tcPr>
            <w:tcW w:w="871" w:type="dxa"/>
            <w:hideMark/>
          </w:tcPr>
          <w:p w14:paraId="14BCB3A3" w14:textId="77777777" w:rsidR="00F84BE0" w:rsidRPr="00D90D86" w:rsidRDefault="00F84BE0">
            <w:pPr>
              <w:pStyle w:val="Tabele"/>
              <w:jc w:val="right"/>
              <w:rPr>
                <w:color w:val="auto"/>
                <w:szCs w:val="16"/>
              </w:rPr>
            </w:pPr>
            <w:r w:rsidRPr="00D90D86">
              <w:rPr>
                <w:rFonts w:cs="Arial"/>
                <w:color w:val="auto"/>
                <w:szCs w:val="16"/>
              </w:rPr>
              <w:t>6,5%</w:t>
            </w:r>
          </w:p>
        </w:tc>
        <w:tc>
          <w:tcPr>
            <w:tcW w:w="811" w:type="dxa"/>
            <w:hideMark/>
          </w:tcPr>
          <w:p w14:paraId="26443DF2" w14:textId="77777777" w:rsidR="00F84BE0" w:rsidRPr="00D90D86" w:rsidRDefault="00F84BE0">
            <w:pPr>
              <w:pStyle w:val="Tabele"/>
              <w:jc w:val="right"/>
              <w:rPr>
                <w:color w:val="auto"/>
                <w:szCs w:val="16"/>
              </w:rPr>
            </w:pPr>
            <w:r w:rsidRPr="00D90D86">
              <w:rPr>
                <w:rFonts w:cs="Arial"/>
                <w:color w:val="auto"/>
                <w:szCs w:val="16"/>
              </w:rPr>
              <w:t>7,4%</w:t>
            </w:r>
          </w:p>
        </w:tc>
        <w:tc>
          <w:tcPr>
            <w:tcW w:w="811" w:type="dxa"/>
            <w:hideMark/>
          </w:tcPr>
          <w:p w14:paraId="23093C91" w14:textId="77777777" w:rsidR="00F84BE0" w:rsidRPr="00D90D86" w:rsidRDefault="00F84BE0">
            <w:pPr>
              <w:pStyle w:val="Tabele"/>
              <w:jc w:val="right"/>
              <w:rPr>
                <w:color w:val="auto"/>
                <w:szCs w:val="16"/>
              </w:rPr>
            </w:pPr>
            <w:r w:rsidRPr="00D90D86">
              <w:rPr>
                <w:rFonts w:cs="Arial"/>
                <w:color w:val="auto"/>
                <w:szCs w:val="16"/>
              </w:rPr>
              <w:t>8,5%</w:t>
            </w:r>
          </w:p>
        </w:tc>
        <w:tc>
          <w:tcPr>
            <w:tcW w:w="811" w:type="dxa"/>
          </w:tcPr>
          <w:p w14:paraId="34653D60" w14:textId="77777777" w:rsidR="00F84BE0" w:rsidRPr="00D90D86" w:rsidRDefault="00F84BE0">
            <w:pPr>
              <w:pStyle w:val="Tabele"/>
              <w:jc w:val="right"/>
              <w:rPr>
                <w:color w:val="auto"/>
                <w:szCs w:val="16"/>
              </w:rPr>
            </w:pPr>
            <w:r w:rsidRPr="00D90D86">
              <w:rPr>
                <w:rFonts w:cs="Arial"/>
                <w:color w:val="auto"/>
                <w:szCs w:val="16"/>
              </w:rPr>
              <w:t>10,7%</w:t>
            </w:r>
          </w:p>
        </w:tc>
      </w:tr>
      <w:tr w:rsidR="003A1EEA" w:rsidRPr="00F85B97" w14:paraId="24E30F48" w14:textId="77777777" w:rsidTr="003A1EEA">
        <w:trPr>
          <w:trHeight w:val="232"/>
        </w:trPr>
        <w:tc>
          <w:tcPr>
            <w:tcW w:w="2282" w:type="dxa"/>
            <w:hideMark/>
          </w:tcPr>
          <w:p w14:paraId="3EC2A668" w14:textId="77777777" w:rsidR="00F84BE0" w:rsidRPr="00D90D86" w:rsidRDefault="00F84BE0">
            <w:pPr>
              <w:pStyle w:val="Tabele"/>
              <w:rPr>
                <w:color w:val="auto"/>
                <w:szCs w:val="16"/>
              </w:rPr>
            </w:pPr>
            <w:r w:rsidRPr="00D90D86">
              <w:rPr>
                <w:color w:val="auto"/>
                <w:szCs w:val="16"/>
              </w:rPr>
              <w:t>Węgiel brunatny</w:t>
            </w:r>
          </w:p>
        </w:tc>
        <w:tc>
          <w:tcPr>
            <w:tcW w:w="927" w:type="dxa"/>
            <w:shd w:val="clear" w:color="auto" w:fill="C5E0B3"/>
            <w:vAlign w:val="top"/>
            <w:hideMark/>
          </w:tcPr>
          <w:p w14:paraId="4C76AC16" w14:textId="77777777" w:rsidR="00F84BE0" w:rsidRPr="00D90D86" w:rsidRDefault="00F84BE0">
            <w:pPr>
              <w:pStyle w:val="Tabele"/>
              <w:jc w:val="right"/>
              <w:rPr>
                <w:color w:val="auto"/>
                <w:szCs w:val="16"/>
              </w:rPr>
            </w:pPr>
            <w:r w:rsidRPr="00D90D86">
              <w:rPr>
                <w:color w:val="auto"/>
                <w:szCs w:val="16"/>
              </w:rPr>
              <w:t>0,0%</w:t>
            </w:r>
          </w:p>
        </w:tc>
        <w:tc>
          <w:tcPr>
            <w:tcW w:w="838" w:type="dxa"/>
            <w:shd w:val="clear" w:color="auto" w:fill="C5E0B3"/>
            <w:vAlign w:val="top"/>
            <w:hideMark/>
          </w:tcPr>
          <w:p w14:paraId="7FB4ACB1" w14:textId="77777777" w:rsidR="00F84BE0" w:rsidRPr="00D90D86" w:rsidRDefault="00F84BE0">
            <w:pPr>
              <w:pStyle w:val="Tabele"/>
              <w:jc w:val="right"/>
              <w:rPr>
                <w:color w:val="auto"/>
                <w:szCs w:val="16"/>
              </w:rPr>
            </w:pPr>
            <w:r w:rsidRPr="00D90D86">
              <w:rPr>
                <w:color w:val="auto"/>
                <w:szCs w:val="16"/>
              </w:rPr>
              <w:t>0,0%</w:t>
            </w:r>
          </w:p>
        </w:tc>
        <w:tc>
          <w:tcPr>
            <w:tcW w:w="811" w:type="dxa"/>
            <w:shd w:val="clear" w:color="auto" w:fill="C5E0B3"/>
            <w:vAlign w:val="top"/>
            <w:hideMark/>
          </w:tcPr>
          <w:p w14:paraId="5152074C" w14:textId="77777777" w:rsidR="00F84BE0" w:rsidRPr="00D90D86" w:rsidRDefault="00F84BE0">
            <w:pPr>
              <w:pStyle w:val="Tabele"/>
              <w:jc w:val="right"/>
              <w:rPr>
                <w:color w:val="auto"/>
                <w:szCs w:val="16"/>
              </w:rPr>
            </w:pPr>
            <w:r w:rsidRPr="00D90D86">
              <w:rPr>
                <w:color w:val="auto"/>
                <w:szCs w:val="16"/>
              </w:rPr>
              <w:t>0,0%</w:t>
            </w:r>
          </w:p>
        </w:tc>
        <w:tc>
          <w:tcPr>
            <w:tcW w:w="749" w:type="dxa"/>
            <w:shd w:val="clear" w:color="auto" w:fill="C5E0B3"/>
            <w:vAlign w:val="top"/>
            <w:hideMark/>
          </w:tcPr>
          <w:p w14:paraId="52EED855" w14:textId="77777777" w:rsidR="00F84BE0" w:rsidRPr="00D90D86" w:rsidRDefault="00F84BE0">
            <w:pPr>
              <w:pStyle w:val="Tabele"/>
              <w:jc w:val="right"/>
              <w:rPr>
                <w:color w:val="auto"/>
                <w:szCs w:val="16"/>
              </w:rPr>
            </w:pPr>
            <w:r w:rsidRPr="00D90D86">
              <w:rPr>
                <w:color w:val="auto"/>
                <w:szCs w:val="16"/>
              </w:rPr>
              <w:t>0,0%</w:t>
            </w:r>
          </w:p>
        </w:tc>
        <w:tc>
          <w:tcPr>
            <w:tcW w:w="871" w:type="dxa"/>
            <w:hideMark/>
          </w:tcPr>
          <w:p w14:paraId="2FEE1A09" w14:textId="77777777" w:rsidR="00F84BE0" w:rsidRPr="00D90D86" w:rsidRDefault="00F84BE0">
            <w:pPr>
              <w:pStyle w:val="Tabele"/>
              <w:jc w:val="right"/>
              <w:rPr>
                <w:color w:val="auto"/>
                <w:szCs w:val="16"/>
              </w:rPr>
            </w:pPr>
            <w:r w:rsidRPr="00D90D86">
              <w:rPr>
                <w:rFonts w:cs="Arial"/>
                <w:color w:val="auto"/>
                <w:szCs w:val="16"/>
              </w:rPr>
              <w:t>0,0%</w:t>
            </w:r>
          </w:p>
        </w:tc>
        <w:tc>
          <w:tcPr>
            <w:tcW w:w="811" w:type="dxa"/>
            <w:hideMark/>
          </w:tcPr>
          <w:p w14:paraId="5C6986FC" w14:textId="77777777" w:rsidR="00F84BE0" w:rsidRPr="00D90D86" w:rsidRDefault="00F84BE0">
            <w:pPr>
              <w:pStyle w:val="Tabele"/>
              <w:jc w:val="right"/>
              <w:rPr>
                <w:color w:val="auto"/>
                <w:szCs w:val="16"/>
              </w:rPr>
            </w:pPr>
            <w:r w:rsidRPr="00D90D86">
              <w:rPr>
                <w:rFonts w:cs="Arial"/>
                <w:color w:val="auto"/>
                <w:szCs w:val="16"/>
              </w:rPr>
              <w:t>0,0%</w:t>
            </w:r>
          </w:p>
        </w:tc>
        <w:tc>
          <w:tcPr>
            <w:tcW w:w="811" w:type="dxa"/>
            <w:hideMark/>
          </w:tcPr>
          <w:p w14:paraId="576C68D5" w14:textId="77777777" w:rsidR="00F84BE0" w:rsidRPr="00D90D86" w:rsidRDefault="00F84BE0">
            <w:pPr>
              <w:pStyle w:val="Tabele"/>
              <w:jc w:val="right"/>
              <w:rPr>
                <w:color w:val="auto"/>
                <w:szCs w:val="16"/>
              </w:rPr>
            </w:pPr>
            <w:r w:rsidRPr="00D90D86">
              <w:rPr>
                <w:rFonts w:cs="Arial"/>
                <w:color w:val="auto"/>
                <w:szCs w:val="16"/>
              </w:rPr>
              <w:t>0,0%</w:t>
            </w:r>
          </w:p>
        </w:tc>
        <w:tc>
          <w:tcPr>
            <w:tcW w:w="811" w:type="dxa"/>
          </w:tcPr>
          <w:p w14:paraId="74FE93CF" w14:textId="77777777" w:rsidR="00F84BE0" w:rsidRPr="00D90D86" w:rsidRDefault="00F84BE0">
            <w:pPr>
              <w:pStyle w:val="Tabele"/>
              <w:jc w:val="right"/>
              <w:rPr>
                <w:color w:val="auto"/>
                <w:szCs w:val="16"/>
              </w:rPr>
            </w:pPr>
            <w:r w:rsidRPr="00D90D86">
              <w:rPr>
                <w:rFonts w:cs="Arial"/>
                <w:color w:val="auto"/>
                <w:szCs w:val="16"/>
              </w:rPr>
              <w:t>0,0%</w:t>
            </w:r>
          </w:p>
        </w:tc>
      </w:tr>
      <w:tr w:rsidR="003A1EEA" w:rsidRPr="00F85B97" w14:paraId="636978F6" w14:textId="77777777" w:rsidTr="003A1EEA">
        <w:trPr>
          <w:trHeight w:val="232"/>
        </w:trPr>
        <w:tc>
          <w:tcPr>
            <w:tcW w:w="2282" w:type="dxa"/>
            <w:hideMark/>
          </w:tcPr>
          <w:p w14:paraId="35CDFDD2" w14:textId="77777777" w:rsidR="00F84BE0" w:rsidRPr="00D90D86" w:rsidRDefault="00F84BE0">
            <w:pPr>
              <w:pStyle w:val="Tabele"/>
              <w:rPr>
                <w:color w:val="auto"/>
                <w:szCs w:val="16"/>
              </w:rPr>
            </w:pPr>
            <w:r w:rsidRPr="00D90D86">
              <w:rPr>
                <w:color w:val="auto"/>
                <w:szCs w:val="16"/>
              </w:rPr>
              <w:t>Ropa naftowa</w:t>
            </w:r>
          </w:p>
        </w:tc>
        <w:tc>
          <w:tcPr>
            <w:tcW w:w="927" w:type="dxa"/>
            <w:shd w:val="clear" w:color="auto" w:fill="C5E0B3"/>
            <w:vAlign w:val="top"/>
            <w:hideMark/>
          </w:tcPr>
          <w:p w14:paraId="3A8F31C3" w14:textId="77777777" w:rsidR="00F84BE0" w:rsidRPr="00D90D86" w:rsidRDefault="00F84BE0">
            <w:pPr>
              <w:pStyle w:val="Tabele"/>
              <w:jc w:val="right"/>
              <w:rPr>
                <w:color w:val="auto"/>
                <w:szCs w:val="16"/>
              </w:rPr>
            </w:pPr>
            <w:r w:rsidRPr="00D90D86">
              <w:rPr>
                <w:color w:val="auto"/>
                <w:szCs w:val="16"/>
              </w:rPr>
              <w:t>98,0%</w:t>
            </w:r>
          </w:p>
        </w:tc>
        <w:tc>
          <w:tcPr>
            <w:tcW w:w="838" w:type="dxa"/>
            <w:shd w:val="clear" w:color="auto" w:fill="C5E0B3"/>
            <w:vAlign w:val="top"/>
            <w:hideMark/>
          </w:tcPr>
          <w:p w14:paraId="2274E2D4" w14:textId="77777777" w:rsidR="00F84BE0" w:rsidRPr="00D90D86" w:rsidRDefault="00F84BE0">
            <w:pPr>
              <w:pStyle w:val="Tabele"/>
              <w:jc w:val="right"/>
              <w:rPr>
                <w:color w:val="auto"/>
                <w:szCs w:val="16"/>
              </w:rPr>
            </w:pPr>
            <w:r w:rsidRPr="00D90D86">
              <w:rPr>
                <w:color w:val="auto"/>
                <w:szCs w:val="16"/>
              </w:rPr>
              <w:t>98,2%</w:t>
            </w:r>
          </w:p>
        </w:tc>
        <w:tc>
          <w:tcPr>
            <w:tcW w:w="811" w:type="dxa"/>
            <w:shd w:val="clear" w:color="auto" w:fill="C5E0B3"/>
            <w:vAlign w:val="top"/>
            <w:hideMark/>
          </w:tcPr>
          <w:p w14:paraId="792EA273" w14:textId="77777777" w:rsidR="00F84BE0" w:rsidRPr="00D90D86" w:rsidRDefault="00F84BE0">
            <w:pPr>
              <w:pStyle w:val="Tabele"/>
              <w:jc w:val="right"/>
              <w:rPr>
                <w:color w:val="auto"/>
                <w:szCs w:val="16"/>
              </w:rPr>
            </w:pPr>
            <w:r w:rsidRPr="00D90D86">
              <w:rPr>
                <w:color w:val="auto"/>
                <w:szCs w:val="16"/>
              </w:rPr>
              <w:t>101,1%</w:t>
            </w:r>
          </w:p>
        </w:tc>
        <w:tc>
          <w:tcPr>
            <w:tcW w:w="749" w:type="dxa"/>
            <w:shd w:val="clear" w:color="auto" w:fill="C5E0B3"/>
            <w:vAlign w:val="top"/>
            <w:hideMark/>
          </w:tcPr>
          <w:p w14:paraId="0D1B01E7" w14:textId="77777777" w:rsidR="00F84BE0" w:rsidRPr="00D90D86" w:rsidRDefault="00F84BE0">
            <w:pPr>
              <w:pStyle w:val="Tabele"/>
              <w:jc w:val="right"/>
              <w:rPr>
                <w:color w:val="auto"/>
                <w:szCs w:val="16"/>
              </w:rPr>
            </w:pPr>
            <w:r w:rsidRPr="00D90D86">
              <w:rPr>
                <w:color w:val="auto"/>
                <w:szCs w:val="16"/>
              </w:rPr>
              <w:t>96,5%</w:t>
            </w:r>
          </w:p>
        </w:tc>
        <w:tc>
          <w:tcPr>
            <w:tcW w:w="871" w:type="dxa"/>
            <w:hideMark/>
          </w:tcPr>
          <w:p w14:paraId="6024B297" w14:textId="77777777" w:rsidR="00F84BE0" w:rsidRPr="00D90D86" w:rsidRDefault="00F84BE0">
            <w:pPr>
              <w:pStyle w:val="Tabele"/>
              <w:jc w:val="right"/>
              <w:rPr>
                <w:color w:val="auto"/>
                <w:szCs w:val="16"/>
              </w:rPr>
            </w:pPr>
            <w:r w:rsidRPr="00D90D86">
              <w:rPr>
                <w:rFonts w:cs="Arial"/>
                <w:color w:val="auto"/>
                <w:szCs w:val="16"/>
              </w:rPr>
              <w:t>96,9%</w:t>
            </w:r>
          </w:p>
        </w:tc>
        <w:tc>
          <w:tcPr>
            <w:tcW w:w="811" w:type="dxa"/>
            <w:hideMark/>
          </w:tcPr>
          <w:p w14:paraId="7AE4231E" w14:textId="77777777" w:rsidR="00F84BE0" w:rsidRPr="00D90D86" w:rsidRDefault="00F84BE0">
            <w:pPr>
              <w:pStyle w:val="Tabele"/>
              <w:jc w:val="right"/>
              <w:rPr>
                <w:color w:val="auto"/>
                <w:szCs w:val="16"/>
              </w:rPr>
            </w:pPr>
            <w:r w:rsidRPr="00D90D86">
              <w:rPr>
                <w:rFonts w:cs="Arial"/>
                <w:color w:val="auto"/>
                <w:szCs w:val="16"/>
              </w:rPr>
              <w:t>96,7%</w:t>
            </w:r>
          </w:p>
        </w:tc>
        <w:tc>
          <w:tcPr>
            <w:tcW w:w="811" w:type="dxa"/>
            <w:hideMark/>
          </w:tcPr>
          <w:p w14:paraId="1D24350E" w14:textId="77777777" w:rsidR="00F84BE0" w:rsidRPr="00D90D86" w:rsidRDefault="00F84BE0">
            <w:pPr>
              <w:pStyle w:val="Tabele"/>
              <w:jc w:val="right"/>
              <w:rPr>
                <w:color w:val="auto"/>
                <w:szCs w:val="16"/>
              </w:rPr>
            </w:pPr>
            <w:r w:rsidRPr="00D90D86">
              <w:rPr>
                <w:rFonts w:cs="Arial"/>
                <w:color w:val="auto"/>
                <w:szCs w:val="16"/>
              </w:rPr>
              <w:t>96,5%</w:t>
            </w:r>
          </w:p>
        </w:tc>
        <w:tc>
          <w:tcPr>
            <w:tcW w:w="811" w:type="dxa"/>
          </w:tcPr>
          <w:p w14:paraId="11141701" w14:textId="77777777" w:rsidR="00F84BE0" w:rsidRPr="00D90D86" w:rsidRDefault="00F84BE0">
            <w:pPr>
              <w:pStyle w:val="Tabele"/>
              <w:jc w:val="right"/>
              <w:rPr>
                <w:color w:val="auto"/>
                <w:szCs w:val="16"/>
              </w:rPr>
            </w:pPr>
            <w:r w:rsidRPr="00D90D86">
              <w:rPr>
                <w:rFonts w:cs="Arial"/>
                <w:color w:val="auto"/>
                <w:szCs w:val="16"/>
              </w:rPr>
              <w:t>96,2%</w:t>
            </w:r>
          </w:p>
        </w:tc>
      </w:tr>
      <w:tr w:rsidR="003A1EEA" w:rsidRPr="00F85B97" w14:paraId="0277A138" w14:textId="77777777" w:rsidTr="003A1EEA">
        <w:trPr>
          <w:trHeight w:val="232"/>
        </w:trPr>
        <w:tc>
          <w:tcPr>
            <w:tcW w:w="2282" w:type="dxa"/>
            <w:hideMark/>
          </w:tcPr>
          <w:p w14:paraId="605251C1" w14:textId="77777777" w:rsidR="00F84BE0" w:rsidRPr="00D90D86" w:rsidRDefault="00F84BE0">
            <w:pPr>
              <w:pStyle w:val="Tabele"/>
              <w:rPr>
                <w:color w:val="auto"/>
                <w:szCs w:val="16"/>
              </w:rPr>
            </w:pPr>
            <w:r w:rsidRPr="00D90D86">
              <w:rPr>
                <w:color w:val="auto"/>
                <w:szCs w:val="16"/>
              </w:rPr>
              <w:t>LPG</w:t>
            </w:r>
          </w:p>
        </w:tc>
        <w:tc>
          <w:tcPr>
            <w:tcW w:w="927" w:type="dxa"/>
            <w:shd w:val="clear" w:color="auto" w:fill="C5E0B3"/>
            <w:vAlign w:val="top"/>
            <w:hideMark/>
          </w:tcPr>
          <w:p w14:paraId="51173187" w14:textId="77777777" w:rsidR="00F84BE0" w:rsidRPr="00D90D86" w:rsidRDefault="00F84BE0">
            <w:pPr>
              <w:pStyle w:val="Tabele"/>
              <w:jc w:val="right"/>
              <w:rPr>
                <w:color w:val="auto"/>
                <w:szCs w:val="16"/>
              </w:rPr>
            </w:pPr>
            <w:r w:rsidRPr="00D90D86">
              <w:rPr>
                <w:color w:val="auto"/>
                <w:szCs w:val="16"/>
              </w:rPr>
              <w:t>47,3%</w:t>
            </w:r>
          </w:p>
        </w:tc>
        <w:tc>
          <w:tcPr>
            <w:tcW w:w="838" w:type="dxa"/>
            <w:shd w:val="clear" w:color="auto" w:fill="C5E0B3"/>
            <w:vAlign w:val="top"/>
            <w:hideMark/>
          </w:tcPr>
          <w:p w14:paraId="01D3EEC6" w14:textId="77777777" w:rsidR="00F84BE0" w:rsidRPr="00D90D86" w:rsidRDefault="00F84BE0">
            <w:pPr>
              <w:pStyle w:val="Tabele"/>
              <w:jc w:val="right"/>
              <w:rPr>
                <w:color w:val="auto"/>
                <w:szCs w:val="16"/>
              </w:rPr>
            </w:pPr>
            <w:r w:rsidRPr="00D90D86">
              <w:rPr>
                <w:color w:val="auto"/>
                <w:szCs w:val="16"/>
              </w:rPr>
              <w:t>64,1%</w:t>
            </w:r>
          </w:p>
        </w:tc>
        <w:tc>
          <w:tcPr>
            <w:tcW w:w="811" w:type="dxa"/>
            <w:shd w:val="clear" w:color="auto" w:fill="C5E0B3"/>
            <w:vAlign w:val="top"/>
            <w:hideMark/>
          </w:tcPr>
          <w:p w14:paraId="3A7BD688" w14:textId="77777777" w:rsidR="00F84BE0" w:rsidRPr="00D90D86" w:rsidRDefault="00F84BE0">
            <w:pPr>
              <w:pStyle w:val="Tabele"/>
              <w:jc w:val="right"/>
              <w:rPr>
                <w:color w:val="auto"/>
                <w:szCs w:val="16"/>
              </w:rPr>
            </w:pPr>
            <w:r w:rsidRPr="00D90D86">
              <w:rPr>
                <w:color w:val="auto"/>
                <w:szCs w:val="16"/>
              </w:rPr>
              <w:t>68,9%</w:t>
            </w:r>
          </w:p>
        </w:tc>
        <w:tc>
          <w:tcPr>
            <w:tcW w:w="749" w:type="dxa"/>
            <w:shd w:val="clear" w:color="auto" w:fill="C5E0B3"/>
            <w:vAlign w:val="top"/>
            <w:hideMark/>
          </w:tcPr>
          <w:p w14:paraId="3BE1E684" w14:textId="77777777" w:rsidR="00F84BE0" w:rsidRPr="00D90D86" w:rsidRDefault="00F84BE0">
            <w:pPr>
              <w:pStyle w:val="Tabele"/>
              <w:jc w:val="right"/>
              <w:rPr>
                <w:color w:val="auto"/>
                <w:szCs w:val="16"/>
              </w:rPr>
            </w:pPr>
            <w:r w:rsidRPr="00D90D86">
              <w:rPr>
                <w:color w:val="auto"/>
                <w:szCs w:val="16"/>
              </w:rPr>
              <w:t>55,5%</w:t>
            </w:r>
          </w:p>
        </w:tc>
        <w:tc>
          <w:tcPr>
            <w:tcW w:w="871" w:type="dxa"/>
            <w:hideMark/>
          </w:tcPr>
          <w:p w14:paraId="64552EE4" w14:textId="77777777" w:rsidR="00F84BE0" w:rsidRPr="00D90D86" w:rsidRDefault="00F84BE0">
            <w:pPr>
              <w:pStyle w:val="Tabele"/>
              <w:jc w:val="right"/>
              <w:rPr>
                <w:color w:val="auto"/>
                <w:szCs w:val="16"/>
              </w:rPr>
            </w:pPr>
            <w:r w:rsidRPr="00D90D86">
              <w:rPr>
                <w:rFonts w:cs="Arial"/>
                <w:color w:val="auto"/>
                <w:szCs w:val="16"/>
              </w:rPr>
              <w:t>8,7%</w:t>
            </w:r>
          </w:p>
        </w:tc>
        <w:tc>
          <w:tcPr>
            <w:tcW w:w="811" w:type="dxa"/>
            <w:hideMark/>
          </w:tcPr>
          <w:p w14:paraId="32F4D1F9" w14:textId="77777777" w:rsidR="00F84BE0" w:rsidRPr="00D90D86" w:rsidRDefault="00F84BE0">
            <w:pPr>
              <w:pStyle w:val="Tabele"/>
              <w:jc w:val="right"/>
              <w:rPr>
                <w:color w:val="auto"/>
                <w:szCs w:val="16"/>
              </w:rPr>
            </w:pPr>
            <w:r w:rsidRPr="00D90D86">
              <w:rPr>
                <w:rFonts w:cs="Arial"/>
                <w:color w:val="auto"/>
                <w:szCs w:val="16"/>
              </w:rPr>
              <w:t>8,7%</w:t>
            </w:r>
          </w:p>
        </w:tc>
        <w:tc>
          <w:tcPr>
            <w:tcW w:w="811" w:type="dxa"/>
            <w:hideMark/>
          </w:tcPr>
          <w:p w14:paraId="7527FB92" w14:textId="77777777" w:rsidR="00F84BE0" w:rsidRPr="00D90D86" w:rsidRDefault="00F84BE0">
            <w:pPr>
              <w:pStyle w:val="Tabele"/>
              <w:jc w:val="right"/>
              <w:rPr>
                <w:color w:val="auto"/>
                <w:szCs w:val="16"/>
              </w:rPr>
            </w:pPr>
            <w:r w:rsidRPr="00D90D86">
              <w:rPr>
                <w:rFonts w:cs="Arial"/>
                <w:color w:val="auto"/>
                <w:szCs w:val="16"/>
              </w:rPr>
              <w:t>8,6%</w:t>
            </w:r>
          </w:p>
        </w:tc>
        <w:tc>
          <w:tcPr>
            <w:tcW w:w="811" w:type="dxa"/>
          </w:tcPr>
          <w:p w14:paraId="19EB0022" w14:textId="77777777" w:rsidR="00F84BE0" w:rsidRPr="00D90D86" w:rsidRDefault="00F84BE0">
            <w:pPr>
              <w:pStyle w:val="Tabele"/>
              <w:jc w:val="right"/>
              <w:rPr>
                <w:color w:val="auto"/>
                <w:szCs w:val="16"/>
              </w:rPr>
            </w:pPr>
            <w:r w:rsidRPr="00D90D86">
              <w:rPr>
                <w:rFonts w:cs="Arial"/>
                <w:color w:val="auto"/>
                <w:szCs w:val="16"/>
              </w:rPr>
              <w:t>8,6%</w:t>
            </w:r>
          </w:p>
        </w:tc>
      </w:tr>
      <w:tr w:rsidR="003A1EEA" w:rsidRPr="00F85B97" w14:paraId="2F44A788" w14:textId="77777777" w:rsidTr="003A1EEA">
        <w:trPr>
          <w:trHeight w:val="232"/>
        </w:trPr>
        <w:tc>
          <w:tcPr>
            <w:tcW w:w="2282" w:type="dxa"/>
            <w:hideMark/>
          </w:tcPr>
          <w:p w14:paraId="4270A30E" w14:textId="77777777" w:rsidR="00F84BE0" w:rsidRPr="00D90D86" w:rsidRDefault="00F84BE0">
            <w:pPr>
              <w:pStyle w:val="Tabele"/>
              <w:rPr>
                <w:color w:val="auto"/>
                <w:szCs w:val="16"/>
              </w:rPr>
            </w:pPr>
            <w:r w:rsidRPr="00D90D86">
              <w:rPr>
                <w:color w:val="auto"/>
                <w:szCs w:val="16"/>
              </w:rPr>
              <w:t>Benzyna</w:t>
            </w:r>
          </w:p>
        </w:tc>
        <w:tc>
          <w:tcPr>
            <w:tcW w:w="927" w:type="dxa"/>
            <w:shd w:val="clear" w:color="auto" w:fill="C5E0B3"/>
            <w:vAlign w:val="top"/>
            <w:hideMark/>
          </w:tcPr>
          <w:p w14:paraId="762C3563" w14:textId="77777777" w:rsidR="00F84BE0" w:rsidRPr="00D90D86" w:rsidRDefault="00F84BE0">
            <w:pPr>
              <w:pStyle w:val="Tabele"/>
              <w:jc w:val="right"/>
              <w:rPr>
                <w:color w:val="auto"/>
                <w:szCs w:val="16"/>
              </w:rPr>
            </w:pPr>
            <w:r w:rsidRPr="00D90D86">
              <w:rPr>
                <w:color w:val="auto"/>
                <w:szCs w:val="16"/>
              </w:rPr>
              <w:t>0,0%</w:t>
            </w:r>
          </w:p>
        </w:tc>
        <w:tc>
          <w:tcPr>
            <w:tcW w:w="838" w:type="dxa"/>
            <w:shd w:val="clear" w:color="auto" w:fill="C5E0B3"/>
            <w:vAlign w:val="top"/>
            <w:hideMark/>
          </w:tcPr>
          <w:p w14:paraId="19091DFD" w14:textId="77777777" w:rsidR="00F84BE0" w:rsidRPr="00D90D86" w:rsidRDefault="00F84BE0">
            <w:pPr>
              <w:pStyle w:val="Tabele"/>
              <w:jc w:val="right"/>
              <w:rPr>
                <w:color w:val="auto"/>
                <w:szCs w:val="16"/>
              </w:rPr>
            </w:pPr>
            <w:r w:rsidRPr="00D90D86">
              <w:rPr>
                <w:color w:val="auto"/>
                <w:szCs w:val="16"/>
              </w:rPr>
              <w:t>0,0%</w:t>
            </w:r>
          </w:p>
        </w:tc>
        <w:tc>
          <w:tcPr>
            <w:tcW w:w="811" w:type="dxa"/>
            <w:shd w:val="clear" w:color="auto" w:fill="C5E0B3"/>
            <w:vAlign w:val="top"/>
            <w:hideMark/>
          </w:tcPr>
          <w:p w14:paraId="0DD032AD" w14:textId="77777777" w:rsidR="00F84BE0" w:rsidRPr="00D90D86" w:rsidRDefault="00F84BE0">
            <w:pPr>
              <w:pStyle w:val="Tabele"/>
              <w:jc w:val="right"/>
              <w:rPr>
                <w:color w:val="auto"/>
                <w:szCs w:val="16"/>
              </w:rPr>
            </w:pPr>
            <w:r w:rsidRPr="00D90D86">
              <w:rPr>
                <w:color w:val="auto"/>
                <w:szCs w:val="16"/>
              </w:rPr>
              <w:t>0,0%</w:t>
            </w:r>
          </w:p>
        </w:tc>
        <w:tc>
          <w:tcPr>
            <w:tcW w:w="749" w:type="dxa"/>
            <w:shd w:val="clear" w:color="auto" w:fill="C5E0B3"/>
            <w:vAlign w:val="top"/>
            <w:hideMark/>
          </w:tcPr>
          <w:p w14:paraId="0734E06E" w14:textId="77777777" w:rsidR="00F84BE0" w:rsidRPr="00D90D86" w:rsidRDefault="00F84BE0">
            <w:pPr>
              <w:pStyle w:val="Tabele"/>
              <w:jc w:val="right"/>
              <w:rPr>
                <w:color w:val="auto"/>
                <w:szCs w:val="16"/>
              </w:rPr>
            </w:pPr>
            <w:r w:rsidRPr="00D90D86">
              <w:rPr>
                <w:color w:val="auto"/>
                <w:szCs w:val="16"/>
              </w:rPr>
              <w:t>0,0%</w:t>
            </w:r>
          </w:p>
        </w:tc>
        <w:tc>
          <w:tcPr>
            <w:tcW w:w="871" w:type="dxa"/>
            <w:hideMark/>
          </w:tcPr>
          <w:p w14:paraId="12929DAD" w14:textId="77777777" w:rsidR="00F84BE0" w:rsidRPr="00D90D86" w:rsidRDefault="00F84BE0">
            <w:pPr>
              <w:pStyle w:val="Tabele"/>
              <w:jc w:val="right"/>
              <w:rPr>
                <w:color w:val="auto"/>
                <w:szCs w:val="16"/>
              </w:rPr>
            </w:pPr>
            <w:r w:rsidRPr="00D90D86">
              <w:rPr>
                <w:rFonts w:cs="Arial"/>
                <w:color w:val="auto"/>
                <w:szCs w:val="16"/>
              </w:rPr>
              <w:t>0,0%</w:t>
            </w:r>
          </w:p>
        </w:tc>
        <w:tc>
          <w:tcPr>
            <w:tcW w:w="811" w:type="dxa"/>
            <w:hideMark/>
          </w:tcPr>
          <w:p w14:paraId="1DB7B4CA" w14:textId="77777777" w:rsidR="00F84BE0" w:rsidRPr="00D90D86" w:rsidRDefault="00F84BE0">
            <w:pPr>
              <w:pStyle w:val="Tabele"/>
              <w:jc w:val="right"/>
              <w:rPr>
                <w:color w:val="auto"/>
                <w:szCs w:val="16"/>
              </w:rPr>
            </w:pPr>
            <w:r w:rsidRPr="00D90D86">
              <w:rPr>
                <w:rFonts w:cs="Arial"/>
                <w:color w:val="auto"/>
                <w:szCs w:val="16"/>
              </w:rPr>
              <w:t>0,0%</w:t>
            </w:r>
          </w:p>
        </w:tc>
        <w:tc>
          <w:tcPr>
            <w:tcW w:w="811" w:type="dxa"/>
            <w:hideMark/>
          </w:tcPr>
          <w:p w14:paraId="2B9F730A" w14:textId="77777777" w:rsidR="00F84BE0" w:rsidRPr="00D90D86" w:rsidRDefault="00F84BE0">
            <w:pPr>
              <w:pStyle w:val="Tabele"/>
              <w:jc w:val="right"/>
              <w:rPr>
                <w:color w:val="auto"/>
                <w:szCs w:val="16"/>
              </w:rPr>
            </w:pPr>
            <w:r w:rsidRPr="00D90D86">
              <w:rPr>
                <w:rFonts w:cs="Arial"/>
                <w:color w:val="auto"/>
                <w:szCs w:val="16"/>
              </w:rPr>
              <w:t>0,0%</w:t>
            </w:r>
          </w:p>
        </w:tc>
        <w:tc>
          <w:tcPr>
            <w:tcW w:w="811" w:type="dxa"/>
          </w:tcPr>
          <w:p w14:paraId="1F0D0F51" w14:textId="77777777" w:rsidR="00F84BE0" w:rsidRPr="00D90D86" w:rsidRDefault="00F84BE0">
            <w:pPr>
              <w:pStyle w:val="Tabele"/>
              <w:jc w:val="right"/>
              <w:rPr>
                <w:color w:val="auto"/>
                <w:szCs w:val="16"/>
              </w:rPr>
            </w:pPr>
            <w:r w:rsidRPr="00D90D86">
              <w:rPr>
                <w:rFonts w:cs="Arial"/>
                <w:color w:val="auto"/>
                <w:szCs w:val="16"/>
              </w:rPr>
              <w:t>0,0%</w:t>
            </w:r>
          </w:p>
        </w:tc>
      </w:tr>
      <w:tr w:rsidR="003A1EEA" w:rsidRPr="00F85B97" w14:paraId="0182EAEF" w14:textId="77777777" w:rsidTr="003A1EEA">
        <w:trPr>
          <w:trHeight w:val="232"/>
        </w:trPr>
        <w:tc>
          <w:tcPr>
            <w:tcW w:w="2282" w:type="dxa"/>
            <w:hideMark/>
          </w:tcPr>
          <w:p w14:paraId="77DBD8FB" w14:textId="77777777" w:rsidR="00F84BE0" w:rsidRPr="00D90D86" w:rsidRDefault="00F84BE0">
            <w:pPr>
              <w:pStyle w:val="Tabele"/>
              <w:rPr>
                <w:color w:val="auto"/>
                <w:szCs w:val="16"/>
              </w:rPr>
            </w:pPr>
            <w:r w:rsidRPr="00D90D86">
              <w:rPr>
                <w:color w:val="auto"/>
                <w:szCs w:val="16"/>
              </w:rPr>
              <w:t>Olej napędowy</w:t>
            </w:r>
          </w:p>
        </w:tc>
        <w:tc>
          <w:tcPr>
            <w:tcW w:w="927" w:type="dxa"/>
            <w:shd w:val="clear" w:color="auto" w:fill="C5E0B3"/>
            <w:vAlign w:val="top"/>
            <w:hideMark/>
          </w:tcPr>
          <w:p w14:paraId="48200773" w14:textId="77777777" w:rsidR="00F84BE0" w:rsidRPr="00D90D86" w:rsidRDefault="00F84BE0">
            <w:pPr>
              <w:pStyle w:val="Tabele"/>
              <w:jc w:val="right"/>
              <w:rPr>
                <w:color w:val="auto"/>
                <w:szCs w:val="16"/>
              </w:rPr>
            </w:pPr>
            <w:r w:rsidRPr="00D90D86">
              <w:rPr>
                <w:color w:val="auto"/>
                <w:szCs w:val="16"/>
              </w:rPr>
              <w:t>10,7%</w:t>
            </w:r>
          </w:p>
        </w:tc>
        <w:tc>
          <w:tcPr>
            <w:tcW w:w="838" w:type="dxa"/>
            <w:shd w:val="clear" w:color="auto" w:fill="C5E0B3"/>
            <w:vAlign w:val="top"/>
            <w:hideMark/>
          </w:tcPr>
          <w:p w14:paraId="0FCAA0C5" w14:textId="77777777" w:rsidR="00F84BE0" w:rsidRPr="00D90D86" w:rsidRDefault="00F84BE0">
            <w:pPr>
              <w:pStyle w:val="Tabele"/>
              <w:jc w:val="right"/>
              <w:rPr>
                <w:color w:val="auto"/>
                <w:szCs w:val="16"/>
              </w:rPr>
            </w:pPr>
            <w:r w:rsidRPr="00D90D86">
              <w:rPr>
                <w:color w:val="auto"/>
                <w:szCs w:val="16"/>
              </w:rPr>
              <w:t>0,9%</w:t>
            </w:r>
          </w:p>
        </w:tc>
        <w:tc>
          <w:tcPr>
            <w:tcW w:w="811" w:type="dxa"/>
            <w:shd w:val="clear" w:color="auto" w:fill="C5E0B3"/>
            <w:vAlign w:val="top"/>
            <w:hideMark/>
          </w:tcPr>
          <w:p w14:paraId="6B865ECF" w14:textId="77777777" w:rsidR="00F84BE0" w:rsidRPr="00D90D86" w:rsidRDefault="00F84BE0">
            <w:pPr>
              <w:pStyle w:val="Tabele"/>
              <w:jc w:val="right"/>
              <w:rPr>
                <w:color w:val="auto"/>
                <w:szCs w:val="16"/>
              </w:rPr>
            </w:pPr>
            <w:r w:rsidRPr="00D90D86">
              <w:rPr>
                <w:color w:val="auto"/>
                <w:szCs w:val="16"/>
              </w:rPr>
              <w:t>4,5%</w:t>
            </w:r>
          </w:p>
        </w:tc>
        <w:tc>
          <w:tcPr>
            <w:tcW w:w="749" w:type="dxa"/>
            <w:shd w:val="clear" w:color="auto" w:fill="C5E0B3"/>
            <w:vAlign w:val="top"/>
            <w:hideMark/>
          </w:tcPr>
          <w:p w14:paraId="1CF022B6" w14:textId="77777777" w:rsidR="00F84BE0" w:rsidRPr="00D90D86" w:rsidRDefault="00F84BE0">
            <w:pPr>
              <w:pStyle w:val="Tabele"/>
              <w:jc w:val="right"/>
              <w:rPr>
                <w:color w:val="auto"/>
                <w:szCs w:val="16"/>
              </w:rPr>
            </w:pPr>
            <w:r w:rsidRPr="00D90D86">
              <w:rPr>
                <w:color w:val="auto"/>
                <w:szCs w:val="16"/>
              </w:rPr>
              <w:t>17,3%</w:t>
            </w:r>
          </w:p>
        </w:tc>
        <w:tc>
          <w:tcPr>
            <w:tcW w:w="871" w:type="dxa"/>
            <w:hideMark/>
          </w:tcPr>
          <w:p w14:paraId="43706F2B" w14:textId="77777777" w:rsidR="00F84BE0" w:rsidRPr="00D90D86" w:rsidRDefault="00F84BE0">
            <w:pPr>
              <w:pStyle w:val="Tabele"/>
              <w:jc w:val="right"/>
              <w:rPr>
                <w:color w:val="auto"/>
                <w:szCs w:val="16"/>
              </w:rPr>
            </w:pPr>
            <w:r w:rsidRPr="00D90D86">
              <w:rPr>
                <w:rFonts w:cs="Arial"/>
                <w:color w:val="auto"/>
                <w:szCs w:val="16"/>
              </w:rPr>
              <w:t>0,0%</w:t>
            </w:r>
          </w:p>
        </w:tc>
        <w:tc>
          <w:tcPr>
            <w:tcW w:w="811" w:type="dxa"/>
            <w:hideMark/>
          </w:tcPr>
          <w:p w14:paraId="4B65904C" w14:textId="77777777" w:rsidR="00F84BE0" w:rsidRPr="00D90D86" w:rsidRDefault="00F84BE0">
            <w:pPr>
              <w:pStyle w:val="Tabele"/>
              <w:jc w:val="right"/>
              <w:rPr>
                <w:color w:val="auto"/>
                <w:szCs w:val="16"/>
              </w:rPr>
            </w:pPr>
            <w:r w:rsidRPr="00D90D86">
              <w:rPr>
                <w:rFonts w:cs="Arial"/>
                <w:color w:val="auto"/>
                <w:szCs w:val="16"/>
              </w:rPr>
              <w:t>0,0%</w:t>
            </w:r>
          </w:p>
        </w:tc>
        <w:tc>
          <w:tcPr>
            <w:tcW w:w="811" w:type="dxa"/>
            <w:hideMark/>
          </w:tcPr>
          <w:p w14:paraId="125D9EFC" w14:textId="77777777" w:rsidR="00F84BE0" w:rsidRPr="00D90D86" w:rsidRDefault="00F84BE0">
            <w:pPr>
              <w:pStyle w:val="Tabele"/>
              <w:jc w:val="right"/>
              <w:rPr>
                <w:color w:val="auto"/>
                <w:szCs w:val="16"/>
              </w:rPr>
            </w:pPr>
            <w:r w:rsidRPr="00D90D86">
              <w:rPr>
                <w:rFonts w:cs="Arial"/>
                <w:color w:val="auto"/>
                <w:szCs w:val="16"/>
              </w:rPr>
              <w:t>0,0%</w:t>
            </w:r>
          </w:p>
        </w:tc>
        <w:tc>
          <w:tcPr>
            <w:tcW w:w="811" w:type="dxa"/>
          </w:tcPr>
          <w:p w14:paraId="2CA8E830" w14:textId="77777777" w:rsidR="00F84BE0" w:rsidRPr="00D90D86" w:rsidRDefault="00F84BE0">
            <w:pPr>
              <w:pStyle w:val="Tabele"/>
              <w:jc w:val="right"/>
              <w:rPr>
                <w:color w:val="auto"/>
                <w:szCs w:val="16"/>
              </w:rPr>
            </w:pPr>
            <w:r w:rsidRPr="00D90D86">
              <w:rPr>
                <w:rFonts w:cs="Arial"/>
                <w:color w:val="auto"/>
                <w:szCs w:val="16"/>
              </w:rPr>
              <w:t>0,0%</w:t>
            </w:r>
          </w:p>
        </w:tc>
      </w:tr>
      <w:tr w:rsidR="003A1EEA" w:rsidRPr="00F85B97" w14:paraId="6459DB1D" w14:textId="77777777" w:rsidTr="003A1EEA">
        <w:trPr>
          <w:trHeight w:val="232"/>
        </w:trPr>
        <w:tc>
          <w:tcPr>
            <w:tcW w:w="2282" w:type="dxa"/>
            <w:hideMark/>
          </w:tcPr>
          <w:p w14:paraId="167B8494" w14:textId="77777777" w:rsidR="00F84BE0" w:rsidRPr="00D90D86" w:rsidRDefault="00F84BE0">
            <w:pPr>
              <w:pStyle w:val="Tabele"/>
              <w:rPr>
                <w:color w:val="auto"/>
                <w:szCs w:val="16"/>
              </w:rPr>
            </w:pPr>
            <w:r w:rsidRPr="00D90D86">
              <w:rPr>
                <w:color w:val="auto"/>
                <w:szCs w:val="16"/>
              </w:rPr>
              <w:t>Gaz ziemny</w:t>
            </w:r>
          </w:p>
        </w:tc>
        <w:tc>
          <w:tcPr>
            <w:tcW w:w="927" w:type="dxa"/>
            <w:shd w:val="clear" w:color="auto" w:fill="C5E0B3"/>
            <w:vAlign w:val="top"/>
            <w:hideMark/>
          </w:tcPr>
          <w:p w14:paraId="1B99EC9F" w14:textId="77777777" w:rsidR="00F84BE0" w:rsidRPr="00D90D86" w:rsidRDefault="00F84BE0">
            <w:pPr>
              <w:pStyle w:val="Tabele"/>
              <w:jc w:val="right"/>
              <w:rPr>
                <w:color w:val="auto"/>
                <w:szCs w:val="16"/>
              </w:rPr>
            </w:pPr>
            <w:r w:rsidRPr="00D90D86">
              <w:rPr>
                <w:color w:val="auto"/>
                <w:szCs w:val="16"/>
              </w:rPr>
              <w:t>67,7%</w:t>
            </w:r>
          </w:p>
        </w:tc>
        <w:tc>
          <w:tcPr>
            <w:tcW w:w="838" w:type="dxa"/>
            <w:shd w:val="clear" w:color="auto" w:fill="C5E0B3"/>
            <w:vAlign w:val="top"/>
            <w:hideMark/>
          </w:tcPr>
          <w:p w14:paraId="7B176058" w14:textId="77777777" w:rsidR="00F84BE0" w:rsidRPr="00D90D86" w:rsidRDefault="00F84BE0">
            <w:pPr>
              <w:pStyle w:val="Tabele"/>
              <w:jc w:val="right"/>
              <w:rPr>
                <w:color w:val="auto"/>
                <w:szCs w:val="16"/>
              </w:rPr>
            </w:pPr>
            <w:r w:rsidRPr="00D90D86">
              <w:rPr>
                <w:color w:val="auto"/>
                <w:szCs w:val="16"/>
              </w:rPr>
              <w:t>61,8%</w:t>
            </w:r>
          </w:p>
        </w:tc>
        <w:tc>
          <w:tcPr>
            <w:tcW w:w="811" w:type="dxa"/>
            <w:shd w:val="clear" w:color="auto" w:fill="C5E0B3"/>
            <w:vAlign w:val="top"/>
            <w:hideMark/>
          </w:tcPr>
          <w:p w14:paraId="4AD80A97" w14:textId="77777777" w:rsidR="00F84BE0" w:rsidRPr="00D90D86" w:rsidRDefault="00F84BE0">
            <w:pPr>
              <w:pStyle w:val="Tabele"/>
              <w:jc w:val="right"/>
              <w:rPr>
                <w:color w:val="auto"/>
                <w:szCs w:val="16"/>
              </w:rPr>
            </w:pPr>
            <w:r w:rsidRPr="00D90D86">
              <w:rPr>
                <w:color w:val="auto"/>
                <w:szCs w:val="16"/>
              </w:rPr>
              <w:t>52,6%</w:t>
            </w:r>
          </w:p>
        </w:tc>
        <w:tc>
          <w:tcPr>
            <w:tcW w:w="749" w:type="dxa"/>
            <w:shd w:val="clear" w:color="auto" w:fill="C5E0B3"/>
            <w:vAlign w:val="top"/>
            <w:hideMark/>
          </w:tcPr>
          <w:p w14:paraId="5D1B1367" w14:textId="77777777" w:rsidR="00F84BE0" w:rsidRPr="00D90D86" w:rsidRDefault="00F84BE0">
            <w:pPr>
              <w:pStyle w:val="Tabele"/>
              <w:jc w:val="right"/>
              <w:rPr>
                <w:color w:val="auto"/>
                <w:szCs w:val="16"/>
              </w:rPr>
            </w:pPr>
            <w:r w:rsidRPr="00D90D86">
              <w:rPr>
                <w:color w:val="auto"/>
                <w:szCs w:val="16"/>
              </w:rPr>
              <w:t>67,7%</w:t>
            </w:r>
          </w:p>
        </w:tc>
        <w:tc>
          <w:tcPr>
            <w:tcW w:w="871" w:type="dxa"/>
            <w:hideMark/>
          </w:tcPr>
          <w:p w14:paraId="72C43A5F" w14:textId="77777777" w:rsidR="00F84BE0" w:rsidRPr="00D90D86" w:rsidRDefault="00F84BE0">
            <w:pPr>
              <w:pStyle w:val="Tabele"/>
              <w:jc w:val="right"/>
              <w:rPr>
                <w:color w:val="auto"/>
                <w:szCs w:val="16"/>
              </w:rPr>
            </w:pPr>
            <w:r w:rsidRPr="00D90D86">
              <w:rPr>
                <w:rFonts w:cs="Arial"/>
                <w:color w:val="auto"/>
                <w:szCs w:val="16"/>
              </w:rPr>
              <w:t>66,0%</w:t>
            </w:r>
          </w:p>
        </w:tc>
        <w:tc>
          <w:tcPr>
            <w:tcW w:w="811" w:type="dxa"/>
            <w:hideMark/>
          </w:tcPr>
          <w:p w14:paraId="6D003430" w14:textId="77777777" w:rsidR="00F84BE0" w:rsidRPr="00D90D86" w:rsidRDefault="00F84BE0">
            <w:pPr>
              <w:pStyle w:val="Tabele"/>
              <w:jc w:val="right"/>
              <w:rPr>
                <w:color w:val="auto"/>
                <w:szCs w:val="16"/>
              </w:rPr>
            </w:pPr>
            <w:r w:rsidRPr="00D90D86">
              <w:rPr>
                <w:rFonts w:cs="Arial"/>
                <w:color w:val="auto"/>
                <w:szCs w:val="16"/>
              </w:rPr>
              <w:t>67,7%</w:t>
            </w:r>
          </w:p>
        </w:tc>
        <w:tc>
          <w:tcPr>
            <w:tcW w:w="811" w:type="dxa"/>
            <w:hideMark/>
          </w:tcPr>
          <w:p w14:paraId="3BDF0202" w14:textId="77777777" w:rsidR="00F84BE0" w:rsidRPr="00D90D86" w:rsidRDefault="00F84BE0">
            <w:pPr>
              <w:pStyle w:val="Tabele"/>
              <w:jc w:val="right"/>
              <w:rPr>
                <w:color w:val="auto"/>
                <w:szCs w:val="16"/>
              </w:rPr>
            </w:pPr>
            <w:r w:rsidRPr="00D90D86">
              <w:rPr>
                <w:rFonts w:cs="Arial"/>
                <w:color w:val="auto"/>
                <w:szCs w:val="16"/>
              </w:rPr>
              <w:t>66,3%</w:t>
            </w:r>
          </w:p>
        </w:tc>
        <w:tc>
          <w:tcPr>
            <w:tcW w:w="811" w:type="dxa"/>
          </w:tcPr>
          <w:p w14:paraId="755CE835" w14:textId="77777777" w:rsidR="00F84BE0" w:rsidRPr="00D90D86" w:rsidRDefault="00F84BE0">
            <w:pPr>
              <w:pStyle w:val="Tabele"/>
              <w:jc w:val="right"/>
              <w:rPr>
                <w:color w:val="auto"/>
                <w:szCs w:val="16"/>
              </w:rPr>
            </w:pPr>
            <w:r w:rsidRPr="00D90D86">
              <w:rPr>
                <w:rFonts w:cs="Arial"/>
                <w:color w:val="auto"/>
                <w:szCs w:val="16"/>
              </w:rPr>
              <w:t>64,3%</w:t>
            </w:r>
          </w:p>
        </w:tc>
      </w:tr>
      <w:tr w:rsidR="003A1EEA" w:rsidRPr="00F85B97" w14:paraId="1F44A5E7" w14:textId="77777777" w:rsidTr="003A1EEA">
        <w:trPr>
          <w:trHeight w:val="232"/>
        </w:trPr>
        <w:tc>
          <w:tcPr>
            <w:tcW w:w="2282" w:type="dxa"/>
          </w:tcPr>
          <w:p w14:paraId="6637CBB6" w14:textId="77777777" w:rsidR="00F84BE0" w:rsidRPr="00D90D86" w:rsidRDefault="00F84BE0">
            <w:pPr>
              <w:pStyle w:val="Tabele"/>
              <w:rPr>
                <w:color w:val="auto"/>
                <w:szCs w:val="16"/>
              </w:rPr>
            </w:pPr>
            <w:r w:rsidRPr="00D90D86">
              <w:rPr>
                <w:color w:val="auto"/>
                <w:szCs w:val="16"/>
              </w:rPr>
              <w:t>Paliwo jądrowe</w:t>
            </w:r>
          </w:p>
        </w:tc>
        <w:tc>
          <w:tcPr>
            <w:tcW w:w="927" w:type="dxa"/>
            <w:shd w:val="clear" w:color="auto" w:fill="C5E0B3"/>
            <w:vAlign w:val="top"/>
          </w:tcPr>
          <w:p w14:paraId="058EFFB4" w14:textId="77777777" w:rsidR="00F84BE0" w:rsidRPr="00D90D86" w:rsidRDefault="00F84BE0">
            <w:pPr>
              <w:pStyle w:val="Tabele"/>
              <w:jc w:val="right"/>
              <w:rPr>
                <w:color w:val="auto"/>
                <w:szCs w:val="16"/>
              </w:rPr>
            </w:pPr>
            <w:r w:rsidRPr="00D90D86">
              <w:rPr>
                <w:color w:val="auto"/>
                <w:szCs w:val="16"/>
              </w:rPr>
              <w:t>0,0%</w:t>
            </w:r>
          </w:p>
        </w:tc>
        <w:tc>
          <w:tcPr>
            <w:tcW w:w="838" w:type="dxa"/>
            <w:shd w:val="clear" w:color="auto" w:fill="C5E0B3"/>
            <w:vAlign w:val="top"/>
          </w:tcPr>
          <w:p w14:paraId="59F45629" w14:textId="77777777" w:rsidR="00F84BE0" w:rsidRPr="00D90D86" w:rsidRDefault="00F84BE0">
            <w:pPr>
              <w:pStyle w:val="Tabele"/>
              <w:jc w:val="right"/>
              <w:rPr>
                <w:color w:val="auto"/>
                <w:szCs w:val="16"/>
              </w:rPr>
            </w:pPr>
            <w:r w:rsidRPr="00D90D86">
              <w:rPr>
                <w:color w:val="auto"/>
                <w:szCs w:val="16"/>
              </w:rPr>
              <w:t>0,0%</w:t>
            </w:r>
          </w:p>
        </w:tc>
        <w:tc>
          <w:tcPr>
            <w:tcW w:w="811" w:type="dxa"/>
            <w:shd w:val="clear" w:color="auto" w:fill="C5E0B3"/>
            <w:vAlign w:val="top"/>
          </w:tcPr>
          <w:p w14:paraId="0D9A3E76" w14:textId="77777777" w:rsidR="00F84BE0" w:rsidRPr="00D90D86" w:rsidRDefault="00F84BE0">
            <w:pPr>
              <w:pStyle w:val="Tabele"/>
              <w:jc w:val="right"/>
              <w:rPr>
                <w:color w:val="auto"/>
                <w:szCs w:val="16"/>
              </w:rPr>
            </w:pPr>
            <w:r w:rsidRPr="00D90D86">
              <w:rPr>
                <w:color w:val="auto"/>
                <w:szCs w:val="16"/>
              </w:rPr>
              <w:t>0,0%</w:t>
            </w:r>
          </w:p>
        </w:tc>
        <w:tc>
          <w:tcPr>
            <w:tcW w:w="749" w:type="dxa"/>
            <w:shd w:val="clear" w:color="auto" w:fill="C5E0B3"/>
            <w:vAlign w:val="top"/>
          </w:tcPr>
          <w:p w14:paraId="715AE6FE" w14:textId="77777777" w:rsidR="00F84BE0" w:rsidRPr="00D90D86" w:rsidRDefault="00F84BE0">
            <w:pPr>
              <w:pStyle w:val="Tabele"/>
              <w:jc w:val="right"/>
              <w:rPr>
                <w:color w:val="auto"/>
                <w:szCs w:val="16"/>
              </w:rPr>
            </w:pPr>
            <w:r w:rsidRPr="00D90D86">
              <w:rPr>
                <w:color w:val="auto"/>
                <w:szCs w:val="16"/>
              </w:rPr>
              <w:t>0,0%</w:t>
            </w:r>
          </w:p>
        </w:tc>
        <w:tc>
          <w:tcPr>
            <w:tcW w:w="871" w:type="dxa"/>
          </w:tcPr>
          <w:p w14:paraId="475C8BF8" w14:textId="77777777" w:rsidR="00F84BE0" w:rsidRPr="00D90D86" w:rsidRDefault="00F84BE0">
            <w:pPr>
              <w:pStyle w:val="Tabele"/>
              <w:jc w:val="right"/>
              <w:rPr>
                <w:color w:val="auto"/>
                <w:szCs w:val="16"/>
              </w:rPr>
            </w:pPr>
            <w:r w:rsidRPr="00D90D86">
              <w:rPr>
                <w:rFonts w:cs="Arial"/>
                <w:color w:val="auto"/>
                <w:szCs w:val="16"/>
              </w:rPr>
              <w:t>0,0%</w:t>
            </w:r>
          </w:p>
        </w:tc>
        <w:tc>
          <w:tcPr>
            <w:tcW w:w="811" w:type="dxa"/>
          </w:tcPr>
          <w:p w14:paraId="44727FF0" w14:textId="77777777" w:rsidR="00F84BE0" w:rsidRPr="00D90D86" w:rsidRDefault="00F84BE0">
            <w:pPr>
              <w:pStyle w:val="Tabele"/>
              <w:jc w:val="right"/>
              <w:rPr>
                <w:color w:val="auto"/>
                <w:szCs w:val="16"/>
              </w:rPr>
            </w:pPr>
            <w:r w:rsidRPr="00D90D86">
              <w:rPr>
                <w:rFonts w:cs="Arial"/>
                <w:color w:val="auto"/>
                <w:szCs w:val="16"/>
              </w:rPr>
              <w:t>0,0%</w:t>
            </w:r>
          </w:p>
        </w:tc>
        <w:tc>
          <w:tcPr>
            <w:tcW w:w="811" w:type="dxa"/>
          </w:tcPr>
          <w:p w14:paraId="77A2E1AB" w14:textId="77777777" w:rsidR="00F84BE0" w:rsidRPr="00D90D86" w:rsidRDefault="00F84BE0">
            <w:pPr>
              <w:pStyle w:val="Tabele"/>
              <w:jc w:val="right"/>
              <w:rPr>
                <w:color w:val="auto"/>
                <w:szCs w:val="16"/>
              </w:rPr>
            </w:pPr>
            <w:r w:rsidRPr="00D90D86">
              <w:rPr>
                <w:rFonts w:cs="Arial"/>
                <w:color w:val="auto"/>
                <w:szCs w:val="16"/>
              </w:rPr>
              <w:t>0,0%</w:t>
            </w:r>
          </w:p>
        </w:tc>
        <w:tc>
          <w:tcPr>
            <w:tcW w:w="811" w:type="dxa"/>
          </w:tcPr>
          <w:p w14:paraId="3EB841E6" w14:textId="77777777" w:rsidR="00F84BE0" w:rsidRPr="00D90D86" w:rsidRDefault="00F84BE0">
            <w:pPr>
              <w:pStyle w:val="Tabele"/>
              <w:jc w:val="right"/>
              <w:rPr>
                <w:color w:val="auto"/>
                <w:szCs w:val="16"/>
              </w:rPr>
            </w:pPr>
            <w:r w:rsidRPr="00D90D86">
              <w:rPr>
                <w:rFonts w:cs="Arial"/>
                <w:color w:val="auto"/>
                <w:szCs w:val="16"/>
              </w:rPr>
              <w:t>100,0%</w:t>
            </w:r>
          </w:p>
        </w:tc>
      </w:tr>
      <w:tr w:rsidR="003A1EEA" w:rsidRPr="00F85B97" w14:paraId="70E649A7" w14:textId="77777777" w:rsidTr="003A1EEA">
        <w:trPr>
          <w:trHeight w:val="232"/>
        </w:trPr>
        <w:tc>
          <w:tcPr>
            <w:tcW w:w="2282" w:type="dxa"/>
          </w:tcPr>
          <w:p w14:paraId="279D4B9D" w14:textId="77777777" w:rsidR="00F84BE0" w:rsidRPr="00D90D86" w:rsidRDefault="00F84BE0">
            <w:pPr>
              <w:pStyle w:val="Tabele"/>
              <w:rPr>
                <w:color w:val="auto"/>
                <w:szCs w:val="16"/>
              </w:rPr>
            </w:pPr>
            <w:r w:rsidRPr="00D90D86">
              <w:rPr>
                <w:color w:val="auto"/>
                <w:szCs w:val="16"/>
              </w:rPr>
              <w:t>Biopaliwa</w:t>
            </w:r>
          </w:p>
        </w:tc>
        <w:tc>
          <w:tcPr>
            <w:tcW w:w="927" w:type="dxa"/>
            <w:shd w:val="clear" w:color="auto" w:fill="C5E0B3"/>
            <w:vAlign w:val="top"/>
          </w:tcPr>
          <w:p w14:paraId="586A7E74" w14:textId="77777777" w:rsidR="00F84BE0" w:rsidRPr="00D90D86" w:rsidRDefault="00F84BE0">
            <w:pPr>
              <w:pStyle w:val="Tabele"/>
              <w:jc w:val="right"/>
              <w:rPr>
                <w:color w:val="auto"/>
                <w:szCs w:val="16"/>
              </w:rPr>
            </w:pPr>
            <w:r w:rsidRPr="00D90D86">
              <w:rPr>
                <w:color w:val="auto"/>
                <w:szCs w:val="16"/>
              </w:rPr>
              <w:t>0,0%</w:t>
            </w:r>
          </w:p>
        </w:tc>
        <w:tc>
          <w:tcPr>
            <w:tcW w:w="838" w:type="dxa"/>
            <w:shd w:val="clear" w:color="auto" w:fill="C5E0B3"/>
            <w:vAlign w:val="top"/>
          </w:tcPr>
          <w:p w14:paraId="08821FBB" w14:textId="77777777" w:rsidR="00F84BE0" w:rsidRPr="00D90D86" w:rsidRDefault="00F84BE0">
            <w:pPr>
              <w:pStyle w:val="Tabele"/>
              <w:jc w:val="right"/>
              <w:rPr>
                <w:color w:val="auto"/>
                <w:szCs w:val="16"/>
              </w:rPr>
            </w:pPr>
            <w:r w:rsidRPr="00D90D86">
              <w:rPr>
                <w:color w:val="auto"/>
                <w:szCs w:val="16"/>
              </w:rPr>
              <w:t>0,0%</w:t>
            </w:r>
          </w:p>
        </w:tc>
        <w:tc>
          <w:tcPr>
            <w:tcW w:w="811" w:type="dxa"/>
            <w:shd w:val="clear" w:color="auto" w:fill="C5E0B3"/>
            <w:vAlign w:val="top"/>
          </w:tcPr>
          <w:p w14:paraId="0307F884" w14:textId="77777777" w:rsidR="00F84BE0" w:rsidRPr="00D90D86" w:rsidRDefault="00F84BE0">
            <w:pPr>
              <w:pStyle w:val="Tabele"/>
              <w:jc w:val="right"/>
              <w:rPr>
                <w:color w:val="auto"/>
                <w:szCs w:val="16"/>
              </w:rPr>
            </w:pPr>
            <w:r w:rsidRPr="00D90D86">
              <w:rPr>
                <w:color w:val="auto"/>
                <w:szCs w:val="16"/>
              </w:rPr>
              <w:t>6,4%</w:t>
            </w:r>
          </w:p>
        </w:tc>
        <w:tc>
          <w:tcPr>
            <w:tcW w:w="749" w:type="dxa"/>
            <w:shd w:val="clear" w:color="auto" w:fill="C5E0B3"/>
            <w:vAlign w:val="top"/>
          </w:tcPr>
          <w:p w14:paraId="63D5A08A" w14:textId="77777777" w:rsidR="00F84BE0" w:rsidRPr="00D90D86" w:rsidRDefault="00F84BE0">
            <w:pPr>
              <w:pStyle w:val="Tabele"/>
              <w:jc w:val="right"/>
              <w:rPr>
                <w:color w:val="auto"/>
                <w:szCs w:val="16"/>
              </w:rPr>
            </w:pPr>
            <w:r w:rsidRPr="00D90D86">
              <w:rPr>
                <w:color w:val="auto"/>
                <w:szCs w:val="16"/>
              </w:rPr>
              <w:t>3,7%</w:t>
            </w:r>
          </w:p>
        </w:tc>
        <w:tc>
          <w:tcPr>
            <w:tcW w:w="871" w:type="dxa"/>
          </w:tcPr>
          <w:p w14:paraId="157CBE02" w14:textId="77777777" w:rsidR="00F84BE0" w:rsidRPr="00D90D86" w:rsidRDefault="00F84BE0">
            <w:pPr>
              <w:pStyle w:val="Tabele"/>
              <w:jc w:val="right"/>
              <w:rPr>
                <w:color w:val="auto"/>
                <w:szCs w:val="16"/>
              </w:rPr>
            </w:pPr>
            <w:r w:rsidRPr="00D90D86">
              <w:rPr>
                <w:rFonts w:cs="Arial"/>
                <w:color w:val="auto"/>
                <w:szCs w:val="16"/>
              </w:rPr>
              <w:t>1,2%</w:t>
            </w:r>
          </w:p>
        </w:tc>
        <w:tc>
          <w:tcPr>
            <w:tcW w:w="811" w:type="dxa"/>
          </w:tcPr>
          <w:p w14:paraId="6D91FE1C" w14:textId="77777777" w:rsidR="00F84BE0" w:rsidRPr="00D90D86" w:rsidRDefault="00F84BE0">
            <w:pPr>
              <w:pStyle w:val="Tabele"/>
              <w:jc w:val="right"/>
              <w:rPr>
                <w:color w:val="auto"/>
                <w:szCs w:val="16"/>
              </w:rPr>
            </w:pPr>
            <w:r w:rsidRPr="00D90D86">
              <w:rPr>
                <w:rFonts w:cs="Arial"/>
                <w:color w:val="auto"/>
                <w:szCs w:val="16"/>
              </w:rPr>
              <w:t>1,2%</w:t>
            </w:r>
          </w:p>
        </w:tc>
        <w:tc>
          <w:tcPr>
            <w:tcW w:w="811" w:type="dxa"/>
          </w:tcPr>
          <w:p w14:paraId="14CE5888" w14:textId="77777777" w:rsidR="00F84BE0" w:rsidRPr="00D90D86" w:rsidRDefault="00F84BE0">
            <w:pPr>
              <w:pStyle w:val="Tabele"/>
              <w:jc w:val="right"/>
              <w:rPr>
                <w:color w:val="auto"/>
                <w:szCs w:val="16"/>
              </w:rPr>
            </w:pPr>
            <w:r w:rsidRPr="00D90D86">
              <w:rPr>
                <w:rFonts w:cs="Arial"/>
                <w:color w:val="auto"/>
                <w:szCs w:val="16"/>
              </w:rPr>
              <w:t>1,2%</w:t>
            </w:r>
          </w:p>
        </w:tc>
        <w:tc>
          <w:tcPr>
            <w:tcW w:w="811" w:type="dxa"/>
          </w:tcPr>
          <w:p w14:paraId="4B2723A9" w14:textId="77777777" w:rsidR="00F84BE0" w:rsidRPr="00D90D86" w:rsidRDefault="00F84BE0">
            <w:pPr>
              <w:pStyle w:val="Tabele"/>
              <w:jc w:val="right"/>
              <w:rPr>
                <w:color w:val="auto"/>
                <w:szCs w:val="16"/>
              </w:rPr>
            </w:pPr>
            <w:r w:rsidRPr="00D90D86">
              <w:rPr>
                <w:rFonts w:cs="Arial"/>
                <w:color w:val="auto"/>
                <w:szCs w:val="16"/>
              </w:rPr>
              <w:t>1,2%</w:t>
            </w:r>
          </w:p>
        </w:tc>
      </w:tr>
      <w:tr w:rsidR="003A1EEA" w:rsidRPr="00F85B97" w14:paraId="6762CB13" w14:textId="77777777" w:rsidTr="003A1EEA">
        <w:trPr>
          <w:trHeight w:val="232"/>
        </w:trPr>
        <w:tc>
          <w:tcPr>
            <w:tcW w:w="2282" w:type="dxa"/>
          </w:tcPr>
          <w:p w14:paraId="4DA48161" w14:textId="628F5D32" w:rsidR="00F84BE0" w:rsidRPr="00D90D86" w:rsidRDefault="000B0FC7">
            <w:pPr>
              <w:pStyle w:val="Tabele"/>
              <w:rPr>
                <w:color w:val="auto"/>
                <w:szCs w:val="16"/>
              </w:rPr>
            </w:pPr>
            <w:r>
              <w:rPr>
                <w:color w:val="auto"/>
                <w:szCs w:val="16"/>
              </w:rPr>
              <w:t>Biomasa stała</w:t>
            </w:r>
          </w:p>
        </w:tc>
        <w:tc>
          <w:tcPr>
            <w:tcW w:w="927" w:type="dxa"/>
            <w:shd w:val="clear" w:color="auto" w:fill="C5E0B3"/>
            <w:vAlign w:val="top"/>
          </w:tcPr>
          <w:p w14:paraId="3B044DDD" w14:textId="77777777" w:rsidR="00F84BE0" w:rsidRPr="00D90D86" w:rsidRDefault="00F84BE0">
            <w:pPr>
              <w:pStyle w:val="Tabele"/>
              <w:jc w:val="right"/>
              <w:rPr>
                <w:color w:val="auto"/>
                <w:szCs w:val="16"/>
              </w:rPr>
            </w:pPr>
            <w:r w:rsidRPr="00D90D86">
              <w:rPr>
                <w:color w:val="auto"/>
                <w:szCs w:val="16"/>
              </w:rPr>
              <w:t>0,0%</w:t>
            </w:r>
          </w:p>
        </w:tc>
        <w:tc>
          <w:tcPr>
            <w:tcW w:w="838" w:type="dxa"/>
            <w:shd w:val="clear" w:color="auto" w:fill="C5E0B3"/>
            <w:vAlign w:val="top"/>
          </w:tcPr>
          <w:p w14:paraId="2F2BF925" w14:textId="77777777" w:rsidR="00F84BE0" w:rsidRPr="00D90D86" w:rsidRDefault="00F84BE0">
            <w:pPr>
              <w:pStyle w:val="Tabele"/>
              <w:jc w:val="right"/>
              <w:rPr>
                <w:color w:val="auto"/>
                <w:szCs w:val="16"/>
              </w:rPr>
            </w:pPr>
            <w:r w:rsidRPr="00D90D86">
              <w:rPr>
                <w:color w:val="auto"/>
                <w:szCs w:val="16"/>
              </w:rPr>
              <w:t>0,0%</w:t>
            </w:r>
          </w:p>
        </w:tc>
        <w:tc>
          <w:tcPr>
            <w:tcW w:w="811" w:type="dxa"/>
            <w:shd w:val="clear" w:color="auto" w:fill="C5E0B3"/>
            <w:vAlign w:val="top"/>
          </w:tcPr>
          <w:p w14:paraId="4501BC76" w14:textId="093F66C1" w:rsidR="00F84BE0" w:rsidRPr="00D90D86" w:rsidRDefault="000B0FC7">
            <w:pPr>
              <w:pStyle w:val="Tabele"/>
              <w:jc w:val="right"/>
              <w:rPr>
                <w:color w:val="auto"/>
                <w:szCs w:val="16"/>
              </w:rPr>
            </w:pPr>
            <w:r w:rsidRPr="00D90D86">
              <w:rPr>
                <w:color w:val="auto"/>
                <w:szCs w:val="16"/>
              </w:rPr>
              <w:t>8,4%</w:t>
            </w:r>
          </w:p>
        </w:tc>
        <w:tc>
          <w:tcPr>
            <w:tcW w:w="749" w:type="dxa"/>
            <w:shd w:val="clear" w:color="auto" w:fill="C5E0B3"/>
            <w:vAlign w:val="top"/>
          </w:tcPr>
          <w:p w14:paraId="6EA7C14C" w14:textId="7AA2CBF2" w:rsidR="00F84BE0" w:rsidRPr="00D90D86" w:rsidRDefault="000B0FC7">
            <w:pPr>
              <w:pStyle w:val="Tabele"/>
              <w:jc w:val="right"/>
              <w:rPr>
                <w:color w:val="auto"/>
                <w:szCs w:val="16"/>
              </w:rPr>
            </w:pPr>
            <w:r w:rsidRPr="00D90D86">
              <w:rPr>
                <w:color w:val="auto"/>
                <w:szCs w:val="16"/>
              </w:rPr>
              <w:t>6,5%</w:t>
            </w:r>
          </w:p>
        </w:tc>
        <w:tc>
          <w:tcPr>
            <w:tcW w:w="871" w:type="dxa"/>
          </w:tcPr>
          <w:p w14:paraId="34AF76EC" w14:textId="77777777" w:rsidR="00F84BE0" w:rsidRPr="00D90D86" w:rsidRDefault="00F84BE0">
            <w:pPr>
              <w:pStyle w:val="Tabele"/>
              <w:jc w:val="right"/>
              <w:rPr>
                <w:color w:val="auto"/>
                <w:szCs w:val="16"/>
              </w:rPr>
            </w:pPr>
            <w:r w:rsidRPr="00D90D86">
              <w:rPr>
                <w:rFonts w:cs="Arial"/>
                <w:color w:val="auto"/>
                <w:szCs w:val="16"/>
              </w:rPr>
              <w:t>6,2%</w:t>
            </w:r>
          </w:p>
        </w:tc>
        <w:tc>
          <w:tcPr>
            <w:tcW w:w="811" w:type="dxa"/>
          </w:tcPr>
          <w:p w14:paraId="4A720E61" w14:textId="77777777" w:rsidR="00F84BE0" w:rsidRPr="00D90D86" w:rsidRDefault="00F84BE0">
            <w:pPr>
              <w:pStyle w:val="Tabele"/>
              <w:jc w:val="right"/>
              <w:rPr>
                <w:color w:val="auto"/>
                <w:szCs w:val="16"/>
              </w:rPr>
            </w:pPr>
            <w:r w:rsidRPr="00D90D86">
              <w:rPr>
                <w:rFonts w:cs="Arial"/>
                <w:color w:val="auto"/>
                <w:szCs w:val="16"/>
              </w:rPr>
              <w:t>6,2%</w:t>
            </w:r>
          </w:p>
        </w:tc>
        <w:tc>
          <w:tcPr>
            <w:tcW w:w="811" w:type="dxa"/>
          </w:tcPr>
          <w:p w14:paraId="149E867E" w14:textId="77777777" w:rsidR="00F84BE0" w:rsidRPr="00D90D86" w:rsidRDefault="00F84BE0">
            <w:pPr>
              <w:pStyle w:val="Tabele"/>
              <w:jc w:val="right"/>
              <w:rPr>
                <w:color w:val="auto"/>
                <w:szCs w:val="16"/>
              </w:rPr>
            </w:pPr>
            <w:r w:rsidRPr="00D90D86">
              <w:rPr>
                <w:rFonts w:cs="Arial"/>
                <w:color w:val="auto"/>
                <w:szCs w:val="16"/>
              </w:rPr>
              <w:t>6,2%</w:t>
            </w:r>
          </w:p>
        </w:tc>
        <w:tc>
          <w:tcPr>
            <w:tcW w:w="811" w:type="dxa"/>
          </w:tcPr>
          <w:p w14:paraId="209A4ECA" w14:textId="77777777" w:rsidR="00F84BE0" w:rsidRPr="00D90D86" w:rsidRDefault="00F84BE0">
            <w:pPr>
              <w:pStyle w:val="Tabele"/>
              <w:jc w:val="right"/>
              <w:rPr>
                <w:color w:val="auto"/>
                <w:szCs w:val="16"/>
              </w:rPr>
            </w:pPr>
            <w:r w:rsidRPr="00D90D86">
              <w:rPr>
                <w:rFonts w:cs="Arial"/>
                <w:color w:val="auto"/>
                <w:szCs w:val="16"/>
              </w:rPr>
              <w:t>6,2%</w:t>
            </w:r>
          </w:p>
        </w:tc>
      </w:tr>
      <w:tr w:rsidR="003A1EEA" w:rsidRPr="00F85B97" w14:paraId="6C0DF3AB" w14:textId="77777777" w:rsidTr="003A1EEA">
        <w:trPr>
          <w:trHeight w:val="232"/>
        </w:trPr>
        <w:tc>
          <w:tcPr>
            <w:tcW w:w="2282" w:type="dxa"/>
          </w:tcPr>
          <w:p w14:paraId="17B34731" w14:textId="7409DCB1" w:rsidR="00F84BE0" w:rsidRPr="00D90D86" w:rsidRDefault="00AE07FB">
            <w:pPr>
              <w:pStyle w:val="Tabele"/>
              <w:rPr>
                <w:color w:val="auto"/>
                <w:szCs w:val="16"/>
              </w:rPr>
            </w:pPr>
            <w:r>
              <w:rPr>
                <w:color w:val="auto"/>
                <w:szCs w:val="16"/>
              </w:rPr>
              <w:t>W</w:t>
            </w:r>
            <w:r w:rsidR="000B0FC7" w:rsidRPr="00D90D86">
              <w:rPr>
                <w:color w:val="auto"/>
                <w:szCs w:val="16"/>
              </w:rPr>
              <w:t>odór</w:t>
            </w:r>
          </w:p>
        </w:tc>
        <w:tc>
          <w:tcPr>
            <w:tcW w:w="927" w:type="dxa"/>
            <w:shd w:val="clear" w:color="auto" w:fill="C5E0B3"/>
            <w:vAlign w:val="top"/>
          </w:tcPr>
          <w:p w14:paraId="53BED9CC" w14:textId="77777777" w:rsidR="00F84BE0" w:rsidRPr="00D90D86" w:rsidRDefault="00F84BE0">
            <w:pPr>
              <w:pStyle w:val="Tabele"/>
              <w:jc w:val="right"/>
              <w:rPr>
                <w:color w:val="auto"/>
                <w:szCs w:val="16"/>
              </w:rPr>
            </w:pPr>
            <w:r w:rsidRPr="00D90D86">
              <w:rPr>
                <w:color w:val="auto"/>
                <w:szCs w:val="16"/>
              </w:rPr>
              <w:t>0,0%</w:t>
            </w:r>
          </w:p>
        </w:tc>
        <w:tc>
          <w:tcPr>
            <w:tcW w:w="838" w:type="dxa"/>
            <w:shd w:val="clear" w:color="auto" w:fill="C5E0B3"/>
            <w:vAlign w:val="top"/>
          </w:tcPr>
          <w:p w14:paraId="5BB64D63" w14:textId="77777777" w:rsidR="00F84BE0" w:rsidRPr="00D90D86" w:rsidRDefault="00F84BE0">
            <w:pPr>
              <w:pStyle w:val="Tabele"/>
              <w:jc w:val="right"/>
              <w:rPr>
                <w:color w:val="auto"/>
                <w:szCs w:val="16"/>
              </w:rPr>
            </w:pPr>
            <w:r w:rsidRPr="00D90D86">
              <w:rPr>
                <w:color w:val="auto"/>
                <w:szCs w:val="16"/>
              </w:rPr>
              <w:t>0,0%</w:t>
            </w:r>
          </w:p>
        </w:tc>
        <w:tc>
          <w:tcPr>
            <w:tcW w:w="811" w:type="dxa"/>
            <w:shd w:val="clear" w:color="auto" w:fill="C5E0B3"/>
            <w:vAlign w:val="top"/>
          </w:tcPr>
          <w:p w14:paraId="7BC3A67A" w14:textId="77777777" w:rsidR="00F84BE0" w:rsidRPr="00D90D86" w:rsidRDefault="00F84BE0">
            <w:pPr>
              <w:pStyle w:val="Tabele"/>
              <w:jc w:val="right"/>
              <w:rPr>
                <w:color w:val="auto"/>
                <w:szCs w:val="16"/>
              </w:rPr>
            </w:pPr>
            <w:r w:rsidRPr="00D90D86">
              <w:rPr>
                <w:color w:val="auto"/>
                <w:szCs w:val="16"/>
              </w:rPr>
              <w:t>0,0%</w:t>
            </w:r>
          </w:p>
        </w:tc>
        <w:tc>
          <w:tcPr>
            <w:tcW w:w="749" w:type="dxa"/>
            <w:shd w:val="clear" w:color="auto" w:fill="C5E0B3"/>
            <w:vAlign w:val="top"/>
          </w:tcPr>
          <w:p w14:paraId="1BD69C85" w14:textId="77777777" w:rsidR="00F84BE0" w:rsidRPr="00D90D86" w:rsidRDefault="00F84BE0">
            <w:pPr>
              <w:pStyle w:val="Tabele"/>
              <w:jc w:val="right"/>
              <w:rPr>
                <w:color w:val="auto"/>
                <w:szCs w:val="16"/>
              </w:rPr>
            </w:pPr>
            <w:r w:rsidRPr="00D90D86">
              <w:rPr>
                <w:color w:val="auto"/>
                <w:szCs w:val="16"/>
              </w:rPr>
              <w:t>0,0%</w:t>
            </w:r>
          </w:p>
        </w:tc>
        <w:tc>
          <w:tcPr>
            <w:tcW w:w="871" w:type="dxa"/>
          </w:tcPr>
          <w:p w14:paraId="133F5A15" w14:textId="77777777" w:rsidR="00F84BE0" w:rsidRPr="00D90D86" w:rsidRDefault="00F84BE0">
            <w:pPr>
              <w:pStyle w:val="Tabele"/>
              <w:jc w:val="right"/>
              <w:rPr>
                <w:color w:val="auto"/>
                <w:szCs w:val="16"/>
              </w:rPr>
            </w:pPr>
            <w:r w:rsidRPr="00D90D86">
              <w:rPr>
                <w:rFonts w:cs="Arial"/>
                <w:color w:val="auto"/>
                <w:szCs w:val="16"/>
              </w:rPr>
              <w:t>0,0%</w:t>
            </w:r>
          </w:p>
        </w:tc>
        <w:tc>
          <w:tcPr>
            <w:tcW w:w="811" w:type="dxa"/>
          </w:tcPr>
          <w:p w14:paraId="006FA136" w14:textId="77777777" w:rsidR="00F84BE0" w:rsidRPr="00D90D86" w:rsidRDefault="00F84BE0">
            <w:pPr>
              <w:pStyle w:val="Tabele"/>
              <w:jc w:val="right"/>
              <w:rPr>
                <w:color w:val="auto"/>
                <w:szCs w:val="16"/>
              </w:rPr>
            </w:pPr>
            <w:r w:rsidRPr="00D90D86">
              <w:rPr>
                <w:rFonts w:cs="Arial"/>
                <w:color w:val="auto"/>
                <w:szCs w:val="16"/>
              </w:rPr>
              <w:t>0,0%</w:t>
            </w:r>
          </w:p>
        </w:tc>
        <w:tc>
          <w:tcPr>
            <w:tcW w:w="811" w:type="dxa"/>
          </w:tcPr>
          <w:p w14:paraId="55885654" w14:textId="77777777" w:rsidR="00F84BE0" w:rsidRPr="00D90D86" w:rsidRDefault="00F84BE0">
            <w:pPr>
              <w:pStyle w:val="Tabele"/>
              <w:jc w:val="right"/>
              <w:rPr>
                <w:color w:val="auto"/>
                <w:szCs w:val="16"/>
              </w:rPr>
            </w:pPr>
            <w:r w:rsidRPr="00D90D86">
              <w:rPr>
                <w:rFonts w:cs="Arial"/>
                <w:color w:val="auto"/>
                <w:szCs w:val="16"/>
              </w:rPr>
              <w:t>0,0%</w:t>
            </w:r>
          </w:p>
        </w:tc>
        <w:tc>
          <w:tcPr>
            <w:tcW w:w="811" w:type="dxa"/>
          </w:tcPr>
          <w:p w14:paraId="6A64B9D1" w14:textId="09F826A1" w:rsidR="00F84BE0" w:rsidRPr="00D90D86" w:rsidRDefault="00F84BE0">
            <w:pPr>
              <w:pStyle w:val="Tabele"/>
              <w:jc w:val="right"/>
              <w:rPr>
                <w:color w:val="auto"/>
                <w:szCs w:val="16"/>
              </w:rPr>
            </w:pPr>
            <w:r w:rsidRPr="00D90D86">
              <w:rPr>
                <w:rFonts w:cs="Arial"/>
                <w:color w:val="auto"/>
                <w:szCs w:val="16"/>
              </w:rPr>
              <w:t>0,0%</w:t>
            </w:r>
          </w:p>
        </w:tc>
      </w:tr>
    </w:tbl>
    <w:p w14:paraId="75875D14" w14:textId="6520D596" w:rsidR="005C4144" w:rsidRPr="00C41AFF" w:rsidRDefault="005C4144" w:rsidP="00F84BE0">
      <w:pPr>
        <w:pStyle w:val="Legenda"/>
      </w:pPr>
      <w:r w:rsidRPr="00C41AFF">
        <w:t>Źródło: Opracowanie własne ARE S</w:t>
      </w:r>
      <w:r>
        <w:t>.</w:t>
      </w:r>
      <w:r w:rsidR="00D90D86">
        <w:t>A.</w:t>
      </w:r>
    </w:p>
    <w:p w14:paraId="650AACD1" w14:textId="77777777" w:rsidR="005C4144" w:rsidRDefault="005C4144" w:rsidP="00797A1F">
      <w:pPr>
        <w:pStyle w:val="Nagwek2"/>
      </w:pPr>
      <w:bookmarkStart w:id="446" w:name="_Toc171587332"/>
      <w:bookmarkStart w:id="447" w:name="_Toc174710906"/>
      <w:bookmarkStart w:id="448" w:name="_Toc202966899"/>
      <w:r>
        <w:t>Główne źródła importu</w:t>
      </w:r>
      <w:bookmarkEnd w:id="446"/>
      <w:bookmarkEnd w:id="447"/>
      <w:bookmarkEnd w:id="448"/>
    </w:p>
    <w:p w14:paraId="6FF2DE3A" w14:textId="49AB4DDF" w:rsidR="0061183B" w:rsidRDefault="007E5FA1" w:rsidP="00B73D8B">
      <w:pPr>
        <w:spacing w:after="120"/>
      </w:pPr>
      <w:r w:rsidRPr="00C41AFF">
        <w:t>W odniesieniu do głównych źródeł importu zastosowano podejście eksperckie, bazujące na analizie dotychczasowych kierunków dostaw</w:t>
      </w:r>
      <w:r>
        <w:t xml:space="preserve"> i </w:t>
      </w:r>
      <w:r w:rsidRPr="00C41AFF">
        <w:t>perspektywach pojawienia się nowych źródeł importu</w:t>
      </w:r>
      <w:r>
        <w:t xml:space="preserve"> </w:t>
      </w:r>
      <w:r w:rsidR="005C4144">
        <w:t>(</w:t>
      </w:r>
      <w:r w:rsidR="00B73D8B">
        <w:fldChar w:fldCharType="begin"/>
      </w:r>
      <w:r w:rsidR="00B73D8B">
        <w:instrText xml:space="preserve"> REF _Ref202435396 \h </w:instrText>
      </w:r>
      <w:r w:rsidR="00B73D8B">
        <w:fldChar w:fldCharType="separate"/>
      </w:r>
      <w:r w:rsidR="00F27D6F">
        <w:t xml:space="preserve">Tabela </w:t>
      </w:r>
      <w:r w:rsidR="00F27D6F">
        <w:rPr>
          <w:noProof/>
        </w:rPr>
        <w:t>3</w:t>
      </w:r>
      <w:r w:rsidR="00F27D6F">
        <w:t>.</w:t>
      </w:r>
      <w:r w:rsidR="00F27D6F">
        <w:rPr>
          <w:noProof/>
        </w:rPr>
        <w:t>6</w:t>
      </w:r>
      <w:r w:rsidR="00B73D8B">
        <w:fldChar w:fldCharType="end"/>
      </w:r>
      <w:r w:rsidR="00B73D8B">
        <w:t>)</w:t>
      </w:r>
      <w:r w:rsidR="005C4144" w:rsidRPr="00C41AFF">
        <w:t>.</w:t>
      </w:r>
      <w:r w:rsidR="005C4144">
        <w:t xml:space="preserve"> </w:t>
      </w:r>
      <w:bookmarkStart w:id="449" w:name="_Ref156899472"/>
      <w:bookmarkStart w:id="450" w:name="_Toc171587206"/>
      <w:bookmarkStart w:id="451" w:name="_Toc174710990"/>
      <w:r w:rsidR="0061183B">
        <w:t>W odniesieniu do gazu ziemnego w 2022 i 2023 r. doszło do istotnych zmian dotyczących kierunków dostaw tego surowca. Od 2023 r. Polska całkowicie uniezależniła się od importu z Federacji Rosyjskiej i zastąpiła ten kierunek głównie dostawami z Norwegii (Baltic Pipe) oraz innych krajów za pośrednictwem terminala LNG (głównie USA i Katar). W wyniku ukończonych w 2022 r. kluczowych inwestycji dywersyfikacyjnych, tj. budowy gazociągu Baltic Pipe oraz zwiększenia mocy regazyfikacyjnych terminalu LNG w Świnoujściu, zmieniona została historyczna trasa dostaw paliw gazowych z kierunku wschód-zachód na kierunek północ-południe. W ramach realizacji polityki dywersyfikacyjnej uruchomione zostały również połączenia międzysystemowe z Litwą i Słowacją</w:t>
      </w:r>
      <w:r w:rsidR="0061183B">
        <w:rPr>
          <w:rStyle w:val="Odwoanieprzypisudolnego"/>
        </w:rPr>
        <w:footnoteReference w:id="24"/>
      </w:r>
      <w:r w:rsidR="0061183B">
        <w:t>.</w:t>
      </w:r>
    </w:p>
    <w:p w14:paraId="53444BEC" w14:textId="7E2F82C7" w:rsidR="0061183B" w:rsidRDefault="0061183B" w:rsidP="0061183B">
      <w:pPr>
        <w:rPr>
          <w:b/>
        </w:rPr>
      </w:pPr>
      <w:r>
        <w:t>Jeszcze w 2022 r. największym dostawc</w:t>
      </w:r>
      <w:r w:rsidR="008370F8">
        <w:t>ą</w:t>
      </w:r>
      <w:r>
        <w:t xml:space="preserve"> ropy do Polski była Federacja Rosyjska. Z tego kierunku s</w:t>
      </w:r>
      <w:r w:rsidRPr="008F688A">
        <w:t>prowadzono do Polski 11,</w:t>
      </w:r>
      <w:r>
        <w:t>7 mln ton surowca, co stanowiło 47% ogółu importu ropy</w:t>
      </w:r>
      <w:r w:rsidRPr="008F688A">
        <w:t>.</w:t>
      </w:r>
      <w:r>
        <w:t xml:space="preserve"> W </w:t>
      </w:r>
      <w:r w:rsidRPr="008F688A">
        <w:t xml:space="preserve">każdym kolejnym kwartale import rosyjskiej ropy był </w:t>
      </w:r>
      <w:r>
        <w:t xml:space="preserve">sukcesywnie obniżany. </w:t>
      </w:r>
      <w:r w:rsidRPr="008F688A">
        <w:t>Polska zawiesiła import rosyjskiej ropy drogą morską</w:t>
      </w:r>
      <w:r>
        <w:t xml:space="preserve"> w sierpniu 2022 r., natomiast </w:t>
      </w:r>
      <w:r w:rsidRPr="008F688A">
        <w:t xml:space="preserve">25 lutego </w:t>
      </w:r>
      <w:r>
        <w:t>2023 r. strona</w:t>
      </w:r>
      <w:r w:rsidRPr="008F688A">
        <w:t xml:space="preserve"> rosyjska jednostronnie wstrzymała dostawy ropy naftowej realizowane rurociągiem „Przyjaźń”. </w:t>
      </w:r>
      <w:r>
        <w:t>Według danych statystycznych dotyczących</w:t>
      </w:r>
      <w:r w:rsidRPr="008F688A">
        <w:t xml:space="preserve"> handlu zagranicznego</w:t>
      </w:r>
      <w:r>
        <w:t xml:space="preserve"> w </w:t>
      </w:r>
      <w:r w:rsidRPr="008F688A">
        <w:t>marcu</w:t>
      </w:r>
      <w:r>
        <w:t xml:space="preserve"> i </w:t>
      </w:r>
      <w:r w:rsidRPr="008F688A">
        <w:t>kwietniu 2023</w:t>
      </w:r>
      <w:r>
        <w:t xml:space="preserve"> r. </w:t>
      </w:r>
      <w:r w:rsidRPr="008F688A">
        <w:t>nie odnotowano</w:t>
      </w:r>
      <w:r>
        <w:t xml:space="preserve"> już jakiegokolwiek</w:t>
      </w:r>
      <w:r w:rsidRPr="008F688A">
        <w:t xml:space="preserve"> importu ropy</w:t>
      </w:r>
      <w:r>
        <w:t xml:space="preserve"> z Federacji Rosyjskiej.</w:t>
      </w:r>
      <w:r w:rsidRPr="00C6045A">
        <w:t xml:space="preserve"> Najważni</w:t>
      </w:r>
      <w:r>
        <w:t>ejszym dostawcą ropy do Polski od I kw.</w:t>
      </w:r>
      <w:r w:rsidRPr="00C6045A">
        <w:t xml:space="preserve"> 2023</w:t>
      </w:r>
      <w:r>
        <w:t> r.</w:t>
      </w:r>
      <w:r w:rsidRPr="00C6045A">
        <w:t xml:space="preserve"> stała się Arabia Saudyjska. </w:t>
      </w:r>
      <w:r>
        <w:t>Obecnie udział dostaw z tego kraju kształtuje się na poziomie 65% ogółu importu ropy.</w:t>
      </w:r>
      <w:r w:rsidRPr="00C6045A">
        <w:t xml:space="preserve"> Drugim najważniejszym importe</w:t>
      </w:r>
      <w:r>
        <w:t xml:space="preserve">rem ropy do naszego kraju jest </w:t>
      </w:r>
      <w:r w:rsidRPr="00C6045A">
        <w:t>Norwegia, jej znaczenie jest jednak zdecydowanie mniejsze. Natomiast dostaw</w:t>
      </w:r>
      <w:r>
        <w:t>y z innych krajów odbywają się na głównie w oparciu o zakupy spot</w:t>
      </w:r>
      <w:r w:rsidRPr="00C6045A">
        <w:t>.</w:t>
      </w:r>
      <w:r>
        <w:t xml:space="preserve"> W związku z wejściem w życie 6. pakietu sankcji</w:t>
      </w:r>
      <w:r>
        <w:rPr>
          <w:rStyle w:val="Odwoanieprzypisudolnego"/>
        </w:rPr>
        <w:footnoteReference w:id="25"/>
      </w:r>
      <w:r>
        <w:t xml:space="preserve"> w lutym 2023 r. zaniechano importu oleju napędowego z Federacji Rosyjskiej. N</w:t>
      </w:r>
      <w:r w:rsidRPr="005A2702">
        <w:t xml:space="preserve">ajwiększym dostawcą </w:t>
      </w:r>
      <w:r>
        <w:t>oleju napędowego i benzyny</w:t>
      </w:r>
      <w:r w:rsidRPr="005A2702">
        <w:t xml:space="preserve"> do Polski </w:t>
      </w:r>
      <w:r>
        <w:t>są obecnie</w:t>
      </w:r>
      <w:r w:rsidRPr="005A2702">
        <w:t xml:space="preserve"> Niemcy. Dynamiczne zmiany</w:t>
      </w:r>
      <w:r>
        <w:t xml:space="preserve"> w </w:t>
      </w:r>
      <w:r w:rsidRPr="005A2702">
        <w:t xml:space="preserve">strukturze importu wskazują, </w:t>
      </w:r>
      <w:r>
        <w:t>że kierunek dostaw jest ściśle uzależniony od warunków rynkowych.</w:t>
      </w:r>
      <w:r>
        <w:rPr>
          <w:b/>
        </w:rPr>
        <w:t xml:space="preserve"> </w:t>
      </w:r>
    </w:p>
    <w:p w14:paraId="7E216DBA" w14:textId="77777777" w:rsidR="0061183B" w:rsidRPr="00A06C2E" w:rsidRDefault="0061183B" w:rsidP="0061183B">
      <w:pPr>
        <w:rPr>
          <w:b/>
        </w:rPr>
      </w:pPr>
      <w:r>
        <w:t>Import węgla w 2022 r. był na rekordowym poziomie z uwagi na europejski kryzys energetyczny. Węgiel sprowadzano do kraju z wielu różnych kierunków (poza rosyjskim, z którego zrezygnowano w kwietniu 2022 r.). Najwięcej</w:t>
      </w:r>
      <w:r w:rsidRPr="001309C5">
        <w:t xml:space="preserve"> węgla sprowadzono do Polski</w:t>
      </w:r>
      <w:r>
        <w:t xml:space="preserve"> z </w:t>
      </w:r>
      <w:r w:rsidRPr="001309C5">
        <w:t>RPA (3,4 mln ton)</w:t>
      </w:r>
      <w:r>
        <w:t xml:space="preserve"> i </w:t>
      </w:r>
      <w:r w:rsidRPr="001309C5">
        <w:t>Kolumbii (3,3 mln ton), co stanowiło ponad 40</w:t>
      </w:r>
      <w:r>
        <w:t>%</w:t>
      </w:r>
      <w:r w:rsidRPr="001309C5">
        <w:t xml:space="preserve"> importu węgla do Polski. Ważnymi dostawcami były także Kazachstan, Australia oraz</w:t>
      </w:r>
      <w:r>
        <w:t xml:space="preserve"> </w:t>
      </w:r>
      <w:r w:rsidRPr="001309C5">
        <w:t>Indonezja.</w:t>
      </w:r>
      <w:r>
        <w:t xml:space="preserve"> Przewiduje się w kolejnych okresach znaczący spadek importu w konsekwencji stopniowego odchodzenia od jego stosowania we wszystkich sektorach gospodarki krajowej.</w:t>
      </w:r>
    </w:p>
    <w:p w14:paraId="637B8655" w14:textId="77777777" w:rsidR="0061183B" w:rsidRDefault="0061183B" w:rsidP="0061183B">
      <w:r w:rsidRPr="001309C5">
        <w:t xml:space="preserve">Jedynym paliwem, które </w:t>
      </w:r>
      <w:r>
        <w:t>obecnie</w:t>
      </w:r>
      <w:r w:rsidRPr="001309C5">
        <w:t xml:space="preserve"> jest </w:t>
      </w:r>
      <w:r>
        <w:t>przedmiotem importu z </w:t>
      </w:r>
      <w:r w:rsidRPr="001309C5">
        <w:t xml:space="preserve">Federacji </w:t>
      </w:r>
      <w:r>
        <w:t>R</w:t>
      </w:r>
      <w:r w:rsidRPr="001309C5">
        <w:t>osyjskiej jest LPG</w:t>
      </w:r>
      <w:r>
        <w:t>. Niemniej jednak w ramach przygotowywanego 12 pakietu sankcji przewiduje się wprowadzenia embarga na ten produkt, stąd wystąpi konieczność zmiany tego kierunku dostaw. Prawdopodobnie największym importerem LPG stanie się Szwecja, ale tak jak w przypadku innych produktów naftowych, decydować o tym będą warunki rynkowe.</w:t>
      </w:r>
    </w:p>
    <w:p w14:paraId="14DD5E32" w14:textId="77777777" w:rsidR="0061183B" w:rsidRDefault="0061183B" w:rsidP="0061183B">
      <w:r>
        <w:t xml:space="preserve">W zakresie energii elektrycznej Polska była i jest państwem samowystarczalnym. Odnotowywany handel transgraniczny zarówno z państwami z UE jak i spoza UE ma charakter uzupełniający wobec produkcji krajowej, a jego kierunek i wielkość wynika z dynamicznie kształtujących się cen energii na rynkach hurtowych. Ze względu na konfiguracje systemów elektroenergetycznych oraz zdolności przesyłowe połączeń transgranicznych głównymi kierunkami importu energii elektrycznej są Niemcy i Szwecja, a eksportu Słowacja i Czechy. </w:t>
      </w:r>
    </w:p>
    <w:p w14:paraId="0B736C8C" w14:textId="77777777" w:rsidR="0061183B" w:rsidRDefault="0061183B" w:rsidP="0061183B">
      <w:pPr>
        <w:spacing w:after="120"/>
      </w:pPr>
      <w:r w:rsidRPr="00933024">
        <w:t xml:space="preserve">Wskazanie źródła importu paliwa jądrowego nie jest </w:t>
      </w:r>
      <w:r>
        <w:t xml:space="preserve">na tym etapie </w:t>
      </w:r>
      <w:r w:rsidRPr="00933024">
        <w:t xml:space="preserve">możliwe ze względu na to, że dostawy paliwa są integralnym elementem kontraktu na budowę konkretnej jednostki. W aktualnym stadium projektowym nie jest to informacja podawana do publicznej wiadomości. </w:t>
      </w:r>
    </w:p>
    <w:p w14:paraId="2ECD6E72" w14:textId="5D221544" w:rsidR="00CE227B" w:rsidRDefault="0061183B" w:rsidP="00466927">
      <w:pPr>
        <w:spacing w:after="120"/>
        <w:rPr>
          <w:i/>
          <w:iCs/>
          <w:color w:val="44546A" w:themeColor="text2"/>
          <w:sz w:val="18"/>
          <w:szCs w:val="18"/>
        </w:rPr>
      </w:pPr>
      <w:r>
        <w:t>D</w:t>
      </w:r>
      <w:r w:rsidRPr="00A30977">
        <w:t>o 2022 r. głównym źródłem importu biomasy stałej była Białoruś, lecz sytuacja zmieniła się w wyniku konfliktu na Ukrainie. Mając na względzie aktualne zmiany rynkowe i regulacyjne, w szczególności w</w:t>
      </w:r>
      <w:r w:rsidR="00C7033C">
        <w:t> </w:t>
      </w:r>
      <w:r w:rsidRPr="00A30977">
        <w:t xml:space="preserve">zakresie kryteriów zrównoważoności </w:t>
      </w:r>
      <w:r w:rsidR="006F3185">
        <w:t xml:space="preserve">dla </w:t>
      </w:r>
      <w:r w:rsidRPr="00A30977">
        <w:t xml:space="preserve">biomasy, </w:t>
      </w:r>
      <w:r w:rsidR="003E17CD" w:rsidRPr="004914E3">
        <w:t>w</w:t>
      </w:r>
      <w:r w:rsidRPr="004914E3">
        <w:t xml:space="preserve">ielu ekspertów wskazuje na Stany Zjednoczone </w:t>
      </w:r>
      <w:r w:rsidR="00606768" w:rsidRPr="004914E3">
        <w:t xml:space="preserve">oraz Kanadę </w:t>
      </w:r>
      <w:r w:rsidRPr="004914E3">
        <w:t xml:space="preserve">jako </w:t>
      </w:r>
      <w:r w:rsidR="00606768" w:rsidRPr="004914E3">
        <w:t>źródła importu biomasy w formie pelletu drzewnego.</w:t>
      </w:r>
      <w:r w:rsidRPr="004914E3">
        <w:t xml:space="preserve"> </w:t>
      </w:r>
      <w:r w:rsidRPr="00B87209">
        <w:t xml:space="preserve">Niemniej jednak import </w:t>
      </w:r>
      <w:r w:rsidR="003E17CD" w:rsidRPr="00B87209">
        <w:t>biomasy osłabia bezpieczeństwo energetyczne kraju</w:t>
      </w:r>
      <w:r w:rsidR="0039680B" w:rsidRPr="00B87209">
        <w:t xml:space="preserve">, </w:t>
      </w:r>
      <w:r w:rsidR="0039680B" w:rsidRPr="002062A8">
        <w:t xml:space="preserve">dlatego </w:t>
      </w:r>
      <w:r w:rsidR="00B87209" w:rsidRPr="002062A8">
        <w:t>wskazane jest ograniczenie jego skali, także z uwagi na fakt, iż paliw</w:t>
      </w:r>
      <w:r w:rsidR="008D7E2D" w:rsidRPr="002062A8">
        <w:t>o</w:t>
      </w:r>
      <w:r w:rsidR="00B87209" w:rsidRPr="002062A8">
        <w:t xml:space="preserve"> </w:t>
      </w:r>
      <w:r w:rsidR="00A93898" w:rsidRPr="002062A8">
        <w:t>objęte globalnym rynkiem</w:t>
      </w:r>
      <w:r w:rsidR="008D7E2D" w:rsidRPr="002062A8">
        <w:t xml:space="preserve"> </w:t>
      </w:r>
      <w:r w:rsidR="00BE5502" w:rsidRPr="002062A8">
        <w:t xml:space="preserve">i silną konkurencją </w:t>
      </w:r>
      <w:r w:rsidR="008D7E2D" w:rsidRPr="002062A8">
        <w:t xml:space="preserve">narażone jest </w:t>
      </w:r>
      <w:r w:rsidR="001A1336" w:rsidRPr="002062A8">
        <w:t xml:space="preserve">na </w:t>
      </w:r>
      <w:r w:rsidR="00D400EA" w:rsidRPr="002062A8">
        <w:t xml:space="preserve">niestabilność cen </w:t>
      </w:r>
      <w:r w:rsidR="00392824" w:rsidRPr="002062A8">
        <w:t>i</w:t>
      </w:r>
      <w:r w:rsidR="00C7033C">
        <w:t> </w:t>
      </w:r>
      <w:r w:rsidR="00392824" w:rsidRPr="002062A8">
        <w:t>globalne koszty dostaw (</w:t>
      </w:r>
      <w:r w:rsidR="00392824" w:rsidRPr="008D2CB0">
        <w:rPr>
          <w:i/>
          <w:iCs/>
        </w:rPr>
        <w:t>global shipping costs</w:t>
      </w:r>
      <w:r w:rsidR="00392824" w:rsidRPr="002062A8">
        <w:t>)</w:t>
      </w:r>
      <w:r w:rsidR="00B87209" w:rsidRPr="002062A8">
        <w:t xml:space="preserve">, </w:t>
      </w:r>
      <w:r w:rsidR="001A1336" w:rsidRPr="002062A8">
        <w:t xml:space="preserve">co </w:t>
      </w:r>
      <w:r w:rsidR="00B87209" w:rsidRPr="002062A8">
        <w:t>negatywnie wpływa na długoterminową opłacalność takiego rozwiązania.</w:t>
      </w:r>
      <w:r w:rsidR="00466927">
        <w:t xml:space="preserve"> </w:t>
      </w:r>
      <w:bookmarkStart w:id="452" w:name="_Ref195776107"/>
    </w:p>
    <w:p w14:paraId="48C0310C" w14:textId="0F14A03E" w:rsidR="00CA7721" w:rsidRPr="00C41AFF" w:rsidRDefault="005C4144" w:rsidP="00CA7721">
      <w:pPr>
        <w:pStyle w:val="Legenda"/>
        <w:spacing w:after="60"/>
      </w:pPr>
      <w:bookmarkStart w:id="453" w:name="_Ref202435396"/>
      <w:bookmarkStart w:id="454" w:name="_Toc202966996"/>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3</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6</w:t>
      </w:r>
      <w:r w:rsidR="00653D9A">
        <w:rPr>
          <w:noProof/>
        </w:rPr>
        <w:fldChar w:fldCharType="end"/>
      </w:r>
      <w:bookmarkEnd w:id="449"/>
      <w:bookmarkEnd w:id="452"/>
      <w:bookmarkEnd w:id="453"/>
      <w:r>
        <w:t xml:space="preserve">. </w:t>
      </w:r>
      <w:r w:rsidR="00CA7721" w:rsidRPr="00C41AFF">
        <w:t>Główne źródła importu (państwa)</w:t>
      </w:r>
      <w:bookmarkEnd w:id="454"/>
    </w:p>
    <w:bookmarkEnd w:id="450"/>
    <w:bookmarkEnd w:id="451"/>
    <w:tbl>
      <w:tblPr>
        <w:tblStyle w:val="KPEiK"/>
        <w:tblW w:w="5125" w:type="pct"/>
        <w:tblLayout w:type="fixed"/>
        <w:tblCellMar>
          <w:left w:w="28" w:type="dxa"/>
          <w:right w:w="28" w:type="dxa"/>
        </w:tblCellMar>
        <w:tblLook w:val="04A0" w:firstRow="1" w:lastRow="0" w:firstColumn="1" w:lastColumn="0" w:noHBand="0" w:noVBand="1"/>
      </w:tblPr>
      <w:tblGrid>
        <w:gridCol w:w="1401"/>
        <w:gridCol w:w="985"/>
        <w:gridCol w:w="985"/>
        <w:gridCol w:w="986"/>
        <w:gridCol w:w="987"/>
        <w:gridCol w:w="986"/>
        <w:gridCol w:w="986"/>
        <w:gridCol w:w="987"/>
        <w:gridCol w:w="986"/>
      </w:tblGrid>
      <w:tr w:rsidR="0099446A" w:rsidRPr="00925C4D" w14:paraId="789DA2E4" w14:textId="77777777" w:rsidTr="002D791C">
        <w:trPr>
          <w:cnfStyle w:val="100000000000" w:firstRow="1" w:lastRow="0" w:firstColumn="0" w:lastColumn="0" w:oddVBand="0" w:evenVBand="0" w:oddHBand="0" w:evenHBand="0" w:firstRowFirstColumn="0" w:firstRowLastColumn="0" w:lastRowFirstColumn="0" w:lastRowLastColumn="0"/>
          <w:trHeight w:val="207"/>
          <w:tblHeader/>
        </w:trPr>
        <w:tc>
          <w:tcPr>
            <w:tcW w:w="1400" w:type="dxa"/>
            <w:noWrap/>
            <w:hideMark/>
          </w:tcPr>
          <w:p w14:paraId="1026626B" w14:textId="77777777" w:rsidR="0099446A" w:rsidRPr="00925C4D" w:rsidRDefault="0099446A">
            <w:pPr>
              <w:pStyle w:val="Tabele"/>
              <w:jc w:val="center"/>
            </w:pPr>
          </w:p>
        </w:tc>
        <w:tc>
          <w:tcPr>
            <w:tcW w:w="985" w:type="dxa"/>
            <w:noWrap/>
            <w:hideMark/>
          </w:tcPr>
          <w:p w14:paraId="2B9A5A2B" w14:textId="77777777" w:rsidR="0099446A" w:rsidRPr="00925C4D" w:rsidRDefault="0099446A">
            <w:pPr>
              <w:pStyle w:val="Tabele"/>
              <w:jc w:val="center"/>
              <w:rPr>
                <w:bCs/>
              </w:rPr>
            </w:pPr>
            <w:r w:rsidRPr="00925C4D">
              <w:rPr>
                <w:bCs/>
              </w:rPr>
              <w:t>2005</w:t>
            </w:r>
          </w:p>
        </w:tc>
        <w:tc>
          <w:tcPr>
            <w:tcW w:w="985" w:type="dxa"/>
            <w:noWrap/>
            <w:hideMark/>
          </w:tcPr>
          <w:p w14:paraId="5B81FF68" w14:textId="77777777" w:rsidR="0099446A" w:rsidRPr="00925C4D" w:rsidRDefault="0099446A">
            <w:pPr>
              <w:pStyle w:val="Tabele"/>
              <w:jc w:val="center"/>
              <w:rPr>
                <w:bCs/>
              </w:rPr>
            </w:pPr>
            <w:r w:rsidRPr="00925C4D">
              <w:rPr>
                <w:bCs/>
              </w:rPr>
              <w:t>2010</w:t>
            </w:r>
          </w:p>
        </w:tc>
        <w:tc>
          <w:tcPr>
            <w:tcW w:w="986" w:type="dxa"/>
            <w:noWrap/>
            <w:hideMark/>
          </w:tcPr>
          <w:p w14:paraId="2530262E" w14:textId="77777777" w:rsidR="0099446A" w:rsidRPr="00925C4D" w:rsidRDefault="0099446A">
            <w:pPr>
              <w:pStyle w:val="Tabele"/>
              <w:jc w:val="center"/>
              <w:rPr>
                <w:bCs/>
              </w:rPr>
            </w:pPr>
            <w:r w:rsidRPr="00925C4D">
              <w:rPr>
                <w:bCs/>
              </w:rPr>
              <w:t>2015</w:t>
            </w:r>
          </w:p>
        </w:tc>
        <w:tc>
          <w:tcPr>
            <w:tcW w:w="987" w:type="dxa"/>
            <w:noWrap/>
            <w:hideMark/>
          </w:tcPr>
          <w:p w14:paraId="43356DAE" w14:textId="77777777" w:rsidR="0099446A" w:rsidRPr="00925C4D" w:rsidRDefault="0099446A">
            <w:pPr>
              <w:pStyle w:val="Tabele"/>
              <w:jc w:val="center"/>
              <w:rPr>
                <w:bCs/>
              </w:rPr>
            </w:pPr>
            <w:r w:rsidRPr="00925C4D">
              <w:rPr>
                <w:bCs/>
              </w:rPr>
              <w:t>2020</w:t>
            </w:r>
          </w:p>
        </w:tc>
        <w:tc>
          <w:tcPr>
            <w:tcW w:w="986" w:type="dxa"/>
            <w:noWrap/>
            <w:hideMark/>
          </w:tcPr>
          <w:p w14:paraId="73BD842D" w14:textId="77777777" w:rsidR="0099446A" w:rsidRPr="00925C4D" w:rsidRDefault="0099446A">
            <w:pPr>
              <w:pStyle w:val="Tabele"/>
              <w:jc w:val="center"/>
              <w:rPr>
                <w:bCs/>
              </w:rPr>
            </w:pPr>
            <w:r w:rsidRPr="00925C4D">
              <w:rPr>
                <w:bCs/>
              </w:rPr>
              <w:t>2025</w:t>
            </w:r>
          </w:p>
        </w:tc>
        <w:tc>
          <w:tcPr>
            <w:tcW w:w="986" w:type="dxa"/>
            <w:noWrap/>
            <w:hideMark/>
          </w:tcPr>
          <w:p w14:paraId="488495A1" w14:textId="77777777" w:rsidR="0099446A" w:rsidRPr="00925C4D" w:rsidRDefault="0099446A">
            <w:pPr>
              <w:pStyle w:val="Tabele"/>
              <w:jc w:val="center"/>
              <w:rPr>
                <w:bCs/>
              </w:rPr>
            </w:pPr>
            <w:r w:rsidRPr="00925C4D">
              <w:rPr>
                <w:bCs/>
              </w:rPr>
              <w:t>2030</w:t>
            </w:r>
          </w:p>
        </w:tc>
        <w:tc>
          <w:tcPr>
            <w:tcW w:w="987" w:type="dxa"/>
            <w:noWrap/>
            <w:hideMark/>
          </w:tcPr>
          <w:p w14:paraId="216D0EE4" w14:textId="77777777" w:rsidR="0099446A" w:rsidRPr="00925C4D" w:rsidRDefault="0099446A">
            <w:pPr>
              <w:pStyle w:val="Tabele"/>
              <w:jc w:val="center"/>
              <w:rPr>
                <w:bCs/>
              </w:rPr>
            </w:pPr>
            <w:r w:rsidRPr="00925C4D">
              <w:rPr>
                <w:bCs/>
              </w:rPr>
              <w:t>2035</w:t>
            </w:r>
          </w:p>
        </w:tc>
        <w:tc>
          <w:tcPr>
            <w:tcW w:w="986" w:type="dxa"/>
            <w:noWrap/>
            <w:hideMark/>
          </w:tcPr>
          <w:p w14:paraId="6FE10CA7" w14:textId="77777777" w:rsidR="0099446A" w:rsidRPr="00925C4D" w:rsidRDefault="0099446A">
            <w:pPr>
              <w:pStyle w:val="Tabele"/>
              <w:jc w:val="center"/>
              <w:rPr>
                <w:bCs/>
              </w:rPr>
            </w:pPr>
            <w:r w:rsidRPr="00925C4D">
              <w:rPr>
                <w:bCs/>
              </w:rPr>
              <w:t>2040</w:t>
            </w:r>
          </w:p>
        </w:tc>
      </w:tr>
      <w:tr w:rsidR="0099446A" w:rsidRPr="00925C4D" w14:paraId="6EEC2E41" w14:textId="77777777" w:rsidTr="002D791C">
        <w:trPr>
          <w:trHeight w:val="207"/>
        </w:trPr>
        <w:tc>
          <w:tcPr>
            <w:tcW w:w="1400" w:type="dxa"/>
            <w:vMerge w:val="restart"/>
            <w:noWrap/>
            <w:hideMark/>
          </w:tcPr>
          <w:p w14:paraId="527EF931" w14:textId="77777777" w:rsidR="0099446A" w:rsidRPr="0099446A" w:rsidRDefault="0099446A">
            <w:pPr>
              <w:pStyle w:val="Tabele"/>
              <w:rPr>
                <w:b/>
                <w:bCs/>
                <w:color w:val="auto"/>
                <w:szCs w:val="16"/>
              </w:rPr>
            </w:pPr>
            <w:r w:rsidRPr="0099446A">
              <w:rPr>
                <w:b/>
                <w:bCs/>
                <w:color w:val="auto"/>
                <w:szCs w:val="16"/>
              </w:rPr>
              <w:t xml:space="preserve">Energia elektryczna* </w:t>
            </w:r>
          </w:p>
        </w:tc>
        <w:tc>
          <w:tcPr>
            <w:tcW w:w="985" w:type="dxa"/>
            <w:noWrap/>
          </w:tcPr>
          <w:p w14:paraId="6C2AAA16" w14:textId="77777777" w:rsidR="0099446A" w:rsidRPr="0099446A" w:rsidRDefault="0099446A">
            <w:pPr>
              <w:pStyle w:val="Tabele"/>
              <w:rPr>
                <w:color w:val="auto"/>
                <w:sz w:val="14"/>
                <w:szCs w:val="14"/>
              </w:rPr>
            </w:pPr>
            <w:r w:rsidRPr="0099446A">
              <w:rPr>
                <w:color w:val="auto"/>
                <w:sz w:val="14"/>
                <w:szCs w:val="14"/>
              </w:rPr>
              <w:t>Niemcy</w:t>
            </w:r>
          </w:p>
        </w:tc>
        <w:tc>
          <w:tcPr>
            <w:tcW w:w="985" w:type="dxa"/>
            <w:noWrap/>
          </w:tcPr>
          <w:p w14:paraId="3BCBED4D"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195B7E9D" w14:textId="77777777" w:rsidR="0099446A" w:rsidRPr="0099446A" w:rsidRDefault="0099446A">
            <w:pPr>
              <w:pStyle w:val="Tabele"/>
              <w:rPr>
                <w:color w:val="auto"/>
                <w:sz w:val="14"/>
                <w:szCs w:val="14"/>
              </w:rPr>
            </w:pPr>
            <w:r w:rsidRPr="0099446A">
              <w:rPr>
                <w:color w:val="auto"/>
                <w:sz w:val="14"/>
                <w:szCs w:val="14"/>
              </w:rPr>
              <w:t>Szwecja</w:t>
            </w:r>
          </w:p>
        </w:tc>
        <w:tc>
          <w:tcPr>
            <w:tcW w:w="987" w:type="dxa"/>
            <w:noWrap/>
          </w:tcPr>
          <w:p w14:paraId="66150621" w14:textId="77777777" w:rsidR="0099446A" w:rsidRPr="0099446A" w:rsidRDefault="0099446A">
            <w:pPr>
              <w:pStyle w:val="Tabele"/>
              <w:rPr>
                <w:color w:val="auto"/>
                <w:sz w:val="14"/>
                <w:szCs w:val="14"/>
              </w:rPr>
            </w:pPr>
            <w:r w:rsidRPr="0099446A">
              <w:rPr>
                <w:color w:val="auto"/>
                <w:sz w:val="14"/>
                <w:szCs w:val="14"/>
              </w:rPr>
              <w:t>Szwecja</w:t>
            </w:r>
          </w:p>
        </w:tc>
        <w:tc>
          <w:tcPr>
            <w:tcW w:w="986" w:type="dxa"/>
            <w:noWrap/>
          </w:tcPr>
          <w:p w14:paraId="4F990990" w14:textId="77777777" w:rsidR="0099446A" w:rsidRPr="0099446A" w:rsidRDefault="0099446A">
            <w:pPr>
              <w:pStyle w:val="Tabele"/>
              <w:rPr>
                <w:color w:val="auto"/>
                <w:sz w:val="14"/>
                <w:szCs w:val="14"/>
              </w:rPr>
            </w:pPr>
            <w:r w:rsidRPr="0099446A">
              <w:rPr>
                <w:color w:val="auto"/>
                <w:sz w:val="14"/>
                <w:szCs w:val="14"/>
              </w:rPr>
              <w:t>Szwecja</w:t>
            </w:r>
          </w:p>
        </w:tc>
        <w:tc>
          <w:tcPr>
            <w:tcW w:w="986" w:type="dxa"/>
            <w:noWrap/>
          </w:tcPr>
          <w:p w14:paraId="3D10B088" w14:textId="77777777" w:rsidR="0099446A" w:rsidRPr="0099446A" w:rsidRDefault="0099446A">
            <w:pPr>
              <w:pStyle w:val="Tabele"/>
              <w:rPr>
                <w:color w:val="auto"/>
                <w:sz w:val="14"/>
                <w:szCs w:val="14"/>
              </w:rPr>
            </w:pPr>
            <w:r w:rsidRPr="0099446A">
              <w:rPr>
                <w:color w:val="auto"/>
                <w:sz w:val="14"/>
                <w:szCs w:val="14"/>
              </w:rPr>
              <w:t>Szwecja</w:t>
            </w:r>
          </w:p>
        </w:tc>
        <w:tc>
          <w:tcPr>
            <w:tcW w:w="987" w:type="dxa"/>
            <w:noWrap/>
          </w:tcPr>
          <w:p w14:paraId="4451155E" w14:textId="77777777" w:rsidR="0099446A" w:rsidRPr="0099446A" w:rsidRDefault="0099446A">
            <w:pPr>
              <w:pStyle w:val="Tabele"/>
              <w:rPr>
                <w:color w:val="auto"/>
                <w:sz w:val="14"/>
                <w:szCs w:val="14"/>
              </w:rPr>
            </w:pPr>
            <w:r w:rsidRPr="0099446A">
              <w:rPr>
                <w:color w:val="auto"/>
                <w:sz w:val="14"/>
                <w:szCs w:val="14"/>
              </w:rPr>
              <w:t>Szwecja</w:t>
            </w:r>
          </w:p>
        </w:tc>
        <w:tc>
          <w:tcPr>
            <w:tcW w:w="986" w:type="dxa"/>
            <w:noWrap/>
          </w:tcPr>
          <w:p w14:paraId="75AD8752" w14:textId="77777777" w:rsidR="0099446A" w:rsidRPr="0099446A" w:rsidRDefault="0099446A">
            <w:pPr>
              <w:pStyle w:val="Tabele"/>
              <w:rPr>
                <w:color w:val="auto"/>
                <w:sz w:val="14"/>
                <w:szCs w:val="14"/>
              </w:rPr>
            </w:pPr>
            <w:r w:rsidRPr="0099446A">
              <w:rPr>
                <w:color w:val="auto"/>
                <w:sz w:val="14"/>
                <w:szCs w:val="14"/>
              </w:rPr>
              <w:t>Szwecja</w:t>
            </w:r>
          </w:p>
        </w:tc>
      </w:tr>
      <w:tr w:rsidR="0099446A" w:rsidRPr="00925C4D" w14:paraId="37B04EAD" w14:textId="77777777" w:rsidTr="002D791C">
        <w:trPr>
          <w:trHeight w:val="207"/>
        </w:trPr>
        <w:tc>
          <w:tcPr>
            <w:tcW w:w="1400" w:type="dxa"/>
            <w:vMerge/>
            <w:hideMark/>
          </w:tcPr>
          <w:p w14:paraId="75B75B89" w14:textId="77777777" w:rsidR="0099446A" w:rsidRPr="0099446A" w:rsidRDefault="0099446A">
            <w:pPr>
              <w:pStyle w:val="Tabele"/>
              <w:rPr>
                <w:b/>
                <w:bCs/>
                <w:color w:val="auto"/>
                <w:szCs w:val="16"/>
              </w:rPr>
            </w:pPr>
          </w:p>
        </w:tc>
        <w:tc>
          <w:tcPr>
            <w:tcW w:w="985" w:type="dxa"/>
            <w:noWrap/>
          </w:tcPr>
          <w:p w14:paraId="163F9494" w14:textId="77777777" w:rsidR="0099446A" w:rsidRPr="0099446A" w:rsidRDefault="0099446A">
            <w:pPr>
              <w:pStyle w:val="Tabele"/>
              <w:rPr>
                <w:color w:val="auto"/>
                <w:sz w:val="14"/>
                <w:szCs w:val="14"/>
              </w:rPr>
            </w:pPr>
            <w:r w:rsidRPr="0099446A">
              <w:rPr>
                <w:color w:val="auto"/>
                <w:sz w:val="14"/>
                <w:szCs w:val="14"/>
              </w:rPr>
              <w:t>Ukraina</w:t>
            </w:r>
          </w:p>
        </w:tc>
        <w:tc>
          <w:tcPr>
            <w:tcW w:w="985" w:type="dxa"/>
            <w:noWrap/>
          </w:tcPr>
          <w:p w14:paraId="2033A458" w14:textId="77777777" w:rsidR="0099446A" w:rsidRPr="0099446A" w:rsidRDefault="0099446A">
            <w:pPr>
              <w:pStyle w:val="Tabele"/>
              <w:rPr>
                <w:color w:val="auto"/>
                <w:sz w:val="14"/>
                <w:szCs w:val="14"/>
              </w:rPr>
            </w:pPr>
            <w:r w:rsidRPr="0099446A">
              <w:rPr>
                <w:color w:val="auto"/>
                <w:sz w:val="14"/>
                <w:szCs w:val="14"/>
              </w:rPr>
              <w:t>Szwecja</w:t>
            </w:r>
          </w:p>
        </w:tc>
        <w:tc>
          <w:tcPr>
            <w:tcW w:w="986" w:type="dxa"/>
            <w:noWrap/>
          </w:tcPr>
          <w:p w14:paraId="78348EBE" w14:textId="77777777" w:rsidR="0099446A" w:rsidRPr="0099446A" w:rsidRDefault="0099446A">
            <w:pPr>
              <w:pStyle w:val="Tabele"/>
              <w:rPr>
                <w:color w:val="auto"/>
                <w:sz w:val="14"/>
                <w:szCs w:val="14"/>
              </w:rPr>
            </w:pPr>
            <w:r w:rsidRPr="0099446A">
              <w:rPr>
                <w:color w:val="auto"/>
                <w:sz w:val="14"/>
                <w:szCs w:val="14"/>
              </w:rPr>
              <w:t>Niemcy</w:t>
            </w:r>
          </w:p>
        </w:tc>
        <w:tc>
          <w:tcPr>
            <w:tcW w:w="987" w:type="dxa"/>
            <w:noWrap/>
          </w:tcPr>
          <w:p w14:paraId="135519DE"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42CE2374"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7932EFC1" w14:textId="77777777" w:rsidR="0099446A" w:rsidRPr="0099446A" w:rsidRDefault="0099446A">
            <w:pPr>
              <w:pStyle w:val="Tabele"/>
              <w:rPr>
                <w:color w:val="auto"/>
                <w:sz w:val="14"/>
                <w:szCs w:val="14"/>
              </w:rPr>
            </w:pPr>
            <w:r w:rsidRPr="0099446A">
              <w:rPr>
                <w:color w:val="auto"/>
                <w:sz w:val="14"/>
                <w:szCs w:val="14"/>
              </w:rPr>
              <w:t>Niemcy</w:t>
            </w:r>
          </w:p>
        </w:tc>
        <w:tc>
          <w:tcPr>
            <w:tcW w:w="987" w:type="dxa"/>
            <w:noWrap/>
          </w:tcPr>
          <w:p w14:paraId="3224BE6B"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46A9D9B9" w14:textId="77777777" w:rsidR="0099446A" w:rsidRPr="0099446A" w:rsidRDefault="0099446A">
            <w:pPr>
              <w:pStyle w:val="Tabele"/>
              <w:rPr>
                <w:color w:val="auto"/>
                <w:sz w:val="14"/>
                <w:szCs w:val="14"/>
              </w:rPr>
            </w:pPr>
            <w:r w:rsidRPr="0099446A">
              <w:rPr>
                <w:color w:val="auto"/>
                <w:sz w:val="14"/>
                <w:szCs w:val="14"/>
              </w:rPr>
              <w:t>Niemcy</w:t>
            </w:r>
          </w:p>
        </w:tc>
      </w:tr>
      <w:tr w:rsidR="0099446A" w:rsidRPr="00925C4D" w14:paraId="5B288EE9" w14:textId="77777777" w:rsidTr="002D791C">
        <w:trPr>
          <w:trHeight w:val="207"/>
        </w:trPr>
        <w:tc>
          <w:tcPr>
            <w:tcW w:w="1400" w:type="dxa"/>
            <w:vMerge/>
            <w:hideMark/>
          </w:tcPr>
          <w:p w14:paraId="01C7235C" w14:textId="77777777" w:rsidR="0099446A" w:rsidRPr="0099446A" w:rsidRDefault="0099446A">
            <w:pPr>
              <w:pStyle w:val="Tabele"/>
              <w:rPr>
                <w:b/>
                <w:bCs/>
                <w:color w:val="auto"/>
                <w:szCs w:val="16"/>
              </w:rPr>
            </w:pPr>
          </w:p>
        </w:tc>
        <w:tc>
          <w:tcPr>
            <w:tcW w:w="985" w:type="dxa"/>
            <w:noWrap/>
          </w:tcPr>
          <w:p w14:paraId="4FA43219" w14:textId="77777777" w:rsidR="0099446A" w:rsidRPr="0099446A" w:rsidRDefault="0099446A">
            <w:pPr>
              <w:pStyle w:val="Tabele"/>
              <w:rPr>
                <w:color w:val="auto"/>
                <w:sz w:val="14"/>
                <w:szCs w:val="14"/>
              </w:rPr>
            </w:pPr>
            <w:r w:rsidRPr="0099446A">
              <w:rPr>
                <w:color w:val="auto"/>
                <w:sz w:val="14"/>
                <w:szCs w:val="14"/>
              </w:rPr>
              <w:t>Białoruś</w:t>
            </w:r>
          </w:p>
        </w:tc>
        <w:tc>
          <w:tcPr>
            <w:tcW w:w="985" w:type="dxa"/>
            <w:noWrap/>
          </w:tcPr>
          <w:p w14:paraId="6922D355" w14:textId="77777777" w:rsidR="0099446A" w:rsidRPr="0099446A" w:rsidRDefault="0099446A">
            <w:pPr>
              <w:pStyle w:val="Tabele"/>
              <w:rPr>
                <w:color w:val="auto"/>
                <w:sz w:val="14"/>
                <w:szCs w:val="14"/>
              </w:rPr>
            </w:pPr>
            <w:r w:rsidRPr="0099446A">
              <w:rPr>
                <w:color w:val="auto"/>
                <w:sz w:val="14"/>
                <w:szCs w:val="14"/>
              </w:rPr>
              <w:t>Czechy</w:t>
            </w:r>
          </w:p>
        </w:tc>
        <w:tc>
          <w:tcPr>
            <w:tcW w:w="986" w:type="dxa"/>
            <w:noWrap/>
          </w:tcPr>
          <w:p w14:paraId="78124415" w14:textId="77777777" w:rsidR="0099446A" w:rsidRPr="0099446A" w:rsidRDefault="0099446A">
            <w:pPr>
              <w:pStyle w:val="Tabele"/>
              <w:rPr>
                <w:color w:val="auto"/>
                <w:sz w:val="14"/>
                <w:szCs w:val="14"/>
              </w:rPr>
            </w:pPr>
            <w:r w:rsidRPr="0099446A">
              <w:rPr>
                <w:color w:val="auto"/>
                <w:sz w:val="14"/>
                <w:szCs w:val="14"/>
              </w:rPr>
              <w:t>Czechy</w:t>
            </w:r>
          </w:p>
        </w:tc>
        <w:tc>
          <w:tcPr>
            <w:tcW w:w="987" w:type="dxa"/>
            <w:noWrap/>
          </w:tcPr>
          <w:p w14:paraId="6FCAE285" w14:textId="77777777" w:rsidR="0099446A" w:rsidRPr="0099446A" w:rsidRDefault="0099446A">
            <w:pPr>
              <w:pStyle w:val="Tabele"/>
              <w:rPr>
                <w:color w:val="auto"/>
                <w:sz w:val="14"/>
                <w:szCs w:val="14"/>
              </w:rPr>
            </w:pPr>
            <w:r w:rsidRPr="0099446A">
              <w:rPr>
                <w:color w:val="auto"/>
                <w:sz w:val="14"/>
                <w:szCs w:val="14"/>
              </w:rPr>
              <w:t>Litwa</w:t>
            </w:r>
          </w:p>
        </w:tc>
        <w:tc>
          <w:tcPr>
            <w:tcW w:w="986" w:type="dxa"/>
            <w:noWrap/>
          </w:tcPr>
          <w:p w14:paraId="5561031F" w14:textId="77777777" w:rsidR="0099446A" w:rsidRPr="0099446A" w:rsidRDefault="0099446A">
            <w:pPr>
              <w:pStyle w:val="Tabele"/>
              <w:rPr>
                <w:color w:val="auto"/>
                <w:sz w:val="14"/>
                <w:szCs w:val="14"/>
              </w:rPr>
            </w:pPr>
            <w:r w:rsidRPr="0099446A">
              <w:rPr>
                <w:color w:val="auto"/>
                <w:sz w:val="14"/>
                <w:szCs w:val="14"/>
              </w:rPr>
              <w:t>Litwa</w:t>
            </w:r>
          </w:p>
        </w:tc>
        <w:tc>
          <w:tcPr>
            <w:tcW w:w="986" w:type="dxa"/>
            <w:noWrap/>
          </w:tcPr>
          <w:p w14:paraId="05C1B161" w14:textId="77777777" w:rsidR="0099446A" w:rsidRPr="0099446A" w:rsidRDefault="0099446A">
            <w:pPr>
              <w:pStyle w:val="Tabele"/>
              <w:rPr>
                <w:color w:val="auto"/>
                <w:sz w:val="14"/>
                <w:szCs w:val="14"/>
              </w:rPr>
            </w:pPr>
            <w:r w:rsidRPr="0099446A">
              <w:rPr>
                <w:color w:val="auto"/>
                <w:sz w:val="14"/>
                <w:szCs w:val="14"/>
              </w:rPr>
              <w:t>Litwa</w:t>
            </w:r>
          </w:p>
        </w:tc>
        <w:tc>
          <w:tcPr>
            <w:tcW w:w="987" w:type="dxa"/>
            <w:noWrap/>
          </w:tcPr>
          <w:p w14:paraId="72BE860A" w14:textId="77777777" w:rsidR="0099446A" w:rsidRPr="0099446A" w:rsidRDefault="0099446A">
            <w:pPr>
              <w:pStyle w:val="Tabele"/>
              <w:rPr>
                <w:color w:val="auto"/>
                <w:sz w:val="14"/>
                <w:szCs w:val="14"/>
              </w:rPr>
            </w:pPr>
            <w:r w:rsidRPr="0099446A">
              <w:rPr>
                <w:color w:val="auto"/>
                <w:sz w:val="14"/>
                <w:szCs w:val="14"/>
              </w:rPr>
              <w:t>Litwa</w:t>
            </w:r>
          </w:p>
        </w:tc>
        <w:tc>
          <w:tcPr>
            <w:tcW w:w="986" w:type="dxa"/>
            <w:noWrap/>
          </w:tcPr>
          <w:p w14:paraId="1229297E" w14:textId="77777777" w:rsidR="0099446A" w:rsidRPr="0099446A" w:rsidRDefault="0099446A">
            <w:pPr>
              <w:pStyle w:val="Tabele"/>
              <w:rPr>
                <w:color w:val="auto"/>
                <w:sz w:val="14"/>
                <w:szCs w:val="14"/>
              </w:rPr>
            </w:pPr>
            <w:r w:rsidRPr="0099446A">
              <w:rPr>
                <w:color w:val="auto"/>
                <w:sz w:val="14"/>
                <w:szCs w:val="14"/>
              </w:rPr>
              <w:t>Litwa</w:t>
            </w:r>
          </w:p>
        </w:tc>
      </w:tr>
      <w:tr w:rsidR="0099446A" w:rsidRPr="00925C4D" w14:paraId="1AF3B4E2" w14:textId="77777777" w:rsidTr="002D791C">
        <w:trPr>
          <w:trHeight w:val="207"/>
        </w:trPr>
        <w:tc>
          <w:tcPr>
            <w:tcW w:w="1400" w:type="dxa"/>
            <w:vMerge w:val="restart"/>
            <w:noWrap/>
            <w:hideMark/>
          </w:tcPr>
          <w:p w14:paraId="3DFF5936" w14:textId="77777777" w:rsidR="0099446A" w:rsidRPr="0099446A" w:rsidRDefault="0099446A">
            <w:pPr>
              <w:pStyle w:val="Tabele"/>
              <w:rPr>
                <w:b/>
                <w:bCs/>
                <w:color w:val="auto"/>
                <w:szCs w:val="16"/>
              </w:rPr>
            </w:pPr>
            <w:r w:rsidRPr="0099446A">
              <w:rPr>
                <w:b/>
                <w:bCs/>
                <w:color w:val="auto"/>
                <w:szCs w:val="16"/>
              </w:rPr>
              <w:t>Węgiel kamienny</w:t>
            </w:r>
          </w:p>
        </w:tc>
        <w:tc>
          <w:tcPr>
            <w:tcW w:w="985" w:type="dxa"/>
            <w:noWrap/>
          </w:tcPr>
          <w:p w14:paraId="080E3AEC" w14:textId="77777777" w:rsidR="0099446A" w:rsidRPr="0099446A" w:rsidRDefault="0099446A">
            <w:pPr>
              <w:pStyle w:val="Tabele"/>
              <w:rPr>
                <w:color w:val="auto"/>
                <w:sz w:val="14"/>
                <w:szCs w:val="14"/>
              </w:rPr>
            </w:pPr>
            <w:r w:rsidRPr="0099446A">
              <w:rPr>
                <w:color w:val="auto"/>
                <w:sz w:val="14"/>
                <w:szCs w:val="14"/>
              </w:rPr>
              <w:t>Rosja</w:t>
            </w:r>
          </w:p>
        </w:tc>
        <w:tc>
          <w:tcPr>
            <w:tcW w:w="985" w:type="dxa"/>
            <w:noWrap/>
          </w:tcPr>
          <w:p w14:paraId="24F71C18" w14:textId="77777777" w:rsidR="0099446A" w:rsidRPr="0099446A" w:rsidRDefault="0099446A">
            <w:pPr>
              <w:pStyle w:val="Tabele"/>
              <w:rPr>
                <w:color w:val="auto"/>
                <w:sz w:val="14"/>
                <w:szCs w:val="14"/>
              </w:rPr>
            </w:pPr>
            <w:r w:rsidRPr="0099446A">
              <w:rPr>
                <w:color w:val="auto"/>
                <w:sz w:val="14"/>
                <w:szCs w:val="14"/>
              </w:rPr>
              <w:t>Rosja</w:t>
            </w:r>
          </w:p>
        </w:tc>
        <w:tc>
          <w:tcPr>
            <w:tcW w:w="986" w:type="dxa"/>
            <w:noWrap/>
          </w:tcPr>
          <w:p w14:paraId="36FD8C93" w14:textId="77777777" w:rsidR="0099446A" w:rsidRPr="0099446A" w:rsidRDefault="0099446A">
            <w:pPr>
              <w:pStyle w:val="Tabele"/>
              <w:rPr>
                <w:color w:val="auto"/>
                <w:sz w:val="14"/>
                <w:szCs w:val="14"/>
              </w:rPr>
            </w:pPr>
            <w:r w:rsidRPr="0099446A">
              <w:rPr>
                <w:color w:val="auto"/>
                <w:sz w:val="14"/>
                <w:szCs w:val="14"/>
              </w:rPr>
              <w:t>Rosja</w:t>
            </w:r>
          </w:p>
        </w:tc>
        <w:tc>
          <w:tcPr>
            <w:tcW w:w="987" w:type="dxa"/>
            <w:noWrap/>
          </w:tcPr>
          <w:p w14:paraId="3806C4A9" w14:textId="77777777" w:rsidR="0099446A" w:rsidRPr="0099446A" w:rsidRDefault="0099446A">
            <w:pPr>
              <w:pStyle w:val="Tabele"/>
              <w:rPr>
                <w:color w:val="auto"/>
                <w:sz w:val="14"/>
                <w:szCs w:val="14"/>
              </w:rPr>
            </w:pPr>
            <w:r w:rsidRPr="0099446A">
              <w:rPr>
                <w:color w:val="auto"/>
                <w:sz w:val="14"/>
                <w:szCs w:val="14"/>
              </w:rPr>
              <w:t>Rosja</w:t>
            </w:r>
          </w:p>
        </w:tc>
        <w:tc>
          <w:tcPr>
            <w:tcW w:w="986" w:type="dxa"/>
            <w:noWrap/>
          </w:tcPr>
          <w:p w14:paraId="76B35864" w14:textId="77777777" w:rsidR="0099446A" w:rsidRPr="0099446A" w:rsidRDefault="0099446A">
            <w:pPr>
              <w:pStyle w:val="Tabele"/>
              <w:rPr>
                <w:color w:val="auto"/>
                <w:sz w:val="14"/>
                <w:szCs w:val="14"/>
              </w:rPr>
            </w:pPr>
            <w:r w:rsidRPr="0099446A">
              <w:rPr>
                <w:color w:val="auto"/>
                <w:sz w:val="14"/>
                <w:szCs w:val="14"/>
              </w:rPr>
              <w:t>RPA</w:t>
            </w:r>
          </w:p>
        </w:tc>
        <w:tc>
          <w:tcPr>
            <w:tcW w:w="986" w:type="dxa"/>
            <w:noWrap/>
          </w:tcPr>
          <w:p w14:paraId="5952DBBA" w14:textId="77777777" w:rsidR="0099446A" w:rsidRPr="0099446A" w:rsidRDefault="0099446A">
            <w:pPr>
              <w:pStyle w:val="Tabele"/>
              <w:rPr>
                <w:color w:val="auto"/>
                <w:sz w:val="14"/>
                <w:szCs w:val="14"/>
              </w:rPr>
            </w:pPr>
            <w:r w:rsidRPr="0099446A">
              <w:rPr>
                <w:color w:val="auto"/>
                <w:sz w:val="14"/>
                <w:szCs w:val="14"/>
              </w:rPr>
              <w:t>Australia</w:t>
            </w:r>
          </w:p>
        </w:tc>
        <w:tc>
          <w:tcPr>
            <w:tcW w:w="987" w:type="dxa"/>
            <w:noWrap/>
          </w:tcPr>
          <w:p w14:paraId="5AC461E2" w14:textId="77777777" w:rsidR="0099446A" w:rsidRPr="0099446A" w:rsidRDefault="0099446A">
            <w:pPr>
              <w:pStyle w:val="Tabele"/>
              <w:rPr>
                <w:color w:val="auto"/>
                <w:sz w:val="14"/>
                <w:szCs w:val="14"/>
              </w:rPr>
            </w:pPr>
            <w:r w:rsidRPr="0099446A">
              <w:rPr>
                <w:color w:val="auto"/>
                <w:sz w:val="14"/>
                <w:szCs w:val="14"/>
              </w:rPr>
              <w:t>Australia</w:t>
            </w:r>
          </w:p>
        </w:tc>
        <w:tc>
          <w:tcPr>
            <w:tcW w:w="986" w:type="dxa"/>
            <w:noWrap/>
          </w:tcPr>
          <w:p w14:paraId="3AEC09D9" w14:textId="77777777" w:rsidR="0099446A" w:rsidRPr="0099446A" w:rsidRDefault="0099446A">
            <w:pPr>
              <w:pStyle w:val="Tabele"/>
              <w:rPr>
                <w:color w:val="auto"/>
                <w:sz w:val="14"/>
                <w:szCs w:val="14"/>
              </w:rPr>
            </w:pPr>
            <w:r w:rsidRPr="0099446A">
              <w:rPr>
                <w:color w:val="auto"/>
                <w:sz w:val="14"/>
                <w:szCs w:val="14"/>
              </w:rPr>
              <w:t>Australia</w:t>
            </w:r>
          </w:p>
        </w:tc>
      </w:tr>
      <w:tr w:rsidR="0099446A" w:rsidRPr="00925C4D" w14:paraId="6BFE4F9D" w14:textId="77777777" w:rsidTr="002D791C">
        <w:trPr>
          <w:trHeight w:val="207"/>
        </w:trPr>
        <w:tc>
          <w:tcPr>
            <w:tcW w:w="1400" w:type="dxa"/>
            <w:vMerge/>
            <w:hideMark/>
          </w:tcPr>
          <w:p w14:paraId="126EF67B" w14:textId="77777777" w:rsidR="0099446A" w:rsidRPr="0099446A" w:rsidRDefault="0099446A">
            <w:pPr>
              <w:pStyle w:val="Tabele"/>
              <w:rPr>
                <w:b/>
                <w:bCs/>
                <w:color w:val="auto"/>
                <w:szCs w:val="16"/>
              </w:rPr>
            </w:pPr>
          </w:p>
        </w:tc>
        <w:tc>
          <w:tcPr>
            <w:tcW w:w="985" w:type="dxa"/>
            <w:noWrap/>
          </w:tcPr>
          <w:p w14:paraId="45F27EE3" w14:textId="77777777" w:rsidR="0099446A" w:rsidRPr="0099446A" w:rsidRDefault="0099446A">
            <w:pPr>
              <w:pStyle w:val="Tabele"/>
              <w:rPr>
                <w:color w:val="auto"/>
                <w:sz w:val="14"/>
                <w:szCs w:val="14"/>
              </w:rPr>
            </w:pPr>
            <w:r w:rsidRPr="0099446A">
              <w:rPr>
                <w:color w:val="auto"/>
                <w:sz w:val="14"/>
                <w:szCs w:val="14"/>
              </w:rPr>
              <w:t>Ukraina</w:t>
            </w:r>
          </w:p>
        </w:tc>
        <w:tc>
          <w:tcPr>
            <w:tcW w:w="985" w:type="dxa"/>
            <w:noWrap/>
          </w:tcPr>
          <w:p w14:paraId="02FA98C5" w14:textId="77777777" w:rsidR="0099446A" w:rsidRPr="0099446A" w:rsidRDefault="0099446A">
            <w:pPr>
              <w:pStyle w:val="Tabele"/>
              <w:rPr>
                <w:color w:val="auto"/>
                <w:sz w:val="14"/>
                <w:szCs w:val="14"/>
              </w:rPr>
            </w:pPr>
            <w:r w:rsidRPr="0099446A">
              <w:rPr>
                <w:color w:val="auto"/>
                <w:sz w:val="14"/>
                <w:szCs w:val="14"/>
              </w:rPr>
              <w:t>Czechy</w:t>
            </w:r>
          </w:p>
        </w:tc>
        <w:tc>
          <w:tcPr>
            <w:tcW w:w="986" w:type="dxa"/>
            <w:noWrap/>
          </w:tcPr>
          <w:p w14:paraId="62C369EC" w14:textId="77777777" w:rsidR="0099446A" w:rsidRPr="0099446A" w:rsidRDefault="0099446A">
            <w:pPr>
              <w:pStyle w:val="Tabele"/>
              <w:rPr>
                <w:color w:val="auto"/>
                <w:sz w:val="14"/>
                <w:szCs w:val="14"/>
              </w:rPr>
            </w:pPr>
            <w:r w:rsidRPr="0099446A">
              <w:rPr>
                <w:color w:val="auto"/>
                <w:sz w:val="14"/>
                <w:szCs w:val="14"/>
              </w:rPr>
              <w:t>Czechy</w:t>
            </w:r>
          </w:p>
        </w:tc>
        <w:tc>
          <w:tcPr>
            <w:tcW w:w="987" w:type="dxa"/>
            <w:noWrap/>
          </w:tcPr>
          <w:p w14:paraId="7DC370F4" w14:textId="77777777" w:rsidR="0099446A" w:rsidRPr="0099446A" w:rsidRDefault="0099446A">
            <w:pPr>
              <w:pStyle w:val="Tabele"/>
              <w:rPr>
                <w:color w:val="auto"/>
                <w:sz w:val="14"/>
                <w:szCs w:val="14"/>
              </w:rPr>
            </w:pPr>
            <w:r w:rsidRPr="0099446A">
              <w:rPr>
                <w:color w:val="auto"/>
                <w:sz w:val="14"/>
                <w:szCs w:val="14"/>
              </w:rPr>
              <w:t>Australia</w:t>
            </w:r>
          </w:p>
        </w:tc>
        <w:tc>
          <w:tcPr>
            <w:tcW w:w="986" w:type="dxa"/>
            <w:noWrap/>
          </w:tcPr>
          <w:p w14:paraId="4DD138E6" w14:textId="77777777" w:rsidR="0099446A" w:rsidRPr="0099446A" w:rsidRDefault="0099446A">
            <w:pPr>
              <w:pStyle w:val="Tabele"/>
              <w:rPr>
                <w:color w:val="auto"/>
                <w:sz w:val="14"/>
                <w:szCs w:val="14"/>
              </w:rPr>
            </w:pPr>
            <w:r w:rsidRPr="0099446A">
              <w:rPr>
                <w:color w:val="auto"/>
                <w:sz w:val="14"/>
                <w:szCs w:val="14"/>
              </w:rPr>
              <w:t>Kolumbia</w:t>
            </w:r>
          </w:p>
        </w:tc>
        <w:tc>
          <w:tcPr>
            <w:tcW w:w="986" w:type="dxa"/>
            <w:noWrap/>
          </w:tcPr>
          <w:p w14:paraId="6E80BDEC" w14:textId="77777777" w:rsidR="0099446A" w:rsidRPr="0099446A" w:rsidRDefault="0099446A">
            <w:pPr>
              <w:pStyle w:val="Tabele"/>
              <w:rPr>
                <w:color w:val="auto"/>
                <w:sz w:val="14"/>
                <w:szCs w:val="14"/>
              </w:rPr>
            </w:pPr>
            <w:r w:rsidRPr="0099446A">
              <w:rPr>
                <w:color w:val="auto"/>
                <w:sz w:val="14"/>
                <w:szCs w:val="14"/>
              </w:rPr>
              <w:t>Kolumbia</w:t>
            </w:r>
          </w:p>
        </w:tc>
        <w:tc>
          <w:tcPr>
            <w:tcW w:w="987" w:type="dxa"/>
            <w:noWrap/>
          </w:tcPr>
          <w:p w14:paraId="5C02F5ED" w14:textId="77777777" w:rsidR="0099446A" w:rsidRPr="0099446A" w:rsidRDefault="0099446A">
            <w:pPr>
              <w:pStyle w:val="Tabele"/>
              <w:rPr>
                <w:color w:val="auto"/>
                <w:sz w:val="14"/>
                <w:szCs w:val="14"/>
              </w:rPr>
            </w:pPr>
            <w:r w:rsidRPr="0099446A">
              <w:rPr>
                <w:color w:val="auto"/>
                <w:sz w:val="14"/>
                <w:szCs w:val="14"/>
              </w:rPr>
              <w:t>Kolumbia</w:t>
            </w:r>
          </w:p>
        </w:tc>
        <w:tc>
          <w:tcPr>
            <w:tcW w:w="986" w:type="dxa"/>
            <w:noWrap/>
          </w:tcPr>
          <w:p w14:paraId="78A17437" w14:textId="77777777" w:rsidR="0099446A" w:rsidRPr="0099446A" w:rsidRDefault="0099446A">
            <w:pPr>
              <w:pStyle w:val="Tabele"/>
              <w:rPr>
                <w:color w:val="auto"/>
                <w:sz w:val="14"/>
                <w:szCs w:val="14"/>
              </w:rPr>
            </w:pPr>
            <w:r w:rsidRPr="0099446A">
              <w:rPr>
                <w:color w:val="auto"/>
                <w:sz w:val="14"/>
                <w:szCs w:val="14"/>
              </w:rPr>
              <w:t>Kolumbia</w:t>
            </w:r>
          </w:p>
        </w:tc>
      </w:tr>
      <w:tr w:rsidR="0099446A" w:rsidRPr="00925C4D" w14:paraId="39A4E475" w14:textId="77777777" w:rsidTr="002D791C">
        <w:trPr>
          <w:trHeight w:val="207"/>
        </w:trPr>
        <w:tc>
          <w:tcPr>
            <w:tcW w:w="1400" w:type="dxa"/>
            <w:vMerge/>
            <w:hideMark/>
          </w:tcPr>
          <w:p w14:paraId="16412137" w14:textId="77777777" w:rsidR="0099446A" w:rsidRPr="0099446A" w:rsidRDefault="0099446A">
            <w:pPr>
              <w:pStyle w:val="Tabele"/>
              <w:rPr>
                <w:b/>
                <w:bCs/>
                <w:color w:val="auto"/>
                <w:szCs w:val="16"/>
              </w:rPr>
            </w:pPr>
          </w:p>
        </w:tc>
        <w:tc>
          <w:tcPr>
            <w:tcW w:w="985" w:type="dxa"/>
            <w:noWrap/>
          </w:tcPr>
          <w:p w14:paraId="5BA3F31A" w14:textId="77777777" w:rsidR="0099446A" w:rsidRPr="0099446A" w:rsidRDefault="0099446A">
            <w:pPr>
              <w:pStyle w:val="Tabele"/>
              <w:rPr>
                <w:color w:val="auto"/>
                <w:sz w:val="14"/>
                <w:szCs w:val="14"/>
              </w:rPr>
            </w:pPr>
          </w:p>
        </w:tc>
        <w:tc>
          <w:tcPr>
            <w:tcW w:w="985" w:type="dxa"/>
            <w:noWrap/>
          </w:tcPr>
          <w:p w14:paraId="3BB20828" w14:textId="77777777" w:rsidR="0099446A" w:rsidRPr="0099446A" w:rsidRDefault="0099446A">
            <w:pPr>
              <w:pStyle w:val="Tabele"/>
              <w:rPr>
                <w:color w:val="auto"/>
                <w:sz w:val="14"/>
                <w:szCs w:val="14"/>
              </w:rPr>
            </w:pPr>
            <w:r w:rsidRPr="0099446A">
              <w:rPr>
                <w:color w:val="auto"/>
                <w:sz w:val="14"/>
                <w:szCs w:val="14"/>
              </w:rPr>
              <w:t>Ukraina</w:t>
            </w:r>
          </w:p>
        </w:tc>
        <w:tc>
          <w:tcPr>
            <w:tcW w:w="986" w:type="dxa"/>
            <w:noWrap/>
          </w:tcPr>
          <w:p w14:paraId="37EFCCF6" w14:textId="77777777" w:rsidR="0099446A" w:rsidRPr="0099446A" w:rsidRDefault="0099446A">
            <w:pPr>
              <w:pStyle w:val="Tabele"/>
              <w:rPr>
                <w:color w:val="auto"/>
                <w:sz w:val="14"/>
                <w:szCs w:val="14"/>
              </w:rPr>
            </w:pPr>
            <w:r w:rsidRPr="0099446A">
              <w:rPr>
                <w:color w:val="auto"/>
                <w:sz w:val="14"/>
                <w:szCs w:val="14"/>
              </w:rPr>
              <w:t>Kolumbia</w:t>
            </w:r>
          </w:p>
        </w:tc>
        <w:tc>
          <w:tcPr>
            <w:tcW w:w="987" w:type="dxa"/>
            <w:noWrap/>
          </w:tcPr>
          <w:p w14:paraId="0596B876" w14:textId="77777777" w:rsidR="0099446A" w:rsidRPr="0099446A" w:rsidRDefault="0099446A">
            <w:pPr>
              <w:pStyle w:val="Tabele"/>
              <w:rPr>
                <w:color w:val="auto"/>
                <w:sz w:val="14"/>
                <w:szCs w:val="14"/>
              </w:rPr>
            </w:pPr>
            <w:r w:rsidRPr="0099446A">
              <w:rPr>
                <w:color w:val="auto"/>
                <w:sz w:val="14"/>
                <w:szCs w:val="14"/>
              </w:rPr>
              <w:t>Kolumbia</w:t>
            </w:r>
          </w:p>
        </w:tc>
        <w:tc>
          <w:tcPr>
            <w:tcW w:w="986" w:type="dxa"/>
            <w:noWrap/>
          </w:tcPr>
          <w:p w14:paraId="022F3819" w14:textId="77777777" w:rsidR="0099446A" w:rsidRPr="0099446A" w:rsidRDefault="0099446A">
            <w:pPr>
              <w:pStyle w:val="Tabele"/>
              <w:rPr>
                <w:color w:val="auto"/>
                <w:sz w:val="14"/>
                <w:szCs w:val="14"/>
              </w:rPr>
            </w:pPr>
            <w:r w:rsidRPr="0099446A">
              <w:rPr>
                <w:color w:val="auto"/>
                <w:sz w:val="14"/>
                <w:szCs w:val="14"/>
              </w:rPr>
              <w:t>Kazachstan</w:t>
            </w:r>
          </w:p>
        </w:tc>
        <w:tc>
          <w:tcPr>
            <w:tcW w:w="986" w:type="dxa"/>
            <w:noWrap/>
          </w:tcPr>
          <w:p w14:paraId="6887D785" w14:textId="77777777" w:rsidR="0099446A" w:rsidRPr="0099446A" w:rsidRDefault="0099446A">
            <w:pPr>
              <w:pStyle w:val="Tabele"/>
              <w:rPr>
                <w:color w:val="auto"/>
                <w:sz w:val="14"/>
                <w:szCs w:val="14"/>
              </w:rPr>
            </w:pPr>
            <w:r w:rsidRPr="0099446A">
              <w:rPr>
                <w:color w:val="auto"/>
                <w:sz w:val="14"/>
                <w:szCs w:val="14"/>
              </w:rPr>
              <w:t>Kazachstan</w:t>
            </w:r>
          </w:p>
        </w:tc>
        <w:tc>
          <w:tcPr>
            <w:tcW w:w="987" w:type="dxa"/>
            <w:noWrap/>
          </w:tcPr>
          <w:p w14:paraId="3E63EB40" w14:textId="77777777" w:rsidR="0099446A" w:rsidRPr="0099446A" w:rsidRDefault="0099446A">
            <w:pPr>
              <w:pStyle w:val="Tabele"/>
              <w:rPr>
                <w:color w:val="auto"/>
                <w:sz w:val="14"/>
                <w:szCs w:val="14"/>
              </w:rPr>
            </w:pPr>
            <w:r w:rsidRPr="0099446A">
              <w:rPr>
                <w:color w:val="auto"/>
                <w:sz w:val="14"/>
                <w:szCs w:val="14"/>
              </w:rPr>
              <w:t>Kazachstan</w:t>
            </w:r>
          </w:p>
        </w:tc>
        <w:tc>
          <w:tcPr>
            <w:tcW w:w="986" w:type="dxa"/>
            <w:noWrap/>
          </w:tcPr>
          <w:p w14:paraId="1A44D03E" w14:textId="77777777" w:rsidR="0099446A" w:rsidRPr="0099446A" w:rsidRDefault="0099446A">
            <w:pPr>
              <w:pStyle w:val="Tabele"/>
              <w:rPr>
                <w:color w:val="auto"/>
                <w:sz w:val="14"/>
                <w:szCs w:val="14"/>
              </w:rPr>
            </w:pPr>
            <w:r w:rsidRPr="0099446A">
              <w:rPr>
                <w:color w:val="auto"/>
                <w:sz w:val="14"/>
                <w:szCs w:val="14"/>
              </w:rPr>
              <w:t>Kazachstan</w:t>
            </w:r>
          </w:p>
        </w:tc>
      </w:tr>
      <w:tr w:rsidR="0099446A" w:rsidRPr="00925C4D" w14:paraId="7D34A299" w14:textId="77777777" w:rsidTr="002D791C">
        <w:trPr>
          <w:trHeight w:val="207"/>
        </w:trPr>
        <w:tc>
          <w:tcPr>
            <w:tcW w:w="1400" w:type="dxa"/>
            <w:vMerge w:val="restart"/>
            <w:noWrap/>
            <w:hideMark/>
          </w:tcPr>
          <w:p w14:paraId="05DD2138" w14:textId="77777777" w:rsidR="0099446A" w:rsidRPr="0099446A" w:rsidRDefault="0099446A">
            <w:pPr>
              <w:pStyle w:val="Tabele"/>
              <w:rPr>
                <w:b/>
                <w:bCs/>
                <w:color w:val="auto"/>
                <w:szCs w:val="16"/>
              </w:rPr>
            </w:pPr>
            <w:r w:rsidRPr="0099446A">
              <w:rPr>
                <w:b/>
                <w:bCs/>
                <w:color w:val="auto"/>
                <w:szCs w:val="16"/>
              </w:rPr>
              <w:t>Węgiel kamienny koksujący</w:t>
            </w:r>
          </w:p>
        </w:tc>
        <w:tc>
          <w:tcPr>
            <w:tcW w:w="985" w:type="dxa"/>
            <w:noWrap/>
          </w:tcPr>
          <w:p w14:paraId="0F50041D" w14:textId="77777777" w:rsidR="0099446A" w:rsidRPr="0099446A" w:rsidRDefault="0099446A">
            <w:pPr>
              <w:pStyle w:val="Tabele"/>
              <w:rPr>
                <w:color w:val="auto"/>
                <w:sz w:val="14"/>
                <w:szCs w:val="14"/>
              </w:rPr>
            </w:pPr>
            <w:r w:rsidRPr="0099446A">
              <w:rPr>
                <w:color w:val="auto"/>
                <w:sz w:val="14"/>
                <w:szCs w:val="14"/>
              </w:rPr>
              <w:t xml:space="preserve">Czechy </w:t>
            </w:r>
          </w:p>
        </w:tc>
        <w:tc>
          <w:tcPr>
            <w:tcW w:w="985" w:type="dxa"/>
            <w:noWrap/>
          </w:tcPr>
          <w:p w14:paraId="0BBA8ACE" w14:textId="77777777" w:rsidR="0099446A" w:rsidRPr="0099446A" w:rsidRDefault="0099446A">
            <w:pPr>
              <w:pStyle w:val="Tabele"/>
              <w:rPr>
                <w:color w:val="auto"/>
                <w:sz w:val="14"/>
                <w:szCs w:val="14"/>
              </w:rPr>
            </w:pPr>
            <w:r w:rsidRPr="0099446A">
              <w:rPr>
                <w:color w:val="auto"/>
                <w:sz w:val="14"/>
                <w:szCs w:val="14"/>
              </w:rPr>
              <w:t xml:space="preserve">USA </w:t>
            </w:r>
          </w:p>
        </w:tc>
        <w:tc>
          <w:tcPr>
            <w:tcW w:w="986" w:type="dxa"/>
            <w:noWrap/>
          </w:tcPr>
          <w:p w14:paraId="0E6BB224" w14:textId="77777777" w:rsidR="0099446A" w:rsidRPr="0099446A" w:rsidRDefault="0099446A">
            <w:pPr>
              <w:pStyle w:val="Tabele"/>
              <w:rPr>
                <w:color w:val="auto"/>
                <w:sz w:val="14"/>
                <w:szCs w:val="14"/>
              </w:rPr>
            </w:pPr>
            <w:r w:rsidRPr="0099446A">
              <w:rPr>
                <w:color w:val="auto"/>
                <w:sz w:val="14"/>
                <w:szCs w:val="14"/>
              </w:rPr>
              <w:t>Australia</w:t>
            </w:r>
          </w:p>
        </w:tc>
        <w:tc>
          <w:tcPr>
            <w:tcW w:w="987" w:type="dxa"/>
            <w:noWrap/>
          </w:tcPr>
          <w:p w14:paraId="549DD67C" w14:textId="77777777" w:rsidR="0099446A" w:rsidRPr="0099446A" w:rsidRDefault="0099446A">
            <w:pPr>
              <w:pStyle w:val="Tabele"/>
              <w:rPr>
                <w:color w:val="auto"/>
                <w:sz w:val="14"/>
                <w:szCs w:val="14"/>
              </w:rPr>
            </w:pPr>
            <w:r w:rsidRPr="0099446A">
              <w:rPr>
                <w:color w:val="auto"/>
                <w:sz w:val="14"/>
                <w:szCs w:val="14"/>
              </w:rPr>
              <w:t>Australia</w:t>
            </w:r>
          </w:p>
        </w:tc>
        <w:tc>
          <w:tcPr>
            <w:tcW w:w="986" w:type="dxa"/>
            <w:noWrap/>
          </w:tcPr>
          <w:p w14:paraId="463A30DB" w14:textId="77777777" w:rsidR="0099446A" w:rsidRPr="0099446A" w:rsidRDefault="0099446A">
            <w:pPr>
              <w:pStyle w:val="Tabele"/>
              <w:rPr>
                <w:color w:val="auto"/>
                <w:sz w:val="14"/>
                <w:szCs w:val="14"/>
              </w:rPr>
            </w:pPr>
            <w:r w:rsidRPr="0099446A">
              <w:rPr>
                <w:color w:val="auto"/>
                <w:sz w:val="14"/>
                <w:szCs w:val="14"/>
              </w:rPr>
              <w:t>Australia</w:t>
            </w:r>
          </w:p>
        </w:tc>
        <w:tc>
          <w:tcPr>
            <w:tcW w:w="986" w:type="dxa"/>
            <w:noWrap/>
          </w:tcPr>
          <w:p w14:paraId="41712B48" w14:textId="77777777" w:rsidR="0099446A" w:rsidRPr="0099446A" w:rsidRDefault="0099446A">
            <w:pPr>
              <w:pStyle w:val="Tabele"/>
              <w:rPr>
                <w:color w:val="auto"/>
                <w:sz w:val="14"/>
                <w:szCs w:val="14"/>
              </w:rPr>
            </w:pPr>
            <w:r w:rsidRPr="0099446A">
              <w:rPr>
                <w:color w:val="auto"/>
                <w:sz w:val="14"/>
                <w:szCs w:val="14"/>
              </w:rPr>
              <w:t>Australia</w:t>
            </w:r>
          </w:p>
        </w:tc>
        <w:tc>
          <w:tcPr>
            <w:tcW w:w="987" w:type="dxa"/>
            <w:noWrap/>
          </w:tcPr>
          <w:p w14:paraId="2D964E50" w14:textId="77777777" w:rsidR="0099446A" w:rsidRPr="0099446A" w:rsidRDefault="0099446A">
            <w:pPr>
              <w:pStyle w:val="Tabele"/>
              <w:rPr>
                <w:color w:val="auto"/>
                <w:sz w:val="14"/>
                <w:szCs w:val="14"/>
              </w:rPr>
            </w:pPr>
            <w:r w:rsidRPr="0099446A">
              <w:rPr>
                <w:color w:val="auto"/>
                <w:sz w:val="14"/>
                <w:szCs w:val="14"/>
              </w:rPr>
              <w:t>Australia</w:t>
            </w:r>
          </w:p>
        </w:tc>
        <w:tc>
          <w:tcPr>
            <w:tcW w:w="986" w:type="dxa"/>
            <w:noWrap/>
          </w:tcPr>
          <w:p w14:paraId="7A470EC7" w14:textId="77777777" w:rsidR="0099446A" w:rsidRPr="0099446A" w:rsidRDefault="0099446A">
            <w:pPr>
              <w:pStyle w:val="Tabele"/>
              <w:rPr>
                <w:color w:val="auto"/>
                <w:sz w:val="14"/>
                <w:szCs w:val="14"/>
              </w:rPr>
            </w:pPr>
            <w:r w:rsidRPr="0099446A">
              <w:rPr>
                <w:color w:val="auto"/>
                <w:sz w:val="14"/>
                <w:szCs w:val="14"/>
              </w:rPr>
              <w:t>Australia</w:t>
            </w:r>
          </w:p>
        </w:tc>
      </w:tr>
      <w:tr w:rsidR="0099446A" w:rsidRPr="00925C4D" w14:paraId="07BA21AF" w14:textId="77777777" w:rsidTr="002D791C">
        <w:trPr>
          <w:trHeight w:val="207"/>
        </w:trPr>
        <w:tc>
          <w:tcPr>
            <w:tcW w:w="1400" w:type="dxa"/>
            <w:vMerge/>
            <w:hideMark/>
          </w:tcPr>
          <w:p w14:paraId="674EB5F3" w14:textId="77777777" w:rsidR="0099446A" w:rsidRPr="0099446A" w:rsidRDefault="0099446A">
            <w:pPr>
              <w:pStyle w:val="Tabele"/>
              <w:rPr>
                <w:b/>
                <w:bCs/>
                <w:color w:val="auto"/>
                <w:szCs w:val="16"/>
              </w:rPr>
            </w:pPr>
          </w:p>
        </w:tc>
        <w:tc>
          <w:tcPr>
            <w:tcW w:w="985" w:type="dxa"/>
            <w:noWrap/>
          </w:tcPr>
          <w:p w14:paraId="51A71A8C" w14:textId="77777777" w:rsidR="0099446A" w:rsidRPr="0099446A" w:rsidRDefault="0099446A">
            <w:pPr>
              <w:pStyle w:val="Tabele"/>
              <w:rPr>
                <w:color w:val="auto"/>
                <w:sz w:val="14"/>
                <w:szCs w:val="14"/>
              </w:rPr>
            </w:pPr>
            <w:r w:rsidRPr="0099446A">
              <w:rPr>
                <w:color w:val="auto"/>
                <w:sz w:val="14"/>
                <w:szCs w:val="14"/>
              </w:rPr>
              <w:t>Australia</w:t>
            </w:r>
          </w:p>
        </w:tc>
        <w:tc>
          <w:tcPr>
            <w:tcW w:w="985" w:type="dxa"/>
            <w:noWrap/>
          </w:tcPr>
          <w:p w14:paraId="12B23C96" w14:textId="77777777" w:rsidR="0099446A" w:rsidRPr="0099446A" w:rsidRDefault="0099446A">
            <w:pPr>
              <w:pStyle w:val="Tabele"/>
              <w:rPr>
                <w:color w:val="auto"/>
                <w:sz w:val="14"/>
                <w:szCs w:val="14"/>
              </w:rPr>
            </w:pPr>
            <w:r w:rsidRPr="0099446A">
              <w:rPr>
                <w:color w:val="auto"/>
                <w:sz w:val="14"/>
                <w:szCs w:val="14"/>
              </w:rPr>
              <w:t>Czechy</w:t>
            </w:r>
          </w:p>
        </w:tc>
        <w:tc>
          <w:tcPr>
            <w:tcW w:w="986" w:type="dxa"/>
            <w:noWrap/>
          </w:tcPr>
          <w:p w14:paraId="5ACB0428" w14:textId="77777777" w:rsidR="0099446A" w:rsidRPr="0099446A" w:rsidRDefault="0099446A">
            <w:pPr>
              <w:pStyle w:val="Tabele"/>
              <w:rPr>
                <w:color w:val="auto"/>
                <w:sz w:val="14"/>
                <w:szCs w:val="14"/>
              </w:rPr>
            </w:pPr>
            <w:r w:rsidRPr="0099446A">
              <w:rPr>
                <w:color w:val="auto"/>
                <w:sz w:val="14"/>
                <w:szCs w:val="14"/>
              </w:rPr>
              <w:t>Czechy</w:t>
            </w:r>
          </w:p>
        </w:tc>
        <w:tc>
          <w:tcPr>
            <w:tcW w:w="987" w:type="dxa"/>
            <w:noWrap/>
          </w:tcPr>
          <w:p w14:paraId="396B5F2E" w14:textId="77777777" w:rsidR="0099446A" w:rsidRPr="0099446A" w:rsidRDefault="0099446A">
            <w:pPr>
              <w:pStyle w:val="Tabele"/>
              <w:rPr>
                <w:color w:val="auto"/>
                <w:sz w:val="14"/>
                <w:szCs w:val="14"/>
              </w:rPr>
            </w:pPr>
            <w:r w:rsidRPr="0099446A">
              <w:rPr>
                <w:color w:val="auto"/>
                <w:sz w:val="14"/>
                <w:szCs w:val="14"/>
              </w:rPr>
              <w:t>USA</w:t>
            </w:r>
          </w:p>
        </w:tc>
        <w:tc>
          <w:tcPr>
            <w:tcW w:w="986" w:type="dxa"/>
            <w:noWrap/>
          </w:tcPr>
          <w:p w14:paraId="672F29B8" w14:textId="77777777" w:rsidR="0099446A" w:rsidRPr="0099446A" w:rsidRDefault="0099446A">
            <w:pPr>
              <w:pStyle w:val="Tabele"/>
              <w:rPr>
                <w:color w:val="auto"/>
                <w:sz w:val="14"/>
                <w:szCs w:val="14"/>
              </w:rPr>
            </w:pPr>
            <w:r w:rsidRPr="0099446A">
              <w:rPr>
                <w:color w:val="auto"/>
                <w:sz w:val="14"/>
                <w:szCs w:val="14"/>
              </w:rPr>
              <w:t>USA</w:t>
            </w:r>
          </w:p>
        </w:tc>
        <w:tc>
          <w:tcPr>
            <w:tcW w:w="986" w:type="dxa"/>
            <w:noWrap/>
          </w:tcPr>
          <w:p w14:paraId="17607906" w14:textId="77777777" w:rsidR="0099446A" w:rsidRPr="0099446A" w:rsidRDefault="0099446A">
            <w:pPr>
              <w:pStyle w:val="Tabele"/>
              <w:rPr>
                <w:color w:val="auto"/>
                <w:sz w:val="14"/>
                <w:szCs w:val="14"/>
              </w:rPr>
            </w:pPr>
            <w:r w:rsidRPr="0099446A">
              <w:rPr>
                <w:color w:val="auto"/>
                <w:sz w:val="14"/>
                <w:szCs w:val="14"/>
              </w:rPr>
              <w:t>USA</w:t>
            </w:r>
          </w:p>
        </w:tc>
        <w:tc>
          <w:tcPr>
            <w:tcW w:w="987" w:type="dxa"/>
            <w:noWrap/>
          </w:tcPr>
          <w:p w14:paraId="6B0F9459" w14:textId="77777777" w:rsidR="0099446A" w:rsidRPr="0099446A" w:rsidRDefault="0099446A">
            <w:pPr>
              <w:pStyle w:val="Tabele"/>
              <w:rPr>
                <w:color w:val="auto"/>
                <w:sz w:val="14"/>
                <w:szCs w:val="14"/>
              </w:rPr>
            </w:pPr>
            <w:r w:rsidRPr="0099446A">
              <w:rPr>
                <w:color w:val="auto"/>
                <w:sz w:val="14"/>
                <w:szCs w:val="14"/>
              </w:rPr>
              <w:t>USA</w:t>
            </w:r>
          </w:p>
        </w:tc>
        <w:tc>
          <w:tcPr>
            <w:tcW w:w="986" w:type="dxa"/>
            <w:noWrap/>
          </w:tcPr>
          <w:p w14:paraId="4FBB0AE0" w14:textId="77777777" w:rsidR="0099446A" w:rsidRPr="0099446A" w:rsidRDefault="0099446A">
            <w:pPr>
              <w:pStyle w:val="Tabele"/>
              <w:rPr>
                <w:color w:val="auto"/>
                <w:sz w:val="14"/>
                <w:szCs w:val="14"/>
              </w:rPr>
            </w:pPr>
            <w:r w:rsidRPr="0099446A">
              <w:rPr>
                <w:color w:val="auto"/>
                <w:sz w:val="14"/>
                <w:szCs w:val="14"/>
              </w:rPr>
              <w:t>USA</w:t>
            </w:r>
          </w:p>
        </w:tc>
      </w:tr>
      <w:tr w:rsidR="0099446A" w:rsidRPr="00925C4D" w14:paraId="2286F3CE" w14:textId="77777777" w:rsidTr="002D791C">
        <w:trPr>
          <w:trHeight w:val="207"/>
        </w:trPr>
        <w:tc>
          <w:tcPr>
            <w:tcW w:w="1400" w:type="dxa"/>
            <w:vMerge/>
            <w:hideMark/>
          </w:tcPr>
          <w:p w14:paraId="0AAAE3D6" w14:textId="77777777" w:rsidR="0099446A" w:rsidRPr="0099446A" w:rsidRDefault="0099446A">
            <w:pPr>
              <w:pStyle w:val="Tabele"/>
              <w:rPr>
                <w:b/>
                <w:bCs/>
                <w:color w:val="auto"/>
                <w:szCs w:val="16"/>
              </w:rPr>
            </w:pPr>
          </w:p>
        </w:tc>
        <w:tc>
          <w:tcPr>
            <w:tcW w:w="985" w:type="dxa"/>
            <w:noWrap/>
          </w:tcPr>
          <w:p w14:paraId="58F33121" w14:textId="77777777" w:rsidR="0099446A" w:rsidRPr="0099446A" w:rsidRDefault="0099446A">
            <w:pPr>
              <w:pStyle w:val="Tabele"/>
              <w:rPr>
                <w:color w:val="auto"/>
                <w:sz w:val="14"/>
                <w:szCs w:val="14"/>
              </w:rPr>
            </w:pPr>
            <w:r w:rsidRPr="0099446A">
              <w:rPr>
                <w:color w:val="auto"/>
                <w:sz w:val="14"/>
                <w:szCs w:val="14"/>
              </w:rPr>
              <w:t>Niemcy</w:t>
            </w:r>
          </w:p>
        </w:tc>
        <w:tc>
          <w:tcPr>
            <w:tcW w:w="985" w:type="dxa"/>
            <w:noWrap/>
          </w:tcPr>
          <w:p w14:paraId="04B09529" w14:textId="77777777" w:rsidR="0099446A" w:rsidRPr="0099446A" w:rsidRDefault="0099446A">
            <w:pPr>
              <w:pStyle w:val="Tabele"/>
              <w:rPr>
                <w:color w:val="auto"/>
                <w:sz w:val="14"/>
                <w:szCs w:val="14"/>
              </w:rPr>
            </w:pPr>
            <w:r w:rsidRPr="0099446A">
              <w:rPr>
                <w:color w:val="auto"/>
                <w:sz w:val="14"/>
                <w:szCs w:val="14"/>
              </w:rPr>
              <w:t>Australia</w:t>
            </w:r>
          </w:p>
        </w:tc>
        <w:tc>
          <w:tcPr>
            <w:tcW w:w="986" w:type="dxa"/>
            <w:noWrap/>
          </w:tcPr>
          <w:p w14:paraId="0556F507" w14:textId="77777777" w:rsidR="0099446A" w:rsidRPr="0099446A" w:rsidRDefault="0099446A">
            <w:pPr>
              <w:pStyle w:val="Tabele"/>
              <w:rPr>
                <w:color w:val="auto"/>
                <w:sz w:val="14"/>
                <w:szCs w:val="14"/>
              </w:rPr>
            </w:pPr>
            <w:r w:rsidRPr="0099446A">
              <w:rPr>
                <w:color w:val="auto"/>
                <w:sz w:val="14"/>
                <w:szCs w:val="14"/>
              </w:rPr>
              <w:t>USA</w:t>
            </w:r>
          </w:p>
        </w:tc>
        <w:tc>
          <w:tcPr>
            <w:tcW w:w="987" w:type="dxa"/>
            <w:noWrap/>
          </w:tcPr>
          <w:p w14:paraId="7402CAAE" w14:textId="77777777" w:rsidR="0099446A" w:rsidRPr="0099446A" w:rsidRDefault="0099446A">
            <w:pPr>
              <w:pStyle w:val="Tabele"/>
              <w:rPr>
                <w:color w:val="auto"/>
                <w:sz w:val="14"/>
                <w:szCs w:val="14"/>
              </w:rPr>
            </w:pPr>
            <w:r w:rsidRPr="0099446A">
              <w:rPr>
                <w:color w:val="auto"/>
                <w:sz w:val="14"/>
                <w:szCs w:val="14"/>
              </w:rPr>
              <w:t>Rosja</w:t>
            </w:r>
          </w:p>
        </w:tc>
        <w:tc>
          <w:tcPr>
            <w:tcW w:w="986" w:type="dxa"/>
            <w:noWrap/>
          </w:tcPr>
          <w:p w14:paraId="2A267DCF" w14:textId="77777777" w:rsidR="0099446A" w:rsidRPr="0099446A" w:rsidRDefault="0099446A">
            <w:pPr>
              <w:pStyle w:val="Tabele"/>
              <w:rPr>
                <w:color w:val="auto"/>
                <w:sz w:val="14"/>
                <w:szCs w:val="14"/>
              </w:rPr>
            </w:pPr>
          </w:p>
        </w:tc>
        <w:tc>
          <w:tcPr>
            <w:tcW w:w="986" w:type="dxa"/>
            <w:noWrap/>
          </w:tcPr>
          <w:p w14:paraId="21B526C6" w14:textId="77777777" w:rsidR="0099446A" w:rsidRPr="0099446A" w:rsidRDefault="0099446A">
            <w:pPr>
              <w:pStyle w:val="Tabele"/>
              <w:rPr>
                <w:color w:val="auto"/>
                <w:sz w:val="14"/>
                <w:szCs w:val="14"/>
              </w:rPr>
            </w:pPr>
          </w:p>
        </w:tc>
        <w:tc>
          <w:tcPr>
            <w:tcW w:w="987" w:type="dxa"/>
            <w:noWrap/>
          </w:tcPr>
          <w:p w14:paraId="3D9D32BA" w14:textId="77777777" w:rsidR="0099446A" w:rsidRPr="0099446A" w:rsidRDefault="0099446A">
            <w:pPr>
              <w:pStyle w:val="Tabele"/>
              <w:rPr>
                <w:color w:val="auto"/>
                <w:sz w:val="14"/>
                <w:szCs w:val="14"/>
              </w:rPr>
            </w:pPr>
          </w:p>
        </w:tc>
        <w:tc>
          <w:tcPr>
            <w:tcW w:w="986" w:type="dxa"/>
            <w:noWrap/>
          </w:tcPr>
          <w:p w14:paraId="52AFD745" w14:textId="77777777" w:rsidR="0099446A" w:rsidRPr="0099446A" w:rsidRDefault="0099446A">
            <w:pPr>
              <w:pStyle w:val="Tabele"/>
              <w:rPr>
                <w:color w:val="auto"/>
                <w:sz w:val="14"/>
                <w:szCs w:val="14"/>
              </w:rPr>
            </w:pPr>
          </w:p>
        </w:tc>
      </w:tr>
      <w:tr w:rsidR="0099446A" w:rsidRPr="00925C4D" w14:paraId="2789B49D" w14:textId="77777777" w:rsidTr="002D791C">
        <w:trPr>
          <w:trHeight w:val="207"/>
        </w:trPr>
        <w:tc>
          <w:tcPr>
            <w:tcW w:w="1400" w:type="dxa"/>
            <w:vMerge w:val="restart"/>
            <w:noWrap/>
            <w:hideMark/>
          </w:tcPr>
          <w:p w14:paraId="2E43ECA5" w14:textId="77777777" w:rsidR="0099446A" w:rsidRPr="0099446A" w:rsidRDefault="0099446A">
            <w:pPr>
              <w:pStyle w:val="Tabele"/>
              <w:rPr>
                <w:b/>
                <w:bCs/>
                <w:color w:val="auto"/>
                <w:szCs w:val="16"/>
              </w:rPr>
            </w:pPr>
            <w:r w:rsidRPr="0099446A">
              <w:rPr>
                <w:b/>
                <w:bCs/>
                <w:color w:val="auto"/>
                <w:szCs w:val="16"/>
              </w:rPr>
              <w:t>Koks</w:t>
            </w:r>
          </w:p>
        </w:tc>
        <w:tc>
          <w:tcPr>
            <w:tcW w:w="985" w:type="dxa"/>
            <w:noWrap/>
          </w:tcPr>
          <w:p w14:paraId="7EDA425D" w14:textId="77777777" w:rsidR="0099446A" w:rsidRPr="0099446A" w:rsidRDefault="0099446A">
            <w:pPr>
              <w:pStyle w:val="Tabele"/>
              <w:rPr>
                <w:color w:val="auto"/>
                <w:sz w:val="14"/>
                <w:szCs w:val="14"/>
              </w:rPr>
            </w:pPr>
            <w:r w:rsidRPr="0099446A">
              <w:rPr>
                <w:color w:val="auto"/>
                <w:sz w:val="14"/>
                <w:szCs w:val="14"/>
              </w:rPr>
              <w:t xml:space="preserve">Czechy </w:t>
            </w:r>
          </w:p>
        </w:tc>
        <w:tc>
          <w:tcPr>
            <w:tcW w:w="985" w:type="dxa"/>
            <w:noWrap/>
          </w:tcPr>
          <w:p w14:paraId="1630F47B" w14:textId="77777777" w:rsidR="0099446A" w:rsidRPr="0099446A" w:rsidRDefault="0099446A">
            <w:pPr>
              <w:pStyle w:val="Tabele"/>
              <w:rPr>
                <w:color w:val="auto"/>
                <w:sz w:val="14"/>
                <w:szCs w:val="14"/>
              </w:rPr>
            </w:pPr>
            <w:r w:rsidRPr="0099446A">
              <w:rPr>
                <w:color w:val="auto"/>
                <w:sz w:val="14"/>
                <w:szCs w:val="14"/>
              </w:rPr>
              <w:t xml:space="preserve">Czechy </w:t>
            </w:r>
          </w:p>
        </w:tc>
        <w:tc>
          <w:tcPr>
            <w:tcW w:w="986" w:type="dxa"/>
            <w:noWrap/>
          </w:tcPr>
          <w:p w14:paraId="6F1FCE8C" w14:textId="77777777" w:rsidR="0099446A" w:rsidRPr="0099446A" w:rsidRDefault="0099446A">
            <w:pPr>
              <w:pStyle w:val="Tabele"/>
              <w:rPr>
                <w:color w:val="auto"/>
                <w:sz w:val="14"/>
                <w:szCs w:val="14"/>
              </w:rPr>
            </w:pPr>
            <w:r w:rsidRPr="0099446A">
              <w:rPr>
                <w:color w:val="auto"/>
                <w:sz w:val="14"/>
                <w:szCs w:val="14"/>
              </w:rPr>
              <w:t>Rosja</w:t>
            </w:r>
          </w:p>
        </w:tc>
        <w:tc>
          <w:tcPr>
            <w:tcW w:w="987" w:type="dxa"/>
            <w:noWrap/>
          </w:tcPr>
          <w:p w14:paraId="3243D615" w14:textId="77777777" w:rsidR="0099446A" w:rsidRPr="0099446A" w:rsidRDefault="0099446A">
            <w:pPr>
              <w:pStyle w:val="Tabele"/>
              <w:rPr>
                <w:color w:val="auto"/>
                <w:sz w:val="14"/>
                <w:szCs w:val="14"/>
              </w:rPr>
            </w:pPr>
            <w:r w:rsidRPr="0099446A">
              <w:rPr>
                <w:color w:val="auto"/>
                <w:sz w:val="14"/>
                <w:szCs w:val="14"/>
              </w:rPr>
              <w:t>Rosja</w:t>
            </w:r>
          </w:p>
        </w:tc>
        <w:tc>
          <w:tcPr>
            <w:tcW w:w="986" w:type="dxa"/>
            <w:noWrap/>
          </w:tcPr>
          <w:p w14:paraId="6F78BBF7" w14:textId="77777777" w:rsidR="0099446A" w:rsidRPr="0099446A" w:rsidRDefault="0099446A">
            <w:pPr>
              <w:pStyle w:val="Tabele"/>
              <w:rPr>
                <w:color w:val="auto"/>
                <w:sz w:val="14"/>
                <w:szCs w:val="14"/>
              </w:rPr>
            </w:pPr>
            <w:r w:rsidRPr="0099446A">
              <w:rPr>
                <w:color w:val="auto"/>
                <w:sz w:val="14"/>
                <w:szCs w:val="14"/>
              </w:rPr>
              <w:t>Australia</w:t>
            </w:r>
          </w:p>
        </w:tc>
        <w:tc>
          <w:tcPr>
            <w:tcW w:w="986" w:type="dxa"/>
            <w:noWrap/>
          </w:tcPr>
          <w:p w14:paraId="05CFF8DB" w14:textId="77777777" w:rsidR="0099446A" w:rsidRPr="0099446A" w:rsidRDefault="0099446A">
            <w:pPr>
              <w:pStyle w:val="Tabele"/>
              <w:rPr>
                <w:color w:val="auto"/>
                <w:sz w:val="14"/>
                <w:szCs w:val="14"/>
              </w:rPr>
            </w:pPr>
            <w:r w:rsidRPr="0099446A">
              <w:rPr>
                <w:color w:val="auto"/>
                <w:sz w:val="14"/>
                <w:szCs w:val="14"/>
              </w:rPr>
              <w:t>Australia</w:t>
            </w:r>
          </w:p>
        </w:tc>
        <w:tc>
          <w:tcPr>
            <w:tcW w:w="987" w:type="dxa"/>
            <w:noWrap/>
          </w:tcPr>
          <w:p w14:paraId="168AA26F" w14:textId="77777777" w:rsidR="0099446A" w:rsidRPr="0099446A" w:rsidRDefault="0099446A">
            <w:pPr>
              <w:pStyle w:val="Tabele"/>
              <w:rPr>
                <w:color w:val="auto"/>
                <w:sz w:val="14"/>
                <w:szCs w:val="14"/>
              </w:rPr>
            </w:pPr>
            <w:r w:rsidRPr="0099446A">
              <w:rPr>
                <w:color w:val="auto"/>
                <w:sz w:val="14"/>
                <w:szCs w:val="14"/>
              </w:rPr>
              <w:t>Australia</w:t>
            </w:r>
          </w:p>
        </w:tc>
        <w:tc>
          <w:tcPr>
            <w:tcW w:w="986" w:type="dxa"/>
            <w:noWrap/>
          </w:tcPr>
          <w:p w14:paraId="5F862AA1" w14:textId="77777777" w:rsidR="0099446A" w:rsidRPr="0099446A" w:rsidRDefault="0099446A">
            <w:pPr>
              <w:pStyle w:val="Tabele"/>
              <w:rPr>
                <w:color w:val="auto"/>
                <w:sz w:val="14"/>
                <w:szCs w:val="14"/>
              </w:rPr>
            </w:pPr>
            <w:r w:rsidRPr="0099446A">
              <w:rPr>
                <w:color w:val="auto"/>
                <w:sz w:val="14"/>
                <w:szCs w:val="14"/>
              </w:rPr>
              <w:t>Australia</w:t>
            </w:r>
          </w:p>
        </w:tc>
      </w:tr>
      <w:tr w:rsidR="0099446A" w:rsidRPr="00925C4D" w14:paraId="49994155" w14:textId="77777777" w:rsidTr="002D791C">
        <w:trPr>
          <w:trHeight w:val="207"/>
        </w:trPr>
        <w:tc>
          <w:tcPr>
            <w:tcW w:w="1400" w:type="dxa"/>
            <w:vMerge/>
            <w:hideMark/>
          </w:tcPr>
          <w:p w14:paraId="68E2C399" w14:textId="77777777" w:rsidR="0099446A" w:rsidRPr="0099446A" w:rsidRDefault="0099446A">
            <w:pPr>
              <w:pStyle w:val="Tabele"/>
              <w:rPr>
                <w:b/>
                <w:bCs/>
                <w:color w:val="auto"/>
                <w:szCs w:val="16"/>
              </w:rPr>
            </w:pPr>
          </w:p>
        </w:tc>
        <w:tc>
          <w:tcPr>
            <w:tcW w:w="985" w:type="dxa"/>
            <w:noWrap/>
          </w:tcPr>
          <w:p w14:paraId="5E76B93E" w14:textId="77777777" w:rsidR="0099446A" w:rsidRPr="0099446A" w:rsidRDefault="0099446A">
            <w:pPr>
              <w:pStyle w:val="Tabele"/>
              <w:rPr>
                <w:color w:val="auto"/>
                <w:sz w:val="14"/>
                <w:szCs w:val="14"/>
              </w:rPr>
            </w:pPr>
          </w:p>
        </w:tc>
        <w:tc>
          <w:tcPr>
            <w:tcW w:w="985" w:type="dxa"/>
            <w:noWrap/>
          </w:tcPr>
          <w:p w14:paraId="0BAD789C" w14:textId="77777777" w:rsidR="0099446A" w:rsidRPr="0099446A" w:rsidRDefault="0099446A">
            <w:pPr>
              <w:pStyle w:val="Tabele"/>
              <w:rPr>
                <w:color w:val="auto"/>
                <w:sz w:val="14"/>
                <w:szCs w:val="14"/>
              </w:rPr>
            </w:pPr>
            <w:r w:rsidRPr="0099446A">
              <w:rPr>
                <w:color w:val="auto"/>
                <w:sz w:val="14"/>
                <w:szCs w:val="14"/>
              </w:rPr>
              <w:t>Rosja</w:t>
            </w:r>
          </w:p>
        </w:tc>
        <w:tc>
          <w:tcPr>
            <w:tcW w:w="986" w:type="dxa"/>
            <w:noWrap/>
          </w:tcPr>
          <w:p w14:paraId="18F8C088" w14:textId="77777777" w:rsidR="0099446A" w:rsidRPr="0099446A" w:rsidRDefault="0099446A">
            <w:pPr>
              <w:pStyle w:val="Tabele"/>
              <w:rPr>
                <w:color w:val="auto"/>
                <w:sz w:val="14"/>
                <w:szCs w:val="14"/>
              </w:rPr>
            </w:pPr>
          </w:p>
        </w:tc>
        <w:tc>
          <w:tcPr>
            <w:tcW w:w="987" w:type="dxa"/>
            <w:noWrap/>
          </w:tcPr>
          <w:p w14:paraId="19FEDC4D" w14:textId="77777777" w:rsidR="0099446A" w:rsidRPr="0099446A" w:rsidRDefault="0099446A">
            <w:pPr>
              <w:pStyle w:val="Tabele"/>
              <w:rPr>
                <w:color w:val="auto"/>
                <w:sz w:val="14"/>
                <w:szCs w:val="14"/>
              </w:rPr>
            </w:pPr>
          </w:p>
        </w:tc>
        <w:tc>
          <w:tcPr>
            <w:tcW w:w="986" w:type="dxa"/>
            <w:noWrap/>
          </w:tcPr>
          <w:p w14:paraId="615646F8" w14:textId="77777777" w:rsidR="0099446A" w:rsidRPr="0099446A" w:rsidRDefault="0099446A">
            <w:pPr>
              <w:pStyle w:val="Tabele"/>
              <w:rPr>
                <w:color w:val="auto"/>
                <w:sz w:val="14"/>
                <w:szCs w:val="14"/>
              </w:rPr>
            </w:pPr>
          </w:p>
        </w:tc>
        <w:tc>
          <w:tcPr>
            <w:tcW w:w="986" w:type="dxa"/>
            <w:noWrap/>
          </w:tcPr>
          <w:p w14:paraId="45ED7F7F" w14:textId="77777777" w:rsidR="0099446A" w:rsidRPr="0099446A" w:rsidRDefault="0099446A">
            <w:pPr>
              <w:pStyle w:val="Tabele"/>
              <w:rPr>
                <w:color w:val="auto"/>
                <w:sz w:val="14"/>
                <w:szCs w:val="14"/>
              </w:rPr>
            </w:pPr>
          </w:p>
        </w:tc>
        <w:tc>
          <w:tcPr>
            <w:tcW w:w="987" w:type="dxa"/>
            <w:noWrap/>
          </w:tcPr>
          <w:p w14:paraId="4340F817" w14:textId="77777777" w:rsidR="0099446A" w:rsidRPr="0099446A" w:rsidRDefault="0099446A">
            <w:pPr>
              <w:pStyle w:val="Tabele"/>
              <w:rPr>
                <w:color w:val="auto"/>
                <w:sz w:val="14"/>
                <w:szCs w:val="14"/>
              </w:rPr>
            </w:pPr>
          </w:p>
        </w:tc>
        <w:tc>
          <w:tcPr>
            <w:tcW w:w="986" w:type="dxa"/>
            <w:noWrap/>
          </w:tcPr>
          <w:p w14:paraId="2E7A52BD" w14:textId="77777777" w:rsidR="0099446A" w:rsidRPr="0099446A" w:rsidRDefault="0099446A">
            <w:pPr>
              <w:pStyle w:val="Tabele"/>
              <w:rPr>
                <w:color w:val="auto"/>
                <w:sz w:val="14"/>
                <w:szCs w:val="14"/>
              </w:rPr>
            </w:pPr>
          </w:p>
        </w:tc>
      </w:tr>
      <w:tr w:rsidR="0099446A" w:rsidRPr="00925C4D" w14:paraId="6A2EB36F" w14:textId="77777777" w:rsidTr="002D791C">
        <w:trPr>
          <w:trHeight w:val="207"/>
        </w:trPr>
        <w:tc>
          <w:tcPr>
            <w:tcW w:w="1400" w:type="dxa"/>
            <w:vMerge w:val="restart"/>
            <w:noWrap/>
            <w:hideMark/>
          </w:tcPr>
          <w:p w14:paraId="176C348C" w14:textId="77777777" w:rsidR="0099446A" w:rsidRPr="0099446A" w:rsidRDefault="0099446A">
            <w:pPr>
              <w:pStyle w:val="Tabele"/>
              <w:rPr>
                <w:b/>
                <w:bCs/>
                <w:color w:val="auto"/>
                <w:szCs w:val="16"/>
              </w:rPr>
            </w:pPr>
            <w:r w:rsidRPr="0099446A">
              <w:rPr>
                <w:b/>
                <w:bCs/>
                <w:color w:val="auto"/>
                <w:szCs w:val="16"/>
              </w:rPr>
              <w:t>Węgiel brunatny</w:t>
            </w:r>
          </w:p>
        </w:tc>
        <w:tc>
          <w:tcPr>
            <w:tcW w:w="985" w:type="dxa"/>
            <w:noWrap/>
          </w:tcPr>
          <w:p w14:paraId="2D288A18" w14:textId="77777777" w:rsidR="0099446A" w:rsidRPr="0099446A" w:rsidRDefault="0099446A">
            <w:pPr>
              <w:pStyle w:val="Tabele"/>
              <w:rPr>
                <w:color w:val="auto"/>
                <w:sz w:val="14"/>
                <w:szCs w:val="14"/>
              </w:rPr>
            </w:pPr>
            <w:r w:rsidRPr="0099446A">
              <w:rPr>
                <w:color w:val="auto"/>
                <w:sz w:val="14"/>
                <w:szCs w:val="14"/>
              </w:rPr>
              <w:t>-</w:t>
            </w:r>
          </w:p>
        </w:tc>
        <w:tc>
          <w:tcPr>
            <w:tcW w:w="985" w:type="dxa"/>
            <w:noWrap/>
          </w:tcPr>
          <w:p w14:paraId="07468D25"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38A1706D" w14:textId="77777777" w:rsidR="0099446A" w:rsidRPr="0099446A" w:rsidRDefault="0099446A">
            <w:pPr>
              <w:pStyle w:val="Tabele"/>
              <w:rPr>
                <w:color w:val="auto"/>
                <w:sz w:val="14"/>
                <w:szCs w:val="14"/>
              </w:rPr>
            </w:pPr>
            <w:r w:rsidRPr="0099446A">
              <w:rPr>
                <w:color w:val="auto"/>
                <w:sz w:val="14"/>
                <w:szCs w:val="14"/>
              </w:rPr>
              <w:t>Czechy</w:t>
            </w:r>
          </w:p>
        </w:tc>
        <w:tc>
          <w:tcPr>
            <w:tcW w:w="987" w:type="dxa"/>
            <w:noWrap/>
          </w:tcPr>
          <w:p w14:paraId="2462D0FA"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7DF7D651"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27E5D6EA" w14:textId="77777777" w:rsidR="0099446A" w:rsidRPr="0099446A" w:rsidRDefault="0099446A">
            <w:pPr>
              <w:pStyle w:val="Tabele"/>
              <w:rPr>
                <w:color w:val="auto"/>
                <w:sz w:val="14"/>
                <w:szCs w:val="14"/>
              </w:rPr>
            </w:pPr>
            <w:r w:rsidRPr="0099446A">
              <w:rPr>
                <w:color w:val="auto"/>
                <w:sz w:val="14"/>
                <w:szCs w:val="14"/>
              </w:rPr>
              <w:t>Niemcy</w:t>
            </w:r>
          </w:p>
        </w:tc>
        <w:tc>
          <w:tcPr>
            <w:tcW w:w="987" w:type="dxa"/>
            <w:noWrap/>
          </w:tcPr>
          <w:p w14:paraId="3772A1A8"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43B06AEB" w14:textId="77777777" w:rsidR="0099446A" w:rsidRPr="0099446A" w:rsidRDefault="0099446A">
            <w:pPr>
              <w:pStyle w:val="Tabele"/>
              <w:rPr>
                <w:color w:val="auto"/>
                <w:sz w:val="14"/>
                <w:szCs w:val="14"/>
              </w:rPr>
            </w:pPr>
            <w:r w:rsidRPr="0099446A">
              <w:rPr>
                <w:color w:val="auto"/>
                <w:sz w:val="14"/>
                <w:szCs w:val="14"/>
              </w:rPr>
              <w:t>Niemcy</w:t>
            </w:r>
          </w:p>
        </w:tc>
      </w:tr>
      <w:tr w:rsidR="0099446A" w:rsidRPr="00925C4D" w14:paraId="63719DF8" w14:textId="77777777" w:rsidTr="002D791C">
        <w:trPr>
          <w:trHeight w:val="207"/>
        </w:trPr>
        <w:tc>
          <w:tcPr>
            <w:tcW w:w="1400" w:type="dxa"/>
            <w:vMerge/>
            <w:hideMark/>
          </w:tcPr>
          <w:p w14:paraId="1CA68AE2" w14:textId="77777777" w:rsidR="0099446A" w:rsidRPr="0099446A" w:rsidRDefault="0099446A">
            <w:pPr>
              <w:pStyle w:val="Tabele"/>
              <w:rPr>
                <w:b/>
                <w:bCs/>
                <w:color w:val="auto"/>
                <w:szCs w:val="16"/>
              </w:rPr>
            </w:pPr>
          </w:p>
        </w:tc>
        <w:tc>
          <w:tcPr>
            <w:tcW w:w="985" w:type="dxa"/>
            <w:noWrap/>
          </w:tcPr>
          <w:p w14:paraId="3C2AC69C" w14:textId="77777777" w:rsidR="0099446A" w:rsidRPr="0099446A" w:rsidRDefault="0099446A">
            <w:pPr>
              <w:pStyle w:val="Tabele"/>
              <w:rPr>
                <w:color w:val="auto"/>
                <w:sz w:val="14"/>
                <w:szCs w:val="14"/>
              </w:rPr>
            </w:pPr>
          </w:p>
        </w:tc>
        <w:tc>
          <w:tcPr>
            <w:tcW w:w="985" w:type="dxa"/>
            <w:noWrap/>
          </w:tcPr>
          <w:p w14:paraId="50122597" w14:textId="77777777" w:rsidR="0099446A" w:rsidRPr="0099446A" w:rsidRDefault="0099446A">
            <w:pPr>
              <w:pStyle w:val="Tabele"/>
              <w:rPr>
                <w:color w:val="auto"/>
                <w:sz w:val="14"/>
                <w:szCs w:val="14"/>
              </w:rPr>
            </w:pPr>
          </w:p>
        </w:tc>
        <w:tc>
          <w:tcPr>
            <w:tcW w:w="986" w:type="dxa"/>
            <w:noWrap/>
          </w:tcPr>
          <w:p w14:paraId="6338E04E" w14:textId="77777777" w:rsidR="0099446A" w:rsidRPr="0099446A" w:rsidRDefault="0099446A">
            <w:pPr>
              <w:pStyle w:val="Tabele"/>
              <w:rPr>
                <w:color w:val="auto"/>
                <w:sz w:val="14"/>
                <w:szCs w:val="14"/>
              </w:rPr>
            </w:pPr>
            <w:r w:rsidRPr="0099446A">
              <w:rPr>
                <w:color w:val="auto"/>
                <w:sz w:val="14"/>
                <w:szCs w:val="14"/>
              </w:rPr>
              <w:t>Niemcy</w:t>
            </w:r>
          </w:p>
        </w:tc>
        <w:tc>
          <w:tcPr>
            <w:tcW w:w="987" w:type="dxa"/>
            <w:noWrap/>
          </w:tcPr>
          <w:p w14:paraId="1801F0FF" w14:textId="77777777" w:rsidR="0099446A" w:rsidRPr="0099446A" w:rsidRDefault="0099446A">
            <w:pPr>
              <w:pStyle w:val="Tabele"/>
              <w:rPr>
                <w:color w:val="auto"/>
                <w:sz w:val="14"/>
                <w:szCs w:val="14"/>
              </w:rPr>
            </w:pPr>
          </w:p>
        </w:tc>
        <w:tc>
          <w:tcPr>
            <w:tcW w:w="986" w:type="dxa"/>
            <w:noWrap/>
          </w:tcPr>
          <w:p w14:paraId="1D872641" w14:textId="77777777" w:rsidR="0099446A" w:rsidRPr="0099446A" w:rsidRDefault="0099446A">
            <w:pPr>
              <w:pStyle w:val="Tabele"/>
              <w:rPr>
                <w:color w:val="auto"/>
                <w:sz w:val="14"/>
                <w:szCs w:val="14"/>
              </w:rPr>
            </w:pPr>
          </w:p>
        </w:tc>
        <w:tc>
          <w:tcPr>
            <w:tcW w:w="986" w:type="dxa"/>
            <w:noWrap/>
          </w:tcPr>
          <w:p w14:paraId="64D34741" w14:textId="77777777" w:rsidR="0099446A" w:rsidRPr="0099446A" w:rsidRDefault="0099446A">
            <w:pPr>
              <w:pStyle w:val="Tabele"/>
              <w:rPr>
                <w:color w:val="auto"/>
                <w:sz w:val="14"/>
                <w:szCs w:val="14"/>
              </w:rPr>
            </w:pPr>
          </w:p>
        </w:tc>
        <w:tc>
          <w:tcPr>
            <w:tcW w:w="987" w:type="dxa"/>
            <w:noWrap/>
          </w:tcPr>
          <w:p w14:paraId="186178EF" w14:textId="77777777" w:rsidR="0099446A" w:rsidRPr="0099446A" w:rsidRDefault="0099446A">
            <w:pPr>
              <w:pStyle w:val="Tabele"/>
              <w:rPr>
                <w:color w:val="auto"/>
                <w:sz w:val="14"/>
                <w:szCs w:val="14"/>
              </w:rPr>
            </w:pPr>
          </w:p>
        </w:tc>
        <w:tc>
          <w:tcPr>
            <w:tcW w:w="986" w:type="dxa"/>
            <w:noWrap/>
          </w:tcPr>
          <w:p w14:paraId="6E692703" w14:textId="77777777" w:rsidR="0099446A" w:rsidRPr="0099446A" w:rsidRDefault="0099446A">
            <w:pPr>
              <w:pStyle w:val="Tabele"/>
              <w:rPr>
                <w:color w:val="auto"/>
                <w:sz w:val="14"/>
                <w:szCs w:val="14"/>
              </w:rPr>
            </w:pPr>
          </w:p>
        </w:tc>
      </w:tr>
      <w:tr w:rsidR="0099446A" w:rsidRPr="00925C4D" w14:paraId="3B20A891" w14:textId="77777777" w:rsidTr="002D791C">
        <w:trPr>
          <w:trHeight w:val="207"/>
        </w:trPr>
        <w:tc>
          <w:tcPr>
            <w:tcW w:w="1400" w:type="dxa"/>
            <w:vMerge w:val="restart"/>
            <w:noWrap/>
            <w:hideMark/>
          </w:tcPr>
          <w:p w14:paraId="18C61C39" w14:textId="77777777" w:rsidR="0099446A" w:rsidRPr="0099446A" w:rsidRDefault="0099446A">
            <w:pPr>
              <w:pStyle w:val="Tabele"/>
              <w:rPr>
                <w:b/>
                <w:bCs/>
                <w:color w:val="auto"/>
                <w:szCs w:val="16"/>
              </w:rPr>
            </w:pPr>
            <w:r w:rsidRPr="0099446A">
              <w:rPr>
                <w:b/>
                <w:bCs/>
                <w:color w:val="auto"/>
                <w:szCs w:val="16"/>
              </w:rPr>
              <w:t>Ropa naftowa</w:t>
            </w:r>
          </w:p>
        </w:tc>
        <w:tc>
          <w:tcPr>
            <w:tcW w:w="985" w:type="dxa"/>
            <w:noWrap/>
          </w:tcPr>
          <w:p w14:paraId="0335641E" w14:textId="77777777" w:rsidR="0099446A" w:rsidRPr="0099446A" w:rsidRDefault="0099446A">
            <w:pPr>
              <w:pStyle w:val="Tabele"/>
              <w:rPr>
                <w:color w:val="auto"/>
                <w:sz w:val="14"/>
                <w:szCs w:val="14"/>
              </w:rPr>
            </w:pPr>
            <w:r w:rsidRPr="0099446A">
              <w:rPr>
                <w:color w:val="auto"/>
                <w:sz w:val="14"/>
                <w:szCs w:val="14"/>
              </w:rPr>
              <w:t>Rosja</w:t>
            </w:r>
          </w:p>
        </w:tc>
        <w:tc>
          <w:tcPr>
            <w:tcW w:w="985" w:type="dxa"/>
            <w:noWrap/>
          </w:tcPr>
          <w:p w14:paraId="324E8939" w14:textId="77777777" w:rsidR="0099446A" w:rsidRPr="0099446A" w:rsidRDefault="0099446A">
            <w:pPr>
              <w:pStyle w:val="Tabele"/>
              <w:rPr>
                <w:color w:val="auto"/>
                <w:sz w:val="14"/>
                <w:szCs w:val="14"/>
              </w:rPr>
            </w:pPr>
            <w:r w:rsidRPr="0099446A">
              <w:rPr>
                <w:color w:val="auto"/>
                <w:sz w:val="14"/>
                <w:szCs w:val="14"/>
              </w:rPr>
              <w:t>Rosja</w:t>
            </w:r>
          </w:p>
        </w:tc>
        <w:tc>
          <w:tcPr>
            <w:tcW w:w="986" w:type="dxa"/>
            <w:noWrap/>
          </w:tcPr>
          <w:p w14:paraId="09F31DA3" w14:textId="77777777" w:rsidR="0099446A" w:rsidRPr="0099446A" w:rsidRDefault="0099446A">
            <w:pPr>
              <w:pStyle w:val="Tabele"/>
              <w:rPr>
                <w:color w:val="auto"/>
                <w:sz w:val="14"/>
                <w:szCs w:val="14"/>
              </w:rPr>
            </w:pPr>
            <w:r w:rsidRPr="0099446A">
              <w:rPr>
                <w:color w:val="auto"/>
                <w:sz w:val="14"/>
                <w:szCs w:val="14"/>
              </w:rPr>
              <w:t>Rosja</w:t>
            </w:r>
          </w:p>
        </w:tc>
        <w:tc>
          <w:tcPr>
            <w:tcW w:w="987" w:type="dxa"/>
            <w:noWrap/>
          </w:tcPr>
          <w:p w14:paraId="4EC4BD19" w14:textId="77777777" w:rsidR="0099446A" w:rsidRPr="0099446A" w:rsidRDefault="0099446A">
            <w:pPr>
              <w:pStyle w:val="Tabele"/>
              <w:rPr>
                <w:color w:val="auto"/>
                <w:sz w:val="14"/>
                <w:szCs w:val="14"/>
              </w:rPr>
            </w:pPr>
            <w:r w:rsidRPr="0099446A">
              <w:rPr>
                <w:color w:val="auto"/>
                <w:sz w:val="14"/>
                <w:szCs w:val="14"/>
              </w:rPr>
              <w:t>Rosja</w:t>
            </w:r>
          </w:p>
        </w:tc>
        <w:tc>
          <w:tcPr>
            <w:tcW w:w="986" w:type="dxa"/>
            <w:noWrap/>
          </w:tcPr>
          <w:p w14:paraId="6C973B7A" w14:textId="77777777" w:rsidR="0099446A" w:rsidRPr="0099446A" w:rsidRDefault="0099446A">
            <w:pPr>
              <w:pStyle w:val="Tabele"/>
              <w:rPr>
                <w:color w:val="auto"/>
                <w:sz w:val="14"/>
                <w:szCs w:val="14"/>
              </w:rPr>
            </w:pPr>
            <w:r w:rsidRPr="0099446A">
              <w:rPr>
                <w:color w:val="auto"/>
                <w:sz w:val="14"/>
                <w:szCs w:val="14"/>
              </w:rPr>
              <w:t>Arabia Saud.</w:t>
            </w:r>
          </w:p>
        </w:tc>
        <w:tc>
          <w:tcPr>
            <w:tcW w:w="986" w:type="dxa"/>
            <w:noWrap/>
          </w:tcPr>
          <w:p w14:paraId="00D19788" w14:textId="77777777" w:rsidR="0099446A" w:rsidRPr="0099446A" w:rsidRDefault="0099446A">
            <w:pPr>
              <w:pStyle w:val="Tabele"/>
              <w:rPr>
                <w:color w:val="auto"/>
                <w:sz w:val="14"/>
                <w:szCs w:val="14"/>
              </w:rPr>
            </w:pPr>
            <w:r w:rsidRPr="0099446A">
              <w:rPr>
                <w:color w:val="auto"/>
                <w:sz w:val="14"/>
                <w:szCs w:val="14"/>
              </w:rPr>
              <w:t>Arabia Saud.</w:t>
            </w:r>
          </w:p>
        </w:tc>
        <w:tc>
          <w:tcPr>
            <w:tcW w:w="987" w:type="dxa"/>
            <w:noWrap/>
          </w:tcPr>
          <w:p w14:paraId="03AEF894" w14:textId="77777777" w:rsidR="0099446A" w:rsidRPr="0099446A" w:rsidRDefault="0099446A">
            <w:pPr>
              <w:pStyle w:val="Tabele"/>
              <w:rPr>
                <w:color w:val="auto"/>
                <w:sz w:val="14"/>
                <w:szCs w:val="14"/>
              </w:rPr>
            </w:pPr>
            <w:r w:rsidRPr="0099446A">
              <w:rPr>
                <w:color w:val="auto"/>
                <w:sz w:val="14"/>
                <w:szCs w:val="14"/>
              </w:rPr>
              <w:t>Arabia Saud.</w:t>
            </w:r>
          </w:p>
        </w:tc>
        <w:tc>
          <w:tcPr>
            <w:tcW w:w="986" w:type="dxa"/>
            <w:noWrap/>
          </w:tcPr>
          <w:p w14:paraId="6A82F3C5" w14:textId="77777777" w:rsidR="0099446A" w:rsidRPr="0099446A" w:rsidRDefault="0099446A">
            <w:pPr>
              <w:pStyle w:val="Tabele"/>
              <w:rPr>
                <w:color w:val="auto"/>
                <w:sz w:val="14"/>
                <w:szCs w:val="14"/>
              </w:rPr>
            </w:pPr>
            <w:r w:rsidRPr="0099446A">
              <w:rPr>
                <w:color w:val="auto"/>
                <w:sz w:val="14"/>
                <w:szCs w:val="14"/>
              </w:rPr>
              <w:t>Arabia Saud.</w:t>
            </w:r>
          </w:p>
        </w:tc>
      </w:tr>
      <w:tr w:rsidR="0099446A" w:rsidRPr="00925C4D" w14:paraId="59D5E066" w14:textId="77777777" w:rsidTr="002D791C">
        <w:trPr>
          <w:trHeight w:val="207"/>
        </w:trPr>
        <w:tc>
          <w:tcPr>
            <w:tcW w:w="1400" w:type="dxa"/>
            <w:vMerge/>
            <w:hideMark/>
          </w:tcPr>
          <w:p w14:paraId="6EEFA594" w14:textId="77777777" w:rsidR="0099446A" w:rsidRPr="0099446A" w:rsidRDefault="0099446A">
            <w:pPr>
              <w:pStyle w:val="Tabele"/>
              <w:rPr>
                <w:b/>
                <w:bCs/>
                <w:color w:val="auto"/>
                <w:szCs w:val="16"/>
              </w:rPr>
            </w:pPr>
          </w:p>
        </w:tc>
        <w:tc>
          <w:tcPr>
            <w:tcW w:w="985" w:type="dxa"/>
            <w:noWrap/>
          </w:tcPr>
          <w:p w14:paraId="7AB015F9" w14:textId="77777777" w:rsidR="0099446A" w:rsidRPr="0099446A" w:rsidRDefault="0099446A">
            <w:pPr>
              <w:pStyle w:val="Tabele"/>
              <w:rPr>
                <w:color w:val="auto"/>
                <w:sz w:val="14"/>
                <w:szCs w:val="14"/>
              </w:rPr>
            </w:pPr>
          </w:p>
        </w:tc>
        <w:tc>
          <w:tcPr>
            <w:tcW w:w="985" w:type="dxa"/>
            <w:noWrap/>
          </w:tcPr>
          <w:p w14:paraId="5047F15C" w14:textId="77777777" w:rsidR="0099446A" w:rsidRPr="0099446A" w:rsidRDefault="0099446A">
            <w:pPr>
              <w:pStyle w:val="Tabele"/>
              <w:rPr>
                <w:color w:val="auto"/>
                <w:sz w:val="14"/>
                <w:szCs w:val="14"/>
              </w:rPr>
            </w:pPr>
            <w:r w:rsidRPr="0099446A">
              <w:rPr>
                <w:color w:val="auto"/>
                <w:sz w:val="14"/>
                <w:szCs w:val="14"/>
              </w:rPr>
              <w:t>Norwegia</w:t>
            </w:r>
          </w:p>
        </w:tc>
        <w:tc>
          <w:tcPr>
            <w:tcW w:w="986" w:type="dxa"/>
            <w:noWrap/>
          </w:tcPr>
          <w:p w14:paraId="730332A8" w14:textId="77777777" w:rsidR="0099446A" w:rsidRPr="0099446A" w:rsidRDefault="0099446A">
            <w:pPr>
              <w:pStyle w:val="Tabele"/>
              <w:rPr>
                <w:color w:val="auto"/>
                <w:sz w:val="14"/>
                <w:szCs w:val="14"/>
              </w:rPr>
            </w:pPr>
            <w:r w:rsidRPr="0099446A">
              <w:rPr>
                <w:color w:val="auto"/>
                <w:sz w:val="14"/>
                <w:szCs w:val="14"/>
              </w:rPr>
              <w:t>Irak</w:t>
            </w:r>
          </w:p>
        </w:tc>
        <w:tc>
          <w:tcPr>
            <w:tcW w:w="987" w:type="dxa"/>
            <w:noWrap/>
          </w:tcPr>
          <w:p w14:paraId="5CBB47DF" w14:textId="77777777" w:rsidR="0099446A" w:rsidRPr="0099446A" w:rsidRDefault="0099446A">
            <w:pPr>
              <w:pStyle w:val="Tabele"/>
              <w:rPr>
                <w:color w:val="auto"/>
                <w:sz w:val="14"/>
                <w:szCs w:val="14"/>
              </w:rPr>
            </w:pPr>
            <w:r w:rsidRPr="0099446A">
              <w:rPr>
                <w:color w:val="auto"/>
                <w:sz w:val="14"/>
                <w:szCs w:val="14"/>
              </w:rPr>
              <w:t>Arabia Saud.</w:t>
            </w:r>
          </w:p>
        </w:tc>
        <w:tc>
          <w:tcPr>
            <w:tcW w:w="986" w:type="dxa"/>
            <w:noWrap/>
          </w:tcPr>
          <w:p w14:paraId="17C12522" w14:textId="77777777" w:rsidR="0099446A" w:rsidRPr="0099446A" w:rsidRDefault="0099446A">
            <w:pPr>
              <w:pStyle w:val="Tabele"/>
              <w:rPr>
                <w:color w:val="auto"/>
                <w:sz w:val="14"/>
                <w:szCs w:val="14"/>
              </w:rPr>
            </w:pPr>
            <w:r w:rsidRPr="0099446A">
              <w:rPr>
                <w:color w:val="auto"/>
                <w:sz w:val="14"/>
                <w:szCs w:val="14"/>
              </w:rPr>
              <w:t>Norwegia</w:t>
            </w:r>
          </w:p>
        </w:tc>
        <w:tc>
          <w:tcPr>
            <w:tcW w:w="986" w:type="dxa"/>
            <w:noWrap/>
          </w:tcPr>
          <w:p w14:paraId="67BA4B23" w14:textId="77777777" w:rsidR="0099446A" w:rsidRPr="0099446A" w:rsidRDefault="0099446A">
            <w:pPr>
              <w:pStyle w:val="Tabele"/>
              <w:rPr>
                <w:color w:val="auto"/>
                <w:sz w:val="14"/>
                <w:szCs w:val="14"/>
              </w:rPr>
            </w:pPr>
            <w:r w:rsidRPr="0099446A">
              <w:rPr>
                <w:color w:val="auto"/>
                <w:sz w:val="14"/>
                <w:szCs w:val="14"/>
              </w:rPr>
              <w:t>Norwegia</w:t>
            </w:r>
          </w:p>
        </w:tc>
        <w:tc>
          <w:tcPr>
            <w:tcW w:w="987" w:type="dxa"/>
            <w:noWrap/>
          </w:tcPr>
          <w:p w14:paraId="70E169FC" w14:textId="77777777" w:rsidR="0099446A" w:rsidRPr="0099446A" w:rsidRDefault="0099446A">
            <w:pPr>
              <w:pStyle w:val="Tabele"/>
              <w:rPr>
                <w:color w:val="auto"/>
                <w:sz w:val="14"/>
                <w:szCs w:val="14"/>
              </w:rPr>
            </w:pPr>
            <w:r w:rsidRPr="0099446A">
              <w:rPr>
                <w:color w:val="auto"/>
                <w:sz w:val="14"/>
                <w:szCs w:val="14"/>
              </w:rPr>
              <w:t>Norwegia</w:t>
            </w:r>
          </w:p>
        </w:tc>
        <w:tc>
          <w:tcPr>
            <w:tcW w:w="986" w:type="dxa"/>
            <w:noWrap/>
          </w:tcPr>
          <w:p w14:paraId="12ABD472" w14:textId="77777777" w:rsidR="0099446A" w:rsidRPr="0099446A" w:rsidRDefault="0099446A">
            <w:pPr>
              <w:pStyle w:val="Tabele"/>
              <w:rPr>
                <w:color w:val="auto"/>
                <w:sz w:val="14"/>
                <w:szCs w:val="14"/>
              </w:rPr>
            </w:pPr>
            <w:r w:rsidRPr="0099446A">
              <w:rPr>
                <w:color w:val="auto"/>
                <w:sz w:val="14"/>
                <w:szCs w:val="14"/>
              </w:rPr>
              <w:t>Norwegia</w:t>
            </w:r>
          </w:p>
        </w:tc>
      </w:tr>
      <w:tr w:rsidR="0099446A" w:rsidRPr="00925C4D" w14:paraId="511761CE" w14:textId="77777777" w:rsidTr="002D791C">
        <w:trPr>
          <w:trHeight w:val="207"/>
        </w:trPr>
        <w:tc>
          <w:tcPr>
            <w:tcW w:w="1400" w:type="dxa"/>
            <w:vMerge w:val="restart"/>
          </w:tcPr>
          <w:p w14:paraId="7D0E9672" w14:textId="77777777" w:rsidR="0099446A" w:rsidRPr="0099446A" w:rsidRDefault="0099446A">
            <w:pPr>
              <w:pStyle w:val="Tabele"/>
              <w:rPr>
                <w:b/>
                <w:bCs/>
                <w:color w:val="auto"/>
                <w:szCs w:val="16"/>
              </w:rPr>
            </w:pPr>
            <w:r w:rsidRPr="0099446A">
              <w:rPr>
                <w:b/>
                <w:bCs/>
                <w:color w:val="auto"/>
                <w:szCs w:val="16"/>
              </w:rPr>
              <w:t>Olej napędowy</w:t>
            </w:r>
          </w:p>
        </w:tc>
        <w:tc>
          <w:tcPr>
            <w:tcW w:w="985" w:type="dxa"/>
            <w:noWrap/>
          </w:tcPr>
          <w:p w14:paraId="33AE9B1C" w14:textId="77777777" w:rsidR="0099446A" w:rsidRPr="0099446A" w:rsidRDefault="0099446A">
            <w:pPr>
              <w:pStyle w:val="Tabele"/>
              <w:rPr>
                <w:color w:val="auto"/>
                <w:sz w:val="14"/>
                <w:szCs w:val="14"/>
              </w:rPr>
            </w:pPr>
            <w:r w:rsidRPr="0099446A">
              <w:rPr>
                <w:color w:val="auto"/>
                <w:sz w:val="14"/>
                <w:szCs w:val="14"/>
              </w:rPr>
              <w:t>Białoruś</w:t>
            </w:r>
          </w:p>
        </w:tc>
        <w:tc>
          <w:tcPr>
            <w:tcW w:w="985" w:type="dxa"/>
            <w:noWrap/>
          </w:tcPr>
          <w:p w14:paraId="4C815936"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194856DE" w14:textId="77777777" w:rsidR="0099446A" w:rsidRPr="0099446A" w:rsidRDefault="0099446A">
            <w:pPr>
              <w:pStyle w:val="Tabele"/>
              <w:rPr>
                <w:color w:val="auto"/>
                <w:sz w:val="14"/>
                <w:szCs w:val="14"/>
              </w:rPr>
            </w:pPr>
            <w:r w:rsidRPr="0099446A">
              <w:rPr>
                <w:color w:val="auto"/>
                <w:sz w:val="14"/>
                <w:szCs w:val="14"/>
              </w:rPr>
              <w:t>Niemcy</w:t>
            </w:r>
          </w:p>
        </w:tc>
        <w:tc>
          <w:tcPr>
            <w:tcW w:w="987" w:type="dxa"/>
            <w:noWrap/>
          </w:tcPr>
          <w:p w14:paraId="07394BDB" w14:textId="77777777" w:rsidR="0099446A" w:rsidRPr="0099446A" w:rsidRDefault="0099446A">
            <w:pPr>
              <w:pStyle w:val="Tabele"/>
              <w:rPr>
                <w:color w:val="auto"/>
                <w:sz w:val="14"/>
                <w:szCs w:val="14"/>
              </w:rPr>
            </w:pPr>
            <w:r w:rsidRPr="0099446A">
              <w:rPr>
                <w:color w:val="auto"/>
                <w:sz w:val="14"/>
                <w:szCs w:val="14"/>
              </w:rPr>
              <w:t>Rosja</w:t>
            </w:r>
          </w:p>
        </w:tc>
        <w:tc>
          <w:tcPr>
            <w:tcW w:w="986" w:type="dxa"/>
            <w:noWrap/>
          </w:tcPr>
          <w:p w14:paraId="3C1FD5CB"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vAlign w:val="top"/>
          </w:tcPr>
          <w:p w14:paraId="2C59A04B" w14:textId="77777777" w:rsidR="0099446A" w:rsidRPr="0099446A" w:rsidRDefault="0099446A">
            <w:pPr>
              <w:pStyle w:val="Tabele"/>
              <w:rPr>
                <w:color w:val="auto"/>
                <w:sz w:val="14"/>
                <w:szCs w:val="14"/>
              </w:rPr>
            </w:pPr>
            <w:r w:rsidRPr="0099446A">
              <w:rPr>
                <w:color w:val="auto"/>
                <w:sz w:val="14"/>
                <w:szCs w:val="14"/>
              </w:rPr>
              <w:t>Niemcy</w:t>
            </w:r>
          </w:p>
        </w:tc>
        <w:tc>
          <w:tcPr>
            <w:tcW w:w="987" w:type="dxa"/>
            <w:noWrap/>
            <w:vAlign w:val="top"/>
          </w:tcPr>
          <w:p w14:paraId="05672508"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vAlign w:val="top"/>
          </w:tcPr>
          <w:p w14:paraId="610457D4" w14:textId="77777777" w:rsidR="0099446A" w:rsidRPr="0099446A" w:rsidRDefault="0099446A">
            <w:pPr>
              <w:pStyle w:val="Tabele"/>
              <w:rPr>
                <w:color w:val="auto"/>
                <w:sz w:val="14"/>
                <w:szCs w:val="14"/>
              </w:rPr>
            </w:pPr>
            <w:r w:rsidRPr="0099446A">
              <w:rPr>
                <w:color w:val="auto"/>
                <w:sz w:val="14"/>
                <w:szCs w:val="14"/>
              </w:rPr>
              <w:t>Niemcy</w:t>
            </w:r>
          </w:p>
        </w:tc>
      </w:tr>
      <w:tr w:rsidR="0099446A" w:rsidRPr="00925C4D" w14:paraId="3B184E64" w14:textId="77777777" w:rsidTr="002D791C">
        <w:trPr>
          <w:trHeight w:val="207"/>
        </w:trPr>
        <w:tc>
          <w:tcPr>
            <w:tcW w:w="1400" w:type="dxa"/>
            <w:vMerge/>
          </w:tcPr>
          <w:p w14:paraId="090FFFCB" w14:textId="77777777" w:rsidR="0099446A" w:rsidRPr="0099446A" w:rsidRDefault="0099446A">
            <w:pPr>
              <w:pStyle w:val="Tabele"/>
              <w:rPr>
                <w:b/>
                <w:bCs/>
                <w:color w:val="auto"/>
                <w:szCs w:val="16"/>
              </w:rPr>
            </w:pPr>
          </w:p>
        </w:tc>
        <w:tc>
          <w:tcPr>
            <w:tcW w:w="985" w:type="dxa"/>
            <w:noWrap/>
          </w:tcPr>
          <w:p w14:paraId="45D4CE0F" w14:textId="77777777" w:rsidR="0099446A" w:rsidRPr="0099446A" w:rsidRDefault="0099446A">
            <w:pPr>
              <w:pStyle w:val="Tabele"/>
              <w:rPr>
                <w:color w:val="auto"/>
                <w:sz w:val="14"/>
                <w:szCs w:val="14"/>
              </w:rPr>
            </w:pPr>
            <w:r w:rsidRPr="0099446A">
              <w:rPr>
                <w:color w:val="auto"/>
                <w:sz w:val="14"/>
                <w:szCs w:val="14"/>
              </w:rPr>
              <w:t>Niemcy</w:t>
            </w:r>
          </w:p>
        </w:tc>
        <w:tc>
          <w:tcPr>
            <w:tcW w:w="985" w:type="dxa"/>
            <w:noWrap/>
          </w:tcPr>
          <w:p w14:paraId="0FF201F3" w14:textId="77777777" w:rsidR="0099446A" w:rsidRPr="0099446A" w:rsidRDefault="0099446A">
            <w:pPr>
              <w:pStyle w:val="Tabele"/>
              <w:rPr>
                <w:color w:val="auto"/>
                <w:sz w:val="14"/>
                <w:szCs w:val="14"/>
              </w:rPr>
            </w:pPr>
            <w:r w:rsidRPr="0099446A">
              <w:rPr>
                <w:color w:val="auto"/>
                <w:sz w:val="14"/>
                <w:szCs w:val="14"/>
              </w:rPr>
              <w:t>Litwa</w:t>
            </w:r>
          </w:p>
        </w:tc>
        <w:tc>
          <w:tcPr>
            <w:tcW w:w="986" w:type="dxa"/>
            <w:noWrap/>
          </w:tcPr>
          <w:p w14:paraId="52417B5A" w14:textId="77777777" w:rsidR="0099446A" w:rsidRPr="0099446A" w:rsidRDefault="0099446A">
            <w:pPr>
              <w:pStyle w:val="Tabele"/>
              <w:rPr>
                <w:color w:val="auto"/>
                <w:sz w:val="14"/>
                <w:szCs w:val="14"/>
              </w:rPr>
            </w:pPr>
            <w:r w:rsidRPr="0099446A">
              <w:rPr>
                <w:color w:val="auto"/>
                <w:sz w:val="14"/>
                <w:szCs w:val="14"/>
              </w:rPr>
              <w:t>Rosja</w:t>
            </w:r>
          </w:p>
        </w:tc>
        <w:tc>
          <w:tcPr>
            <w:tcW w:w="987" w:type="dxa"/>
            <w:noWrap/>
          </w:tcPr>
          <w:p w14:paraId="35260EC0"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1010BA8A" w14:textId="77777777" w:rsidR="0099446A" w:rsidRPr="0099446A" w:rsidRDefault="0099446A">
            <w:pPr>
              <w:pStyle w:val="Tabele"/>
              <w:rPr>
                <w:color w:val="auto"/>
                <w:sz w:val="14"/>
                <w:szCs w:val="14"/>
              </w:rPr>
            </w:pPr>
            <w:r w:rsidRPr="0099446A">
              <w:rPr>
                <w:color w:val="auto"/>
                <w:sz w:val="14"/>
                <w:szCs w:val="14"/>
              </w:rPr>
              <w:t>Litwa</w:t>
            </w:r>
          </w:p>
        </w:tc>
        <w:tc>
          <w:tcPr>
            <w:tcW w:w="986" w:type="dxa"/>
            <w:noWrap/>
          </w:tcPr>
          <w:p w14:paraId="6CD0EAFD" w14:textId="77777777" w:rsidR="0099446A" w:rsidRPr="0099446A" w:rsidRDefault="0099446A">
            <w:pPr>
              <w:pStyle w:val="Tabele"/>
              <w:rPr>
                <w:color w:val="auto"/>
                <w:sz w:val="14"/>
                <w:szCs w:val="14"/>
              </w:rPr>
            </w:pPr>
            <w:r w:rsidRPr="0099446A">
              <w:rPr>
                <w:color w:val="auto"/>
                <w:sz w:val="14"/>
                <w:szCs w:val="14"/>
              </w:rPr>
              <w:t>Litwa</w:t>
            </w:r>
          </w:p>
        </w:tc>
        <w:tc>
          <w:tcPr>
            <w:tcW w:w="987" w:type="dxa"/>
            <w:noWrap/>
          </w:tcPr>
          <w:p w14:paraId="25D3E838" w14:textId="77777777" w:rsidR="0099446A" w:rsidRPr="0099446A" w:rsidRDefault="0099446A">
            <w:pPr>
              <w:pStyle w:val="Tabele"/>
              <w:rPr>
                <w:color w:val="auto"/>
                <w:sz w:val="14"/>
                <w:szCs w:val="14"/>
              </w:rPr>
            </w:pPr>
            <w:r w:rsidRPr="0099446A">
              <w:rPr>
                <w:color w:val="auto"/>
                <w:sz w:val="14"/>
                <w:szCs w:val="14"/>
              </w:rPr>
              <w:t>Litwa</w:t>
            </w:r>
          </w:p>
        </w:tc>
        <w:tc>
          <w:tcPr>
            <w:tcW w:w="986" w:type="dxa"/>
            <w:noWrap/>
          </w:tcPr>
          <w:p w14:paraId="4D806D02" w14:textId="77777777" w:rsidR="0099446A" w:rsidRPr="0099446A" w:rsidRDefault="0099446A">
            <w:pPr>
              <w:pStyle w:val="Tabele"/>
              <w:rPr>
                <w:color w:val="auto"/>
                <w:sz w:val="14"/>
                <w:szCs w:val="14"/>
              </w:rPr>
            </w:pPr>
            <w:r w:rsidRPr="0099446A">
              <w:rPr>
                <w:color w:val="auto"/>
                <w:sz w:val="14"/>
                <w:szCs w:val="14"/>
              </w:rPr>
              <w:t>Litwa</w:t>
            </w:r>
          </w:p>
        </w:tc>
      </w:tr>
      <w:tr w:rsidR="0099446A" w:rsidRPr="00925C4D" w14:paraId="2F1F3915" w14:textId="77777777" w:rsidTr="002D791C">
        <w:trPr>
          <w:trHeight w:val="207"/>
        </w:trPr>
        <w:tc>
          <w:tcPr>
            <w:tcW w:w="1400" w:type="dxa"/>
            <w:vMerge/>
          </w:tcPr>
          <w:p w14:paraId="2E841816" w14:textId="77777777" w:rsidR="0099446A" w:rsidRPr="0099446A" w:rsidRDefault="0099446A">
            <w:pPr>
              <w:pStyle w:val="Tabele"/>
              <w:rPr>
                <w:b/>
                <w:bCs/>
                <w:color w:val="auto"/>
                <w:szCs w:val="16"/>
              </w:rPr>
            </w:pPr>
          </w:p>
        </w:tc>
        <w:tc>
          <w:tcPr>
            <w:tcW w:w="985" w:type="dxa"/>
            <w:noWrap/>
          </w:tcPr>
          <w:p w14:paraId="1C9CE1F4" w14:textId="77777777" w:rsidR="0099446A" w:rsidRPr="0099446A" w:rsidRDefault="0099446A">
            <w:pPr>
              <w:pStyle w:val="Tabele"/>
              <w:rPr>
                <w:color w:val="auto"/>
                <w:sz w:val="14"/>
                <w:szCs w:val="14"/>
              </w:rPr>
            </w:pPr>
          </w:p>
        </w:tc>
        <w:tc>
          <w:tcPr>
            <w:tcW w:w="985" w:type="dxa"/>
            <w:noWrap/>
          </w:tcPr>
          <w:p w14:paraId="49951EF0" w14:textId="77777777" w:rsidR="0099446A" w:rsidRPr="0099446A" w:rsidRDefault="0099446A">
            <w:pPr>
              <w:pStyle w:val="Tabele"/>
              <w:rPr>
                <w:color w:val="auto"/>
                <w:sz w:val="14"/>
                <w:szCs w:val="14"/>
              </w:rPr>
            </w:pPr>
            <w:r w:rsidRPr="0099446A">
              <w:rPr>
                <w:color w:val="auto"/>
                <w:sz w:val="14"/>
                <w:szCs w:val="14"/>
              </w:rPr>
              <w:t>Słowacja</w:t>
            </w:r>
          </w:p>
        </w:tc>
        <w:tc>
          <w:tcPr>
            <w:tcW w:w="986" w:type="dxa"/>
            <w:noWrap/>
          </w:tcPr>
          <w:p w14:paraId="78D0BA18" w14:textId="77777777" w:rsidR="0099446A" w:rsidRPr="0099446A" w:rsidRDefault="0099446A">
            <w:pPr>
              <w:pStyle w:val="Tabele"/>
              <w:rPr>
                <w:color w:val="auto"/>
                <w:sz w:val="14"/>
                <w:szCs w:val="14"/>
              </w:rPr>
            </w:pPr>
            <w:r w:rsidRPr="0099446A">
              <w:rPr>
                <w:color w:val="auto"/>
                <w:sz w:val="14"/>
                <w:szCs w:val="14"/>
              </w:rPr>
              <w:t>Białoruś</w:t>
            </w:r>
          </w:p>
        </w:tc>
        <w:tc>
          <w:tcPr>
            <w:tcW w:w="987" w:type="dxa"/>
            <w:noWrap/>
          </w:tcPr>
          <w:p w14:paraId="7A8033E9" w14:textId="77777777" w:rsidR="0099446A" w:rsidRPr="0099446A" w:rsidRDefault="0099446A">
            <w:pPr>
              <w:pStyle w:val="Tabele"/>
              <w:rPr>
                <w:color w:val="auto"/>
                <w:sz w:val="14"/>
                <w:szCs w:val="14"/>
              </w:rPr>
            </w:pPr>
            <w:r w:rsidRPr="0099446A">
              <w:rPr>
                <w:color w:val="auto"/>
                <w:sz w:val="14"/>
                <w:szCs w:val="14"/>
              </w:rPr>
              <w:t>Białoruś</w:t>
            </w:r>
          </w:p>
        </w:tc>
        <w:tc>
          <w:tcPr>
            <w:tcW w:w="986" w:type="dxa"/>
            <w:noWrap/>
          </w:tcPr>
          <w:p w14:paraId="235461F7" w14:textId="77777777" w:rsidR="0099446A" w:rsidRPr="0099446A" w:rsidRDefault="0099446A">
            <w:pPr>
              <w:pStyle w:val="Tabele"/>
              <w:rPr>
                <w:color w:val="auto"/>
                <w:sz w:val="14"/>
                <w:szCs w:val="14"/>
              </w:rPr>
            </w:pPr>
            <w:r w:rsidRPr="0099446A">
              <w:rPr>
                <w:color w:val="auto"/>
                <w:sz w:val="14"/>
                <w:szCs w:val="14"/>
              </w:rPr>
              <w:t>Słowacja</w:t>
            </w:r>
          </w:p>
        </w:tc>
        <w:tc>
          <w:tcPr>
            <w:tcW w:w="986" w:type="dxa"/>
            <w:noWrap/>
          </w:tcPr>
          <w:p w14:paraId="773EFEFE" w14:textId="77777777" w:rsidR="0099446A" w:rsidRPr="0099446A" w:rsidRDefault="0099446A">
            <w:pPr>
              <w:pStyle w:val="Tabele"/>
              <w:rPr>
                <w:color w:val="auto"/>
                <w:sz w:val="14"/>
                <w:szCs w:val="14"/>
              </w:rPr>
            </w:pPr>
            <w:r w:rsidRPr="0099446A">
              <w:rPr>
                <w:color w:val="auto"/>
                <w:sz w:val="14"/>
                <w:szCs w:val="14"/>
              </w:rPr>
              <w:t>Słowacja</w:t>
            </w:r>
          </w:p>
        </w:tc>
        <w:tc>
          <w:tcPr>
            <w:tcW w:w="987" w:type="dxa"/>
            <w:noWrap/>
          </w:tcPr>
          <w:p w14:paraId="46C9544E" w14:textId="77777777" w:rsidR="0099446A" w:rsidRPr="0099446A" w:rsidRDefault="0099446A">
            <w:pPr>
              <w:pStyle w:val="Tabele"/>
              <w:rPr>
                <w:color w:val="auto"/>
                <w:sz w:val="14"/>
                <w:szCs w:val="14"/>
              </w:rPr>
            </w:pPr>
            <w:r w:rsidRPr="0099446A">
              <w:rPr>
                <w:color w:val="auto"/>
                <w:sz w:val="14"/>
                <w:szCs w:val="14"/>
              </w:rPr>
              <w:t>Słowacja</w:t>
            </w:r>
          </w:p>
        </w:tc>
        <w:tc>
          <w:tcPr>
            <w:tcW w:w="986" w:type="dxa"/>
            <w:noWrap/>
          </w:tcPr>
          <w:p w14:paraId="34B3FBE5" w14:textId="77777777" w:rsidR="0099446A" w:rsidRPr="0099446A" w:rsidRDefault="0099446A">
            <w:pPr>
              <w:pStyle w:val="Tabele"/>
              <w:rPr>
                <w:color w:val="auto"/>
                <w:sz w:val="14"/>
                <w:szCs w:val="14"/>
              </w:rPr>
            </w:pPr>
            <w:r w:rsidRPr="0099446A">
              <w:rPr>
                <w:color w:val="auto"/>
                <w:sz w:val="14"/>
                <w:szCs w:val="14"/>
              </w:rPr>
              <w:t>Słowacja</w:t>
            </w:r>
          </w:p>
        </w:tc>
      </w:tr>
      <w:tr w:rsidR="0099446A" w:rsidRPr="00925C4D" w14:paraId="7E10FECF" w14:textId="77777777" w:rsidTr="002D791C">
        <w:trPr>
          <w:trHeight w:val="207"/>
        </w:trPr>
        <w:tc>
          <w:tcPr>
            <w:tcW w:w="1400" w:type="dxa"/>
            <w:vMerge w:val="restart"/>
          </w:tcPr>
          <w:p w14:paraId="5BDD9658" w14:textId="77777777" w:rsidR="0099446A" w:rsidRPr="0099446A" w:rsidRDefault="0099446A">
            <w:pPr>
              <w:pStyle w:val="Tabele"/>
              <w:rPr>
                <w:b/>
                <w:bCs/>
                <w:color w:val="auto"/>
                <w:szCs w:val="16"/>
              </w:rPr>
            </w:pPr>
            <w:r w:rsidRPr="0099446A">
              <w:rPr>
                <w:b/>
                <w:bCs/>
                <w:color w:val="auto"/>
                <w:szCs w:val="16"/>
              </w:rPr>
              <w:t>Benzyna</w:t>
            </w:r>
          </w:p>
        </w:tc>
        <w:tc>
          <w:tcPr>
            <w:tcW w:w="985" w:type="dxa"/>
            <w:noWrap/>
          </w:tcPr>
          <w:p w14:paraId="5EDDA541" w14:textId="77777777" w:rsidR="0099446A" w:rsidRPr="0099446A" w:rsidRDefault="0099446A">
            <w:pPr>
              <w:pStyle w:val="Tabele"/>
              <w:rPr>
                <w:color w:val="auto"/>
                <w:sz w:val="14"/>
                <w:szCs w:val="14"/>
              </w:rPr>
            </w:pPr>
            <w:r w:rsidRPr="0099446A">
              <w:rPr>
                <w:color w:val="auto"/>
                <w:sz w:val="14"/>
                <w:szCs w:val="14"/>
              </w:rPr>
              <w:t>Słowacja</w:t>
            </w:r>
          </w:p>
        </w:tc>
        <w:tc>
          <w:tcPr>
            <w:tcW w:w="985" w:type="dxa"/>
            <w:noWrap/>
          </w:tcPr>
          <w:p w14:paraId="78198F0B"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07919070" w14:textId="77777777" w:rsidR="0099446A" w:rsidRPr="0099446A" w:rsidRDefault="0099446A">
            <w:pPr>
              <w:pStyle w:val="Tabele"/>
              <w:rPr>
                <w:color w:val="auto"/>
                <w:sz w:val="14"/>
                <w:szCs w:val="14"/>
              </w:rPr>
            </w:pPr>
            <w:r w:rsidRPr="0099446A">
              <w:rPr>
                <w:color w:val="auto"/>
                <w:sz w:val="14"/>
                <w:szCs w:val="14"/>
              </w:rPr>
              <w:t>Słowacja</w:t>
            </w:r>
          </w:p>
        </w:tc>
        <w:tc>
          <w:tcPr>
            <w:tcW w:w="987" w:type="dxa"/>
            <w:noWrap/>
          </w:tcPr>
          <w:p w14:paraId="765EBA7A"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2B24D774"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3F6A3DCE" w14:textId="77777777" w:rsidR="0099446A" w:rsidRPr="0099446A" w:rsidRDefault="0099446A">
            <w:pPr>
              <w:pStyle w:val="Tabele"/>
              <w:rPr>
                <w:color w:val="auto"/>
                <w:sz w:val="14"/>
                <w:szCs w:val="14"/>
              </w:rPr>
            </w:pPr>
            <w:r w:rsidRPr="0099446A">
              <w:rPr>
                <w:color w:val="auto"/>
                <w:sz w:val="14"/>
                <w:szCs w:val="14"/>
              </w:rPr>
              <w:t>Niemcy</w:t>
            </w:r>
          </w:p>
        </w:tc>
        <w:tc>
          <w:tcPr>
            <w:tcW w:w="987" w:type="dxa"/>
            <w:noWrap/>
          </w:tcPr>
          <w:p w14:paraId="69D1D84F"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32642BB0" w14:textId="77777777" w:rsidR="0099446A" w:rsidRPr="0099446A" w:rsidRDefault="0099446A">
            <w:pPr>
              <w:pStyle w:val="Tabele"/>
              <w:rPr>
                <w:color w:val="auto"/>
                <w:sz w:val="14"/>
                <w:szCs w:val="14"/>
              </w:rPr>
            </w:pPr>
            <w:r w:rsidRPr="0099446A">
              <w:rPr>
                <w:color w:val="auto"/>
                <w:sz w:val="14"/>
                <w:szCs w:val="14"/>
              </w:rPr>
              <w:t>Niemcy</w:t>
            </w:r>
          </w:p>
        </w:tc>
      </w:tr>
      <w:tr w:rsidR="0099446A" w:rsidRPr="00925C4D" w14:paraId="21C899D4" w14:textId="77777777" w:rsidTr="002D791C">
        <w:trPr>
          <w:trHeight w:val="207"/>
        </w:trPr>
        <w:tc>
          <w:tcPr>
            <w:tcW w:w="1400" w:type="dxa"/>
            <w:vMerge/>
          </w:tcPr>
          <w:p w14:paraId="6D0C42DB" w14:textId="77777777" w:rsidR="0099446A" w:rsidRPr="0099446A" w:rsidRDefault="0099446A">
            <w:pPr>
              <w:pStyle w:val="Tabele"/>
              <w:rPr>
                <w:b/>
                <w:bCs/>
                <w:color w:val="auto"/>
                <w:szCs w:val="16"/>
              </w:rPr>
            </w:pPr>
          </w:p>
        </w:tc>
        <w:tc>
          <w:tcPr>
            <w:tcW w:w="985" w:type="dxa"/>
            <w:noWrap/>
          </w:tcPr>
          <w:p w14:paraId="0A6DCEE9" w14:textId="77777777" w:rsidR="0099446A" w:rsidRPr="0099446A" w:rsidRDefault="0099446A">
            <w:pPr>
              <w:pStyle w:val="Tabele"/>
              <w:rPr>
                <w:color w:val="auto"/>
                <w:sz w:val="14"/>
                <w:szCs w:val="14"/>
              </w:rPr>
            </w:pPr>
            <w:r w:rsidRPr="0099446A">
              <w:rPr>
                <w:color w:val="auto"/>
                <w:sz w:val="14"/>
                <w:szCs w:val="14"/>
              </w:rPr>
              <w:t>Niemcy</w:t>
            </w:r>
          </w:p>
        </w:tc>
        <w:tc>
          <w:tcPr>
            <w:tcW w:w="985" w:type="dxa"/>
            <w:noWrap/>
          </w:tcPr>
          <w:p w14:paraId="31A78428" w14:textId="77777777" w:rsidR="0099446A" w:rsidRPr="0099446A" w:rsidRDefault="0099446A">
            <w:pPr>
              <w:pStyle w:val="Tabele"/>
              <w:rPr>
                <w:color w:val="auto"/>
                <w:sz w:val="14"/>
                <w:szCs w:val="14"/>
              </w:rPr>
            </w:pPr>
            <w:r w:rsidRPr="0099446A">
              <w:rPr>
                <w:color w:val="auto"/>
                <w:sz w:val="14"/>
                <w:szCs w:val="14"/>
              </w:rPr>
              <w:t>Słowacja</w:t>
            </w:r>
          </w:p>
        </w:tc>
        <w:tc>
          <w:tcPr>
            <w:tcW w:w="986" w:type="dxa"/>
            <w:noWrap/>
          </w:tcPr>
          <w:p w14:paraId="0285BF43" w14:textId="77777777" w:rsidR="0099446A" w:rsidRPr="0099446A" w:rsidRDefault="0099446A">
            <w:pPr>
              <w:pStyle w:val="Tabele"/>
              <w:rPr>
                <w:color w:val="auto"/>
                <w:sz w:val="14"/>
                <w:szCs w:val="14"/>
              </w:rPr>
            </w:pPr>
            <w:r w:rsidRPr="0099446A">
              <w:rPr>
                <w:color w:val="auto"/>
                <w:sz w:val="14"/>
                <w:szCs w:val="14"/>
              </w:rPr>
              <w:t>Niemcy</w:t>
            </w:r>
          </w:p>
        </w:tc>
        <w:tc>
          <w:tcPr>
            <w:tcW w:w="987" w:type="dxa"/>
            <w:noWrap/>
          </w:tcPr>
          <w:p w14:paraId="600720D0" w14:textId="77777777" w:rsidR="0099446A" w:rsidRPr="0099446A" w:rsidRDefault="0099446A">
            <w:pPr>
              <w:pStyle w:val="Tabele"/>
              <w:rPr>
                <w:color w:val="auto"/>
                <w:sz w:val="14"/>
                <w:szCs w:val="14"/>
              </w:rPr>
            </w:pPr>
            <w:r w:rsidRPr="0099446A">
              <w:rPr>
                <w:color w:val="auto"/>
                <w:sz w:val="14"/>
                <w:szCs w:val="14"/>
              </w:rPr>
              <w:t>Słowacja</w:t>
            </w:r>
          </w:p>
        </w:tc>
        <w:tc>
          <w:tcPr>
            <w:tcW w:w="986" w:type="dxa"/>
            <w:noWrap/>
          </w:tcPr>
          <w:p w14:paraId="0C82C39A" w14:textId="77777777" w:rsidR="0099446A" w:rsidRPr="0099446A" w:rsidRDefault="0099446A">
            <w:pPr>
              <w:pStyle w:val="Tabele"/>
              <w:rPr>
                <w:color w:val="auto"/>
                <w:sz w:val="14"/>
                <w:szCs w:val="14"/>
              </w:rPr>
            </w:pPr>
            <w:r w:rsidRPr="0099446A">
              <w:rPr>
                <w:color w:val="auto"/>
                <w:sz w:val="14"/>
                <w:szCs w:val="14"/>
              </w:rPr>
              <w:t>Słowacja</w:t>
            </w:r>
          </w:p>
        </w:tc>
        <w:tc>
          <w:tcPr>
            <w:tcW w:w="986" w:type="dxa"/>
            <w:noWrap/>
          </w:tcPr>
          <w:p w14:paraId="0F96B4FA" w14:textId="77777777" w:rsidR="0099446A" w:rsidRPr="0099446A" w:rsidRDefault="0099446A">
            <w:pPr>
              <w:pStyle w:val="Tabele"/>
              <w:rPr>
                <w:color w:val="auto"/>
                <w:sz w:val="14"/>
                <w:szCs w:val="14"/>
              </w:rPr>
            </w:pPr>
            <w:r w:rsidRPr="0099446A">
              <w:rPr>
                <w:color w:val="auto"/>
                <w:sz w:val="14"/>
                <w:szCs w:val="14"/>
              </w:rPr>
              <w:t>Słowacja</w:t>
            </w:r>
          </w:p>
        </w:tc>
        <w:tc>
          <w:tcPr>
            <w:tcW w:w="987" w:type="dxa"/>
            <w:noWrap/>
          </w:tcPr>
          <w:p w14:paraId="23A99FFB" w14:textId="77777777" w:rsidR="0099446A" w:rsidRPr="0099446A" w:rsidRDefault="0099446A">
            <w:pPr>
              <w:pStyle w:val="Tabele"/>
              <w:rPr>
                <w:color w:val="auto"/>
                <w:sz w:val="14"/>
                <w:szCs w:val="14"/>
              </w:rPr>
            </w:pPr>
            <w:r w:rsidRPr="0099446A">
              <w:rPr>
                <w:color w:val="auto"/>
                <w:sz w:val="14"/>
                <w:szCs w:val="14"/>
              </w:rPr>
              <w:t>Słowacja</w:t>
            </w:r>
          </w:p>
        </w:tc>
        <w:tc>
          <w:tcPr>
            <w:tcW w:w="986" w:type="dxa"/>
            <w:noWrap/>
          </w:tcPr>
          <w:p w14:paraId="3D6B2CC3" w14:textId="77777777" w:rsidR="0099446A" w:rsidRPr="0099446A" w:rsidRDefault="0099446A">
            <w:pPr>
              <w:pStyle w:val="Tabele"/>
              <w:rPr>
                <w:color w:val="auto"/>
                <w:sz w:val="14"/>
                <w:szCs w:val="14"/>
              </w:rPr>
            </w:pPr>
            <w:r w:rsidRPr="0099446A">
              <w:rPr>
                <w:color w:val="auto"/>
                <w:sz w:val="14"/>
                <w:szCs w:val="14"/>
              </w:rPr>
              <w:t>Słowacja</w:t>
            </w:r>
          </w:p>
        </w:tc>
      </w:tr>
      <w:tr w:rsidR="0099446A" w:rsidRPr="00925C4D" w14:paraId="37EE92DA" w14:textId="77777777" w:rsidTr="002D791C">
        <w:trPr>
          <w:trHeight w:val="207"/>
        </w:trPr>
        <w:tc>
          <w:tcPr>
            <w:tcW w:w="1400" w:type="dxa"/>
            <w:vMerge w:val="restart"/>
          </w:tcPr>
          <w:p w14:paraId="27C22F49" w14:textId="77777777" w:rsidR="0099446A" w:rsidRPr="0099446A" w:rsidRDefault="0099446A">
            <w:pPr>
              <w:pStyle w:val="Tabele"/>
              <w:rPr>
                <w:b/>
                <w:bCs/>
                <w:color w:val="auto"/>
                <w:szCs w:val="16"/>
              </w:rPr>
            </w:pPr>
            <w:r w:rsidRPr="0099446A">
              <w:rPr>
                <w:b/>
                <w:bCs/>
                <w:color w:val="auto"/>
                <w:szCs w:val="16"/>
              </w:rPr>
              <w:t>LPG</w:t>
            </w:r>
          </w:p>
        </w:tc>
        <w:tc>
          <w:tcPr>
            <w:tcW w:w="985" w:type="dxa"/>
            <w:noWrap/>
          </w:tcPr>
          <w:p w14:paraId="5F9CD21E" w14:textId="77777777" w:rsidR="0099446A" w:rsidRPr="0099446A" w:rsidRDefault="0099446A">
            <w:pPr>
              <w:pStyle w:val="Tabele"/>
              <w:rPr>
                <w:color w:val="auto"/>
                <w:sz w:val="14"/>
                <w:szCs w:val="14"/>
              </w:rPr>
            </w:pPr>
            <w:r w:rsidRPr="0099446A">
              <w:rPr>
                <w:color w:val="auto"/>
                <w:sz w:val="14"/>
                <w:szCs w:val="14"/>
              </w:rPr>
              <w:t>Rosja</w:t>
            </w:r>
          </w:p>
        </w:tc>
        <w:tc>
          <w:tcPr>
            <w:tcW w:w="985" w:type="dxa"/>
            <w:noWrap/>
          </w:tcPr>
          <w:p w14:paraId="1E35B77F" w14:textId="77777777" w:rsidR="0099446A" w:rsidRPr="0099446A" w:rsidRDefault="0099446A">
            <w:pPr>
              <w:pStyle w:val="Tabele"/>
              <w:rPr>
                <w:color w:val="auto"/>
                <w:sz w:val="14"/>
                <w:szCs w:val="14"/>
              </w:rPr>
            </w:pPr>
            <w:r w:rsidRPr="0099446A">
              <w:rPr>
                <w:color w:val="auto"/>
                <w:sz w:val="14"/>
                <w:szCs w:val="14"/>
              </w:rPr>
              <w:t>Rosja</w:t>
            </w:r>
          </w:p>
        </w:tc>
        <w:tc>
          <w:tcPr>
            <w:tcW w:w="986" w:type="dxa"/>
            <w:noWrap/>
          </w:tcPr>
          <w:p w14:paraId="0DCD3A83" w14:textId="77777777" w:rsidR="0099446A" w:rsidRPr="0099446A" w:rsidRDefault="0099446A">
            <w:pPr>
              <w:pStyle w:val="Tabele"/>
              <w:rPr>
                <w:color w:val="auto"/>
                <w:sz w:val="14"/>
                <w:szCs w:val="14"/>
              </w:rPr>
            </w:pPr>
            <w:r w:rsidRPr="0099446A">
              <w:rPr>
                <w:color w:val="auto"/>
                <w:sz w:val="14"/>
                <w:szCs w:val="14"/>
              </w:rPr>
              <w:t>Rosja</w:t>
            </w:r>
          </w:p>
        </w:tc>
        <w:tc>
          <w:tcPr>
            <w:tcW w:w="987" w:type="dxa"/>
            <w:noWrap/>
          </w:tcPr>
          <w:p w14:paraId="154A6FFC" w14:textId="77777777" w:rsidR="0099446A" w:rsidRPr="0099446A" w:rsidRDefault="0099446A">
            <w:pPr>
              <w:pStyle w:val="Tabele"/>
              <w:rPr>
                <w:color w:val="auto"/>
                <w:sz w:val="14"/>
                <w:szCs w:val="14"/>
              </w:rPr>
            </w:pPr>
            <w:r w:rsidRPr="0099446A">
              <w:rPr>
                <w:color w:val="auto"/>
                <w:sz w:val="14"/>
                <w:szCs w:val="14"/>
              </w:rPr>
              <w:t>Rosja</w:t>
            </w:r>
          </w:p>
        </w:tc>
        <w:tc>
          <w:tcPr>
            <w:tcW w:w="986" w:type="dxa"/>
            <w:noWrap/>
          </w:tcPr>
          <w:p w14:paraId="63B6D975" w14:textId="77777777" w:rsidR="0099446A" w:rsidRPr="0099446A" w:rsidRDefault="0099446A">
            <w:pPr>
              <w:pStyle w:val="Tabele"/>
              <w:rPr>
                <w:color w:val="auto"/>
                <w:sz w:val="14"/>
                <w:szCs w:val="14"/>
              </w:rPr>
            </w:pPr>
            <w:r w:rsidRPr="0099446A">
              <w:rPr>
                <w:color w:val="auto"/>
                <w:sz w:val="14"/>
                <w:szCs w:val="14"/>
              </w:rPr>
              <w:t>Szwecja</w:t>
            </w:r>
          </w:p>
        </w:tc>
        <w:tc>
          <w:tcPr>
            <w:tcW w:w="986" w:type="dxa"/>
            <w:noWrap/>
          </w:tcPr>
          <w:p w14:paraId="78C13F35" w14:textId="77777777" w:rsidR="0099446A" w:rsidRPr="0099446A" w:rsidRDefault="0099446A">
            <w:pPr>
              <w:pStyle w:val="Tabele"/>
              <w:rPr>
                <w:color w:val="auto"/>
                <w:sz w:val="14"/>
                <w:szCs w:val="14"/>
              </w:rPr>
            </w:pPr>
            <w:r w:rsidRPr="0099446A">
              <w:rPr>
                <w:color w:val="auto"/>
                <w:sz w:val="14"/>
                <w:szCs w:val="14"/>
              </w:rPr>
              <w:t>Szwecja</w:t>
            </w:r>
          </w:p>
        </w:tc>
        <w:tc>
          <w:tcPr>
            <w:tcW w:w="987" w:type="dxa"/>
            <w:noWrap/>
          </w:tcPr>
          <w:p w14:paraId="28A2CF10" w14:textId="77777777" w:rsidR="0099446A" w:rsidRPr="0099446A" w:rsidRDefault="0099446A">
            <w:pPr>
              <w:pStyle w:val="Tabele"/>
              <w:rPr>
                <w:color w:val="auto"/>
                <w:sz w:val="14"/>
                <w:szCs w:val="14"/>
              </w:rPr>
            </w:pPr>
            <w:r w:rsidRPr="0099446A">
              <w:rPr>
                <w:color w:val="auto"/>
                <w:sz w:val="14"/>
                <w:szCs w:val="14"/>
              </w:rPr>
              <w:t>Szwecja</w:t>
            </w:r>
          </w:p>
        </w:tc>
        <w:tc>
          <w:tcPr>
            <w:tcW w:w="986" w:type="dxa"/>
            <w:noWrap/>
          </w:tcPr>
          <w:p w14:paraId="08EE6791" w14:textId="77777777" w:rsidR="0099446A" w:rsidRPr="0099446A" w:rsidRDefault="0099446A">
            <w:pPr>
              <w:pStyle w:val="Tabele"/>
              <w:rPr>
                <w:color w:val="auto"/>
                <w:sz w:val="14"/>
                <w:szCs w:val="14"/>
              </w:rPr>
            </w:pPr>
            <w:r w:rsidRPr="0099446A">
              <w:rPr>
                <w:color w:val="auto"/>
                <w:sz w:val="14"/>
                <w:szCs w:val="14"/>
              </w:rPr>
              <w:t>Szwecja</w:t>
            </w:r>
          </w:p>
        </w:tc>
      </w:tr>
      <w:tr w:rsidR="0099446A" w:rsidRPr="00925C4D" w14:paraId="4023058E" w14:textId="77777777" w:rsidTr="002D791C">
        <w:trPr>
          <w:trHeight w:val="207"/>
        </w:trPr>
        <w:tc>
          <w:tcPr>
            <w:tcW w:w="1400" w:type="dxa"/>
            <w:vMerge/>
          </w:tcPr>
          <w:p w14:paraId="5684976D" w14:textId="77777777" w:rsidR="0099446A" w:rsidRPr="0099446A" w:rsidRDefault="0099446A">
            <w:pPr>
              <w:pStyle w:val="Tabele"/>
              <w:rPr>
                <w:b/>
                <w:bCs/>
                <w:color w:val="auto"/>
                <w:szCs w:val="16"/>
              </w:rPr>
            </w:pPr>
          </w:p>
        </w:tc>
        <w:tc>
          <w:tcPr>
            <w:tcW w:w="985" w:type="dxa"/>
            <w:noWrap/>
          </w:tcPr>
          <w:p w14:paraId="37B20F75" w14:textId="77777777" w:rsidR="0099446A" w:rsidRPr="0099446A" w:rsidRDefault="0099446A">
            <w:pPr>
              <w:pStyle w:val="Tabele"/>
              <w:rPr>
                <w:color w:val="auto"/>
                <w:sz w:val="14"/>
                <w:szCs w:val="14"/>
              </w:rPr>
            </w:pPr>
            <w:r w:rsidRPr="0099446A">
              <w:rPr>
                <w:color w:val="auto"/>
                <w:sz w:val="14"/>
                <w:szCs w:val="14"/>
              </w:rPr>
              <w:t>Kazachstan</w:t>
            </w:r>
          </w:p>
        </w:tc>
        <w:tc>
          <w:tcPr>
            <w:tcW w:w="985" w:type="dxa"/>
            <w:noWrap/>
          </w:tcPr>
          <w:p w14:paraId="4507D3B2" w14:textId="77777777" w:rsidR="0099446A" w:rsidRPr="0099446A" w:rsidRDefault="0099446A">
            <w:pPr>
              <w:pStyle w:val="Tabele"/>
              <w:rPr>
                <w:color w:val="auto"/>
                <w:sz w:val="14"/>
                <w:szCs w:val="14"/>
              </w:rPr>
            </w:pPr>
            <w:r w:rsidRPr="0099446A">
              <w:rPr>
                <w:color w:val="auto"/>
                <w:sz w:val="14"/>
                <w:szCs w:val="14"/>
              </w:rPr>
              <w:t>Kazachstan</w:t>
            </w:r>
          </w:p>
        </w:tc>
        <w:tc>
          <w:tcPr>
            <w:tcW w:w="986" w:type="dxa"/>
            <w:noWrap/>
          </w:tcPr>
          <w:p w14:paraId="5851257C" w14:textId="77777777" w:rsidR="0099446A" w:rsidRPr="0099446A" w:rsidRDefault="0099446A">
            <w:pPr>
              <w:pStyle w:val="Tabele"/>
              <w:rPr>
                <w:color w:val="auto"/>
                <w:sz w:val="14"/>
                <w:szCs w:val="14"/>
              </w:rPr>
            </w:pPr>
            <w:r w:rsidRPr="0099446A">
              <w:rPr>
                <w:color w:val="auto"/>
                <w:sz w:val="14"/>
                <w:szCs w:val="14"/>
              </w:rPr>
              <w:t>Kazachstan</w:t>
            </w:r>
          </w:p>
        </w:tc>
        <w:tc>
          <w:tcPr>
            <w:tcW w:w="987" w:type="dxa"/>
            <w:noWrap/>
          </w:tcPr>
          <w:p w14:paraId="3C17ED60" w14:textId="77777777" w:rsidR="0099446A" w:rsidRPr="0099446A" w:rsidRDefault="0099446A">
            <w:pPr>
              <w:pStyle w:val="Tabele"/>
              <w:rPr>
                <w:color w:val="auto"/>
                <w:sz w:val="14"/>
                <w:szCs w:val="14"/>
              </w:rPr>
            </w:pPr>
            <w:r w:rsidRPr="0099446A">
              <w:rPr>
                <w:color w:val="auto"/>
                <w:sz w:val="14"/>
                <w:szCs w:val="14"/>
              </w:rPr>
              <w:t>Szwecja</w:t>
            </w:r>
          </w:p>
        </w:tc>
        <w:tc>
          <w:tcPr>
            <w:tcW w:w="986" w:type="dxa"/>
            <w:noWrap/>
          </w:tcPr>
          <w:p w14:paraId="7CFA41DB" w14:textId="77777777" w:rsidR="0099446A" w:rsidRPr="0099446A" w:rsidRDefault="0099446A">
            <w:pPr>
              <w:pStyle w:val="Tabele"/>
              <w:rPr>
                <w:color w:val="auto"/>
                <w:sz w:val="14"/>
                <w:szCs w:val="14"/>
              </w:rPr>
            </w:pPr>
            <w:r w:rsidRPr="0099446A">
              <w:rPr>
                <w:color w:val="auto"/>
                <w:sz w:val="14"/>
                <w:szCs w:val="14"/>
              </w:rPr>
              <w:t>Norwegia</w:t>
            </w:r>
          </w:p>
        </w:tc>
        <w:tc>
          <w:tcPr>
            <w:tcW w:w="986" w:type="dxa"/>
            <w:noWrap/>
          </w:tcPr>
          <w:p w14:paraId="27BD616D" w14:textId="77777777" w:rsidR="0099446A" w:rsidRPr="0099446A" w:rsidRDefault="0099446A">
            <w:pPr>
              <w:pStyle w:val="Tabele"/>
              <w:rPr>
                <w:color w:val="auto"/>
                <w:sz w:val="14"/>
                <w:szCs w:val="14"/>
              </w:rPr>
            </w:pPr>
            <w:r w:rsidRPr="0099446A">
              <w:rPr>
                <w:color w:val="auto"/>
                <w:sz w:val="14"/>
                <w:szCs w:val="14"/>
              </w:rPr>
              <w:t>Norwegia</w:t>
            </w:r>
          </w:p>
        </w:tc>
        <w:tc>
          <w:tcPr>
            <w:tcW w:w="987" w:type="dxa"/>
            <w:noWrap/>
          </w:tcPr>
          <w:p w14:paraId="274F579C" w14:textId="77777777" w:rsidR="0099446A" w:rsidRPr="0099446A" w:rsidRDefault="0099446A">
            <w:pPr>
              <w:pStyle w:val="Tabele"/>
              <w:rPr>
                <w:color w:val="auto"/>
                <w:sz w:val="14"/>
                <w:szCs w:val="14"/>
              </w:rPr>
            </w:pPr>
            <w:r w:rsidRPr="0099446A">
              <w:rPr>
                <w:color w:val="auto"/>
                <w:sz w:val="14"/>
                <w:szCs w:val="14"/>
              </w:rPr>
              <w:t>Norwegia</w:t>
            </w:r>
          </w:p>
        </w:tc>
        <w:tc>
          <w:tcPr>
            <w:tcW w:w="986" w:type="dxa"/>
            <w:noWrap/>
          </w:tcPr>
          <w:p w14:paraId="29E0BA50" w14:textId="77777777" w:rsidR="0099446A" w:rsidRPr="0099446A" w:rsidRDefault="0099446A">
            <w:pPr>
              <w:pStyle w:val="Tabele"/>
              <w:rPr>
                <w:color w:val="auto"/>
                <w:sz w:val="14"/>
                <w:szCs w:val="14"/>
              </w:rPr>
            </w:pPr>
            <w:r w:rsidRPr="0099446A">
              <w:rPr>
                <w:color w:val="auto"/>
                <w:sz w:val="14"/>
                <w:szCs w:val="14"/>
              </w:rPr>
              <w:t>Norwegia</w:t>
            </w:r>
          </w:p>
        </w:tc>
      </w:tr>
      <w:tr w:rsidR="0099446A" w:rsidRPr="00925C4D" w14:paraId="6F3261B6" w14:textId="77777777" w:rsidTr="002D791C">
        <w:trPr>
          <w:trHeight w:val="207"/>
        </w:trPr>
        <w:tc>
          <w:tcPr>
            <w:tcW w:w="1400" w:type="dxa"/>
            <w:vMerge w:val="restart"/>
            <w:noWrap/>
            <w:hideMark/>
          </w:tcPr>
          <w:p w14:paraId="1A98F0B4" w14:textId="77777777" w:rsidR="0099446A" w:rsidRPr="0099446A" w:rsidRDefault="0099446A">
            <w:pPr>
              <w:pStyle w:val="Tabele"/>
              <w:rPr>
                <w:b/>
                <w:bCs/>
                <w:color w:val="auto"/>
                <w:szCs w:val="16"/>
              </w:rPr>
            </w:pPr>
            <w:r w:rsidRPr="0099446A">
              <w:rPr>
                <w:b/>
                <w:bCs/>
                <w:color w:val="auto"/>
                <w:szCs w:val="16"/>
              </w:rPr>
              <w:t>Gaz ziemny</w:t>
            </w:r>
          </w:p>
        </w:tc>
        <w:tc>
          <w:tcPr>
            <w:tcW w:w="985" w:type="dxa"/>
            <w:noWrap/>
          </w:tcPr>
          <w:p w14:paraId="7856F43E" w14:textId="77777777" w:rsidR="0099446A" w:rsidRPr="0099446A" w:rsidRDefault="0099446A">
            <w:pPr>
              <w:pStyle w:val="Tabele"/>
              <w:rPr>
                <w:color w:val="auto"/>
                <w:sz w:val="14"/>
                <w:szCs w:val="14"/>
              </w:rPr>
            </w:pPr>
            <w:r w:rsidRPr="0099446A">
              <w:rPr>
                <w:color w:val="auto"/>
                <w:sz w:val="14"/>
                <w:szCs w:val="14"/>
              </w:rPr>
              <w:t>Rosja</w:t>
            </w:r>
          </w:p>
        </w:tc>
        <w:tc>
          <w:tcPr>
            <w:tcW w:w="985" w:type="dxa"/>
            <w:noWrap/>
          </w:tcPr>
          <w:p w14:paraId="3AE4D9F9" w14:textId="77777777" w:rsidR="0099446A" w:rsidRPr="0099446A" w:rsidRDefault="0099446A">
            <w:pPr>
              <w:pStyle w:val="Tabele"/>
              <w:rPr>
                <w:color w:val="auto"/>
                <w:sz w:val="14"/>
                <w:szCs w:val="14"/>
              </w:rPr>
            </w:pPr>
            <w:r w:rsidRPr="0099446A">
              <w:rPr>
                <w:color w:val="auto"/>
                <w:sz w:val="14"/>
                <w:szCs w:val="14"/>
              </w:rPr>
              <w:t>Rosja</w:t>
            </w:r>
          </w:p>
        </w:tc>
        <w:tc>
          <w:tcPr>
            <w:tcW w:w="986" w:type="dxa"/>
            <w:noWrap/>
          </w:tcPr>
          <w:p w14:paraId="788AEB36" w14:textId="77777777" w:rsidR="0099446A" w:rsidRPr="0099446A" w:rsidRDefault="0099446A">
            <w:pPr>
              <w:pStyle w:val="Tabele"/>
              <w:rPr>
                <w:color w:val="auto"/>
                <w:sz w:val="14"/>
                <w:szCs w:val="14"/>
              </w:rPr>
            </w:pPr>
            <w:r w:rsidRPr="0099446A">
              <w:rPr>
                <w:color w:val="auto"/>
                <w:sz w:val="14"/>
                <w:szCs w:val="14"/>
              </w:rPr>
              <w:t>Rosja</w:t>
            </w:r>
          </w:p>
        </w:tc>
        <w:tc>
          <w:tcPr>
            <w:tcW w:w="987" w:type="dxa"/>
            <w:noWrap/>
          </w:tcPr>
          <w:p w14:paraId="046E7AF2" w14:textId="77777777" w:rsidR="0099446A" w:rsidRPr="0099446A" w:rsidRDefault="0099446A">
            <w:pPr>
              <w:pStyle w:val="Tabele"/>
              <w:rPr>
                <w:color w:val="auto"/>
                <w:sz w:val="14"/>
                <w:szCs w:val="14"/>
              </w:rPr>
            </w:pPr>
            <w:r w:rsidRPr="0099446A">
              <w:rPr>
                <w:color w:val="auto"/>
                <w:sz w:val="14"/>
                <w:szCs w:val="14"/>
              </w:rPr>
              <w:t>Rosja</w:t>
            </w:r>
          </w:p>
        </w:tc>
        <w:tc>
          <w:tcPr>
            <w:tcW w:w="986" w:type="dxa"/>
            <w:noWrap/>
          </w:tcPr>
          <w:p w14:paraId="1D6F4100" w14:textId="77777777" w:rsidR="0099446A" w:rsidRPr="0099446A" w:rsidRDefault="0099446A">
            <w:pPr>
              <w:pStyle w:val="Tabele"/>
              <w:rPr>
                <w:color w:val="auto"/>
                <w:sz w:val="14"/>
                <w:szCs w:val="14"/>
              </w:rPr>
            </w:pPr>
            <w:r w:rsidRPr="0099446A">
              <w:rPr>
                <w:color w:val="auto"/>
                <w:sz w:val="14"/>
                <w:szCs w:val="14"/>
              </w:rPr>
              <w:t>Norwegia</w:t>
            </w:r>
          </w:p>
        </w:tc>
        <w:tc>
          <w:tcPr>
            <w:tcW w:w="986" w:type="dxa"/>
            <w:noWrap/>
          </w:tcPr>
          <w:p w14:paraId="501D617C" w14:textId="77777777" w:rsidR="0099446A" w:rsidRPr="0099446A" w:rsidRDefault="0099446A">
            <w:pPr>
              <w:pStyle w:val="Tabele"/>
              <w:rPr>
                <w:color w:val="auto"/>
                <w:sz w:val="14"/>
                <w:szCs w:val="14"/>
              </w:rPr>
            </w:pPr>
            <w:r w:rsidRPr="0099446A">
              <w:rPr>
                <w:color w:val="auto"/>
                <w:sz w:val="14"/>
                <w:szCs w:val="14"/>
              </w:rPr>
              <w:t>Norwegia</w:t>
            </w:r>
          </w:p>
        </w:tc>
        <w:tc>
          <w:tcPr>
            <w:tcW w:w="987" w:type="dxa"/>
            <w:noWrap/>
          </w:tcPr>
          <w:p w14:paraId="1231ACA3" w14:textId="77777777" w:rsidR="0099446A" w:rsidRPr="0099446A" w:rsidRDefault="0099446A">
            <w:pPr>
              <w:pStyle w:val="Tabele"/>
              <w:rPr>
                <w:color w:val="auto"/>
                <w:sz w:val="14"/>
                <w:szCs w:val="14"/>
              </w:rPr>
            </w:pPr>
            <w:r w:rsidRPr="0099446A">
              <w:rPr>
                <w:color w:val="auto"/>
                <w:sz w:val="14"/>
                <w:szCs w:val="14"/>
              </w:rPr>
              <w:t>Norwegia</w:t>
            </w:r>
          </w:p>
        </w:tc>
        <w:tc>
          <w:tcPr>
            <w:tcW w:w="986" w:type="dxa"/>
            <w:noWrap/>
          </w:tcPr>
          <w:p w14:paraId="16B8B3D9" w14:textId="77777777" w:rsidR="0099446A" w:rsidRPr="0099446A" w:rsidRDefault="0099446A">
            <w:pPr>
              <w:pStyle w:val="Tabele"/>
              <w:rPr>
                <w:color w:val="auto"/>
                <w:sz w:val="14"/>
                <w:szCs w:val="14"/>
              </w:rPr>
            </w:pPr>
            <w:r w:rsidRPr="0099446A">
              <w:rPr>
                <w:color w:val="auto"/>
                <w:sz w:val="14"/>
                <w:szCs w:val="14"/>
              </w:rPr>
              <w:t>Norwegia</w:t>
            </w:r>
          </w:p>
        </w:tc>
      </w:tr>
      <w:tr w:rsidR="0099446A" w:rsidRPr="00925C4D" w14:paraId="69345D54" w14:textId="77777777" w:rsidTr="002D791C">
        <w:trPr>
          <w:trHeight w:val="207"/>
        </w:trPr>
        <w:tc>
          <w:tcPr>
            <w:tcW w:w="1400" w:type="dxa"/>
            <w:vMerge/>
            <w:hideMark/>
          </w:tcPr>
          <w:p w14:paraId="7ADB674B" w14:textId="77777777" w:rsidR="0099446A" w:rsidRPr="0099446A" w:rsidRDefault="0099446A">
            <w:pPr>
              <w:pStyle w:val="Tabele"/>
              <w:rPr>
                <w:b/>
                <w:bCs/>
                <w:color w:val="auto"/>
                <w:szCs w:val="16"/>
              </w:rPr>
            </w:pPr>
          </w:p>
        </w:tc>
        <w:tc>
          <w:tcPr>
            <w:tcW w:w="985" w:type="dxa"/>
            <w:noWrap/>
          </w:tcPr>
          <w:p w14:paraId="4E16A2E7" w14:textId="77777777" w:rsidR="0099446A" w:rsidRPr="0099446A" w:rsidRDefault="0099446A">
            <w:pPr>
              <w:pStyle w:val="Tabele"/>
              <w:rPr>
                <w:color w:val="auto"/>
                <w:sz w:val="14"/>
                <w:szCs w:val="14"/>
              </w:rPr>
            </w:pPr>
            <w:r w:rsidRPr="0099446A">
              <w:rPr>
                <w:color w:val="auto"/>
                <w:sz w:val="14"/>
                <w:szCs w:val="14"/>
              </w:rPr>
              <w:t>Uzbekistan</w:t>
            </w:r>
          </w:p>
        </w:tc>
        <w:tc>
          <w:tcPr>
            <w:tcW w:w="985" w:type="dxa"/>
            <w:noWrap/>
          </w:tcPr>
          <w:p w14:paraId="55745F18" w14:textId="77777777" w:rsidR="0099446A" w:rsidRPr="0099446A" w:rsidRDefault="0099446A">
            <w:pPr>
              <w:pStyle w:val="Tabele"/>
              <w:rPr>
                <w:color w:val="auto"/>
                <w:sz w:val="14"/>
                <w:szCs w:val="14"/>
              </w:rPr>
            </w:pPr>
            <w:r w:rsidRPr="0099446A">
              <w:rPr>
                <w:color w:val="auto"/>
                <w:sz w:val="14"/>
                <w:szCs w:val="14"/>
              </w:rPr>
              <w:t>Niemcy</w:t>
            </w:r>
          </w:p>
        </w:tc>
        <w:tc>
          <w:tcPr>
            <w:tcW w:w="986" w:type="dxa"/>
            <w:noWrap/>
          </w:tcPr>
          <w:p w14:paraId="6C70FA20" w14:textId="77777777" w:rsidR="0099446A" w:rsidRPr="0099446A" w:rsidRDefault="0099446A">
            <w:pPr>
              <w:pStyle w:val="Tabele"/>
              <w:rPr>
                <w:color w:val="auto"/>
                <w:sz w:val="14"/>
                <w:szCs w:val="14"/>
              </w:rPr>
            </w:pPr>
            <w:r w:rsidRPr="0099446A">
              <w:rPr>
                <w:color w:val="auto"/>
                <w:sz w:val="14"/>
                <w:szCs w:val="14"/>
              </w:rPr>
              <w:t>Niemcy</w:t>
            </w:r>
          </w:p>
        </w:tc>
        <w:tc>
          <w:tcPr>
            <w:tcW w:w="987" w:type="dxa"/>
            <w:noWrap/>
          </w:tcPr>
          <w:p w14:paraId="453898BB" w14:textId="77777777" w:rsidR="0099446A" w:rsidRPr="0099446A" w:rsidRDefault="0099446A">
            <w:pPr>
              <w:pStyle w:val="Tabele"/>
              <w:rPr>
                <w:color w:val="auto"/>
                <w:sz w:val="14"/>
                <w:szCs w:val="14"/>
              </w:rPr>
            </w:pPr>
            <w:r w:rsidRPr="0099446A">
              <w:rPr>
                <w:color w:val="auto"/>
                <w:sz w:val="14"/>
                <w:szCs w:val="14"/>
              </w:rPr>
              <w:t xml:space="preserve">Niemcy </w:t>
            </w:r>
          </w:p>
        </w:tc>
        <w:tc>
          <w:tcPr>
            <w:tcW w:w="986" w:type="dxa"/>
            <w:noWrap/>
          </w:tcPr>
          <w:p w14:paraId="2748288F" w14:textId="77777777" w:rsidR="0099446A" w:rsidRPr="0099446A" w:rsidRDefault="0099446A">
            <w:pPr>
              <w:pStyle w:val="Tabele"/>
              <w:rPr>
                <w:color w:val="auto"/>
                <w:sz w:val="14"/>
                <w:szCs w:val="14"/>
              </w:rPr>
            </w:pPr>
            <w:r w:rsidRPr="0099446A">
              <w:rPr>
                <w:color w:val="auto"/>
                <w:sz w:val="14"/>
                <w:szCs w:val="14"/>
              </w:rPr>
              <w:t>USA</w:t>
            </w:r>
          </w:p>
        </w:tc>
        <w:tc>
          <w:tcPr>
            <w:tcW w:w="986" w:type="dxa"/>
            <w:noWrap/>
          </w:tcPr>
          <w:p w14:paraId="1648BBA3" w14:textId="77777777" w:rsidR="0099446A" w:rsidRPr="0099446A" w:rsidRDefault="0099446A">
            <w:pPr>
              <w:pStyle w:val="Tabele"/>
              <w:rPr>
                <w:color w:val="auto"/>
                <w:sz w:val="14"/>
                <w:szCs w:val="14"/>
              </w:rPr>
            </w:pPr>
            <w:r w:rsidRPr="0099446A">
              <w:rPr>
                <w:color w:val="auto"/>
                <w:sz w:val="14"/>
                <w:szCs w:val="14"/>
              </w:rPr>
              <w:t>USA</w:t>
            </w:r>
          </w:p>
        </w:tc>
        <w:tc>
          <w:tcPr>
            <w:tcW w:w="987" w:type="dxa"/>
            <w:noWrap/>
          </w:tcPr>
          <w:p w14:paraId="7F530CD7" w14:textId="77777777" w:rsidR="0099446A" w:rsidRPr="0099446A" w:rsidRDefault="0099446A">
            <w:pPr>
              <w:pStyle w:val="Tabele"/>
              <w:rPr>
                <w:color w:val="auto"/>
                <w:sz w:val="14"/>
                <w:szCs w:val="14"/>
              </w:rPr>
            </w:pPr>
            <w:r w:rsidRPr="0099446A">
              <w:rPr>
                <w:color w:val="auto"/>
                <w:sz w:val="14"/>
                <w:szCs w:val="14"/>
              </w:rPr>
              <w:t>USA</w:t>
            </w:r>
          </w:p>
        </w:tc>
        <w:tc>
          <w:tcPr>
            <w:tcW w:w="986" w:type="dxa"/>
            <w:noWrap/>
          </w:tcPr>
          <w:p w14:paraId="30208FE3" w14:textId="77777777" w:rsidR="0099446A" w:rsidRPr="0099446A" w:rsidRDefault="0099446A">
            <w:pPr>
              <w:pStyle w:val="Tabele"/>
              <w:rPr>
                <w:color w:val="auto"/>
                <w:sz w:val="14"/>
                <w:szCs w:val="14"/>
              </w:rPr>
            </w:pPr>
            <w:r w:rsidRPr="0099446A">
              <w:rPr>
                <w:color w:val="auto"/>
                <w:sz w:val="14"/>
                <w:szCs w:val="14"/>
              </w:rPr>
              <w:t>USA</w:t>
            </w:r>
          </w:p>
        </w:tc>
      </w:tr>
      <w:tr w:rsidR="0099446A" w:rsidRPr="00925C4D" w14:paraId="674745EB" w14:textId="77777777" w:rsidTr="002D791C">
        <w:trPr>
          <w:trHeight w:val="207"/>
        </w:trPr>
        <w:tc>
          <w:tcPr>
            <w:tcW w:w="1400" w:type="dxa"/>
            <w:vMerge/>
          </w:tcPr>
          <w:p w14:paraId="18ED493E" w14:textId="77777777" w:rsidR="0099446A" w:rsidRPr="0099446A" w:rsidRDefault="0099446A">
            <w:pPr>
              <w:pStyle w:val="Tabele"/>
              <w:rPr>
                <w:b/>
                <w:bCs/>
                <w:color w:val="auto"/>
                <w:szCs w:val="16"/>
              </w:rPr>
            </w:pPr>
          </w:p>
        </w:tc>
        <w:tc>
          <w:tcPr>
            <w:tcW w:w="985" w:type="dxa"/>
            <w:noWrap/>
          </w:tcPr>
          <w:p w14:paraId="621F8E50" w14:textId="77777777" w:rsidR="0099446A" w:rsidRPr="0099446A" w:rsidRDefault="0099446A">
            <w:pPr>
              <w:pStyle w:val="Tabele"/>
              <w:rPr>
                <w:color w:val="auto"/>
                <w:sz w:val="14"/>
                <w:szCs w:val="14"/>
              </w:rPr>
            </w:pPr>
            <w:r w:rsidRPr="0099446A">
              <w:rPr>
                <w:color w:val="auto"/>
                <w:sz w:val="14"/>
                <w:szCs w:val="14"/>
              </w:rPr>
              <w:t>Kazachstan</w:t>
            </w:r>
          </w:p>
        </w:tc>
        <w:tc>
          <w:tcPr>
            <w:tcW w:w="985" w:type="dxa"/>
            <w:noWrap/>
          </w:tcPr>
          <w:p w14:paraId="6FA37524" w14:textId="77777777" w:rsidR="0099446A" w:rsidRPr="0099446A" w:rsidRDefault="0099446A">
            <w:pPr>
              <w:pStyle w:val="Tabele"/>
              <w:rPr>
                <w:color w:val="auto"/>
                <w:sz w:val="14"/>
                <w:szCs w:val="14"/>
              </w:rPr>
            </w:pPr>
          </w:p>
        </w:tc>
        <w:tc>
          <w:tcPr>
            <w:tcW w:w="986" w:type="dxa"/>
            <w:noWrap/>
          </w:tcPr>
          <w:p w14:paraId="6CD1DD5D" w14:textId="77777777" w:rsidR="0099446A" w:rsidRPr="0099446A" w:rsidRDefault="0099446A">
            <w:pPr>
              <w:pStyle w:val="Tabele"/>
              <w:rPr>
                <w:color w:val="auto"/>
                <w:sz w:val="14"/>
                <w:szCs w:val="14"/>
              </w:rPr>
            </w:pPr>
            <w:r w:rsidRPr="0099446A">
              <w:rPr>
                <w:color w:val="auto"/>
                <w:sz w:val="14"/>
                <w:szCs w:val="14"/>
              </w:rPr>
              <w:t>Katar</w:t>
            </w:r>
          </w:p>
        </w:tc>
        <w:tc>
          <w:tcPr>
            <w:tcW w:w="987" w:type="dxa"/>
            <w:noWrap/>
          </w:tcPr>
          <w:p w14:paraId="4A261938" w14:textId="77777777" w:rsidR="0099446A" w:rsidRPr="0099446A" w:rsidRDefault="0099446A">
            <w:pPr>
              <w:pStyle w:val="Tabele"/>
              <w:rPr>
                <w:color w:val="auto"/>
                <w:sz w:val="14"/>
                <w:szCs w:val="14"/>
              </w:rPr>
            </w:pPr>
            <w:r w:rsidRPr="0099446A">
              <w:rPr>
                <w:color w:val="auto"/>
                <w:sz w:val="14"/>
                <w:szCs w:val="14"/>
              </w:rPr>
              <w:t>USA</w:t>
            </w:r>
          </w:p>
        </w:tc>
        <w:tc>
          <w:tcPr>
            <w:tcW w:w="986" w:type="dxa"/>
            <w:noWrap/>
            <w:vAlign w:val="top"/>
          </w:tcPr>
          <w:p w14:paraId="32A24A7E" w14:textId="77777777" w:rsidR="0099446A" w:rsidRPr="0099446A" w:rsidRDefault="0099446A">
            <w:pPr>
              <w:pStyle w:val="Tabele"/>
              <w:rPr>
                <w:color w:val="auto"/>
                <w:sz w:val="14"/>
                <w:szCs w:val="14"/>
              </w:rPr>
            </w:pPr>
            <w:r w:rsidRPr="0099446A">
              <w:rPr>
                <w:color w:val="auto"/>
                <w:sz w:val="14"/>
                <w:szCs w:val="14"/>
              </w:rPr>
              <w:t>Katar</w:t>
            </w:r>
          </w:p>
        </w:tc>
        <w:tc>
          <w:tcPr>
            <w:tcW w:w="986" w:type="dxa"/>
            <w:noWrap/>
            <w:vAlign w:val="top"/>
          </w:tcPr>
          <w:p w14:paraId="171092C0" w14:textId="77777777" w:rsidR="0099446A" w:rsidRPr="0099446A" w:rsidRDefault="0099446A">
            <w:pPr>
              <w:pStyle w:val="Tabele"/>
              <w:rPr>
                <w:color w:val="auto"/>
                <w:sz w:val="14"/>
                <w:szCs w:val="14"/>
              </w:rPr>
            </w:pPr>
            <w:r w:rsidRPr="0099446A">
              <w:rPr>
                <w:color w:val="auto"/>
                <w:sz w:val="14"/>
                <w:szCs w:val="14"/>
              </w:rPr>
              <w:t>Katar</w:t>
            </w:r>
          </w:p>
        </w:tc>
        <w:tc>
          <w:tcPr>
            <w:tcW w:w="987" w:type="dxa"/>
            <w:noWrap/>
            <w:vAlign w:val="top"/>
          </w:tcPr>
          <w:p w14:paraId="71DA9475" w14:textId="77777777" w:rsidR="0099446A" w:rsidRPr="0099446A" w:rsidRDefault="0099446A">
            <w:pPr>
              <w:pStyle w:val="Tabele"/>
              <w:rPr>
                <w:color w:val="auto"/>
                <w:sz w:val="14"/>
                <w:szCs w:val="14"/>
              </w:rPr>
            </w:pPr>
            <w:r w:rsidRPr="0099446A">
              <w:rPr>
                <w:color w:val="auto"/>
                <w:sz w:val="14"/>
                <w:szCs w:val="14"/>
              </w:rPr>
              <w:t>Katar</w:t>
            </w:r>
          </w:p>
        </w:tc>
        <w:tc>
          <w:tcPr>
            <w:tcW w:w="986" w:type="dxa"/>
            <w:noWrap/>
            <w:vAlign w:val="top"/>
          </w:tcPr>
          <w:p w14:paraId="697E3BFF" w14:textId="77777777" w:rsidR="0099446A" w:rsidRPr="0099446A" w:rsidRDefault="0099446A">
            <w:pPr>
              <w:pStyle w:val="Tabele"/>
              <w:rPr>
                <w:color w:val="auto"/>
                <w:sz w:val="14"/>
                <w:szCs w:val="14"/>
              </w:rPr>
            </w:pPr>
            <w:r w:rsidRPr="0099446A">
              <w:rPr>
                <w:color w:val="auto"/>
                <w:sz w:val="14"/>
                <w:szCs w:val="14"/>
              </w:rPr>
              <w:t>Katar</w:t>
            </w:r>
          </w:p>
        </w:tc>
      </w:tr>
      <w:tr w:rsidR="0099446A" w:rsidRPr="00925C4D" w14:paraId="534FEA0C" w14:textId="77777777" w:rsidTr="002D791C">
        <w:trPr>
          <w:trHeight w:val="207"/>
        </w:trPr>
        <w:tc>
          <w:tcPr>
            <w:tcW w:w="1400" w:type="dxa"/>
            <w:vMerge/>
            <w:hideMark/>
          </w:tcPr>
          <w:p w14:paraId="3452262F" w14:textId="77777777" w:rsidR="0099446A" w:rsidRPr="0099446A" w:rsidRDefault="0099446A">
            <w:pPr>
              <w:pStyle w:val="Tabele"/>
              <w:rPr>
                <w:b/>
                <w:bCs/>
                <w:color w:val="auto"/>
                <w:szCs w:val="16"/>
              </w:rPr>
            </w:pPr>
          </w:p>
        </w:tc>
        <w:tc>
          <w:tcPr>
            <w:tcW w:w="985" w:type="dxa"/>
            <w:noWrap/>
          </w:tcPr>
          <w:p w14:paraId="4E8F9C6F" w14:textId="77777777" w:rsidR="0099446A" w:rsidRPr="0099446A" w:rsidRDefault="0099446A">
            <w:pPr>
              <w:pStyle w:val="Tabele"/>
              <w:rPr>
                <w:color w:val="auto"/>
                <w:sz w:val="14"/>
                <w:szCs w:val="14"/>
              </w:rPr>
            </w:pPr>
          </w:p>
        </w:tc>
        <w:tc>
          <w:tcPr>
            <w:tcW w:w="985" w:type="dxa"/>
            <w:noWrap/>
          </w:tcPr>
          <w:p w14:paraId="76713379" w14:textId="77777777" w:rsidR="0099446A" w:rsidRPr="0099446A" w:rsidRDefault="0099446A">
            <w:pPr>
              <w:pStyle w:val="Tabele"/>
              <w:rPr>
                <w:color w:val="auto"/>
                <w:sz w:val="14"/>
                <w:szCs w:val="14"/>
              </w:rPr>
            </w:pPr>
          </w:p>
        </w:tc>
        <w:tc>
          <w:tcPr>
            <w:tcW w:w="986" w:type="dxa"/>
            <w:noWrap/>
          </w:tcPr>
          <w:p w14:paraId="6FD0B166" w14:textId="77777777" w:rsidR="0099446A" w:rsidRPr="0099446A" w:rsidRDefault="0099446A">
            <w:pPr>
              <w:pStyle w:val="Tabele"/>
              <w:rPr>
                <w:color w:val="auto"/>
                <w:sz w:val="14"/>
                <w:szCs w:val="14"/>
              </w:rPr>
            </w:pPr>
          </w:p>
        </w:tc>
        <w:tc>
          <w:tcPr>
            <w:tcW w:w="987" w:type="dxa"/>
            <w:noWrap/>
            <w:vAlign w:val="top"/>
          </w:tcPr>
          <w:p w14:paraId="34328D6B" w14:textId="77777777" w:rsidR="0099446A" w:rsidRPr="0099446A" w:rsidRDefault="0099446A">
            <w:pPr>
              <w:pStyle w:val="Tabele"/>
              <w:rPr>
                <w:color w:val="auto"/>
                <w:sz w:val="14"/>
                <w:szCs w:val="14"/>
              </w:rPr>
            </w:pPr>
            <w:r w:rsidRPr="0099446A">
              <w:rPr>
                <w:color w:val="auto"/>
                <w:sz w:val="14"/>
                <w:szCs w:val="14"/>
              </w:rPr>
              <w:t>Katar</w:t>
            </w:r>
          </w:p>
        </w:tc>
        <w:tc>
          <w:tcPr>
            <w:tcW w:w="986" w:type="dxa"/>
            <w:noWrap/>
          </w:tcPr>
          <w:p w14:paraId="126802FD" w14:textId="77777777" w:rsidR="0099446A" w:rsidRPr="0099446A" w:rsidRDefault="0099446A">
            <w:pPr>
              <w:pStyle w:val="Tabele"/>
              <w:rPr>
                <w:color w:val="auto"/>
                <w:sz w:val="14"/>
                <w:szCs w:val="14"/>
              </w:rPr>
            </w:pPr>
            <w:r w:rsidRPr="0099446A">
              <w:rPr>
                <w:color w:val="auto"/>
                <w:sz w:val="14"/>
                <w:szCs w:val="14"/>
              </w:rPr>
              <w:t xml:space="preserve">Niemcy </w:t>
            </w:r>
          </w:p>
        </w:tc>
        <w:tc>
          <w:tcPr>
            <w:tcW w:w="986" w:type="dxa"/>
            <w:noWrap/>
          </w:tcPr>
          <w:p w14:paraId="3B475178" w14:textId="77777777" w:rsidR="0099446A" w:rsidRPr="0099446A" w:rsidRDefault="0099446A">
            <w:pPr>
              <w:pStyle w:val="Tabele"/>
              <w:rPr>
                <w:color w:val="auto"/>
                <w:sz w:val="14"/>
                <w:szCs w:val="14"/>
              </w:rPr>
            </w:pPr>
            <w:r w:rsidRPr="0099446A">
              <w:rPr>
                <w:color w:val="auto"/>
                <w:sz w:val="14"/>
                <w:szCs w:val="14"/>
              </w:rPr>
              <w:t xml:space="preserve">Niemcy </w:t>
            </w:r>
          </w:p>
        </w:tc>
        <w:tc>
          <w:tcPr>
            <w:tcW w:w="987" w:type="dxa"/>
            <w:noWrap/>
          </w:tcPr>
          <w:p w14:paraId="3A0D2CDB" w14:textId="77777777" w:rsidR="0099446A" w:rsidRPr="0099446A" w:rsidRDefault="0099446A">
            <w:pPr>
              <w:pStyle w:val="Tabele"/>
              <w:rPr>
                <w:color w:val="auto"/>
                <w:sz w:val="14"/>
                <w:szCs w:val="14"/>
              </w:rPr>
            </w:pPr>
            <w:r w:rsidRPr="0099446A">
              <w:rPr>
                <w:color w:val="auto"/>
                <w:sz w:val="14"/>
                <w:szCs w:val="14"/>
              </w:rPr>
              <w:t xml:space="preserve">Niemcy </w:t>
            </w:r>
          </w:p>
        </w:tc>
        <w:tc>
          <w:tcPr>
            <w:tcW w:w="986" w:type="dxa"/>
            <w:noWrap/>
          </w:tcPr>
          <w:p w14:paraId="267E933E" w14:textId="77777777" w:rsidR="0099446A" w:rsidRPr="0099446A" w:rsidRDefault="0099446A">
            <w:pPr>
              <w:pStyle w:val="Tabele"/>
              <w:rPr>
                <w:color w:val="auto"/>
                <w:sz w:val="14"/>
                <w:szCs w:val="14"/>
              </w:rPr>
            </w:pPr>
            <w:r w:rsidRPr="0099446A">
              <w:rPr>
                <w:color w:val="auto"/>
                <w:sz w:val="14"/>
                <w:szCs w:val="14"/>
              </w:rPr>
              <w:t xml:space="preserve">Niemcy </w:t>
            </w:r>
          </w:p>
        </w:tc>
      </w:tr>
      <w:tr w:rsidR="0099446A" w:rsidRPr="00925C4D" w14:paraId="377F5C13" w14:textId="77777777" w:rsidTr="002D791C">
        <w:trPr>
          <w:trHeight w:val="207"/>
        </w:trPr>
        <w:tc>
          <w:tcPr>
            <w:tcW w:w="1400" w:type="dxa"/>
            <w:noWrap/>
            <w:hideMark/>
          </w:tcPr>
          <w:p w14:paraId="3BD2B4B6" w14:textId="77777777" w:rsidR="0099446A" w:rsidRPr="0099446A" w:rsidRDefault="0099446A">
            <w:pPr>
              <w:pStyle w:val="Tabele"/>
              <w:rPr>
                <w:b/>
                <w:bCs/>
                <w:color w:val="auto"/>
                <w:szCs w:val="16"/>
              </w:rPr>
            </w:pPr>
            <w:r w:rsidRPr="0099446A">
              <w:rPr>
                <w:b/>
                <w:bCs/>
                <w:color w:val="auto"/>
                <w:szCs w:val="16"/>
              </w:rPr>
              <w:t>Paliwo jądrowe</w:t>
            </w:r>
          </w:p>
        </w:tc>
        <w:tc>
          <w:tcPr>
            <w:tcW w:w="985" w:type="dxa"/>
            <w:noWrap/>
          </w:tcPr>
          <w:p w14:paraId="1D6B889B" w14:textId="77777777" w:rsidR="0099446A" w:rsidRPr="0099446A" w:rsidRDefault="0099446A">
            <w:pPr>
              <w:pStyle w:val="Tabele"/>
              <w:rPr>
                <w:color w:val="auto"/>
                <w:sz w:val="14"/>
                <w:szCs w:val="14"/>
              </w:rPr>
            </w:pPr>
            <w:r w:rsidRPr="0099446A">
              <w:rPr>
                <w:color w:val="auto"/>
                <w:sz w:val="14"/>
                <w:szCs w:val="14"/>
              </w:rPr>
              <w:t>-</w:t>
            </w:r>
          </w:p>
        </w:tc>
        <w:tc>
          <w:tcPr>
            <w:tcW w:w="985" w:type="dxa"/>
            <w:noWrap/>
          </w:tcPr>
          <w:p w14:paraId="416457A8" w14:textId="77777777" w:rsidR="0099446A" w:rsidRPr="0099446A" w:rsidRDefault="0099446A">
            <w:pPr>
              <w:pStyle w:val="Tabele"/>
              <w:rPr>
                <w:color w:val="auto"/>
                <w:sz w:val="14"/>
                <w:szCs w:val="14"/>
              </w:rPr>
            </w:pPr>
            <w:r w:rsidRPr="0099446A">
              <w:rPr>
                <w:color w:val="auto"/>
                <w:sz w:val="14"/>
                <w:szCs w:val="14"/>
              </w:rPr>
              <w:t>-</w:t>
            </w:r>
          </w:p>
        </w:tc>
        <w:tc>
          <w:tcPr>
            <w:tcW w:w="986" w:type="dxa"/>
            <w:noWrap/>
          </w:tcPr>
          <w:p w14:paraId="4183AE75" w14:textId="77777777" w:rsidR="0099446A" w:rsidRPr="0099446A" w:rsidRDefault="0099446A">
            <w:pPr>
              <w:pStyle w:val="Tabele"/>
              <w:rPr>
                <w:color w:val="auto"/>
                <w:sz w:val="14"/>
                <w:szCs w:val="14"/>
              </w:rPr>
            </w:pPr>
            <w:r w:rsidRPr="0099446A">
              <w:rPr>
                <w:color w:val="auto"/>
                <w:sz w:val="14"/>
                <w:szCs w:val="14"/>
              </w:rPr>
              <w:t>-</w:t>
            </w:r>
          </w:p>
        </w:tc>
        <w:tc>
          <w:tcPr>
            <w:tcW w:w="987" w:type="dxa"/>
            <w:noWrap/>
          </w:tcPr>
          <w:p w14:paraId="73C8A3F4" w14:textId="77777777" w:rsidR="0099446A" w:rsidRPr="0099446A" w:rsidRDefault="0099446A">
            <w:pPr>
              <w:pStyle w:val="Tabele"/>
              <w:rPr>
                <w:color w:val="auto"/>
                <w:sz w:val="14"/>
                <w:szCs w:val="14"/>
              </w:rPr>
            </w:pPr>
            <w:r w:rsidRPr="0099446A">
              <w:rPr>
                <w:color w:val="auto"/>
                <w:sz w:val="14"/>
                <w:szCs w:val="14"/>
              </w:rPr>
              <w:t>-</w:t>
            </w:r>
          </w:p>
        </w:tc>
        <w:tc>
          <w:tcPr>
            <w:tcW w:w="986" w:type="dxa"/>
            <w:noWrap/>
          </w:tcPr>
          <w:p w14:paraId="7346C598" w14:textId="77777777" w:rsidR="0099446A" w:rsidRPr="0099446A" w:rsidRDefault="0099446A">
            <w:pPr>
              <w:pStyle w:val="Tabele"/>
              <w:rPr>
                <w:color w:val="auto"/>
                <w:sz w:val="14"/>
                <w:szCs w:val="14"/>
              </w:rPr>
            </w:pPr>
            <w:r w:rsidRPr="0099446A">
              <w:rPr>
                <w:color w:val="auto"/>
                <w:sz w:val="14"/>
                <w:szCs w:val="14"/>
              </w:rPr>
              <w:t>-</w:t>
            </w:r>
          </w:p>
        </w:tc>
        <w:tc>
          <w:tcPr>
            <w:tcW w:w="986" w:type="dxa"/>
            <w:noWrap/>
          </w:tcPr>
          <w:p w14:paraId="7D173F18" w14:textId="77777777" w:rsidR="0099446A" w:rsidRPr="0099446A" w:rsidRDefault="0099446A">
            <w:pPr>
              <w:pStyle w:val="Tabele"/>
              <w:rPr>
                <w:color w:val="auto"/>
                <w:sz w:val="14"/>
                <w:szCs w:val="14"/>
              </w:rPr>
            </w:pPr>
            <w:r w:rsidRPr="0099446A">
              <w:rPr>
                <w:color w:val="auto"/>
                <w:sz w:val="14"/>
                <w:szCs w:val="14"/>
              </w:rPr>
              <w:t>-</w:t>
            </w:r>
          </w:p>
        </w:tc>
        <w:tc>
          <w:tcPr>
            <w:tcW w:w="987" w:type="dxa"/>
            <w:noWrap/>
          </w:tcPr>
          <w:p w14:paraId="7FDC64B1" w14:textId="77777777" w:rsidR="0099446A" w:rsidRPr="0099446A" w:rsidRDefault="0099446A">
            <w:pPr>
              <w:pStyle w:val="Tabele"/>
              <w:rPr>
                <w:color w:val="auto"/>
                <w:sz w:val="14"/>
                <w:szCs w:val="14"/>
              </w:rPr>
            </w:pPr>
            <w:r w:rsidRPr="0099446A">
              <w:rPr>
                <w:color w:val="auto"/>
                <w:sz w:val="14"/>
                <w:szCs w:val="14"/>
              </w:rPr>
              <w:t>b.d.</w:t>
            </w:r>
          </w:p>
        </w:tc>
        <w:tc>
          <w:tcPr>
            <w:tcW w:w="986" w:type="dxa"/>
            <w:noWrap/>
          </w:tcPr>
          <w:p w14:paraId="450FC692" w14:textId="77777777" w:rsidR="0099446A" w:rsidRPr="0099446A" w:rsidRDefault="0099446A">
            <w:pPr>
              <w:pStyle w:val="Tabele"/>
              <w:rPr>
                <w:color w:val="auto"/>
                <w:sz w:val="14"/>
                <w:szCs w:val="14"/>
              </w:rPr>
            </w:pPr>
            <w:r w:rsidRPr="0099446A">
              <w:rPr>
                <w:color w:val="auto"/>
                <w:sz w:val="14"/>
                <w:szCs w:val="14"/>
              </w:rPr>
              <w:t>b.d.</w:t>
            </w:r>
          </w:p>
        </w:tc>
      </w:tr>
      <w:tr w:rsidR="0099446A" w:rsidRPr="00925C4D" w14:paraId="723FA3AA" w14:textId="77777777" w:rsidTr="002D791C">
        <w:trPr>
          <w:trHeight w:val="207"/>
        </w:trPr>
        <w:tc>
          <w:tcPr>
            <w:tcW w:w="1400" w:type="dxa"/>
            <w:vMerge w:val="restart"/>
            <w:noWrap/>
            <w:hideMark/>
          </w:tcPr>
          <w:p w14:paraId="2BFC2111" w14:textId="77777777" w:rsidR="0099446A" w:rsidRPr="0099446A" w:rsidRDefault="0099446A">
            <w:pPr>
              <w:pStyle w:val="Tabele"/>
              <w:rPr>
                <w:b/>
                <w:bCs/>
                <w:color w:val="auto"/>
                <w:szCs w:val="16"/>
              </w:rPr>
            </w:pPr>
            <w:r w:rsidRPr="0099446A">
              <w:rPr>
                <w:b/>
                <w:bCs/>
                <w:color w:val="auto"/>
                <w:szCs w:val="16"/>
              </w:rPr>
              <w:t>Biopaliwa</w:t>
            </w:r>
          </w:p>
        </w:tc>
        <w:tc>
          <w:tcPr>
            <w:tcW w:w="985" w:type="dxa"/>
            <w:noWrap/>
          </w:tcPr>
          <w:p w14:paraId="028D4CB1" w14:textId="77777777" w:rsidR="0099446A" w:rsidRPr="0099446A" w:rsidRDefault="0099446A">
            <w:pPr>
              <w:pStyle w:val="Tabele"/>
              <w:rPr>
                <w:color w:val="auto"/>
                <w:sz w:val="14"/>
                <w:szCs w:val="14"/>
              </w:rPr>
            </w:pPr>
            <w:r w:rsidRPr="0099446A">
              <w:rPr>
                <w:color w:val="auto"/>
                <w:sz w:val="14"/>
                <w:szCs w:val="14"/>
              </w:rPr>
              <w:t>-</w:t>
            </w:r>
          </w:p>
        </w:tc>
        <w:tc>
          <w:tcPr>
            <w:tcW w:w="985" w:type="dxa"/>
            <w:noWrap/>
          </w:tcPr>
          <w:p w14:paraId="01C3C8AB" w14:textId="77777777" w:rsidR="0099446A" w:rsidRPr="0099446A" w:rsidRDefault="0099446A">
            <w:pPr>
              <w:pStyle w:val="Tabele"/>
              <w:rPr>
                <w:color w:val="auto"/>
                <w:sz w:val="14"/>
                <w:szCs w:val="14"/>
              </w:rPr>
            </w:pPr>
            <w:r w:rsidRPr="0099446A">
              <w:rPr>
                <w:color w:val="auto"/>
                <w:sz w:val="14"/>
                <w:szCs w:val="14"/>
              </w:rPr>
              <w:t>b.d.</w:t>
            </w:r>
          </w:p>
        </w:tc>
        <w:tc>
          <w:tcPr>
            <w:tcW w:w="986" w:type="dxa"/>
            <w:noWrap/>
          </w:tcPr>
          <w:p w14:paraId="4EF5FB99" w14:textId="77777777" w:rsidR="0099446A" w:rsidRPr="0099446A" w:rsidRDefault="0099446A">
            <w:pPr>
              <w:pStyle w:val="Tabele"/>
              <w:rPr>
                <w:color w:val="auto"/>
                <w:sz w:val="14"/>
                <w:szCs w:val="14"/>
              </w:rPr>
            </w:pPr>
            <w:r w:rsidRPr="0099446A">
              <w:rPr>
                <w:color w:val="auto"/>
                <w:sz w:val="14"/>
                <w:szCs w:val="14"/>
              </w:rPr>
              <w:t xml:space="preserve">Niemcy </w:t>
            </w:r>
          </w:p>
        </w:tc>
        <w:tc>
          <w:tcPr>
            <w:tcW w:w="987" w:type="dxa"/>
            <w:noWrap/>
          </w:tcPr>
          <w:p w14:paraId="4DC20540" w14:textId="77777777" w:rsidR="0099446A" w:rsidRPr="0099446A" w:rsidRDefault="0099446A">
            <w:pPr>
              <w:pStyle w:val="Tabele"/>
              <w:rPr>
                <w:color w:val="auto"/>
                <w:sz w:val="14"/>
                <w:szCs w:val="14"/>
              </w:rPr>
            </w:pPr>
            <w:r w:rsidRPr="0099446A">
              <w:rPr>
                <w:color w:val="auto"/>
                <w:sz w:val="14"/>
                <w:szCs w:val="14"/>
              </w:rPr>
              <w:t xml:space="preserve">Niemcy </w:t>
            </w:r>
          </w:p>
        </w:tc>
        <w:tc>
          <w:tcPr>
            <w:tcW w:w="986" w:type="dxa"/>
            <w:noWrap/>
          </w:tcPr>
          <w:p w14:paraId="2750574C" w14:textId="77777777" w:rsidR="0099446A" w:rsidRPr="0099446A" w:rsidRDefault="0099446A">
            <w:pPr>
              <w:pStyle w:val="Tabele"/>
              <w:rPr>
                <w:color w:val="auto"/>
                <w:sz w:val="14"/>
                <w:szCs w:val="14"/>
              </w:rPr>
            </w:pPr>
            <w:r w:rsidRPr="0099446A">
              <w:rPr>
                <w:color w:val="auto"/>
                <w:sz w:val="14"/>
                <w:szCs w:val="14"/>
              </w:rPr>
              <w:t xml:space="preserve">Niemcy </w:t>
            </w:r>
          </w:p>
        </w:tc>
        <w:tc>
          <w:tcPr>
            <w:tcW w:w="986" w:type="dxa"/>
            <w:noWrap/>
          </w:tcPr>
          <w:p w14:paraId="5031B96D" w14:textId="77777777" w:rsidR="0099446A" w:rsidRPr="0099446A" w:rsidRDefault="0099446A">
            <w:pPr>
              <w:pStyle w:val="Tabele"/>
              <w:rPr>
                <w:color w:val="auto"/>
                <w:sz w:val="14"/>
                <w:szCs w:val="14"/>
              </w:rPr>
            </w:pPr>
            <w:r w:rsidRPr="0099446A">
              <w:rPr>
                <w:color w:val="auto"/>
                <w:sz w:val="14"/>
                <w:szCs w:val="14"/>
              </w:rPr>
              <w:t xml:space="preserve">Niemcy </w:t>
            </w:r>
          </w:p>
        </w:tc>
        <w:tc>
          <w:tcPr>
            <w:tcW w:w="987" w:type="dxa"/>
            <w:noWrap/>
          </w:tcPr>
          <w:p w14:paraId="1EA37AFE" w14:textId="77777777" w:rsidR="0099446A" w:rsidRPr="0099446A" w:rsidRDefault="0099446A">
            <w:pPr>
              <w:pStyle w:val="Tabele"/>
              <w:rPr>
                <w:color w:val="auto"/>
                <w:sz w:val="14"/>
                <w:szCs w:val="14"/>
              </w:rPr>
            </w:pPr>
            <w:r w:rsidRPr="0099446A">
              <w:rPr>
                <w:color w:val="auto"/>
                <w:sz w:val="14"/>
                <w:szCs w:val="14"/>
              </w:rPr>
              <w:t xml:space="preserve">Niemcy </w:t>
            </w:r>
          </w:p>
        </w:tc>
        <w:tc>
          <w:tcPr>
            <w:tcW w:w="986" w:type="dxa"/>
            <w:noWrap/>
          </w:tcPr>
          <w:p w14:paraId="00B22770" w14:textId="77777777" w:rsidR="0099446A" w:rsidRPr="0099446A" w:rsidRDefault="0099446A">
            <w:pPr>
              <w:pStyle w:val="Tabele"/>
              <w:rPr>
                <w:color w:val="auto"/>
                <w:sz w:val="14"/>
                <w:szCs w:val="14"/>
              </w:rPr>
            </w:pPr>
            <w:r w:rsidRPr="0099446A">
              <w:rPr>
                <w:color w:val="auto"/>
                <w:sz w:val="14"/>
                <w:szCs w:val="14"/>
              </w:rPr>
              <w:t xml:space="preserve">Niemcy </w:t>
            </w:r>
          </w:p>
        </w:tc>
      </w:tr>
      <w:tr w:rsidR="0099446A" w:rsidRPr="00925C4D" w14:paraId="6F5D6134" w14:textId="77777777" w:rsidTr="002D791C">
        <w:trPr>
          <w:trHeight w:val="207"/>
        </w:trPr>
        <w:tc>
          <w:tcPr>
            <w:tcW w:w="1400" w:type="dxa"/>
            <w:vMerge/>
            <w:hideMark/>
          </w:tcPr>
          <w:p w14:paraId="0E76A7D2" w14:textId="77777777" w:rsidR="0099446A" w:rsidRPr="0099446A" w:rsidRDefault="0099446A">
            <w:pPr>
              <w:pStyle w:val="Tabele"/>
              <w:rPr>
                <w:b/>
                <w:bCs/>
                <w:color w:val="auto"/>
                <w:szCs w:val="16"/>
              </w:rPr>
            </w:pPr>
          </w:p>
        </w:tc>
        <w:tc>
          <w:tcPr>
            <w:tcW w:w="985" w:type="dxa"/>
            <w:noWrap/>
          </w:tcPr>
          <w:p w14:paraId="7910EEE3" w14:textId="77777777" w:rsidR="0099446A" w:rsidRPr="0099446A" w:rsidRDefault="0099446A">
            <w:pPr>
              <w:pStyle w:val="Tabele"/>
              <w:rPr>
                <w:color w:val="auto"/>
                <w:sz w:val="14"/>
                <w:szCs w:val="14"/>
              </w:rPr>
            </w:pPr>
          </w:p>
        </w:tc>
        <w:tc>
          <w:tcPr>
            <w:tcW w:w="985" w:type="dxa"/>
            <w:noWrap/>
          </w:tcPr>
          <w:p w14:paraId="19A9853C" w14:textId="77777777" w:rsidR="0099446A" w:rsidRPr="0099446A" w:rsidRDefault="0099446A">
            <w:pPr>
              <w:pStyle w:val="Tabele"/>
              <w:rPr>
                <w:color w:val="auto"/>
                <w:sz w:val="14"/>
                <w:szCs w:val="14"/>
              </w:rPr>
            </w:pPr>
          </w:p>
        </w:tc>
        <w:tc>
          <w:tcPr>
            <w:tcW w:w="986" w:type="dxa"/>
            <w:noWrap/>
          </w:tcPr>
          <w:p w14:paraId="17691190" w14:textId="77777777" w:rsidR="0099446A" w:rsidRPr="0099446A" w:rsidRDefault="0099446A">
            <w:pPr>
              <w:pStyle w:val="Tabele"/>
              <w:rPr>
                <w:color w:val="auto"/>
                <w:sz w:val="14"/>
                <w:szCs w:val="14"/>
              </w:rPr>
            </w:pPr>
            <w:r w:rsidRPr="0099446A">
              <w:rPr>
                <w:color w:val="auto"/>
                <w:sz w:val="14"/>
                <w:szCs w:val="14"/>
              </w:rPr>
              <w:t>Holandia</w:t>
            </w:r>
          </w:p>
        </w:tc>
        <w:tc>
          <w:tcPr>
            <w:tcW w:w="987" w:type="dxa"/>
            <w:noWrap/>
          </w:tcPr>
          <w:p w14:paraId="34D36EB8" w14:textId="77777777" w:rsidR="0099446A" w:rsidRPr="0099446A" w:rsidRDefault="0099446A">
            <w:pPr>
              <w:pStyle w:val="Tabele"/>
              <w:rPr>
                <w:color w:val="auto"/>
                <w:sz w:val="14"/>
                <w:szCs w:val="14"/>
              </w:rPr>
            </w:pPr>
          </w:p>
        </w:tc>
        <w:tc>
          <w:tcPr>
            <w:tcW w:w="986" w:type="dxa"/>
            <w:noWrap/>
          </w:tcPr>
          <w:p w14:paraId="2E4B6588" w14:textId="77777777" w:rsidR="0099446A" w:rsidRPr="0099446A" w:rsidRDefault="0099446A">
            <w:pPr>
              <w:pStyle w:val="Tabele"/>
              <w:rPr>
                <w:color w:val="auto"/>
                <w:sz w:val="14"/>
                <w:szCs w:val="14"/>
              </w:rPr>
            </w:pPr>
          </w:p>
        </w:tc>
        <w:tc>
          <w:tcPr>
            <w:tcW w:w="986" w:type="dxa"/>
            <w:noWrap/>
          </w:tcPr>
          <w:p w14:paraId="1D82E056" w14:textId="77777777" w:rsidR="0099446A" w:rsidRPr="0099446A" w:rsidRDefault="0099446A">
            <w:pPr>
              <w:pStyle w:val="Tabele"/>
              <w:rPr>
                <w:color w:val="auto"/>
                <w:sz w:val="14"/>
                <w:szCs w:val="14"/>
              </w:rPr>
            </w:pPr>
          </w:p>
        </w:tc>
        <w:tc>
          <w:tcPr>
            <w:tcW w:w="987" w:type="dxa"/>
            <w:noWrap/>
          </w:tcPr>
          <w:p w14:paraId="40E4F31F" w14:textId="77777777" w:rsidR="0099446A" w:rsidRPr="0099446A" w:rsidRDefault="0099446A">
            <w:pPr>
              <w:pStyle w:val="Tabele"/>
              <w:rPr>
                <w:color w:val="auto"/>
                <w:sz w:val="14"/>
                <w:szCs w:val="14"/>
              </w:rPr>
            </w:pPr>
          </w:p>
        </w:tc>
        <w:tc>
          <w:tcPr>
            <w:tcW w:w="986" w:type="dxa"/>
            <w:noWrap/>
          </w:tcPr>
          <w:p w14:paraId="2A4FC8BA" w14:textId="77777777" w:rsidR="0099446A" w:rsidRPr="0099446A" w:rsidRDefault="0099446A">
            <w:pPr>
              <w:pStyle w:val="Tabele"/>
              <w:rPr>
                <w:color w:val="auto"/>
                <w:sz w:val="14"/>
                <w:szCs w:val="14"/>
              </w:rPr>
            </w:pPr>
          </w:p>
        </w:tc>
      </w:tr>
      <w:tr w:rsidR="0099446A" w:rsidRPr="00925C4D" w14:paraId="455C2E27" w14:textId="77777777" w:rsidTr="002D791C">
        <w:trPr>
          <w:trHeight w:val="207"/>
        </w:trPr>
        <w:tc>
          <w:tcPr>
            <w:tcW w:w="1400" w:type="dxa"/>
            <w:vMerge/>
            <w:hideMark/>
          </w:tcPr>
          <w:p w14:paraId="6C66F1D6" w14:textId="77777777" w:rsidR="0099446A" w:rsidRPr="0099446A" w:rsidRDefault="0099446A">
            <w:pPr>
              <w:pStyle w:val="Tabele"/>
              <w:rPr>
                <w:b/>
                <w:bCs/>
                <w:color w:val="auto"/>
                <w:szCs w:val="16"/>
              </w:rPr>
            </w:pPr>
          </w:p>
        </w:tc>
        <w:tc>
          <w:tcPr>
            <w:tcW w:w="985" w:type="dxa"/>
            <w:noWrap/>
          </w:tcPr>
          <w:p w14:paraId="445898F3" w14:textId="77777777" w:rsidR="0099446A" w:rsidRPr="0099446A" w:rsidRDefault="0099446A">
            <w:pPr>
              <w:pStyle w:val="Tabele"/>
              <w:rPr>
                <w:color w:val="auto"/>
                <w:sz w:val="14"/>
                <w:szCs w:val="14"/>
              </w:rPr>
            </w:pPr>
          </w:p>
        </w:tc>
        <w:tc>
          <w:tcPr>
            <w:tcW w:w="985" w:type="dxa"/>
            <w:noWrap/>
          </w:tcPr>
          <w:p w14:paraId="15F08603" w14:textId="77777777" w:rsidR="0099446A" w:rsidRPr="0099446A" w:rsidRDefault="0099446A">
            <w:pPr>
              <w:pStyle w:val="Tabele"/>
              <w:rPr>
                <w:color w:val="auto"/>
                <w:sz w:val="14"/>
                <w:szCs w:val="14"/>
              </w:rPr>
            </w:pPr>
          </w:p>
        </w:tc>
        <w:tc>
          <w:tcPr>
            <w:tcW w:w="986" w:type="dxa"/>
            <w:noWrap/>
          </w:tcPr>
          <w:p w14:paraId="4751CB80" w14:textId="77777777" w:rsidR="0099446A" w:rsidRPr="0099446A" w:rsidRDefault="0099446A">
            <w:pPr>
              <w:pStyle w:val="Tabele"/>
              <w:rPr>
                <w:color w:val="auto"/>
                <w:sz w:val="14"/>
                <w:szCs w:val="14"/>
              </w:rPr>
            </w:pPr>
            <w:r w:rsidRPr="0099446A">
              <w:rPr>
                <w:color w:val="auto"/>
                <w:sz w:val="14"/>
                <w:szCs w:val="14"/>
              </w:rPr>
              <w:t>Szwajcaria</w:t>
            </w:r>
          </w:p>
        </w:tc>
        <w:tc>
          <w:tcPr>
            <w:tcW w:w="987" w:type="dxa"/>
            <w:noWrap/>
          </w:tcPr>
          <w:p w14:paraId="27F8BFFF" w14:textId="77777777" w:rsidR="0099446A" w:rsidRPr="0099446A" w:rsidRDefault="0099446A">
            <w:pPr>
              <w:pStyle w:val="Tabele"/>
              <w:rPr>
                <w:color w:val="auto"/>
                <w:sz w:val="14"/>
                <w:szCs w:val="14"/>
              </w:rPr>
            </w:pPr>
          </w:p>
        </w:tc>
        <w:tc>
          <w:tcPr>
            <w:tcW w:w="986" w:type="dxa"/>
            <w:noWrap/>
          </w:tcPr>
          <w:p w14:paraId="0CEA72F4" w14:textId="77777777" w:rsidR="0099446A" w:rsidRPr="0099446A" w:rsidRDefault="0099446A">
            <w:pPr>
              <w:pStyle w:val="Tabele"/>
              <w:rPr>
                <w:color w:val="auto"/>
                <w:sz w:val="14"/>
                <w:szCs w:val="14"/>
              </w:rPr>
            </w:pPr>
          </w:p>
        </w:tc>
        <w:tc>
          <w:tcPr>
            <w:tcW w:w="986" w:type="dxa"/>
            <w:noWrap/>
          </w:tcPr>
          <w:p w14:paraId="1948C1E6" w14:textId="77777777" w:rsidR="0099446A" w:rsidRPr="0099446A" w:rsidRDefault="0099446A">
            <w:pPr>
              <w:pStyle w:val="Tabele"/>
              <w:rPr>
                <w:color w:val="auto"/>
                <w:sz w:val="14"/>
                <w:szCs w:val="14"/>
              </w:rPr>
            </w:pPr>
          </w:p>
        </w:tc>
        <w:tc>
          <w:tcPr>
            <w:tcW w:w="987" w:type="dxa"/>
            <w:noWrap/>
          </w:tcPr>
          <w:p w14:paraId="1743646E" w14:textId="77777777" w:rsidR="0099446A" w:rsidRPr="0099446A" w:rsidRDefault="0099446A">
            <w:pPr>
              <w:pStyle w:val="Tabele"/>
              <w:rPr>
                <w:color w:val="auto"/>
                <w:sz w:val="14"/>
                <w:szCs w:val="14"/>
              </w:rPr>
            </w:pPr>
          </w:p>
        </w:tc>
        <w:tc>
          <w:tcPr>
            <w:tcW w:w="986" w:type="dxa"/>
            <w:noWrap/>
          </w:tcPr>
          <w:p w14:paraId="0F709B91" w14:textId="77777777" w:rsidR="0099446A" w:rsidRPr="0099446A" w:rsidRDefault="0099446A">
            <w:pPr>
              <w:pStyle w:val="Tabele"/>
              <w:rPr>
                <w:color w:val="auto"/>
                <w:sz w:val="14"/>
                <w:szCs w:val="14"/>
              </w:rPr>
            </w:pPr>
          </w:p>
        </w:tc>
      </w:tr>
      <w:tr w:rsidR="0099446A" w:rsidRPr="00925C4D" w14:paraId="66830891" w14:textId="77777777" w:rsidTr="002D791C">
        <w:trPr>
          <w:trHeight w:val="207"/>
        </w:trPr>
        <w:tc>
          <w:tcPr>
            <w:tcW w:w="1400" w:type="dxa"/>
            <w:noWrap/>
            <w:hideMark/>
          </w:tcPr>
          <w:p w14:paraId="7C6371E5" w14:textId="77777777" w:rsidR="0099446A" w:rsidRPr="0099446A" w:rsidRDefault="0099446A">
            <w:pPr>
              <w:pStyle w:val="Tabele"/>
              <w:rPr>
                <w:b/>
                <w:bCs/>
                <w:color w:val="auto"/>
                <w:szCs w:val="16"/>
              </w:rPr>
            </w:pPr>
            <w:r w:rsidRPr="0099446A">
              <w:rPr>
                <w:b/>
                <w:bCs/>
                <w:color w:val="auto"/>
                <w:szCs w:val="16"/>
              </w:rPr>
              <w:t>Biomasa stała</w:t>
            </w:r>
          </w:p>
        </w:tc>
        <w:tc>
          <w:tcPr>
            <w:tcW w:w="985" w:type="dxa"/>
            <w:noWrap/>
          </w:tcPr>
          <w:p w14:paraId="0E155555" w14:textId="77777777" w:rsidR="0099446A" w:rsidRPr="0099446A" w:rsidRDefault="0099446A">
            <w:pPr>
              <w:pStyle w:val="Tabele"/>
              <w:rPr>
                <w:color w:val="auto"/>
                <w:sz w:val="14"/>
                <w:szCs w:val="14"/>
              </w:rPr>
            </w:pPr>
            <w:r w:rsidRPr="0099446A">
              <w:rPr>
                <w:color w:val="auto"/>
                <w:sz w:val="14"/>
                <w:szCs w:val="14"/>
              </w:rPr>
              <w:t>Białoruś</w:t>
            </w:r>
          </w:p>
        </w:tc>
        <w:tc>
          <w:tcPr>
            <w:tcW w:w="985" w:type="dxa"/>
            <w:noWrap/>
          </w:tcPr>
          <w:p w14:paraId="63774A29" w14:textId="77777777" w:rsidR="0099446A" w:rsidRPr="0099446A" w:rsidRDefault="0099446A">
            <w:pPr>
              <w:pStyle w:val="Tabele"/>
              <w:rPr>
                <w:color w:val="auto"/>
                <w:sz w:val="14"/>
                <w:szCs w:val="14"/>
              </w:rPr>
            </w:pPr>
            <w:r w:rsidRPr="0099446A">
              <w:rPr>
                <w:color w:val="auto"/>
                <w:sz w:val="14"/>
                <w:szCs w:val="14"/>
              </w:rPr>
              <w:t>Białoruś</w:t>
            </w:r>
          </w:p>
        </w:tc>
        <w:tc>
          <w:tcPr>
            <w:tcW w:w="986" w:type="dxa"/>
            <w:noWrap/>
          </w:tcPr>
          <w:p w14:paraId="7264EE25" w14:textId="77777777" w:rsidR="0099446A" w:rsidRPr="0099446A" w:rsidRDefault="0099446A">
            <w:pPr>
              <w:pStyle w:val="Tabele"/>
              <w:rPr>
                <w:color w:val="auto"/>
                <w:sz w:val="14"/>
                <w:szCs w:val="14"/>
              </w:rPr>
            </w:pPr>
            <w:r w:rsidRPr="0099446A">
              <w:rPr>
                <w:color w:val="auto"/>
                <w:sz w:val="14"/>
                <w:szCs w:val="14"/>
              </w:rPr>
              <w:t>Białoruś</w:t>
            </w:r>
          </w:p>
        </w:tc>
        <w:tc>
          <w:tcPr>
            <w:tcW w:w="987" w:type="dxa"/>
            <w:noWrap/>
          </w:tcPr>
          <w:p w14:paraId="2510E6D2" w14:textId="77777777" w:rsidR="0099446A" w:rsidRPr="0099446A" w:rsidRDefault="0099446A">
            <w:pPr>
              <w:pStyle w:val="Tabele"/>
              <w:rPr>
                <w:color w:val="auto"/>
                <w:sz w:val="14"/>
                <w:szCs w:val="14"/>
              </w:rPr>
            </w:pPr>
            <w:r w:rsidRPr="0099446A">
              <w:rPr>
                <w:color w:val="auto"/>
                <w:sz w:val="14"/>
                <w:szCs w:val="14"/>
              </w:rPr>
              <w:t>Białoruś</w:t>
            </w:r>
          </w:p>
        </w:tc>
        <w:tc>
          <w:tcPr>
            <w:tcW w:w="986" w:type="dxa"/>
            <w:noWrap/>
          </w:tcPr>
          <w:p w14:paraId="1473D6FD" w14:textId="016CCF44" w:rsidR="0099446A" w:rsidRPr="0099446A" w:rsidRDefault="0099446A">
            <w:pPr>
              <w:pStyle w:val="Tabele"/>
              <w:rPr>
                <w:color w:val="auto"/>
                <w:sz w:val="14"/>
                <w:szCs w:val="14"/>
              </w:rPr>
            </w:pPr>
            <w:r w:rsidRPr="0099446A">
              <w:rPr>
                <w:color w:val="auto"/>
                <w:sz w:val="14"/>
                <w:szCs w:val="14"/>
              </w:rPr>
              <w:t xml:space="preserve">USA, </w:t>
            </w:r>
            <w:r w:rsidR="00855F51">
              <w:rPr>
                <w:color w:val="auto"/>
                <w:sz w:val="14"/>
                <w:szCs w:val="14"/>
              </w:rPr>
              <w:t>Kanada</w:t>
            </w:r>
            <w:r w:rsidRPr="0099446A">
              <w:rPr>
                <w:color w:val="auto"/>
                <w:sz w:val="14"/>
                <w:szCs w:val="14"/>
              </w:rPr>
              <w:t xml:space="preserve"> Finlandia</w:t>
            </w:r>
            <w:r w:rsidR="00271202">
              <w:rPr>
                <w:color w:val="auto"/>
                <w:sz w:val="14"/>
                <w:szCs w:val="14"/>
              </w:rPr>
              <w:t>, Ukraina</w:t>
            </w:r>
          </w:p>
        </w:tc>
        <w:tc>
          <w:tcPr>
            <w:tcW w:w="986" w:type="dxa"/>
            <w:noWrap/>
          </w:tcPr>
          <w:p w14:paraId="3B0B7370" w14:textId="3EA03E1E" w:rsidR="0099446A" w:rsidRPr="0099446A" w:rsidRDefault="0099446A">
            <w:pPr>
              <w:pStyle w:val="Tabele"/>
              <w:rPr>
                <w:color w:val="auto"/>
                <w:sz w:val="14"/>
                <w:szCs w:val="14"/>
              </w:rPr>
            </w:pPr>
            <w:r w:rsidRPr="0099446A">
              <w:rPr>
                <w:color w:val="auto"/>
                <w:sz w:val="14"/>
                <w:szCs w:val="14"/>
              </w:rPr>
              <w:t xml:space="preserve">USA, </w:t>
            </w:r>
            <w:r w:rsidR="00855F51">
              <w:rPr>
                <w:color w:val="auto"/>
                <w:sz w:val="14"/>
                <w:szCs w:val="14"/>
              </w:rPr>
              <w:t>Kanada</w:t>
            </w:r>
            <w:r w:rsidRPr="0099446A">
              <w:rPr>
                <w:color w:val="auto"/>
                <w:sz w:val="14"/>
                <w:szCs w:val="14"/>
              </w:rPr>
              <w:t xml:space="preserve"> Finlandia</w:t>
            </w:r>
            <w:r w:rsidR="00271202">
              <w:rPr>
                <w:color w:val="auto"/>
                <w:sz w:val="14"/>
                <w:szCs w:val="14"/>
              </w:rPr>
              <w:t>, Ukraina</w:t>
            </w:r>
          </w:p>
        </w:tc>
        <w:tc>
          <w:tcPr>
            <w:tcW w:w="987" w:type="dxa"/>
            <w:noWrap/>
          </w:tcPr>
          <w:p w14:paraId="41586D20" w14:textId="739464A0" w:rsidR="0099446A" w:rsidRPr="0099446A" w:rsidRDefault="0099446A">
            <w:pPr>
              <w:pStyle w:val="Tabele"/>
              <w:rPr>
                <w:color w:val="auto"/>
                <w:sz w:val="14"/>
                <w:szCs w:val="14"/>
              </w:rPr>
            </w:pPr>
            <w:r w:rsidRPr="0099446A">
              <w:rPr>
                <w:color w:val="auto"/>
                <w:sz w:val="14"/>
                <w:szCs w:val="14"/>
              </w:rPr>
              <w:t xml:space="preserve">USA, </w:t>
            </w:r>
            <w:r w:rsidR="00855F51">
              <w:rPr>
                <w:color w:val="auto"/>
                <w:sz w:val="14"/>
                <w:szCs w:val="14"/>
              </w:rPr>
              <w:t>Kanada,</w:t>
            </w:r>
            <w:r w:rsidRPr="0099446A">
              <w:rPr>
                <w:color w:val="auto"/>
                <w:sz w:val="14"/>
                <w:szCs w:val="14"/>
              </w:rPr>
              <w:t xml:space="preserve"> Finlandia</w:t>
            </w:r>
            <w:r w:rsidR="00271202">
              <w:rPr>
                <w:color w:val="auto"/>
                <w:sz w:val="14"/>
                <w:szCs w:val="14"/>
              </w:rPr>
              <w:t>, Ukraina</w:t>
            </w:r>
          </w:p>
        </w:tc>
        <w:tc>
          <w:tcPr>
            <w:tcW w:w="986" w:type="dxa"/>
            <w:noWrap/>
          </w:tcPr>
          <w:p w14:paraId="785F2B81" w14:textId="07788C7F" w:rsidR="0099446A" w:rsidRPr="0099446A" w:rsidRDefault="0099446A">
            <w:pPr>
              <w:pStyle w:val="Tabele"/>
              <w:rPr>
                <w:color w:val="auto"/>
                <w:sz w:val="14"/>
                <w:szCs w:val="14"/>
              </w:rPr>
            </w:pPr>
            <w:r w:rsidRPr="0099446A">
              <w:rPr>
                <w:color w:val="auto"/>
                <w:sz w:val="14"/>
                <w:szCs w:val="14"/>
              </w:rPr>
              <w:t xml:space="preserve">USA, </w:t>
            </w:r>
            <w:r w:rsidR="00855F51">
              <w:rPr>
                <w:color w:val="auto"/>
                <w:sz w:val="14"/>
                <w:szCs w:val="14"/>
              </w:rPr>
              <w:t>Kanada</w:t>
            </w:r>
            <w:r w:rsidRPr="0099446A">
              <w:rPr>
                <w:color w:val="auto"/>
                <w:sz w:val="14"/>
                <w:szCs w:val="14"/>
              </w:rPr>
              <w:t xml:space="preserve"> Finlandia</w:t>
            </w:r>
            <w:r w:rsidR="00271202">
              <w:rPr>
                <w:color w:val="auto"/>
                <w:sz w:val="14"/>
                <w:szCs w:val="14"/>
              </w:rPr>
              <w:t>, Ukraina</w:t>
            </w:r>
          </w:p>
        </w:tc>
      </w:tr>
    </w:tbl>
    <w:p w14:paraId="19ED142B" w14:textId="1411C4CB" w:rsidR="005C4144" w:rsidRPr="0053665D" w:rsidRDefault="005C4144" w:rsidP="00CA7721">
      <w:pPr>
        <w:pStyle w:val="Legenda"/>
      </w:pPr>
      <w:r w:rsidRPr="00925C4D">
        <w:t>Źródło: Opracowanie własne ARE S</w:t>
      </w:r>
      <w:r>
        <w:t>.</w:t>
      </w:r>
      <w:r w:rsidRPr="00925C4D">
        <w:t>A</w:t>
      </w:r>
      <w:r>
        <w:t>.</w:t>
      </w:r>
    </w:p>
    <w:p w14:paraId="18D2B8A7" w14:textId="77777777" w:rsidR="00C0462F" w:rsidRDefault="00C0462F">
      <w:pPr>
        <w:jc w:val="left"/>
        <w:rPr>
          <w:i/>
          <w:iCs/>
          <w:color w:val="44546A" w:themeColor="text2"/>
          <w:sz w:val="18"/>
          <w:szCs w:val="18"/>
        </w:rPr>
      </w:pPr>
      <w:r>
        <w:br w:type="page"/>
      </w:r>
    </w:p>
    <w:p w14:paraId="372B6E91" w14:textId="77777777" w:rsidR="005C4144" w:rsidRPr="00714E54" w:rsidRDefault="005C4144" w:rsidP="00C0462F">
      <w:pPr>
        <w:pStyle w:val="Nagwek2"/>
        <w:spacing w:before="0"/>
      </w:pPr>
      <w:bookmarkStart w:id="455" w:name="_Toc197666287"/>
      <w:bookmarkStart w:id="456" w:name="_Toc197959510"/>
      <w:bookmarkStart w:id="457" w:name="_Toc197959592"/>
      <w:bookmarkStart w:id="458" w:name="_Ref158371933"/>
      <w:bookmarkStart w:id="459" w:name="_Toc171587333"/>
      <w:bookmarkStart w:id="460" w:name="_Toc174710907"/>
      <w:bookmarkStart w:id="461" w:name="_Toc202966900"/>
      <w:bookmarkEnd w:id="455"/>
      <w:bookmarkEnd w:id="456"/>
      <w:bookmarkEnd w:id="457"/>
      <w:r w:rsidRPr="00714E54">
        <w:t>Zużycie krajowe brutto paliw i energii</w:t>
      </w:r>
      <w:bookmarkEnd w:id="458"/>
      <w:bookmarkEnd w:id="459"/>
      <w:bookmarkEnd w:id="460"/>
      <w:bookmarkEnd w:id="461"/>
    </w:p>
    <w:p w14:paraId="3626CBB8" w14:textId="10D5E928" w:rsidR="00CF2419" w:rsidRPr="003663D1" w:rsidRDefault="005C4144" w:rsidP="00CF2419">
      <w:pPr>
        <w:pStyle w:val="Legenda"/>
        <w:rPr>
          <w:i w:val="0"/>
          <w:color w:val="auto"/>
          <w:sz w:val="20"/>
          <w:szCs w:val="20"/>
        </w:rPr>
      </w:pPr>
      <w:r w:rsidRPr="003843F7">
        <w:rPr>
          <w:i w:val="0"/>
          <w:iCs w:val="0"/>
          <w:color w:val="auto"/>
          <w:sz w:val="20"/>
          <w:szCs w:val="22"/>
        </w:rPr>
        <w:t>Krajowe zużycie brutto poszczególnych paliw i nośników energii, przedstawione w tabeli</w:t>
      </w:r>
      <w:r>
        <w:rPr>
          <w:i w:val="0"/>
          <w:iCs w:val="0"/>
          <w:color w:val="auto"/>
          <w:sz w:val="20"/>
          <w:szCs w:val="22"/>
        </w:rPr>
        <w:t xml:space="preserve"> </w:t>
      </w:r>
      <w:r w:rsidRPr="003663D1">
        <w:rPr>
          <w:i w:val="0"/>
          <w:color w:val="auto"/>
          <w:sz w:val="20"/>
          <w:szCs w:val="20"/>
        </w:rPr>
        <w:t>(</w:t>
      </w:r>
      <w:r w:rsidR="003663D1" w:rsidRPr="003663D1">
        <w:rPr>
          <w:i w:val="0"/>
          <w:iCs w:val="0"/>
          <w:color w:val="auto"/>
          <w:sz w:val="20"/>
          <w:szCs w:val="20"/>
        </w:rPr>
        <w:fldChar w:fldCharType="begin"/>
      </w:r>
      <w:r w:rsidR="003663D1" w:rsidRPr="003663D1">
        <w:rPr>
          <w:i w:val="0"/>
          <w:iCs w:val="0"/>
          <w:color w:val="auto"/>
          <w:sz w:val="20"/>
          <w:szCs w:val="20"/>
        </w:rPr>
        <w:instrText xml:space="preserve"> REF _Ref195871949 \h  \* MERGEFORMAT </w:instrText>
      </w:r>
      <w:r w:rsidR="003663D1" w:rsidRPr="003663D1">
        <w:rPr>
          <w:i w:val="0"/>
          <w:iCs w:val="0"/>
          <w:color w:val="auto"/>
          <w:sz w:val="20"/>
          <w:szCs w:val="20"/>
        </w:rPr>
      </w:r>
      <w:r w:rsidR="003663D1" w:rsidRPr="003663D1">
        <w:rPr>
          <w:i w:val="0"/>
          <w:iCs w:val="0"/>
          <w:color w:val="auto"/>
          <w:sz w:val="20"/>
          <w:szCs w:val="20"/>
        </w:rPr>
        <w:fldChar w:fldCharType="separate"/>
      </w:r>
      <w:r w:rsidR="00F27D6F" w:rsidRPr="00F27D6F">
        <w:rPr>
          <w:i w:val="0"/>
          <w:iCs w:val="0"/>
          <w:color w:val="auto"/>
          <w:sz w:val="20"/>
          <w:szCs w:val="20"/>
        </w:rPr>
        <w:t xml:space="preserve">Tabela </w:t>
      </w:r>
      <w:r w:rsidR="00F27D6F" w:rsidRPr="00F27D6F">
        <w:rPr>
          <w:i w:val="0"/>
          <w:iCs w:val="0"/>
          <w:noProof/>
          <w:color w:val="auto"/>
          <w:sz w:val="20"/>
          <w:szCs w:val="20"/>
        </w:rPr>
        <w:t>3</w:t>
      </w:r>
      <w:r w:rsidR="00F27D6F" w:rsidRPr="00F27D6F">
        <w:rPr>
          <w:i w:val="0"/>
          <w:iCs w:val="0"/>
          <w:color w:val="auto"/>
          <w:sz w:val="20"/>
          <w:szCs w:val="20"/>
        </w:rPr>
        <w:t>.</w:t>
      </w:r>
      <w:r w:rsidR="00F27D6F" w:rsidRPr="00F27D6F">
        <w:rPr>
          <w:i w:val="0"/>
          <w:iCs w:val="0"/>
          <w:noProof/>
          <w:color w:val="auto"/>
          <w:sz w:val="20"/>
          <w:szCs w:val="20"/>
        </w:rPr>
        <w:t>8</w:t>
      </w:r>
      <w:r w:rsidR="003663D1" w:rsidRPr="003663D1">
        <w:rPr>
          <w:i w:val="0"/>
          <w:iCs w:val="0"/>
          <w:color w:val="auto"/>
          <w:sz w:val="20"/>
          <w:szCs w:val="20"/>
        </w:rPr>
        <w:fldChar w:fldCharType="end"/>
      </w:r>
      <w:r w:rsidRPr="003663D1">
        <w:rPr>
          <w:i w:val="0"/>
          <w:iCs w:val="0"/>
          <w:color w:val="auto"/>
          <w:sz w:val="20"/>
          <w:szCs w:val="20"/>
        </w:rPr>
        <w:t>)</w:t>
      </w:r>
      <w:r w:rsidRPr="003663D1">
        <w:rPr>
          <w:i w:val="0"/>
          <w:color w:val="auto"/>
          <w:sz w:val="20"/>
          <w:szCs w:val="20"/>
        </w:rPr>
        <w:t xml:space="preserve"> </w:t>
      </w:r>
      <w:r w:rsidR="00CF2419" w:rsidRPr="003663D1">
        <w:rPr>
          <w:i w:val="0"/>
          <w:color w:val="auto"/>
          <w:sz w:val="20"/>
          <w:szCs w:val="20"/>
        </w:rPr>
        <w:t xml:space="preserve">zostało obliczone zgodnie z następującym algorytmem: </w:t>
      </w:r>
    </w:p>
    <w:p w14:paraId="096218CE" w14:textId="77777777" w:rsidR="00CF2419" w:rsidRPr="00925C4D" w:rsidRDefault="00CF2419" w:rsidP="00CF2419">
      <w:pPr>
        <w:spacing w:after="0"/>
      </w:pPr>
      <w:r w:rsidRPr="00925C4D">
        <w:t>(+) Zużycie finalne</w:t>
      </w:r>
    </w:p>
    <w:p w14:paraId="135E4AD7" w14:textId="77777777" w:rsidR="00CF2419" w:rsidRPr="00925C4D" w:rsidRDefault="00CF2419" w:rsidP="00CF2419">
      <w:pPr>
        <w:spacing w:after="0"/>
      </w:pPr>
      <w:r w:rsidRPr="00925C4D">
        <w:t>(+) Zużycie</w:t>
      </w:r>
      <w:r>
        <w:t xml:space="preserve"> w </w:t>
      </w:r>
      <w:r w:rsidRPr="00925C4D">
        <w:t>sektorze energii</w:t>
      </w:r>
    </w:p>
    <w:p w14:paraId="2369CFD5" w14:textId="77777777" w:rsidR="00CF2419" w:rsidRPr="00925C4D" w:rsidRDefault="00CF2419" w:rsidP="00CF2419">
      <w:pPr>
        <w:spacing w:after="0"/>
      </w:pPr>
      <w:r w:rsidRPr="00925C4D">
        <w:t>(+) Zużycie</w:t>
      </w:r>
      <w:r>
        <w:t xml:space="preserve"> w </w:t>
      </w:r>
      <w:r w:rsidRPr="00925C4D">
        <w:t>sektorze przemian energetycznych</w:t>
      </w:r>
    </w:p>
    <w:p w14:paraId="2D56DAEC" w14:textId="77777777" w:rsidR="00CF2419" w:rsidRPr="00925C4D" w:rsidRDefault="00CF2419" w:rsidP="00CF2419">
      <w:pPr>
        <w:spacing w:after="0"/>
      </w:pPr>
      <w:r w:rsidRPr="00925C4D">
        <w:t>(-) Straty przesyłu</w:t>
      </w:r>
      <w:r>
        <w:t xml:space="preserve"> i </w:t>
      </w:r>
      <w:r w:rsidRPr="00925C4D">
        <w:t>dystrybucji</w:t>
      </w:r>
    </w:p>
    <w:p w14:paraId="78196094" w14:textId="77777777" w:rsidR="00CF2419" w:rsidRPr="00925C4D" w:rsidRDefault="00CF2419" w:rsidP="00CF2419">
      <w:pPr>
        <w:spacing w:after="0"/>
      </w:pPr>
      <w:r w:rsidRPr="00925C4D">
        <w:t>(+/-) Różnice statystyczne</w:t>
      </w:r>
    </w:p>
    <w:p w14:paraId="009B0D99" w14:textId="77777777" w:rsidR="00CF2419" w:rsidRPr="00925C4D" w:rsidRDefault="00CF2419" w:rsidP="00CF2419">
      <w:r w:rsidRPr="00925C4D">
        <w:t>(=) Krajowe zużycie brutto energii</w:t>
      </w:r>
    </w:p>
    <w:p w14:paraId="57655590" w14:textId="77777777" w:rsidR="00CF2419" w:rsidRPr="00F85B97" w:rsidRDefault="00CF2419" w:rsidP="00CF2419">
      <w:r w:rsidRPr="00F85B97">
        <w:t>Z zaprezentowanych danych wynikają następujące wnioski:</w:t>
      </w:r>
    </w:p>
    <w:p w14:paraId="63B5B5F0" w14:textId="49461887" w:rsidR="00CF2419" w:rsidRDefault="00CF2419" w:rsidP="00CC22EC">
      <w:pPr>
        <w:pStyle w:val="wyliczenie"/>
        <w:numPr>
          <w:ilvl w:val="0"/>
          <w:numId w:val="72"/>
        </w:numPr>
        <w:ind w:left="709"/>
        <w:rPr>
          <w:color w:val="000000"/>
        </w:rPr>
      </w:pPr>
      <w:r w:rsidRPr="00CC7A47">
        <w:t>wzrost krajowego zużycia energii elektrycznej w latach 2020-2030 wyniesie ok. 10%, natomiast w latach 2020-20</w:t>
      </w:r>
      <w:r w:rsidR="00A16C81" w:rsidRPr="00CC7A47">
        <w:t>40</w:t>
      </w:r>
      <w:r w:rsidR="00CC7A47" w:rsidRPr="00CC7A47">
        <w:t xml:space="preserve"> -</w:t>
      </w:r>
      <w:r w:rsidRPr="00CC7A47">
        <w:t xml:space="preserve"> </w:t>
      </w:r>
      <w:r w:rsidR="00CC7A47" w:rsidRPr="00CC7A47">
        <w:t>ponad 64%</w:t>
      </w:r>
      <w:r w:rsidRPr="00CC7A47">
        <w:t>.</w:t>
      </w:r>
      <w:r w:rsidRPr="00F85B97">
        <w:t xml:space="preserve"> Średnioroczne tempo wzrostu tej kategorii wynosi</w:t>
      </w:r>
      <w:r>
        <w:t xml:space="preserve"> w </w:t>
      </w:r>
      <w:r w:rsidRPr="00F85B97">
        <w:t>całym ro</w:t>
      </w:r>
      <w:r>
        <w:t>zpatrywanym okresie prognozy 2,5</w:t>
      </w:r>
      <w:r w:rsidRPr="00F85B97">
        <w:t>%. Zużycie energii elektrycznej wzrasta we wszystkic</w:t>
      </w:r>
      <w:r>
        <w:t>h sektorach, przy czym najbardziej istotne wzrosty dotyczą sektora transportu, ciepłownictwa i przemysłu. W sektorze transportu przewiduje się przede wszystkim wzrost zużycia energii elektrycznej w transporcie drogowym (elektromobilność). W </w:t>
      </w:r>
      <w:r w:rsidRPr="00F12004">
        <w:t>prognozie założono, że do 2030</w:t>
      </w:r>
      <w:r>
        <w:t> r.</w:t>
      </w:r>
      <w:r w:rsidRPr="00F12004">
        <w:t xml:space="preserve"> po polskich drogach będzie por</w:t>
      </w:r>
      <w:r>
        <w:t>uszało się ok. 720 tys., a </w:t>
      </w:r>
      <w:r w:rsidRPr="001C735A">
        <w:t>w 20</w:t>
      </w:r>
      <w:r w:rsidR="00E5491B" w:rsidRPr="001C735A">
        <w:t>4</w:t>
      </w:r>
      <w:r w:rsidRPr="001C735A">
        <w:t xml:space="preserve">0 r. ok. </w:t>
      </w:r>
      <w:r w:rsidR="00C504FC" w:rsidRPr="001C735A">
        <w:t xml:space="preserve">4,2 </w:t>
      </w:r>
      <w:r w:rsidRPr="001C735A">
        <w:t xml:space="preserve">mln </w:t>
      </w:r>
      <w:r w:rsidR="001C735A" w:rsidRPr="001C735A">
        <w:t>osobowych</w:t>
      </w:r>
      <w:r>
        <w:t xml:space="preserve"> </w:t>
      </w:r>
      <w:r w:rsidRPr="00F12004">
        <w:t>pojazdów</w:t>
      </w:r>
      <w:r>
        <w:t xml:space="preserve"> z </w:t>
      </w:r>
      <w:r w:rsidRPr="00F12004">
        <w:t>napędem elektryczny</w:t>
      </w:r>
      <w:r>
        <w:t>m, zużywających odpowiednio: 2,5 TWh i 21,7</w:t>
      </w:r>
      <w:r w:rsidRPr="00F12004">
        <w:t xml:space="preserve"> TWh</w:t>
      </w:r>
      <w:r>
        <w:t xml:space="preserve"> energii elektrycznej</w:t>
      </w:r>
      <w:r w:rsidRPr="00F12004">
        <w:t>.</w:t>
      </w:r>
      <w:r>
        <w:t xml:space="preserve"> W ciepłownictwie systemowym założono znaczący udział scentralizowanych systemów opartych na wielkoskalowych pompach ciepła, których funkcjonowanie wiąże się z istotnym zużyciem energii elektrycznej. To samo dotyczy indywidualnych źródeł ciepła, w których pompy ciepła będą odgrywały kluczową rolę. </w:t>
      </w:r>
      <w:r w:rsidRPr="00925C4D">
        <w:rPr>
          <w:color w:val="000000"/>
        </w:rPr>
        <w:t>Wzrost zużycia energii elektrycznej</w:t>
      </w:r>
      <w:r>
        <w:rPr>
          <w:color w:val="000000"/>
        </w:rPr>
        <w:t xml:space="preserve"> w </w:t>
      </w:r>
      <w:r w:rsidRPr="00925C4D">
        <w:rPr>
          <w:color w:val="000000"/>
        </w:rPr>
        <w:t>przemyśle wiązał się będzie głównie</w:t>
      </w:r>
      <w:r>
        <w:rPr>
          <w:color w:val="000000"/>
        </w:rPr>
        <w:t xml:space="preserve"> z </w:t>
      </w:r>
      <w:r w:rsidRPr="00925C4D">
        <w:rPr>
          <w:color w:val="000000"/>
        </w:rPr>
        <w:t>unowocześnianiem</w:t>
      </w:r>
      <w:r>
        <w:rPr>
          <w:color w:val="000000"/>
        </w:rPr>
        <w:t xml:space="preserve"> i automatyzacją</w:t>
      </w:r>
      <w:r w:rsidRPr="00925C4D">
        <w:rPr>
          <w:color w:val="000000"/>
        </w:rPr>
        <w:t xml:space="preserve"> zakładów produkcyjnych.</w:t>
      </w:r>
      <w:r>
        <w:rPr>
          <w:color w:val="000000"/>
        </w:rPr>
        <w:t xml:space="preserve"> W rezultacie procesu transformacji energetycznej, paliwa stałe i gazowe będą zastępowane rozwiązaniami technicznymi wykorzystującymi energię elektryczną. Jednocześnie w przemyśle </w:t>
      </w:r>
      <w:r w:rsidR="0088766A">
        <w:rPr>
          <w:color w:val="000000"/>
        </w:rPr>
        <w:t>będą</w:t>
      </w:r>
      <w:r>
        <w:rPr>
          <w:color w:val="000000"/>
        </w:rPr>
        <w:t xml:space="preserve"> zachodziły procesy poprawy efektywności energetycznej urządzeń wykorzystujących energię elektryczną (napędów elektrycznych, układów technologicznych), które wpływać będą na ograniczanie zużycia energii. Bardzo duży wzrost zużycia energii elektrycznej dotyczy sektora energii, a mianowicie związany jest z produkcj</w:t>
      </w:r>
      <w:r w:rsidR="0088766A">
        <w:rPr>
          <w:color w:val="000000"/>
        </w:rPr>
        <w:t>ą</w:t>
      </w:r>
      <w:r>
        <w:rPr>
          <w:color w:val="000000"/>
        </w:rPr>
        <w:t xml:space="preserve"> wodoru</w:t>
      </w:r>
      <w:r w:rsidR="00161989">
        <w:rPr>
          <w:color w:val="000000"/>
        </w:rPr>
        <w:t xml:space="preserve"> </w:t>
      </w:r>
      <w:r>
        <w:rPr>
          <w:color w:val="000000"/>
        </w:rPr>
        <w:t xml:space="preserve">w procesie elektrolizy. W poniższej tabeli przedstawiono szacunki zużycia energii elektrycznej w elektrolizerach, przy założeniu produkcji wodoru na poziomie zgodnym z wartościami podanymi w </w:t>
      </w:r>
      <w:r w:rsidR="008D2CB0">
        <w:rPr>
          <w:color w:val="000000"/>
        </w:rPr>
        <w:t>tabeli poniżej.</w:t>
      </w:r>
    </w:p>
    <w:p w14:paraId="045C435E" w14:textId="2B43EEF8" w:rsidR="008E22DE" w:rsidRDefault="008E22DE" w:rsidP="00C0462F">
      <w:pPr>
        <w:pStyle w:val="Legenda"/>
        <w:spacing w:after="0"/>
      </w:pPr>
      <w:bookmarkStart w:id="462" w:name="_Toc202966997"/>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3</w:t>
      </w:r>
      <w:r w:rsidR="00653D9A">
        <w:rPr>
          <w:noProof/>
        </w:rPr>
        <w:fldChar w:fldCharType="end"/>
      </w:r>
      <w:r w:rsidR="00F5646F">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7</w:t>
      </w:r>
      <w:r w:rsidR="00653D9A">
        <w:rPr>
          <w:noProof/>
        </w:rPr>
        <w:fldChar w:fldCharType="end"/>
      </w:r>
      <w:r>
        <w:t xml:space="preserve"> Zużycie energii elektrycznej w elektrolizerach</w:t>
      </w:r>
      <w:bookmarkEnd w:id="462"/>
    </w:p>
    <w:tbl>
      <w:tblPr>
        <w:tblpPr w:leftFromText="141" w:rightFromText="141" w:vertAnchor="text" w:horzAnchor="margin" w:tblpXSpec="right" w:tblpY="184"/>
        <w:tblW w:w="5000" w:type="pct"/>
        <w:tblLayout w:type="fixed"/>
        <w:tblCellMar>
          <w:left w:w="70" w:type="dxa"/>
          <w:right w:w="70" w:type="dxa"/>
        </w:tblCellMar>
        <w:tblLook w:val="04A0" w:firstRow="1" w:lastRow="0" w:firstColumn="1" w:lastColumn="0" w:noHBand="0" w:noVBand="1"/>
      </w:tblPr>
      <w:tblGrid>
        <w:gridCol w:w="2972"/>
        <w:gridCol w:w="1218"/>
        <w:gridCol w:w="1218"/>
        <w:gridCol w:w="1218"/>
        <w:gridCol w:w="1218"/>
        <w:gridCol w:w="1218"/>
      </w:tblGrid>
      <w:tr w:rsidR="004D7FDB" w:rsidRPr="00CE5FD1" w14:paraId="6D50AE45" w14:textId="77777777" w:rsidTr="00C0462F">
        <w:trPr>
          <w:trHeight w:val="243"/>
        </w:trPr>
        <w:tc>
          <w:tcPr>
            <w:tcW w:w="2972"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44814B8" w14:textId="77777777" w:rsidR="004D7FDB" w:rsidRPr="00CE5FD1" w:rsidRDefault="004D7FDB">
            <w:pPr>
              <w:spacing w:after="0" w:line="240" w:lineRule="auto"/>
              <w:jc w:val="left"/>
              <w:rPr>
                <w:rFonts w:eastAsia="Times New Roman" w:cs="Arial"/>
                <w:b/>
                <w:bCs/>
                <w:color w:val="FFFFFF"/>
                <w:sz w:val="16"/>
                <w:szCs w:val="16"/>
                <w:lang w:eastAsia="pl-PL"/>
              </w:rPr>
            </w:pPr>
            <w:r w:rsidRPr="00CE5FD1">
              <w:rPr>
                <w:rFonts w:eastAsia="Times New Roman" w:cs="Arial"/>
                <w:b/>
                <w:bCs/>
                <w:color w:val="FFFFFF"/>
                <w:sz w:val="16"/>
                <w:szCs w:val="16"/>
                <w:lang w:eastAsia="pl-PL"/>
              </w:rPr>
              <w:t> </w:t>
            </w:r>
          </w:p>
        </w:tc>
        <w:tc>
          <w:tcPr>
            <w:tcW w:w="1218" w:type="dxa"/>
            <w:tcBorders>
              <w:top w:val="single" w:sz="4" w:space="0" w:color="auto"/>
              <w:left w:val="nil"/>
              <w:bottom w:val="single" w:sz="4" w:space="0" w:color="auto"/>
              <w:right w:val="single" w:sz="4" w:space="0" w:color="auto"/>
            </w:tcBorders>
            <w:shd w:val="clear" w:color="000000" w:fill="70AD47"/>
            <w:vAlign w:val="center"/>
            <w:hideMark/>
          </w:tcPr>
          <w:p w14:paraId="2C4F82E7" w14:textId="77777777" w:rsidR="004D7FDB" w:rsidRPr="00CE5FD1" w:rsidRDefault="004D7FDB">
            <w:pPr>
              <w:spacing w:after="0" w:line="240" w:lineRule="auto"/>
              <w:jc w:val="center"/>
              <w:rPr>
                <w:rFonts w:eastAsia="Times New Roman" w:cs="Arial"/>
                <w:b/>
                <w:bCs/>
                <w:color w:val="FFFFFF"/>
                <w:sz w:val="16"/>
                <w:szCs w:val="16"/>
                <w:lang w:eastAsia="pl-PL"/>
              </w:rPr>
            </w:pPr>
            <w:r w:rsidRPr="00CE5FD1">
              <w:rPr>
                <w:rFonts w:eastAsia="Times New Roman" w:cs="Arial"/>
                <w:b/>
                <w:bCs/>
                <w:color w:val="FFFFFF"/>
                <w:sz w:val="16"/>
                <w:szCs w:val="16"/>
                <w:lang w:eastAsia="pl-PL"/>
              </w:rPr>
              <w:t>2020</w:t>
            </w:r>
          </w:p>
        </w:tc>
        <w:tc>
          <w:tcPr>
            <w:tcW w:w="1218" w:type="dxa"/>
            <w:tcBorders>
              <w:top w:val="single" w:sz="4" w:space="0" w:color="auto"/>
              <w:left w:val="nil"/>
              <w:bottom w:val="single" w:sz="4" w:space="0" w:color="auto"/>
              <w:right w:val="single" w:sz="4" w:space="0" w:color="auto"/>
            </w:tcBorders>
            <w:shd w:val="clear" w:color="000000" w:fill="70AD47"/>
            <w:vAlign w:val="center"/>
            <w:hideMark/>
          </w:tcPr>
          <w:p w14:paraId="015DAA45" w14:textId="77777777" w:rsidR="004D7FDB" w:rsidRPr="00CE5FD1" w:rsidRDefault="004D7FDB">
            <w:pPr>
              <w:spacing w:after="0" w:line="240" w:lineRule="auto"/>
              <w:jc w:val="center"/>
              <w:rPr>
                <w:rFonts w:eastAsia="Times New Roman" w:cs="Arial"/>
                <w:b/>
                <w:bCs/>
                <w:color w:val="FFFFFF"/>
                <w:sz w:val="16"/>
                <w:szCs w:val="16"/>
                <w:lang w:eastAsia="pl-PL"/>
              </w:rPr>
            </w:pPr>
            <w:r w:rsidRPr="00CE5FD1">
              <w:rPr>
                <w:rFonts w:eastAsia="Times New Roman" w:cs="Arial"/>
                <w:b/>
                <w:bCs/>
                <w:color w:val="FFFFFF"/>
                <w:sz w:val="16"/>
                <w:szCs w:val="16"/>
                <w:lang w:eastAsia="pl-PL"/>
              </w:rPr>
              <w:t>2025</w:t>
            </w:r>
          </w:p>
        </w:tc>
        <w:tc>
          <w:tcPr>
            <w:tcW w:w="1218" w:type="dxa"/>
            <w:tcBorders>
              <w:top w:val="single" w:sz="4" w:space="0" w:color="auto"/>
              <w:left w:val="nil"/>
              <w:bottom w:val="single" w:sz="4" w:space="0" w:color="auto"/>
              <w:right w:val="single" w:sz="4" w:space="0" w:color="auto"/>
            </w:tcBorders>
            <w:shd w:val="clear" w:color="000000" w:fill="70AD47"/>
            <w:vAlign w:val="center"/>
            <w:hideMark/>
          </w:tcPr>
          <w:p w14:paraId="0159BE16" w14:textId="77777777" w:rsidR="004D7FDB" w:rsidRPr="00CE5FD1" w:rsidRDefault="004D7FDB">
            <w:pPr>
              <w:spacing w:after="0" w:line="240" w:lineRule="auto"/>
              <w:jc w:val="center"/>
              <w:rPr>
                <w:rFonts w:eastAsia="Times New Roman" w:cs="Arial"/>
                <w:b/>
                <w:bCs/>
                <w:color w:val="FFFFFF"/>
                <w:sz w:val="16"/>
                <w:szCs w:val="16"/>
                <w:lang w:eastAsia="pl-PL"/>
              </w:rPr>
            </w:pPr>
            <w:r w:rsidRPr="00CE5FD1">
              <w:rPr>
                <w:rFonts w:eastAsia="Times New Roman" w:cs="Arial"/>
                <w:b/>
                <w:bCs/>
                <w:color w:val="FFFFFF"/>
                <w:sz w:val="16"/>
                <w:szCs w:val="16"/>
                <w:lang w:eastAsia="pl-PL"/>
              </w:rPr>
              <w:t>2030</w:t>
            </w:r>
          </w:p>
        </w:tc>
        <w:tc>
          <w:tcPr>
            <w:tcW w:w="1218" w:type="dxa"/>
            <w:tcBorders>
              <w:top w:val="single" w:sz="4" w:space="0" w:color="auto"/>
              <w:left w:val="nil"/>
              <w:bottom w:val="single" w:sz="4" w:space="0" w:color="auto"/>
              <w:right w:val="single" w:sz="4" w:space="0" w:color="auto"/>
            </w:tcBorders>
            <w:shd w:val="clear" w:color="000000" w:fill="70AD47"/>
            <w:vAlign w:val="center"/>
            <w:hideMark/>
          </w:tcPr>
          <w:p w14:paraId="6ADDFB20" w14:textId="77777777" w:rsidR="004D7FDB" w:rsidRPr="00CE5FD1" w:rsidRDefault="004D7FDB">
            <w:pPr>
              <w:spacing w:after="0" w:line="240" w:lineRule="auto"/>
              <w:jc w:val="center"/>
              <w:rPr>
                <w:rFonts w:eastAsia="Times New Roman" w:cs="Arial"/>
                <w:b/>
                <w:bCs/>
                <w:color w:val="FFFFFF"/>
                <w:sz w:val="16"/>
                <w:szCs w:val="16"/>
                <w:lang w:eastAsia="pl-PL"/>
              </w:rPr>
            </w:pPr>
            <w:r w:rsidRPr="00CE5FD1">
              <w:rPr>
                <w:rFonts w:eastAsia="Times New Roman" w:cs="Arial"/>
                <w:b/>
                <w:bCs/>
                <w:color w:val="FFFFFF"/>
                <w:sz w:val="16"/>
                <w:szCs w:val="16"/>
                <w:lang w:eastAsia="pl-PL"/>
              </w:rPr>
              <w:t>2035</w:t>
            </w:r>
          </w:p>
        </w:tc>
        <w:tc>
          <w:tcPr>
            <w:tcW w:w="1218" w:type="dxa"/>
            <w:tcBorders>
              <w:top w:val="single" w:sz="4" w:space="0" w:color="auto"/>
              <w:left w:val="nil"/>
              <w:bottom w:val="single" w:sz="4" w:space="0" w:color="auto"/>
              <w:right w:val="single" w:sz="4" w:space="0" w:color="auto"/>
            </w:tcBorders>
            <w:shd w:val="clear" w:color="000000" w:fill="70AD47"/>
            <w:vAlign w:val="center"/>
            <w:hideMark/>
          </w:tcPr>
          <w:p w14:paraId="60F7FB9C" w14:textId="77777777" w:rsidR="004D7FDB" w:rsidRPr="00CE5FD1" w:rsidRDefault="004D7FDB">
            <w:pPr>
              <w:spacing w:after="0" w:line="240" w:lineRule="auto"/>
              <w:jc w:val="center"/>
              <w:rPr>
                <w:rFonts w:eastAsia="Times New Roman" w:cs="Arial"/>
                <w:b/>
                <w:bCs/>
                <w:color w:val="FFFFFF"/>
                <w:sz w:val="16"/>
                <w:szCs w:val="16"/>
                <w:lang w:eastAsia="pl-PL"/>
              </w:rPr>
            </w:pPr>
            <w:r w:rsidRPr="00CE5FD1">
              <w:rPr>
                <w:rFonts w:eastAsia="Times New Roman" w:cs="Arial"/>
                <w:b/>
                <w:bCs/>
                <w:color w:val="FFFFFF"/>
                <w:sz w:val="16"/>
                <w:szCs w:val="16"/>
                <w:lang w:eastAsia="pl-PL"/>
              </w:rPr>
              <w:t>2040</w:t>
            </w:r>
          </w:p>
        </w:tc>
      </w:tr>
      <w:tr w:rsidR="004D7FDB" w:rsidRPr="00CE5FD1" w14:paraId="1F30A5A7" w14:textId="77777777" w:rsidTr="00C0462F">
        <w:trPr>
          <w:trHeight w:val="243"/>
        </w:trPr>
        <w:tc>
          <w:tcPr>
            <w:tcW w:w="2972" w:type="dxa"/>
            <w:tcBorders>
              <w:top w:val="nil"/>
              <w:left w:val="single" w:sz="4" w:space="0" w:color="auto"/>
              <w:bottom w:val="single" w:sz="4" w:space="0" w:color="auto"/>
              <w:right w:val="single" w:sz="4" w:space="0" w:color="auto"/>
            </w:tcBorders>
            <w:noWrap/>
            <w:vAlign w:val="center"/>
            <w:hideMark/>
          </w:tcPr>
          <w:p w14:paraId="4B3A8134" w14:textId="77777777" w:rsidR="004D7FDB" w:rsidRPr="00CE5FD1" w:rsidRDefault="004D7FDB">
            <w:pPr>
              <w:spacing w:after="0" w:line="240" w:lineRule="auto"/>
              <w:jc w:val="left"/>
              <w:rPr>
                <w:rFonts w:eastAsia="Times New Roman" w:cs="Arial"/>
                <w:color w:val="000000"/>
                <w:sz w:val="16"/>
                <w:szCs w:val="16"/>
                <w:lang w:eastAsia="pl-PL"/>
              </w:rPr>
            </w:pPr>
            <w:r w:rsidRPr="00CE5FD1">
              <w:rPr>
                <w:rFonts w:eastAsia="Times New Roman" w:cs="Arial"/>
                <w:color w:val="000000"/>
                <w:sz w:val="16"/>
                <w:szCs w:val="16"/>
                <w:lang w:eastAsia="pl-PL"/>
              </w:rPr>
              <w:t>Zużycie e.e.</w:t>
            </w:r>
            <w:r>
              <w:rPr>
                <w:rFonts w:eastAsia="Times New Roman" w:cs="Arial"/>
                <w:color w:val="000000"/>
                <w:sz w:val="16"/>
                <w:szCs w:val="16"/>
                <w:lang w:eastAsia="pl-PL"/>
              </w:rPr>
              <w:t xml:space="preserve"> w elektrolizerach [TWh]</w:t>
            </w:r>
          </w:p>
        </w:tc>
        <w:tc>
          <w:tcPr>
            <w:tcW w:w="1218" w:type="dxa"/>
            <w:tcBorders>
              <w:top w:val="nil"/>
              <w:left w:val="nil"/>
              <w:bottom w:val="single" w:sz="4" w:space="0" w:color="auto"/>
              <w:right w:val="single" w:sz="4" w:space="0" w:color="auto"/>
            </w:tcBorders>
            <w:shd w:val="clear" w:color="000000" w:fill="C5E0B3"/>
            <w:noWrap/>
            <w:vAlign w:val="center"/>
            <w:hideMark/>
          </w:tcPr>
          <w:p w14:paraId="1E7B96B6" w14:textId="77777777" w:rsidR="004D7FDB" w:rsidRPr="00CE5FD1" w:rsidRDefault="004D7FDB">
            <w:pPr>
              <w:spacing w:after="0" w:line="240" w:lineRule="auto"/>
              <w:jc w:val="right"/>
              <w:rPr>
                <w:rFonts w:eastAsia="Times New Roman" w:cs="Arial"/>
                <w:color w:val="000000"/>
                <w:sz w:val="16"/>
                <w:szCs w:val="16"/>
                <w:lang w:eastAsia="pl-PL"/>
              </w:rPr>
            </w:pPr>
            <w:r w:rsidRPr="00CE5FD1">
              <w:rPr>
                <w:rFonts w:eastAsia="Times New Roman" w:cs="Arial"/>
                <w:color w:val="000000"/>
                <w:sz w:val="16"/>
                <w:szCs w:val="16"/>
                <w:lang w:eastAsia="pl-PL"/>
              </w:rPr>
              <w:t>0</w:t>
            </w:r>
          </w:p>
        </w:tc>
        <w:tc>
          <w:tcPr>
            <w:tcW w:w="1218" w:type="dxa"/>
            <w:tcBorders>
              <w:top w:val="nil"/>
              <w:left w:val="nil"/>
              <w:bottom w:val="single" w:sz="4" w:space="0" w:color="auto"/>
              <w:right w:val="single" w:sz="4" w:space="0" w:color="auto"/>
            </w:tcBorders>
            <w:noWrap/>
            <w:vAlign w:val="center"/>
            <w:hideMark/>
          </w:tcPr>
          <w:p w14:paraId="06519066" w14:textId="77777777" w:rsidR="004D7FDB" w:rsidRPr="00CE5FD1" w:rsidRDefault="004D7FDB">
            <w:pPr>
              <w:spacing w:after="0" w:line="240" w:lineRule="auto"/>
              <w:jc w:val="right"/>
              <w:rPr>
                <w:rFonts w:eastAsia="Times New Roman" w:cs="Arial"/>
                <w:color w:val="000000"/>
                <w:sz w:val="16"/>
                <w:szCs w:val="16"/>
                <w:lang w:eastAsia="pl-PL"/>
              </w:rPr>
            </w:pPr>
            <w:r>
              <w:rPr>
                <w:rFonts w:cs="Arial"/>
                <w:color w:val="000000"/>
                <w:sz w:val="16"/>
                <w:szCs w:val="16"/>
              </w:rPr>
              <w:t>0</w:t>
            </w:r>
          </w:p>
        </w:tc>
        <w:tc>
          <w:tcPr>
            <w:tcW w:w="1218" w:type="dxa"/>
            <w:tcBorders>
              <w:top w:val="nil"/>
              <w:left w:val="nil"/>
              <w:bottom w:val="single" w:sz="4" w:space="0" w:color="auto"/>
              <w:right w:val="single" w:sz="4" w:space="0" w:color="auto"/>
            </w:tcBorders>
            <w:noWrap/>
            <w:vAlign w:val="center"/>
            <w:hideMark/>
          </w:tcPr>
          <w:p w14:paraId="021D4916" w14:textId="77777777" w:rsidR="004D7FDB" w:rsidRPr="00CE5FD1" w:rsidRDefault="004D7FDB">
            <w:pPr>
              <w:spacing w:after="0" w:line="240" w:lineRule="auto"/>
              <w:jc w:val="right"/>
              <w:rPr>
                <w:rFonts w:eastAsia="Times New Roman" w:cs="Arial"/>
                <w:color w:val="000000"/>
                <w:sz w:val="16"/>
                <w:szCs w:val="16"/>
                <w:lang w:eastAsia="pl-PL"/>
              </w:rPr>
            </w:pPr>
            <w:r>
              <w:rPr>
                <w:rFonts w:cs="Arial"/>
                <w:color w:val="000000"/>
                <w:sz w:val="16"/>
                <w:szCs w:val="16"/>
              </w:rPr>
              <w:t>6</w:t>
            </w:r>
          </w:p>
        </w:tc>
        <w:tc>
          <w:tcPr>
            <w:tcW w:w="1218" w:type="dxa"/>
            <w:tcBorders>
              <w:top w:val="nil"/>
              <w:left w:val="nil"/>
              <w:bottom w:val="single" w:sz="4" w:space="0" w:color="auto"/>
              <w:right w:val="single" w:sz="4" w:space="0" w:color="auto"/>
            </w:tcBorders>
            <w:noWrap/>
            <w:vAlign w:val="center"/>
            <w:hideMark/>
          </w:tcPr>
          <w:p w14:paraId="38899507" w14:textId="77777777" w:rsidR="004D7FDB" w:rsidRPr="00CE5FD1" w:rsidRDefault="004D7FDB">
            <w:pPr>
              <w:spacing w:after="0" w:line="240" w:lineRule="auto"/>
              <w:jc w:val="right"/>
              <w:rPr>
                <w:rFonts w:eastAsia="Times New Roman" w:cs="Arial"/>
                <w:color w:val="000000"/>
                <w:sz w:val="16"/>
                <w:szCs w:val="16"/>
                <w:lang w:eastAsia="pl-PL"/>
              </w:rPr>
            </w:pPr>
            <w:r>
              <w:rPr>
                <w:rFonts w:cs="Arial"/>
                <w:color w:val="000000"/>
                <w:sz w:val="16"/>
                <w:szCs w:val="16"/>
              </w:rPr>
              <w:t>16</w:t>
            </w:r>
          </w:p>
        </w:tc>
        <w:tc>
          <w:tcPr>
            <w:tcW w:w="1218" w:type="dxa"/>
            <w:tcBorders>
              <w:top w:val="nil"/>
              <w:left w:val="nil"/>
              <w:bottom w:val="single" w:sz="4" w:space="0" w:color="auto"/>
              <w:right w:val="single" w:sz="4" w:space="0" w:color="auto"/>
            </w:tcBorders>
            <w:noWrap/>
            <w:vAlign w:val="center"/>
            <w:hideMark/>
          </w:tcPr>
          <w:p w14:paraId="112704B1" w14:textId="77777777" w:rsidR="004D7FDB" w:rsidRPr="00CE5FD1" w:rsidRDefault="004D7FDB">
            <w:pPr>
              <w:spacing w:after="0" w:line="240" w:lineRule="auto"/>
              <w:jc w:val="right"/>
              <w:rPr>
                <w:rFonts w:eastAsia="Times New Roman" w:cs="Arial"/>
                <w:color w:val="000000"/>
                <w:sz w:val="16"/>
                <w:szCs w:val="16"/>
                <w:lang w:eastAsia="pl-PL"/>
              </w:rPr>
            </w:pPr>
            <w:r>
              <w:rPr>
                <w:rFonts w:cs="Arial"/>
                <w:color w:val="000000"/>
                <w:sz w:val="16"/>
                <w:szCs w:val="16"/>
              </w:rPr>
              <w:t>64</w:t>
            </w:r>
          </w:p>
        </w:tc>
      </w:tr>
    </w:tbl>
    <w:p w14:paraId="284FA8AC" w14:textId="77777777" w:rsidR="00532A22" w:rsidRPr="00CE5FD1" w:rsidRDefault="00532A22" w:rsidP="00532A22">
      <w:pPr>
        <w:pStyle w:val="wyliczenie"/>
        <w:numPr>
          <w:ilvl w:val="0"/>
          <w:numId w:val="0"/>
        </w:numPr>
        <w:ind w:left="720"/>
        <w:rPr>
          <w:color w:val="000000"/>
        </w:rPr>
      </w:pPr>
      <w:r>
        <w:rPr>
          <w:color w:val="000000"/>
        </w:rPr>
        <w:t xml:space="preserve"> </w:t>
      </w:r>
    </w:p>
    <w:p w14:paraId="0787EED1" w14:textId="77777777" w:rsidR="00E53D1E" w:rsidRDefault="00E53D1E" w:rsidP="00CF2419">
      <w:pPr>
        <w:pStyle w:val="wyliczenie"/>
        <w:numPr>
          <w:ilvl w:val="0"/>
          <w:numId w:val="0"/>
        </w:numPr>
        <w:ind w:left="720" w:hanging="11"/>
        <w:rPr>
          <w:color w:val="000000"/>
        </w:rPr>
      </w:pPr>
    </w:p>
    <w:p w14:paraId="341E2A8D" w14:textId="6868BF38" w:rsidR="007106D1" w:rsidRPr="00F85B97" w:rsidRDefault="007106D1" w:rsidP="007106D1">
      <w:pPr>
        <w:pStyle w:val="wyliczenie"/>
      </w:pPr>
      <w:r>
        <w:t>p</w:t>
      </w:r>
      <w:r w:rsidRPr="00F85B97">
        <w:t xml:space="preserve">rzewiduje się </w:t>
      </w:r>
      <w:r>
        <w:t>spadek</w:t>
      </w:r>
      <w:r w:rsidRPr="00F85B97">
        <w:t xml:space="preserve"> </w:t>
      </w:r>
      <w:r>
        <w:t>zapotrzebowania na ciepło z </w:t>
      </w:r>
      <w:r w:rsidRPr="00F85B97">
        <w:t>sieci</w:t>
      </w:r>
      <w:r>
        <w:t xml:space="preserve"> (o 17 % w latach 2020-2030 i </w:t>
      </w:r>
      <w:r w:rsidR="001038C8" w:rsidRPr="001038C8">
        <w:t>33</w:t>
      </w:r>
      <w:r w:rsidRPr="001038C8">
        <w:t>% w latach 2020-20</w:t>
      </w:r>
      <w:r w:rsidR="009D19E6">
        <w:t>4</w:t>
      </w:r>
      <w:r w:rsidRPr="001038C8">
        <w:t>0)</w:t>
      </w:r>
      <w:r w:rsidRPr="00F85B97">
        <w:t xml:space="preserve">, </w:t>
      </w:r>
      <w:r>
        <w:t>wynikający z założeń odnośnie</w:t>
      </w:r>
      <w:r w:rsidR="00734407">
        <w:t xml:space="preserve"> </w:t>
      </w:r>
      <w:r w:rsidR="00CB4A74">
        <w:t>do</w:t>
      </w:r>
      <w:r>
        <w:t xml:space="preserve"> tempa i zakresu termomodernizacji budynków, </w:t>
      </w:r>
      <w:r w:rsidRPr="00F85B97">
        <w:t>temp</w:t>
      </w:r>
      <w:r>
        <w:t>a i zakresu przyłączeń nowych odbiorców oraz warunków rynkowych</w:t>
      </w:r>
      <w:r w:rsidRPr="00F85B97">
        <w:t>. Założono</w:t>
      </w:r>
      <w:r>
        <w:t xml:space="preserve"> w </w:t>
      </w:r>
      <w:r w:rsidRPr="00F85B97">
        <w:t>prognozie, że zabiegi podejmowane</w:t>
      </w:r>
      <w:r>
        <w:t xml:space="preserve"> w </w:t>
      </w:r>
      <w:r w:rsidRPr="00F85B97">
        <w:t>r</w:t>
      </w:r>
      <w:r>
        <w:t>amach walki z tzw. niską emisją staną się bodźcem</w:t>
      </w:r>
      <w:r w:rsidRPr="00F85B97">
        <w:t xml:space="preserve"> do inwestycj</w:t>
      </w:r>
      <w:r>
        <w:t>i w rozwój sieci ciepłowniczych, jednocześnie założony wzrost cen uprawnień do emisji GHG będzie sprawiał, że ciepło systemowe, szczególnie w początkowym okresie prognozy będzie stopniowo tracić swoją konkurencyjność w porównaniu technologiami indywidualnego ogrzewania.</w:t>
      </w:r>
    </w:p>
    <w:p w14:paraId="045331FA" w14:textId="77777777" w:rsidR="007106D1" w:rsidRPr="00925C4D" w:rsidRDefault="007106D1" w:rsidP="007106D1">
      <w:pPr>
        <w:pStyle w:val="wyliczenie"/>
      </w:pPr>
      <w:r>
        <w:t>p</w:t>
      </w:r>
      <w:r w:rsidRPr="00925C4D">
        <w:t>r</w:t>
      </w:r>
      <w:r>
        <w:t>ognozuje</w:t>
      </w:r>
      <w:r w:rsidRPr="00925C4D">
        <w:t xml:space="preserve"> się spadek zużycia węgla kamiennego</w:t>
      </w:r>
      <w:r>
        <w:t xml:space="preserve"> i </w:t>
      </w:r>
      <w:r w:rsidRPr="00925C4D">
        <w:t>brunatnego w</w:t>
      </w:r>
      <w:r>
        <w:t>ynikający z procesów transformacji energetycznej</w:t>
      </w:r>
      <w:r w:rsidRPr="00925C4D">
        <w:t>. Spadek zużycia węgla</w:t>
      </w:r>
      <w:r>
        <w:t xml:space="preserve"> w </w:t>
      </w:r>
      <w:r w:rsidRPr="00925C4D">
        <w:t>elektroenergetyce</w:t>
      </w:r>
      <w:r>
        <w:t xml:space="preserve"> i </w:t>
      </w:r>
      <w:r w:rsidRPr="00925C4D">
        <w:t>ciepł</w:t>
      </w:r>
      <w:r>
        <w:t>ownictwie istotnie przyspiesza już po 2025 r. Zużycie węgla w budynkach z kolei, spada niemalże do zera w perspektywie 2040 r. (przy czym wcześniej, bo już w 2035 r. w budynkach w mieście).</w:t>
      </w:r>
    </w:p>
    <w:p w14:paraId="06B0F3A1" w14:textId="77777777" w:rsidR="007106D1" w:rsidRDefault="007106D1" w:rsidP="007106D1">
      <w:pPr>
        <w:pStyle w:val="wyliczenie"/>
      </w:pPr>
      <w:r>
        <w:t>p</w:t>
      </w:r>
      <w:r w:rsidRPr="00925C4D">
        <w:t xml:space="preserve">rzewiduje się </w:t>
      </w:r>
      <w:r>
        <w:t>spadek</w:t>
      </w:r>
      <w:r w:rsidRPr="00925C4D">
        <w:t xml:space="preserve"> zużycia ropy naftowej</w:t>
      </w:r>
      <w:r>
        <w:t xml:space="preserve"> i </w:t>
      </w:r>
      <w:r w:rsidRPr="00925C4D">
        <w:t>produktów naftowych</w:t>
      </w:r>
      <w:r>
        <w:t xml:space="preserve"> w analizowanym okresie</w:t>
      </w:r>
      <w:r w:rsidRPr="00925C4D">
        <w:t xml:space="preserve">. </w:t>
      </w:r>
      <w:r>
        <w:t>Wzrost zużycia produktów naftowych obserwowany w latach 2015</w:t>
      </w:r>
      <w:r w:rsidRPr="00925C4D">
        <w:t xml:space="preserve">-2020 związany </w:t>
      </w:r>
      <w:r>
        <w:t>był z </w:t>
      </w:r>
      <w:r w:rsidRPr="00925C4D">
        <w:t>wprowadzeniem</w:t>
      </w:r>
      <w:r>
        <w:t xml:space="preserve"> w </w:t>
      </w:r>
      <w:r w:rsidRPr="00925C4D">
        <w:t>Polsce pakietu ustaw ograniczających tzw. sz</w:t>
      </w:r>
      <w:r>
        <w:t>arą strefę w obrocie paliwami. Od 2020 r. przewiduje się stopniowe ograniczanie zastosowania paliw silnikowych i stopniowe zastępowanie paliwami alternatywnymi. Istotną rolę odgrywa tutaj również poprawa efektywności wykorzystania energii, w tym stopniowe obniżanie się wskaźników jednostkowego zużycia paliwa w nowych pojazdach, zgodnie z założeniami prawodawstwa unijnego, a także wzrost znaczenia elektromobilności i biopaliw;</w:t>
      </w:r>
    </w:p>
    <w:p w14:paraId="4D7F169E" w14:textId="34194B7E" w:rsidR="007106D1" w:rsidRPr="00925C4D" w:rsidRDefault="007106D1" w:rsidP="007106D1">
      <w:pPr>
        <w:pStyle w:val="wyliczenie"/>
      </w:pPr>
      <w:r>
        <w:t>wyniki analiz wskazują na pewien wzrost zapotrzebowania krajowego na gaz ziemny w perspektywie 2030 r. (z 17,1 Mtoe w 2020 r. do 19,7 Mtoe</w:t>
      </w:r>
      <w:r w:rsidR="002F1FE1" w:rsidRPr="006E516B">
        <w:t xml:space="preserve"> w2030 r.</w:t>
      </w:r>
      <w:r w:rsidRPr="006E516B">
        <w:t>),</w:t>
      </w:r>
      <w:r>
        <w:t xml:space="preserve"> </w:t>
      </w:r>
      <w:r w:rsidRPr="006E516B">
        <w:t xml:space="preserve">a następnie jego stopniowy spadek do </w:t>
      </w:r>
      <w:r w:rsidR="00E766E2" w:rsidRPr="006E516B">
        <w:t>9,8 Mtoe</w:t>
      </w:r>
      <w:r w:rsidRPr="006E516B">
        <w:t xml:space="preserve"> w 20</w:t>
      </w:r>
      <w:r w:rsidR="00E766E2" w:rsidRPr="006E516B">
        <w:t>4</w:t>
      </w:r>
      <w:r w:rsidRPr="006E516B">
        <w:t>0 r</w:t>
      </w:r>
      <w:r>
        <w:t>. Gaz ziemny w Polsce będzie odgrywał rolę paliwa przejściowego w transformacji energetycznej, w początkowym 10-15 letnim okresie. Później będzie stopniowo zastępowany paliwami i technologiami bezemisyjnymi;</w:t>
      </w:r>
    </w:p>
    <w:p w14:paraId="1F938EE8" w14:textId="300023DF" w:rsidR="007106D1" w:rsidRDefault="007106D1" w:rsidP="007106D1">
      <w:pPr>
        <w:pStyle w:val="wyliczenie"/>
      </w:pPr>
      <w:r>
        <w:t>p</w:t>
      </w:r>
      <w:r w:rsidRPr="00925C4D">
        <w:t xml:space="preserve">rzewiduje się dalszy stopniowy wzrost zapotrzebowania na odnawialne nośniki energii takie jak </w:t>
      </w:r>
      <w:r>
        <w:t>biometan</w:t>
      </w:r>
      <w:r w:rsidR="008100DF">
        <w:t>, biogaz i wodór</w:t>
      </w:r>
      <w:r w:rsidRPr="00925C4D">
        <w:t>.</w:t>
      </w:r>
    </w:p>
    <w:p w14:paraId="66473970" w14:textId="6830201C" w:rsidR="005C4144" w:rsidRPr="00471DEB" w:rsidRDefault="007106D1" w:rsidP="00471DEB">
      <w:pPr>
        <w:pStyle w:val="wyliczenie"/>
      </w:pPr>
      <w:r>
        <w:t>Istotn</w:t>
      </w:r>
      <w:r w:rsidR="00953355">
        <w:t>ą</w:t>
      </w:r>
      <w:r>
        <w:t xml:space="preserve"> rolę w bilansie energetycznym odgrywać będzie biometan, którego zużycie w 2030 r. szacuje się na poziomie 1,3 Mtoe, a następnie jego stopniowy wzrost </w:t>
      </w:r>
      <w:r w:rsidRPr="00722F18">
        <w:t>do</w:t>
      </w:r>
      <w:r w:rsidRPr="00722F18" w:rsidDel="00AB4F76">
        <w:t xml:space="preserve"> </w:t>
      </w:r>
      <w:r w:rsidR="00722F18" w:rsidRPr="00722F18">
        <w:t xml:space="preserve">3,3 </w:t>
      </w:r>
      <w:r w:rsidRPr="00722F18">
        <w:t>Mtoe w</w:t>
      </w:r>
      <w:r w:rsidR="00C7033C">
        <w:t> </w:t>
      </w:r>
      <w:r w:rsidRPr="00722F18">
        <w:t>perspektywie 20</w:t>
      </w:r>
      <w:r w:rsidR="006927C0" w:rsidRPr="00722F18">
        <w:t>4</w:t>
      </w:r>
      <w:r w:rsidRPr="00722F18">
        <w:t>0 r.</w:t>
      </w:r>
      <w:r>
        <w:t xml:space="preserve"> (jest to odpowiednio 1,5 mld m</w:t>
      </w:r>
      <w:r w:rsidRPr="008047DC">
        <w:rPr>
          <w:vertAlign w:val="superscript"/>
        </w:rPr>
        <w:t>3</w:t>
      </w:r>
      <w:r>
        <w:t xml:space="preserve"> i </w:t>
      </w:r>
      <w:r w:rsidR="001F0A71">
        <w:t>3,8</w:t>
      </w:r>
      <w:r w:rsidRPr="00722F18">
        <w:t xml:space="preserve"> mld m</w:t>
      </w:r>
      <w:r w:rsidRPr="00722F18">
        <w:rPr>
          <w:vertAlign w:val="superscript"/>
        </w:rPr>
        <w:t>3</w:t>
      </w:r>
      <w:r>
        <w:t xml:space="preserve">). Biometan jest paliwem, którego potencjał </w:t>
      </w:r>
      <w:r w:rsidR="00791FDD">
        <w:t xml:space="preserve">techniczny </w:t>
      </w:r>
      <w:r>
        <w:t xml:space="preserve">szacowany jest przez różne ośrodki badawcze </w:t>
      </w:r>
      <w:r w:rsidR="00A9691C">
        <w:t>na poziomie 8 mld m</w:t>
      </w:r>
      <w:r w:rsidR="00A9691C" w:rsidRPr="723FFA6F">
        <w:rPr>
          <w:vertAlign w:val="superscript"/>
        </w:rPr>
        <w:t>3</w:t>
      </w:r>
      <w:r w:rsidR="00A9691C">
        <w:t>/rok</w:t>
      </w:r>
      <w:r w:rsidR="00BC5F4E">
        <w:t>. P</w:t>
      </w:r>
      <w:r w:rsidR="00BC5F4E" w:rsidRPr="00BC5F4E">
        <w:t>otencjał wdrożeniowy uwzględniający wielkość oraz koncentrację źródeł substratów w terenie wynosi 4,7</w:t>
      </w:r>
      <w:r w:rsidR="00961DD8">
        <w:t> </w:t>
      </w:r>
      <w:r w:rsidR="00BC5F4E" w:rsidRPr="00BC5F4E">
        <w:t>mld m</w:t>
      </w:r>
      <w:r w:rsidR="00BC5F4E" w:rsidRPr="00BC5F4E">
        <w:rPr>
          <w:vertAlign w:val="superscript"/>
        </w:rPr>
        <w:t>3</w:t>
      </w:r>
      <w:r w:rsidR="00CF2710">
        <w:t>, s</w:t>
      </w:r>
      <w:r w:rsidR="00A9691C">
        <w:t xml:space="preserve">tąd </w:t>
      </w:r>
      <w:r>
        <w:t>też możliwe jest uzyskanie wysokiego poziomu jego zastosowania w przyszłości, pod warunkiem stworzenia odpowiedniego otoczenia prawnego i finansowego, co dla obecnego rządu jest priorytetem.</w:t>
      </w:r>
    </w:p>
    <w:p w14:paraId="3D4F4494" w14:textId="33216F64" w:rsidR="005C4144" w:rsidRPr="00925C4D" w:rsidRDefault="005C4144" w:rsidP="005C4144">
      <w:pPr>
        <w:pStyle w:val="Legenda"/>
      </w:pPr>
      <w:bookmarkStart w:id="463" w:name="_Ref156900017"/>
      <w:bookmarkStart w:id="464" w:name="_Ref169816821"/>
      <w:bookmarkStart w:id="465" w:name="_Ref195871949"/>
      <w:bookmarkStart w:id="466" w:name="_Toc171587207"/>
      <w:bookmarkStart w:id="467" w:name="_Toc174710991"/>
      <w:bookmarkStart w:id="468" w:name="_Toc202966998"/>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3</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8</w:t>
      </w:r>
      <w:r w:rsidR="00653D9A">
        <w:rPr>
          <w:noProof/>
        </w:rPr>
        <w:fldChar w:fldCharType="end"/>
      </w:r>
      <w:bookmarkEnd w:id="463"/>
      <w:bookmarkEnd w:id="464"/>
      <w:bookmarkEnd w:id="465"/>
      <w:r>
        <w:t xml:space="preserve">. </w:t>
      </w:r>
      <w:r w:rsidRPr="00925C4D">
        <w:t>Krajowe zużycie brutto paliw</w:t>
      </w:r>
      <w:r>
        <w:t xml:space="preserve"> i </w:t>
      </w:r>
      <w:r w:rsidRPr="00925C4D">
        <w:t xml:space="preserve">energii [ktoe] – scenariusz </w:t>
      </w:r>
      <w:r>
        <w:t>WAM</w:t>
      </w:r>
      <w:bookmarkEnd w:id="466"/>
      <w:bookmarkEnd w:id="467"/>
      <w:bookmarkEnd w:id="468"/>
    </w:p>
    <w:tbl>
      <w:tblPr>
        <w:tblStyle w:val="KPEiK"/>
        <w:tblW w:w="5000" w:type="pct"/>
        <w:tblLook w:val="04A0" w:firstRow="1" w:lastRow="0" w:firstColumn="1" w:lastColumn="0" w:noHBand="0" w:noVBand="1"/>
      </w:tblPr>
      <w:tblGrid>
        <w:gridCol w:w="2214"/>
        <w:gridCol w:w="856"/>
        <w:gridCol w:w="856"/>
        <w:gridCol w:w="857"/>
        <w:gridCol w:w="855"/>
        <w:gridCol w:w="857"/>
        <w:gridCol w:w="855"/>
        <w:gridCol w:w="855"/>
        <w:gridCol w:w="857"/>
      </w:tblGrid>
      <w:tr w:rsidR="001A6EE4" w:rsidRPr="00925C4D" w14:paraId="1BA0CA2B" w14:textId="77777777" w:rsidTr="001A6EE4">
        <w:trPr>
          <w:cnfStyle w:val="100000000000" w:firstRow="1" w:lastRow="0" w:firstColumn="0" w:lastColumn="0" w:oddVBand="0" w:evenVBand="0" w:oddHBand="0" w:evenHBand="0" w:firstRowFirstColumn="0" w:firstRowLastColumn="0" w:lastRowFirstColumn="0" w:lastRowLastColumn="0"/>
          <w:trHeight w:val="226"/>
          <w:tblHeader/>
        </w:trPr>
        <w:tc>
          <w:tcPr>
            <w:tcW w:w="2213" w:type="dxa"/>
            <w:noWrap/>
            <w:hideMark/>
          </w:tcPr>
          <w:p w14:paraId="2506C7F8" w14:textId="77777777" w:rsidR="001A6EE4" w:rsidRPr="00925C4D" w:rsidRDefault="001A6EE4">
            <w:pPr>
              <w:pStyle w:val="Tabele"/>
            </w:pPr>
          </w:p>
        </w:tc>
        <w:tc>
          <w:tcPr>
            <w:tcW w:w="868" w:type="dxa"/>
            <w:hideMark/>
          </w:tcPr>
          <w:p w14:paraId="103245A5" w14:textId="77777777" w:rsidR="001A6EE4" w:rsidRPr="00925C4D" w:rsidRDefault="001A6EE4">
            <w:pPr>
              <w:pStyle w:val="Tabele"/>
              <w:jc w:val="center"/>
              <w:rPr>
                <w:bCs/>
              </w:rPr>
            </w:pPr>
            <w:r w:rsidRPr="00925C4D">
              <w:rPr>
                <w:bCs/>
              </w:rPr>
              <w:t>2005</w:t>
            </w:r>
          </w:p>
        </w:tc>
        <w:tc>
          <w:tcPr>
            <w:tcW w:w="868" w:type="dxa"/>
            <w:hideMark/>
          </w:tcPr>
          <w:p w14:paraId="73A68888" w14:textId="77777777" w:rsidR="001A6EE4" w:rsidRPr="00925C4D" w:rsidRDefault="001A6EE4">
            <w:pPr>
              <w:pStyle w:val="Tabele"/>
              <w:jc w:val="center"/>
              <w:rPr>
                <w:bCs/>
              </w:rPr>
            </w:pPr>
            <w:r w:rsidRPr="00925C4D">
              <w:rPr>
                <w:bCs/>
              </w:rPr>
              <w:t>2010</w:t>
            </w:r>
          </w:p>
        </w:tc>
        <w:tc>
          <w:tcPr>
            <w:tcW w:w="870" w:type="dxa"/>
            <w:hideMark/>
          </w:tcPr>
          <w:p w14:paraId="56D0AF15" w14:textId="77777777" w:rsidR="001A6EE4" w:rsidRPr="00925C4D" w:rsidRDefault="001A6EE4">
            <w:pPr>
              <w:pStyle w:val="Tabele"/>
              <w:jc w:val="center"/>
              <w:rPr>
                <w:bCs/>
              </w:rPr>
            </w:pPr>
            <w:r w:rsidRPr="00925C4D">
              <w:rPr>
                <w:bCs/>
              </w:rPr>
              <w:t>2015</w:t>
            </w:r>
          </w:p>
        </w:tc>
        <w:tc>
          <w:tcPr>
            <w:tcW w:w="868" w:type="dxa"/>
            <w:hideMark/>
          </w:tcPr>
          <w:p w14:paraId="1ED9A534" w14:textId="77777777" w:rsidR="001A6EE4" w:rsidRPr="00925C4D" w:rsidRDefault="001A6EE4">
            <w:pPr>
              <w:pStyle w:val="Tabele"/>
              <w:jc w:val="center"/>
              <w:rPr>
                <w:bCs/>
              </w:rPr>
            </w:pPr>
            <w:r w:rsidRPr="00925C4D">
              <w:rPr>
                <w:bCs/>
              </w:rPr>
              <w:t>2020</w:t>
            </w:r>
          </w:p>
        </w:tc>
        <w:tc>
          <w:tcPr>
            <w:tcW w:w="870" w:type="dxa"/>
            <w:hideMark/>
          </w:tcPr>
          <w:p w14:paraId="1EA376F0" w14:textId="77777777" w:rsidR="001A6EE4" w:rsidRPr="00925C4D" w:rsidRDefault="001A6EE4">
            <w:pPr>
              <w:pStyle w:val="Tabele"/>
              <w:jc w:val="center"/>
              <w:rPr>
                <w:bCs/>
              </w:rPr>
            </w:pPr>
            <w:r w:rsidRPr="00925C4D">
              <w:rPr>
                <w:bCs/>
              </w:rPr>
              <w:t>2025</w:t>
            </w:r>
          </w:p>
        </w:tc>
        <w:tc>
          <w:tcPr>
            <w:tcW w:w="868" w:type="dxa"/>
            <w:hideMark/>
          </w:tcPr>
          <w:p w14:paraId="00168DC3" w14:textId="77777777" w:rsidR="001A6EE4" w:rsidRPr="00925C4D" w:rsidRDefault="001A6EE4">
            <w:pPr>
              <w:pStyle w:val="Tabele"/>
              <w:jc w:val="center"/>
              <w:rPr>
                <w:bCs/>
              </w:rPr>
            </w:pPr>
            <w:r w:rsidRPr="00925C4D">
              <w:rPr>
                <w:bCs/>
              </w:rPr>
              <w:t>2030</w:t>
            </w:r>
          </w:p>
        </w:tc>
        <w:tc>
          <w:tcPr>
            <w:tcW w:w="868" w:type="dxa"/>
            <w:hideMark/>
          </w:tcPr>
          <w:p w14:paraId="7C492AA2" w14:textId="77777777" w:rsidR="001A6EE4" w:rsidRPr="00925C4D" w:rsidRDefault="001A6EE4">
            <w:pPr>
              <w:pStyle w:val="Tabele"/>
              <w:jc w:val="center"/>
              <w:rPr>
                <w:bCs/>
              </w:rPr>
            </w:pPr>
            <w:r w:rsidRPr="00925C4D">
              <w:rPr>
                <w:bCs/>
              </w:rPr>
              <w:t>2035</w:t>
            </w:r>
          </w:p>
        </w:tc>
        <w:tc>
          <w:tcPr>
            <w:tcW w:w="870" w:type="dxa"/>
          </w:tcPr>
          <w:p w14:paraId="1DF57CEB" w14:textId="77777777" w:rsidR="001A6EE4" w:rsidRPr="00925C4D" w:rsidRDefault="001A6EE4">
            <w:pPr>
              <w:pStyle w:val="Tabele"/>
              <w:jc w:val="center"/>
              <w:rPr>
                <w:bCs/>
              </w:rPr>
            </w:pPr>
            <w:r>
              <w:rPr>
                <w:bCs/>
              </w:rPr>
              <w:t>2040</w:t>
            </w:r>
          </w:p>
        </w:tc>
      </w:tr>
      <w:tr w:rsidR="001A6EE4" w:rsidRPr="00F85B97" w14:paraId="5C156C7A" w14:textId="77777777" w:rsidTr="001A6EE4">
        <w:trPr>
          <w:trHeight w:val="226"/>
        </w:trPr>
        <w:tc>
          <w:tcPr>
            <w:tcW w:w="2213" w:type="dxa"/>
            <w:hideMark/>
          </w:tcPr>
          <w:p w14:paraId="0278A034" w14:textId="77777777" w:rsidR="001A6EE4" w:rsidRPr="001A6EE4" w:rsidRDefault="001A6EE4">
            <w:pPr>
              <w:pStyle w:val="Tabele"/>
              <w:rPr>
                <w:color w:val="auto"/>
              </w:rPr>
            </w:pPr>
            <w:r w:rsidRPr="001A6EE4">
              <w:rPr>
                <w:color w:val="auto"/>
              </w:rPr>
              <w:t>Energia elektryczna</w:t>
            </w:r>
          </w:p>
        </w:tc>
        <w:tc>
          <w:tcPr>
            <w:tcW w:w="868" w:type="dxa"/>
            <w:shd w:val="clear" w:color="auto" w:fill="C5E0B3"/>
            <w:hideMark/>
          </w:tcPr>
          <w:p w14:paraId="68A6906D" w14:textId="77777777" w:rsidR="001A6EE4" w:rsidRPr="001A6EE4" w:rsidRDefault="001A6EE4">
            <w:pPr>
              <w:pStyle w:val="Tabele"/>
              <w:jc w:val="right"/>
              <w:rPr>
                <w:color w:val="auto"/>
              </w:rPr>
            </w:pPr>
            <w:r w:rsidRPr="001A6EE4">
              <w:rPr>
                <w:rFonts w:cs="Arial"/>
                <w:color w:val="auto"/>
                <w:szCs w:val="16"/>
              </w:rPr>
              <w:t>12 532</w:t>
            </w:r>
          </w:p>
        </w:tc>
        <w:tc>
          <w:tcPr>
            <w:tcW w:w="868" w:type="dxa"/>
            <w:shd w:val="clear" w:color="auto" w:fill="C5E0B3"/>
            <w:hideMark/>
          </w:tcPr>
          <w:p w14:paraId="58FFA5E0" w14:textId="77777777" w:rsidR="001A6EE4" w:rsidRPr="001A6EE4" w:rsidRDefault="001A6EE4">
            <w:pPr>
              <w:pStyle w:val="Tabele"/>
              <w:jc w:val="right"/>
              <w:rPr>
                <w:color w:val="auto"/>
              </w:rPr>
            </w:pPr>
            <w:r w:rsidRPr="001A6EE4">
              <w:rPr>
                <w:rFonts w:cs="Arial"/>
                <w:color w:val="auto"/>
                <w:szCs w:val="16"/>
              </w:rPr>
              <w:t>13 440</w:t>
            </w:r>
          </w:p>
        </w:tc>
        <w:tc>
          <w:tcPr>
            <w:tcW w:w="870" w:type="dxa"/>
            <w:shd w:val="clear" w:color="auto" w:fill="C5E0B3"/>
            <w:hideMark/>
          </w:tcPr>
          <w:p w14:paraId="628B7204" w14:textId="77777777" w:rsidR="001A6EE4" w:rsidRPr="001A6EE4" w:rsidRDefault="001A6EE4">
            <w:pPr>
              <w:pStyle w:val="Tabele"/>
              <w:jc w:val="right"/>
              <w:rPr>
                <w:color w:val="auto"/>
              </w:rPr>
            </w:pPr>
            <w:r w:rsidRPr="001A6EE4">
              <w:rPr>
                <w:rFonts w:cs="Arial"/>
                <w:color w:val="auto"/>
                <w:szCs w:val="16"/>
              </w:rPr>
              <w:t>14 154</w:t>
            </w:r>
          </w:p>
        </w:tc>
        <w:tc>
          <w:tcPr>
            <w:tcW w:w="868" w:type="dxa"/>
            <w:shd w:val="clear" w:color="auto" w:fill="C5E0B3"/>
            <w:hideMark/>
          </w:tcPr>
          <w:p w14:paraId="1AA1F605" w14:textId="77777777" w:rsidR="001A6EE4" w:rsidRPr="001A6EE4" w:rsidRDefault="001A6EE4">
            <w:pPr>
              <w:pStyle w:val="Tabele"/>
              <w:jc w:val="right"/>
              <w:rPr>
                <w:color w:val="auto"/>
              </w:rPr>
            </w:pPr>
            <w:r w:rsidRPr="001A6EE4">
              <w:rPr>
                <w:rFonts w:cs="Arial"/>
                <w:color w:val="auto"/>
                <w:szCs w:val="16"/>
              </w:rPr>
              <w:t>14 730</w:t>
            </w:r>
          </w:p>
        </w:tc>
        <w:tc>
          <w:tcPr>
            <w:tcW w:w="870" w:type="dxa"/>
            <w:hideMark/>
          </w:tcPr>
          <w:p w14:paraId="5267ED3D" w14:textId="77777777" w:rsidR="001A6EE4" w:rsidRPr="001A6EE4" w:rsidRDefault="001A6EE4">
            <w:pPr>
              <w:pStyle w:val="Tabele"/>
              <w:jc w:val="right"/>
              <w:rPr>
                <w:color w:val="auto"/>
              </w:rPr>
            </w:pPr>
            <w:r w:rsidRPr="001A6EE4">
              <w:rPr>
                <w:rFonts w:cs="Arial"/>
                <w:color w:val="auto"/>
                <w:szCs w:val="16"/>
              </w:rPr>
              <w:t>15 306</w:t>
            </w:r>
          </w:p>
        </w:tc>
        <w:tc>
          <w:tcPr>
            <w:tcW w:w="868" w:type="dxa"/>
            <w:hideMark/>
          </w:tcPr>
          <w:p w14:paraId="78052BAD" w14:textId="77777777" w:rsidR="001A6EE4" w:rsidRPr="001A6EE4" w:rsidRDefault="001A6EE4">
            <w:pPr>
              <w:pStyle w:val="Tabele"/>
              <w:jc w:val="right"/>
              <w:rPr>
                <w:color w:val="auto"/>
              </w:rPr>
            </w:pPr>
            <w:r w:rsidRPr="001A6EE4">
              <w:rPr>
                <w:rFonts w:cs="Arial"/>
                <w:color w:val="auto"/>
                <w:szCs w:val="16"/>
              </w:rPr>
              <w:t>16 249</w:t>
            </w:r>
          </w:p>
        </w:tc>
        <w:tc>
          <w:tcPr>
            <w:tcW w:w="868" w:type="dxa"/>
            <w:hideMark/>
          </w:tcPr>
          <w:p w14:paraId="796988FA" w14:textId="77777777" w:rsidR="001A6EE4" w:rsidRPr="001A6EE4" w:rsidRDefault="001A6EE4">
            <w:pPr>
              <w:pStyle w:val="Tabele"/>
              <w:jc w:val="right"/>
              <w:rPr>
                <w:color w:val="auto"/>
              </w:rPr>
            </w:pPr>
            <w:r w:rsidRPr="001A6EE4">
              <w:rPr>
                <w:rFonts w:cs="Arial"/>
                <w:color w:val="auto"/>
                <w:szCs w:val="16"/>
              </w:rPr>
              <w:t>18 534</w:t>
            </w:r>
          </w:p>
        </w:tc>
        <w:tc>
          <w:tcPr>
            <w:tcW w:w="870" w:type="dxa"/>
          </w:tcPr>
          <w:p w14:paraId="60B8C5D8" w14:textId="77777777" w:rsidR="001A6EE4" w:rsidRPr="001A6EE4" w:rsidRDefault="001A6EE4">
            <w:pPr>
              <w:pStyle w:val="Tabele"/>
              <w:jc w:val="right"/>
              <w:rPr>
                <w:color w:val="auto"/>
              </w:rPr>
            </w:pPr>
            <w:r w:rsidRPr="001A6EE4">
              <w:rPr>
                <w:rFonts w:cs="Arial"/>
                <w:color w:val="auto"/>
                <w:szCs w:val="16"/>
              </w:rPr>
              <w:t>24 229</w:t>
            </w:r>
          </w:p>
        </w:tc>
      </w:tr>
      <w:tr w:rsidR="001A6EE4" w:rsidRPr="00F85B97" w14:paraId="3E324247" w14:textId="77777777" w:rsidTr="001A6EE4">
        <w:trPr>
          <w:trHeight w:val="226"/>
        </w:trPr>
        <w:tc>
          <w:tcPr>
            <w:tcW w:w="2213" w:type="dxa"/>
            <w:hideMark/>
          </w:tcPr>
          <w:p w14:paraId="3CEF70D1" w14:textId="77777777" w:rsidR="001A6EE4" w:rsidRPr="001A6EE4" w:rsidRDefault="001A6EE4">
            <w:pPr>
              <w:pStyle w:val="Tabele"/>
              <w:rPr>
                <w:color w:val="auto"/>
              </w:rPr>
            </w:pPr>
            <w:r w:rsidRPr="001A6EE4">
              <w:rPr>
                <w:color w:val="auto"/>
              </w:rPr>
              <w:t>Ciepło sieciowe</w:t>
            </w:r>
          </w:p>
        </w:tc>
        <w:tc>
          <w:tcPr>
            <w:tcW w:w="868" w:type="dxa"/>
            <w:shd w:val="clear" w:color="auto" w:fill="C5E0B3"/>
            <w:hideMark/>
          </w:tcPr>
          <w:p w14:paraId="48C7DC5D" w14:textId="77777777" w:rsidR="001A6EE4" w:rsidRPr="001A6EE4" w:rsidRDefault="001A6EE4">
            <w:pPr>
              <w:pStyle w:val="Tabele"/>
              <w:jc w:val="right"/>
              <w:rPr>
                <w:color w:val="auto"/>
              </w:rPr>
            </w:pPr>
            <w:r w:rsidRPr="001A6EE4">
              <w:rPr>
                <w:rFonts w:cs="Arial"/>
                <w:color w:val="auto"/>
                <w:szCs w:val="16"/>
              </w:rPr>
              <w:t>8 032</w:t>
            </w:r>
          </w:p>
        </w:tc>
        <w:tc>
          <w:tcPr>
            <w:tcW w:w="868" w:type="dxa"/>
            <w:shd w:val="clear" w:color="auto" w:fill="C5E0B3"/>
            <w:hideMark/>
          </w:tcPr>
          <w:p w14:paraId="365DBED7" w14:textId="77777777" w:rsidR="001A6EE4" w:rsidRPr="001A6EE4" w:rsidRDefault="001A6EE4">
            <w:pPr>
              <w:pStyle w:val="Tabele"/>
              <w:jc w:val="right"/>
              <w:rPr>
                <w:color w:val="auto"/>
              </w:rPr>
            </w:pPr>
            <w:r w:rsidRPr="001A6EE4">
              <w:rPr>
                <w:rFonts w:cs="Arial"/>
                <w:color w:val="auto"/>
                <w:szCs w:val="16"/>
              </w:rPr>
              <w:t>8 021</w:t>
            </w:r>
          </w:p>
        </w:tc>
        <w:tc>
          <w:tcPr>
            <w:tcW w:w="870" w:type="dxa"/>
            <w:shd w:val="clear" w:color="auto" w:fill="C5E0B3"/>
            <w:hideMark/>
          </w:tcPr>
          <w:p w14:paraId="456F1CE4" w14:textId="77777777" w:rsidR="001A6EE4" w:rsidRPr="001A6EE4" w:rsidRDefault="001A6EE4">
            <w:pPr>
              <w:pStyle w:val="Tabele"/>
              <w:jc w:val="right"/>
              <w:rPr>
                <w:color w:val="auto"/>
              </w:rPr>
            </w:pPr>
            <w:r w:rsidRPr="001A6EE4">
              <w:rPr>
                <w:rFonts w:cs="Arial"/>
                <w:color w:val="auto"/>
                <w:szCs w:val="16"/>
              </w:rPr>
              <w:t>6 721</w:t>
            </w:r>
          </w:p>
        </w:tc>
        <w:tc>
          <w:tcPr>
            <w:tcW w:w="868" w:type="dxa"/>
            <w:shd w:val="clear" w:color="auto" w:fill="C5E0B3"/>
            <w:hideMark/>
          </w:tcPr>
          <w:p w14:paraId="52B4280D" w14:textId="77777777" w:rsidR="001A6EE4" w:rsidRPr="001A6EE4" w:rsidRDefault="001A6EE4">
            <w:pPr>
              <w:pStyle w:val="Tabele"/>
              <w:jc w:val="right"/>
              <w:rPr>
                <w:color w:val="auto"/>
              </w:rPr>
            </w:pPr>
            <w:r w:rsidRPr="001A6EE4">
              <w:rPr>
                <w:rFonts w:cs="Arial"/>
                <w:color w:val="auto"/>
                <w:szCs w:val="16"/>
              </w:rPr>
              <w:t>6 843</w:t>
            </w:r>
          </w:p>
        </w:tc>
        <w:tc>
          <w:tcPr>
            <w:tcW w:w="870" w:type="dxa"/>
            <w:hideMark/>
          </w:tcPr>
          <w:p w14:paraId="647150AA" w14:textId="77777777" w:rsidR="001A6EE4" w:rsidRPr="001A6EE4" w:rsidRDefault="001A6EE4">
            <w:pPr>
              <w:pStyle w:val="Tabele"/>
              <w:jc w:val="right"/>
              <w:rPr>
                <w:color w:val="auto"/>
              </w:rPr>
            </w:pPr>
            <w:r w:rsidRPr="001A6EE4">
              <w:rPr>
                <w:rFonts w:cs="Arial"/>
                <w:color w:val="auto"/>
                <w:szCs w:val="16"/>
              </w:rPr>
              <w:t>6 411</w:t>
            </w:r>
          </w:p>
        </w:tc>
        <w:tc>
          <w:tcPr>
            <w:tcW w:w="868" w:type="dxa"/>
            <w:hideMark/>
          </w:tcPr>
          <w:p w14:paraId="6A3070B5" w14:textId="77777777" w:rsidR="001A6EE4" w:rsidRPr="001A6EE4" w:rsidRDefault="001A6EE4">
            <w:pPr>
              <w:pStyle w:val="Tabele"/>
              <w:jc w:val="right"/>
              <w:rPr>
                <w:color w:val="auto"/>
              </w:rPr>
            </w:pPr>
            <w:r w:rsidRPr="001A6EE4">
              <w:rPr>
                <w:rFonts w:cs="Arial"/>
                <w:color w:val="auto"/>
                <w:szCs w:val="16"/>
              </w:rPr>
              <w:t>5 711</w:t>
            </w:r>
          </w:p>
        </w:tc>
        <w:tc>
          <w:tcPr>
            <w:tcW w:w="868" w:type="dxa"/>
            <w:hideMark/>
          </w:tcPr>
          <w:p w14:paraId="5F60BF9F" w14:textId="77777777" w:rsidR="001A6EE4" w:rsidRPr="001A6EE4" w:rsidRDefault="001A6EE4">
            <w:pPr>
              <w:pStyle w:val="Tabele"/>
              <w:jc w:val="right"/>
              <w:rPr>
                <w:color w:val="auto"/>
              </w:rPr>
            </w:pPr>
            <w:r w:rsidRPr="001A6EE4">
              <w:rPr>
                <w:rFonts w:cs="Arial"/>
                <w:color w:val="auto"/>
                <w:szCs w:val="16"/>
              </w:rPr>
              <w:t>4 931</w:t>
            </w:r>
          </w:p>
        </w:tc>
        <w:tc>
          <w:tcPr>
            <w:tcW w:w="870" w:type="dxa"/>
          </w:tcPr>
          <w:p w14:paraId="1DA417DF" w14:textId="77777777" w:rsidR="001A6EE4" w:rsidRPr="001A6EE4" w:rsidRDefault="001A6EE4">
            <w:pPr>
              <w:pStyle w:val="Tabele"/>
              <w:jc w:val="right"/>
              <w:rPr>
                <w:color w:val="auto"/>
              </w:rPr>
            </w:pPr>
            <w:r w:rsidRPr="001A6EE4">
              <w:rPr>
                <w:rFonts w:cs="Arial"/>
                <w:color w:val="auto"/>
                <w:szCs w:val="16"/>
              </w:rPr>
              <w:t>4 611</w:t>
            </w:r>
          </w:p>
        </w:tc>
      </w:tr>
      <w:tr w:rsidR="001A6EE4" w:rsidRPr="00F85B97" w14:paraId="30A21CD1" w14:textId="77777777" w:rsidTr="001A6EE4">
        <w:trPr>
          <w:trHeight w:val="226"/>
        </w:trPr>
        <w:tc>
          <w:tcPr>
            <w:tcW w:w="2213" w:type="dxa"/>
            <w:hideMark/>
          </w:tcPr>
          <w:p w14:paraId="29256D38" w14:textId="77777777" w:rsidR="001A6EE4" w:rsidRPr="001A6EE4" w:rsidRDefault="001A6EE4">
            <w:pPr>
              <w:pStyle w:val="Tabele"/>
              <w:rPr>
                <w:color w:val="auto"/>
              </w:rPr>
            </w:pPr>
            <w:r w:rsidRPr="001A6EE4">
              <w:rPr>
                <w:color w:val="auto"/>
              </w:rPr>
              <w:t>Węgiel kamienny</w:t>
            </w:r>
          </w:p>
        </w:tc>
        <w:tc>
          <w:tcPr>
            <w:tcW w:w="868" w:type="dxa"/>
            <w:shd w:val="clear" w:color="auto" w:fill="C5E0B3"/>
            <w:hideMark/>
          </w:tcPr>
          <w:p w14:paraId="1BDBC581" w14:textId="77777777" w:rsidR="001A6EE4" w:rsidRPr="001A6EE4" w:rsidRDefault="001A6EE4">
            <w:pPr>
              <w:pStyle w:val="Tabele"/>
              <w:jc w:val="right"/>
              <w:rPr>
                <w:color w:val="auto"/>
              </w:rPr>
            </w:pPr>
            <w:r w:rsidRPr="001A6EE4">
              <w:rPr>
                <w:rFonts w:cs="Arial"/>
                <w:color w:val="auto"/>
                <w:szCs w:val="16"/>
              </w:rPr>
              <w:t>37 651</w:t>
            </w:r>
          </w:p>
        </w:tc>
        <w:tc>
          <w:tcPr>
            <w:tcW w:w="868" w:type="dxa"/>
            <w:shd w:val="clear" w:color="auto" w:fill="C5E0B3"/>
            <w:hideMark/>
          </w:tcPr>
          <w:p w14:paraId="59349644" w14:textId="77777777" w:rsidR="001A6EE4" w:rsidRPr="001A6EE4" w:rsidRDefault="001A6EE4">
            <w:pPr>
              <w:pStyle w:val="Tabele"/>
              <w:jc w:val="right"/>
              <w:rPr>
                <w:color w:val="auto"/>
              </w:rPr>
            </w:pPr>
            <w:r w:rsidRPr="001A6EE4">
              <w:rPr>
                <w:rFonts w:cs="Arial"/>
                <w:color w:val="auto"/>
                <w:szCs w:val="16"/>
              </w:rPr>
              <w:t>39 774</w:t>
            </w:r>
          </w:p>
        </w:tc>
        <w:tc>
          <w:tcPr>
            <w:tcW w:w="870" w:type="dxa"/>
            <w:shd w:val="clear" w:color="auto" w:fill="C5E0B3"/>
            <w:hideMark/>
          </w:tcPr>
          <w:p w14:paraId="51759594" w14:textId="77777777" w:rsidR="001A6EE4" w:rsidRPr="001A6EE4" w:rsidRDefault="001A6EE4">
            <w:pPr>
              <w:pStyle w:val="Tabele"/>
              <w:jc w:val="right"/>
              <w:rPr>
                <w:color w:val="auto"/>
              </w:rPr>
            </w:pPr>
            <w:r w:rsidRPr="001A6EE4">
              <w:rPr>
                <w:rFonts w:cs="Arial"/>
                <w:color w:val="auto"/>
                <w:szCs w:val="16"/>
              </w:rPr>
              <w:t>31 248</w:t>
            </w:r>
          </w:p>
        </w:tc>
        <w:tc>
          <w:tcPr>
            <w:tcW w:w="868" w:type="dxa"/>
            <w:shd w:val="clear" w:color="auto" w:fill="C5E0B3"/>
            <w:hideMark/>
          </w:tcPr>
          <w:p w14:paraId="26F837AB" w14:textId="77777777" w:rsidR="001A6EE4" w:rsidRPr="001A6EE4" w:rsidRDefault="001A6EE4">
            <w:pPr>
              <w:pStyle w:val="Tabele"/>
              <w:jc w:val="right"/>
              <w:rPr>
                <w:color w:val="auto"/>
              </w:rPr>
            </w:pPr>
            <w:r w:rsidRPr="001A6EE4">
              <w:rPr>
                <w:rFonts w:cs="Arial"/>
                <w:color w:val="auto"/>
                <w:szCs w:val="16"/>
              </w:rPr>
              <w:t>28 188</w:t>
            </w:r>
          </w:p>
        </w:tc>
        <w:tc>
          <w:tcPr>
            <w:tcW w:w="870" w:type="dxa"/>
            <w:hideMark/>
          </w:tcPr>
          <w:p w14:paraId="1B7C59FD" w14:textId="77777777" w:rsidR="001A6EE4" w:rsidRPr="001A6EE4" w:rsidRDefault="001A6EE4">
            <w:pPr>
              <w:pStyle w:val="Tabele"/>
              <w:jc w:val="right"/>
              <w:rPr>
                <w:color w:val="auto"/>
              </w:rPr>
            </w:pPr>
            <w:r w:rsidRPr="001A6EE4">
              <w:rPr>
                <w:rFonts w:cs="Arial"/>
                <w:color w:val="auto"/>
                <w:szCs w:val="16"/>
              </w:rPr>
              <w:t>20 551</w:t>
            </w:r>
          </w:p>
        </w:tc>
        <w:tc>
          <w:tcPr>
            <w:tcW w:w="868" w:type="dxa"/>
            <w:hideMark/>
          </w:tcPr>
          <w:p w14:paraId="0C95019A" w14:textId="77777777" w:rsidR="001A6EE4" w:rsidRPr="001A6EE4" w:rsidRDefault="001A6EE4">
            <w:pPr>
              <w:pStyle w:val="Tabele"/>
              <w:jc w:val="right"/>
              <w:rPr>
                <w:color w:val="auto"/>
              </w:rPr>
            </w:pPr>
            <w:r w:rsidRPr="001A6EE4">
              <w:rPr>
                <w:rFonts w:cs="Arial"/>
                <w:color w:val="auto"/>
                <w:szCs w:val="16"/>
              </w:rPr>
              <w:t>9 887</w:t>
            </w:r>
          </w:p>
        </w:tc>
        <w:tc>
          <w:tcPr>
            <w:tcW w:w="868" w:type="dxa"/>
            <w:hideMark/>
          </w:tcPr>
          <w:p w14:paraId="4B6B1762" w14:textId="77777777" w:rsidR="001A6EE4" w:rsidRPr="001A6EE4" w:rsidRDefault="001A6EE4">
            <w:pPr>
              <w:pStyle w:val="Tabele"/>
              <w:jc w:val="right"/>
              <w:rPr>
                <w:color w:val="auto"/>
              </w:rPr>
            </w:pPr>
            <w:r w:rsidRPr="001A6EE4">
              <w:rPr>
                <w:rFonts w:cs="Arial"/>
                <w:color w:val="auto"/>
                <w:szCs w:val="16"/>
              </w:rPr>
              <w:t>4 874</w:t>
            </w:r>
          </w:p>
        </w:tc>
        <w:tc>
          <w:tcPr>
            <w:tcW w:w="870" w:type="dxa"/>
          </w:tcPr>
          <w:p w14:paraId="666CEB68" w14:textId="77777777" w:rsidR="001A6EE4" w:rsidRPr="001A6EE4" w:rsidRDefault="001A6EE4">
            <w:pPr>
              <w:pStyle w:val="Tabele"/>
              <w:jc w:val="right"/>
              <w:rPr>
                <w:color w:val="auto"/>
              </w:rPr>
            </w:pPr>
            <w:r w:rsidRPr="001A6EE4">
              <w:rPr>
                <w:rFonts w:cs="Arial"/>
                <w:color w:val="auto"/>
                <w:szCs w:val="16"/>
              </w:rPr>
              <w:t>439</w:t>
            </w:r>
          </w:p>
        </w:tc>
      </w:tr>
      <w:tr w:rsidR="001A6EE4" w:rsidRPr="00F85B97" w14:paraId="3AA6624F" w14:textId="77777777" w:rsidTr="001A6EE4">
        <w:trPr>
          <w:trHeight w:val="226"/>
        </w:trPr>
        <w:tc>
          <w:tcPr>
            <w:tcW w:w="2213" w:type="dxa"/>
            <w:hideMark/>
          </w:tcPr>
          <w:p w14:paraId="56384302" w14:textId="77777777" w:rsidR="001A6EE4" w:rsidRPr="001A6EE4" w:rsidRDefault="001A6EE4">
            <w:pPr>
              <w:pStyle w:val="Tabele"/>
              <w:rPr>
                <w:color w:val="auto"/>
              </w:rPr>
            </w:pPr>
            <w:r w:rsidRPr="001A6EE4">
              <w:rPr>
                <w:color w:val="auto"/>
              </w:rPr>
              <w:t>Węgiel koksujący</w:t>
            </w:r>
          </w:p>
        </w:tc>
        <w:tc>
          <w:tcPr>
            <w:tcW w:w="868" w:type="dxa"/>
            <w:shd w:val="clear" w:color="auto" w:fill="C5E0B3"/>
            <w:hideMark/>
          </w:tcPr>
          <w:p w14:paraId="476F8FB3" w14:textId="77777777" w:rsidR="001A6EE4" w:rsidRPr="001A6EE4" w:rsidRDefault="001A6EE4">
            <w:pPr>
              <w:pStyle w:val="Tabele"/>
              <w:jc w:val="right"/>
              <w:rPr>
                <w:color w:val="auto"/>
              </w:rPr>
            </w:pPr>
            <w:r w:rsidRPr="001A6EE4">
              <w:rPr>
                <w:rFonts w:cs="Arial"/>
                <w:color w:val="auto"/>
                <w:szCs w:val="16"/>
              </w:rPr>
              <w:t>7 891</w:t>
            </w:r>
          </w:p>
        </w:tc>
        <w:tc>
          <w:tcPr>
            <w:tcW w:w="868" w:type="dxa"/>
            <w:shd w:val="clear" w:color="auto" w:fill="C5E0B3"/>
            <w:hideMark/>
          </w:tcPr>
          <w:p w14:paraId="1DE8960E" w14:textId="77777777" w:rsidR="001A6EE4" w:rsidRPr="001A6EE4" w:rsidRDefault="001A6EE4">
            <w:pPr>
              <w:pStyle w:val="Tabele"/>
              <w:jc w:val="right"/>
              <w:rPr>
                <w:color w:val="auto"/>
              </w:rPr>
            </w:pPr>
            <w:r w:rsidRPr="001A6EE4">
              <w:rPr>
                <w:rFonts w:cs="Arial"/>
                <w:color w:val="auto"/>
                <w:szCs w:val="16"/>
              </w:rPr>
              <w:t>8 700</w:t>
            </w:r>
          </w:p>
        </w:tc>
        <w:tc>
          <w:tcPr>
            <w:tcW w:w="870" w:type="dxa"/>
            <w:shd w:val="clear" w:color="auto" w:fill="C5E0B3"/>
            <w:hideMark/>
          </w:tcPr>
          <w:p w14:paraId="7ED14A42" w14:textId="77777777" w:rsidR="001A6EE4" w:rsidRPr="001A6EE4" w:rsidRDefault="001A6EE4">
            <w:pPr>
              <w:pStyle w:val="Tabele"/>
              <w:jc w:val="right"/>
              <w:rPr>
                <w:color w:val="auto"/>
              </w:rPr>
            </w:pPr>
            <w:r w:rsidRPr="001A6EE4">
              <w:rPr>
                <w:rFonts w:cs="Arial"/>
                <w:color w:val="auto"/>
                <w:szCs w:val="16"/>
              </w:rPr>
              <w:t>9 489</w:t>
            </w:r>
          </w:p>
        </w:tc>
        <w:tc>
          <w:tcPr>
            <w:tcW w:w="868" w:type="dxa"/>
            <w:shd w:val="clear" w:color="auto" w:fill="C5E0B3"/>
            <w:hideMark/>
          </w:tcPr>
          <w:p w14:paraId="3E1AC881" w14:textId="77777777" w:rsidR="001A6EE4" w:rsidRPr="001A6EE4" w:rsidRDefault="001A6EE4">
            <w:pPr>
              <w:pStyle w:val="Tabele"/>
              <w:jc w:val="right"/>
              <w:rPr>
                <w:color w:val="auto"/>
              </w:rPr>
            </w:pPr>
            <w:r w:rsidRPr="001A6EE4">
              <w:rPr>
                <w:rFonts w:cs="Arial"/>
                <w:color w:val="auto"/>
                <w:szCs w:val="16"/>
              </w:rPr>
              <w:t>7 997</w:t>
            </w:r>
          </w:p>
        </w:tc>
        <w:tc>
          <w:tcPr>
            <w:tcW w:w="870" w:type="dxa"/>
            <w:hideMark/>
          </w:tcPr>
          <w:p w14:paraId="248AC087" w14:textId="77777777" w:rsidR="001A6EE4" w:rsidRPr="001A6EE4" w:rsidRDefault="001A6EE4">
            <w:pPr>
              <w:pStyle w:val="Tabele"/>
              <w:jc w:val="right"/>
              <w:rPr>
                <w:color w:val="auto"/>
              </w:rPr>
            </w:pPr>
            <w:r w:rsidRPr="001A6EE4">
              <w:rPr>
                <w:rFonts w:cs="Arial"/>
                <w:color w:val="auto"/>
                <w:szCs w:val="16"/>
              </w:rPr>
              <w:t>7 492</w:t>
            </w:r>
          </w:p>
        </w:tc>
        <w:tc>
          <w:tcPr>
            <w:tcW w:w="868" w:type="dxa"/>
            <w:hideMark/>
          </w:tcPr>
          <w:p w14:paraId="7A08AF57" w14:textId="77777777" w:rsidR="001A6EE4" w:rsidRPr="001A6EE4" w:rsidRDefault="001A6EE4">
            <w:pPr>
              <w:pStyle w:val="Tabele"/>
              <w:jc w:val="right"/>
              <w:rPr>
                <w:color w:val="auto"/>
              </w:rPr>
            </w:pPr>
            <w:r w:rsidRPr="001A6EE4">
              <w:rPr>
                <w:rFonts w:cs="Arial"/>
                <w:color w:val="auto"/>
                <w:szCs w:val="16"/>
              </w:rPr>
              <w:t>7 482</w:t>
            </w:r>
          </w:p>
        </w:tc>
        <w:tc>
          <w:tcPr>
            <w:tcW w:w="868" w:type="dxa"/>
            <w:hideMark/>
          </w:tcPr>
          <w:p w14:paraId="3A3B9491" w14:textId="77777777" w:rsidR="001A6EE4" w:rsidRPr="001A6EE4" w:rsidRDefault="001A6EE4">
            <w:pPr>
              <w:pStyle w:val="Tabele"/>
              <w:jc w:val="right"/>
              <w:rPr>
                <w:color w:val="auto"/>
              </w:rPr>
            </w:pPr>
            <w:r w:rsidRPr="001A6EE4">
              <w:rPr>
                <w:rFonts w:cs="Arial"/>
                <w:color w:val="auto"/>
                <w:szCs w:val="16"/>
              </w:rPr>
              <w:t>7 463</w:t>
            </w:r>
          </w:p>
        </w:tc>
        <w:tc>
          <w:tcPr>
            <w:tcW w:w="870" w:type="dxa"/>
          </w:tcPr>
          <w:p w14:paraId="1ABF512D" w14:textId="77777777" w:rsidR="001A6EE4" w:rsidRPr="001A6EE4" w:rsidRDefault="001A6EE4">
            <w:pPr>
              <w:pStyle w:val="Tabele"/>
              <w:jc w:val="right"/>
              <w:rPr>
                <w:color w:val="auto"/>
              </w:rPr>
            </w:pPr>
            <w:r w:rsidRPr="001A6EE4">
              <w:rPr>
                <w:rFonts w:cs="Arial"/>
                <w:color w:val="auto"/>
                <w:szCs w:val="16"/>
              </w:rPr>
              <w:t>7 343</w:t>
            </w:r>
          </w:p>
        </w:tc>
      </w:tr>
      <w:tr w:rsidR="001A6EE4" w:rsidRPr="00F85B97" w14:paraId="73E9ED0D" w14:textId="77777777" w:rsidTr="001A6EE4">
        <w:trPr>
          <w:trHeight w:val="226"/>
        </w:trPr>
        <w:tc>
          <w:tcPr>
            <w:tcW w:w="2213" w:type="dxa"/>
            <w:hideMark/>
          </w:tcPr>
          <w:p w14:paraId="1C163C4F" w14:textId="77777777" w:rsidR="001A6EE4" w:rsidRPr="001A6EE4" w:rsidRDefault="001A6EE4">
            <w:pPr>
              <w:pStyle w:val="Tabele"/>
              <w:rPr>
                <w:color w:val="auto"/>
              </w:rPr>
            </w:pPr>
            <w:r w:rsidRPr="001A6EE4">
              <w:rPr>
                <w:color w:val="auto"/>
              </w:rPr>
              <w:t>Koks</w:t>
            </w:r>
          </w:p>
        </w:tc>
        <w:tc>
          <w:tcPr>
            <w:tcW w:w="868" w:type="dxa"/>
            <w:shd w:val="clear" w:color="auto" w:fill="C5E0B3"/>
            <w:hideMark/>
          </w:tcPr>
          <w:p w14:paraId="1C145162" w14:textId="77777777" w:rsidR="001A6EE4" w:rsidRPr="001A6EE4" w:rsidRDefault="001A6EE4">
            <w:pPr>
              <w:pStyle w:val="Tabele"/>
              <w:jc w:val="right"/>
              <w:rPr>
                <w:color w:val="auto"/>
              </w:rPr>
            </w:pPr>
            <w:r w:rsidRPr="001A6EE4">
              <w:rPr>
                <w:rFonts w:cs="Arial"/>
                <w:color w:val="auto"/>
                <w:szCs w:val="16"/>
              </w:rPr>
              <w:t>2 318</w:t>
            </w:r>
          </w:p>
        </w:tc>
        <w:tc>
          <w:tcPr>
            <w:tcW w:w="868" w:type="dxa"/>
            <w:shd w:val="clear" w:color="auto" w:fill="C5E0B3"/>
            <w:hideMark/>
          </w:tcPr>
          <w:p w14:paraId="5282D64C" w14:textId="77777777" w:rsidR="001A6EE4" w:rsidRPr="001A6EE4" w:rsidRDefault="001A6EE4">
            <w:pPr>
              <w:pStyle w:val="Tabele"/>
              <w:jc w:val="right"/>
              <w:rPr>
                <w:color w:val="auto"/>
              </w:rPr>
            </w:pPr>
            <w:r w:rsidRPr="001A6EE4">
              <w:rPr>
                <w:rFonts w:cs="Arial"/>
                <w:color w:val="auto"/>
                <w:szCs w:val="16"/>
              </w:rPr>
              <w:t>2 074</w:t>
            </w:r>
          </w:p>
        </w:tc>
        <w:tc>
          <w:tcPr>
            <w:tcW w:w="870" w:type="dxa"/>
            <w:shd w:val="clear" w:color="auto" w:fill="C5E0B3"/>
            <w:hideMark/>
          </w:tcPr>
          <w:p w14:paraId="0063F635" w14:textId="77777777" w:rsidR="001A6EE4" w:rsidRPr="001A6EE4" w:rsidRDefault="001A6EE4">
            <w:pPr>
              <w:pStyle w:val="Tabele"/>
              <w:jc w:val="right"/>
              <w:rPr>
                <w:color w:val="auto"/>
              </w:rPr>
            </w:pPr>
            <w:r w:rsidRPr="001A6EE4">
              <w:rPr>
                <w:rFonts w:cs="Arial"/>
                <w:color w:val="auto"/>
                <w:szCs w:val="16"/>
              </w:rPr>
              <w:t>2 228</w:t>
            </w:r>
          </w:p>
        </w:tc>
        <w:tc>
          <w:tcPr>
            <w:tcW w:w="868" w:type="dxa"/>
            <w:shd w:val="clear" w:color="auto" w:fill="C5E0B3"/>
            <w:hideMark/>
          </w:tcPr>
          <w:p w14:paraId="15E90581" w14:textId="77777777" w:rsidR="001A6EE4" w:rsidRPr="001A6EE4" w:rsidRDefault="001A6EE4">
            <w:pPr>
              <w:pStyle w:val="Tabele"/>
              <w:jc w:val="right"/>
              <w:rPr>
                <w:color w:val="auto"/>
              </w:rPr>
            </w:pPr>
            <w:r w:rsidRPr="001A6EE4">
              <w:rPr>
                <w:rFonts w:cs="Arial"/>
                <w:color w:val="auto"/>
                <w:szCs w:val="16"/>
              </w:rPr>
              <w:t>1 308</w:t>
            </w:r>
          </w:p>
        </w:tc>
        <w:tc>
          <w:tcPr>
            <w:tcW w:w="870" w:type="dxa"/>
            <w:hideMark/>
          </w:tcPr>
          <w:p w14:paraId="2784ECD3" w14:textId="77777777" w:rsidR="001A6EE4" w:rsidRPr="001A6EE4" w:rsidRDefault="001A6EE4">
            <w:pPr>
              <w:pStyle w:val="Tabele"/>
              <w:jc w:val="right"/>
              <w:rPr>
                <w:color w:val="auto"/>
              </w:rPr>
            </w:pPr>
            <w:r w:rsidRPr="001A6EE4">
              <w:rPr>
                <w:rFonts w:cs="Arial"/>
                <w:color w:val="auto"/>
                <w:szCs w:val="16"/>
              </w:rPr>
              <w:t>1 348</w:t>
            </w:r>
          </w:p>
        </w:tc>
        <w:tc>
          <w:tcPr>
            <w:tcW w:w="868" w:type="dxa"/>
            <w:hideMark/>
          </w:tcPr>
          <w:p w14:paraId="317E1D05" w14:textId="77777777" w:rsidR="001A6EE4" w:rsidRPr="001A6EE4" w:rsidRDefault="001A6EE4">
            <w:pPr>
              <w:pStyle w:val="Tabele"/>
              <w:jc w:val="right"/>
              <w:rPr>
                <w:color w:val="auto"/>
              </w:rPr>
            </w:pPr>
            <w:r w:rsidRPr="001A6EE4">
              <w:rPr>
                <w:rFonts w:cs="Arial"/>
                <w:color w:val="auto"/>
                <w:szCs w:val="16"/>
              </w:rPr>
              <w:t>1 243</w:t>
            </w:r>
          </w:p>
        </w:tc>
        <w:tc>
          <w:tcPr>
            <w:tcW w:w="868" w:type="dxa"/>
            <w:hideMark/>
          </w:tcPr>
          <w:p w14:paraId="4E2C27FA" w14:textId="77777777" w:rsidR="001A6EE4" w:rsidRPr="001A6EE4" w:rsidRDefault="001A6EE4">
            <w:pPr>
              <w:pStyle w:val="Tabele"/>
              <w:jc w:val="right"/>
              <w:rPr>
                <w:color w:val="auto"/>
              </w:rPr>
            </w:pPr>
            <w:r w:rsidRPr="001A6EE4">
              <w:rPr>
                <w:rFonts w:cs="Arial"/>
                <w:color w:val="auto"/>
                <w:szCs w:val="16"/>
              </w:rPr>
              <w:t>1 128</w:t>
            </w:r>
          </w:p>
        </w:tc>
        <w:tc>
          <w:tcPr>
            <w:tcW w:w="870" w:type="dxa"/>
          </w:tcPr>
          <w:p w14:paraId="0F066F86" w14:textId="77777777" w:rsidR="001A6EE4" w:rsidRPr="001A6EE4" w:rsidRDefault="001A6EE4">
            <w:pPr>
              <w:pStyle w:val="Tabele"/>
              <w:jc w:val="right"/>
              <w:rPr>
                <w:color w:val="auto"/>
              </w:rPr>
            </w:pPr>
            <w:r w:rsidRPr="001A6EE4">
              <w:rPr>
                <w:rFonts w:cs="Arial"/>
                <w:color w:val="auto"/>
                <w:szCs w:val="16"/>
              </w:rPr>
              <w:t>935</w:t>
            </w:r>
          </w:p>
        </w:tc>
      </w:tr>
      <w:tr w:rsidR="001A6EE4" w:rsidRPr="00F85B97" w14:paraId="3FBB4A80" w14:textId="77777777" w:rsidTr="001A6EE4">
        <w:trPr>
          <w:trHeight w:val="226"/>
        </w:trPr>
        <w:tc>
          <w:tcPr>
            <w:tcW w:w="2213" w:type="dxa"/>
            <w:hideMark/>
          </w:tcPr>
          <w:p w14:paraId="7037F8E4" w14:textId="77777777" w:rsidR="001A6EE4" w:rsidRPr="001A6EE4" w:rsidRDefault="001A6EE4">
            <w:pPr>
              <w:pStyle w:val="Tabele"/>
              <w:rPr>
                <w:color w:val="auto"/>
              </w:rPr>
            </w:pPr>
            <w:r w:rsidRPr="001A6EE4">
              <w:rPr>
                <w:color w:val="auto"/>
              </w:rPr>
              <w:t>Węgiel brunatny</w:t>
            </w:r>
          </w:p>
        </w:tc>
        <w:tc>
          <w:tcPr>
            <w:tcW w:w="868" w:type="dxa"/>
            <w:shd w:val="clear" w:color="auto" w:fill="C5E0B3"/>
            <w:hideMark/>
          </w:tcPr>
          <w:p w14:paraId="2E5435B2" w14:textId="77777777" w:rsidR="001A6EE4" w:rsidRPr="001A6EE4" w:rsidRDefault="001A6EE4">
            <w:pPr>
              <w:pStyle w:val="Tabele"/>
              <w:jc w:val="right"/>
              <w:rPr>
                <w:color w:val="auto"/>
              </w:rPr>
            </w:pPr>
            <w:r w:rsidRPr="001A6EE4">
              <w:rPr>
                <w:rFonts w:cs="Arial"/>
                <w:color w:val="auto"/>
                <w:szCs w:val="16"/>
              </w:rPr>
              <w:t>12 726</w:t>
            </w:r>
          </w:p>
        </w:tc>
        <w:tc>
          <w:tcPr>
            <w:tcW w:w="868" w:type="dxa"/>
            <w:shd w:val="clear" w:color="auto" w:fill="C5E0B3"/>
            <w:hideMark/>
          </w:tcPr>
          <w:p w14:paraId="6F9CB2AC" w14:textId="77777777" w:rsidR="001A6EE4" w:rsidRPr="001A6EE4" w:rsidRDefault="001A6EE4">
            <w:pPr>
              <w:pStyle w:val="Tabele"/>
              <w:jc w:val="right"/>
              <w:rPr>
                <w:color w:val="auto"/>
              </w:rPr>
            </w:pPr>
            <w:r w:rsidRPr="001A6EE4">
              <w:rPr>
                <w:rFonts w:cs="Arial"/>
                <w:color w:val="auto"/>
                <w:szCs w:val="16"/>
              </w:rPr>
              <w:t>11 579</w:t>
            </w:r>
          </w:p>
        </w:tc>
        <w:tc>
          <w:tcPr>
            <w:tcW w:w="870" w:type="dxa"/>
            <w:shd w:val="clear" w:color="auto" w:fill="C5E0B3"/>
            <w:hideMark/>
          </w:tcPr>
          <w:p w14:paraId="697F557C" w14:textId="77777777" w:rsidR="001A6EE4" w:rsidRPr="001A6EE4" w:rsidRDefault="001A6EE4">
            <w:pPr>
              <w:pStyle w:val="Tabele"/>
              <w:jc w:val="right"/>
              <w:rPr>
                <w:color w:val="auto"/>
              </w:rPr>
            </w:pPr>
            <w:r w:rsidRPr="001A6EE4">
              <w:rPr>
                <w:rFonts w:cs="Arial"/>
                <w:color w:val="auto"/>
                <w:szCs w:val="16"/>
              </w:rPr>
              <w:t>12 299</w:t>
            </w:r>
          </w:p>
        </w:tc>
        <w:tc>
          <w:tcPr>
            <w:tcW w:w="868" w:type="dxa"/>
            <w:shd w:val="clear" w:color="auto" w:fill="C5E0B3"/>
            <w:hideMark/>
          </w:tcPr>
          <w:p w14:paraId="54FF708E" w14:textId="77777777" w:rsidR="001A6EE4" w:rsidRPr="001A6EE4" w:rsidRDefault="001A6EE4">
            <w:pPr>
              <w:pStyle w:val="Tabele"/>
              <w:jc w:val="right"/>
              <w:rPr>
                <w:color w:val="auto"/>
              </w:rPr>
            </w:pPr>
            <w:r w:rsidRPr="001A6EE4">
              <w:rPr>
                <w:rFonts w:cs="Arial"/>
                <w:color w:val="auto"/>
                <w:szCs w:val="16"/>
              </w:rPr>
              <w:t>8 850</w:t>
            </w:r>
          </w:p>
        </w:tc>
        <w:tc>
          <w:tcPr>
            <w:tcW w:w="870" w:type="dxa"/>
            <w:hideMark/>
          </w:tcPr>
          <w:p w14:paraId="668DD0C0" w14:textId="77777777" w:rsidR="001A6EE4" w:rsidRPr="001A6EE4" w:rsidRDefault="001A6EE4">
            <w:pPr>
              <w:pStyle w:val="Tabele"/>
              <w:jc w:val="right"/>
              <w:rPr>
                <w:color w:val="auto"/>
              </w:rPr>
            </w:pPr>
            <w:r w:rsidRPr="001A6EE4">
              <w:rPr>
                <w:rFonts w:cs="Arial"/>
                <w:color w:val="auto"/>
                <w:szCs w:val="16"/>
              </w:rPr>
              <w:t>6 976</w:t>
            </w:r>
          </w:p>
        </w:tc>
        <w:tc>
          <w:tcPr>
            <w:tcW w:w="868" w:type="dxa"/>
            <w:hideMark/>
          </w:tcPr>
          <w:p w14:paraId="698E356E" w14:textId="77777777" w:rsidR="001A6EE4" w:rsidRPr="001A6EE4" w:rsidRDefault="001A6EE4">
            <w:pPr>
              <w:pStyle w:val="Tabele"/>
              <w:jc w:val="right"/>
              <w:rPr>
                <w:color w:val="auto"/>
              </w:rPr>
            </w:pPr>
            <w:r w:rsidRPr="001A6EE4">
              <w:rPr>
                <w:rFonts w:cs="Arial"/>
                <w:color w:val="auto"/>
                <w:szCs w:val="16"/>
              </w:rPr>
              <w:t>3 148</w:t>
            </w:r>
          </w:p>
        </w:tc>
        <w:tc>
          <w:tcPr>
            <w:tcW w:w="868" w:type="dxa"/>
            <w:hideMark/>
          </w:tcPr>
          <w:p w14:paraId="0FA4BB71" w14:textId="77777777" w:rsidR="001A6EE4" w:rsidRPr="001A6EE4" w:rsidRDefault="001A6EE4">
            <w:pPr>
              <w:pStyle w:val="Tabele"/>
              <w:jc w:val="right"/>
              <w:rPr>
                <w:color w:val="auto"/>
              </w:rPr>
            </w:pPr>
            <w:r w:rsidRPr="001A6EE4">
              <w:rPr>
                <w:rFonts w:cs="Arial"/>
                <w:color w:val="auto"/>
                <w:szCs w:val="16"/>
              </w:rPr>
              <w:t>17</w:t>
            </w:r>
          </w:p>
        </w:tc>
        <w:tc>
          <w:tcPr>
            <w:tcW w:w="870" w:type="dxa"/>
          </w:tcPr>
          <w:p w14:paraId="3DB7A8E8" w14:textId="77777777" w:rsidR="001A6EE4" w:rsidRPr="001A6EE4" w:rsidRDefault="001A6EE4">
            <w:pPr>
              <w:pStyle w:val="Tabele"/>
              <w:jc w:val="right"/>
              <w:rPr>
                <w:color w:val="auto"/>
              </w:rPr>
            </w:pPr>
            <w:r w:rsidRPr="001A6EE4">
              <w:rPr>
                <w:rFonts w:cs="Arial"/>
                <w:color w:val="auto"/>
                <w:szCs w:val="16"/>
              </w:rPr>
              <w:t>6</w:t>
            </w:r>
          </w:p>
        </w:tc>
      </w:tr>
      <w:tr w:rsidR="001A6EE4" w:rsidRPr="00F85B97" w14:paraId="5112E08C" w14:textId="77777777" w:rsidTr="001A6EE4">
        <w:trPr>
          <w:trHeight w:val="226"/>
        </w:trPr>
        <w:tc>
          <w:tcPr>
            <w:tcW w:w="2213" w:type="dxa"/>
            <w:hideMark/>
          </w:tcPr>
          <w:p w14:paraId="0F25EA0B" w14:textId="77777777" w:rsidR="001A6EE4" w:rsidRPr="001A6EE4" w:rsidRDefault="001A6EE4">
            <w:pPr>
              <w:pStyle w:val="Tabele"/>
              <w:rPr>
                <w:color w:val="auto"/>
              </w:rPr>
            </w:pPr>
            <w:r w:rsidRPr="001A6EE4">
              <w:rPr>
                <w:color w:val="auto"/>
              </w:rPr>
              <w:t>Ropa naftowa</w:t>
            </w:r>
          </w:p>
        </w:tc>
        <w:tc>
          <w:tcPr>
            <w:tcW w:w="868" w:type="dxa"/>
            <w:shd w:val="clear" w:color="auto" w:fill="C5E0B3"/>
            <w:hideMark/>
          </w:tcPr>
          <w:p w14:paraId="3C905DCC" w14:textId="77777777" w:rsidR="001A6EE4" w:rsidRPr="001A6EE4" w:rsidRDefault="001A6EE4">
            <w:pPr>
              <w:pStyle w:val="Tabele"/>
              <w:jc w:val="right"/>
              <w:rPr>
                <w:color w:val="auto"/>
              </w:rPr>
            </w:pPr>
            <w:r w:rsidRPr="001A6EE4">
              <w:rPr>
                <w:rFonts w:cs="Arial"/>
                <w:color w:val="auto"/>
                <w:szCs w:val="16"/>
              </w:rPr>
              <w:t>18 459</w:t>
            </w:r>
          </w:p>
        </w:tc>
        <w:tc>
          <w:tcPr>
            <w:tcW w:w="868" w:type="dxa"/>
            <w:shd w:val="clear" w:color="auto" w:fill="C5E0B3"/>
            <w:hideMark/>
          </w:tcPr>
          <w:p w14:paraId="096B1EA0" w14:textId="77777777" w:rsidR="001A6EE4" w:rsidRPr="001A6EE4" w:rsidRDefault="001A6EE4">
            <w:pPr>
              <w:pStyle w:val="Tabele"/>
              <w:jc w:val="right"/>
              <w:rPr>
                <w:color w:val="auto"/>
              </w:rPr>
            </w:pPr>
            <w:r w:rsidRPr="001A6EE4">
              <w:rPr>
                <w:rFonts w:cs="Arial"/>
                <w:color w:val="auto"/>
                <w:szCs w:val="16"/>
              </w:rPr>
              <w:t>23 184</w:t>
            </w:r>
          </w:p>
        </w:tc>
        <w:tc>
          <w:tcPr>
            <w:tcW w:w="870" w:type="dxa"/>
            <w:shd w:val="clear" w:color="auto" w:fill="C5E0B3"/>
            <w:hideMark/>
          </w:tcPr>
          <w:p w14:paraId="6D82867C" w14:textId="77777777" w:rsidR="001A6EE4" w:rsidRPr="001A6EE4" w:rsidRDefault="001A6EE4">
            <w:pPr>
              <w:pStyle w:val="Tabele"/>
              <w:jc w:val="right"/>
              <w:rPr>
                <w:color w:val="auto"/>
              </w:rPr>
            </w:pPr>
            <w:r w:rsidRPr="001A6EE4">
              <w:rPr>
                <w:rFonts w:cs="Arial"/>
                <w:color w:val="auto"/>
                <w:szCs w:val="16"/>
              </w:rPr>
              <w:t>26 506</w:t>
            </w:r>
          </w:p>
        </w:tc>
        <w:tc>
          <w:tcPr>
            <w:tcW w:w="868" w:type="dxa"/>
            <w:shd w:val="clear" w:color="auto" w:fill="C5E0B3"/>
            <w:hideMark/>
          </w:tcPr>
          <w:p w14:paraId="436E4340" w14:textId="77777777" w:rsidR="001A6EE4" w:rsidRPr="001A6EE4" w:rsidRDefault="001A6EE4">
            <w:pPr>
              <w:pStyle w:val="Tabele"/>
              <w:jc w:val="right"/>
              <w:rPr>
                <w:color w:val="auto"/>
              </w:rPr>
            </w:pPr>
            <w:r w:rsidRPr="001A6EE4">
              <w:rPr>
                <w:rFonts w:cs="Arial"/>
                <w:color w:val="auto"/>
                <w:szCs w:val="16"/>
              </w:rPr>
              <w:t>25 992</w:t>
            </w:r>
          </w:p>
        </w:tc>
        <w:tc>
          <w:tcPr>
            <w:tcW w:w="870" w:type="dxa"/>
            <w:hideMark/>
          </w:tcPr>
          <w:p w14:paraId="7816BFFE" w14:textId="77777777" w:rsidR="001A6EE4" w:rsidRPr="001A6EE4" w:rsidRDefault="001A6EE4">
            <w:pPr>
              <w:pStyle w:val="Tabele"/>
              <w:jc w:val="right"/>
              <w:rPr>
                <w:color w:val="auto"/>
              </w:rPr>
            </w:pPr>
            <w:r w:rsidRPr="001A6EE4">
              <w:rPr>
                <w:rFonts w:cs="Arial"/>
                <w:color w:val="auto"/>
                <w:szCs w:val="16"/>
              </w:rPr>
              <w:t>24 304</w:t>
            </w:r>
          </w:p>
        </w:tc>
        <w:tc>
          <w:tcPr>
            <w:tcW w:w="868" w:type="dxa"/>
            <w:hideMark/>
          </w:tcPr>
          <w:p w14:paraId="1BD079FF" w14:textId="77777777" w:rsidR="001A6EE4" w:rsidRPr="001A6EE4" w:rsidRDefault="001A6EE4">
            <w:pPr>
              <w:pStyle w:val="Tabele"/>
              <w:jc w:val="right"/>
              <w:rPr>
                <w:color w:val="auto"/>
              </w:rPr>
            </w:pPr>
            <w:r w:rsidRPr="001A6EE4">
              <w:rPr>
                <w:rFonts w:cs="Arial"/>
                <w:color w:val="auto"/>
                <w:szCs w:val="16"/>
              </w:rPr>
              <w:t>22 897</w:t>
            </w:r>
          </w:p>
        </w:tc>
        <w:tc>
          <w:tcPr>
            <w:tcW w:w="868" w:type="dxa"/>
            <w:hideMark/>
          </w:tcPr>
          <w:p w14:paraId="27E4F5E4" w14:textId="77777777" w:rsidR="001A6EE4" w:rsidRPr="001A6EE4" w:rsidRDefault="001A6EE4">
            <w:pPr>
              <w:pStyle w:val="Tabele"/>
              <w:jc w:val="right"/>
              <w:rPr>
                <w:color w:val="auto"/>
              </w:rPr>
            </w:pPr>
            <w:r w:rsidRPr="001A6EE4">
              <w:rPr>
                <w:rFonts w:cs="Arial"/>
                <w:color w:val="auto"/>
                <w:szCs w:val="16"/>
              </w:rPr>
              <w:t>21 565</w:t>
            </w:r>
          </w:p>
        </w:tc>
        <w:tc>
          <w:tcPr>
            <w:tcW w:w="870" w:type="dxa"/>
          </w:tcPr>
          <w:p w14:paraId="15BA05E5" w14:textId="77777777" w:rsidR="001A6EE4" w:rsidRPr="001A6EE4" w:rsidRDefault="001A6EE4">
            <w:pPr>
              <w:pStyle w:val="Tabele"/>
              <w:jc w:val="right"/>
              <w:rPr>
                <w:color w:val="auto"/>
              </w:rPr>
            </w:pPr>
            <w:r w:rsidRPr="001A6EE4">
              <w:rPr>
                <w:rFonts w:cs="Arial"/>
                <w:color w:val="auto"/>
                <w:szCs w:val="16"/>
              </w:rPr>
              <w:t>19 797</w:t>
            </w:r>
          </w:p>
        </w:tc>
      </w:tr>
      <w:tr w:rsidR="001A6EE4" w:rsidRPr="00F85B97" w14:paraId="415A1EEF" w14:textId="77777777" w:rsidTr="001A6EE4">
        <w:trPr>
          <w:trHeight w:val="226"/>
        </w:trPr>
        <w:tc>
          <w:tcPr>
            <w:tcW w:w="2213" w:type="dxa"/>
            <w:hideMark/>
          </w:tcPr>
          <w:p w14:paraId="5C3D4269" w14:textId="77777777" w:rsidR="001A6EE4" w:rsidRPr="001A6EE4" w:rsidRDefault="001A6EE4">
            <w:pPr>
              <w:pStyle w:val="Tabele"/>
              <w:rPr>
                <w:color w:val="auto"/>
              </w:rPr>
            </w:pPr>
            <w:r w:rsidRPr="001A6EE4">
              <w:rPr>
                <w:color w:val="auto"/>
              </w:rPr>
              <w:t>Produkty naftowe</w:t>
            </w:r>
          </w:p>
        </w:tc>
        <w:tc>
          <w:tcPr>
            <w:tcW w:w="868" w:type="dxa"/>
            <w:shd w:val="clear" w:color="auto" w:fill="C5E0B3"/>
            <w:hideMark/>
          </w:tcPr>
          <w:p w14:paraId="35299109" w14:textId="77777777" w:rsidR="001A6EE4" w:rsidRPr="001A6EE4" w:rsidRDefault="001A6EE4">
            <w:pPr>
              <w:pStyle w:val="Tabele"/>
              <w:jc w:val="right"/>
              <w:rPr>
                <w:color w:val="auto"/>
              </w:rPr>
            </w:pPr>
            <w:r w:rsidRPr="001A6EE4">
              <w:rPr>
                <w:rFonts w:cs="Arial"/>
                <w:color w:val="auto"/>
                <w:szCs w:val="16"/>
              </w:rPr>
              <w:t>21 987</w:t>
            </w:r>
          </w:p>
        </w:tc>
        <w:tc>
          <w:tcPr>
            <w:tcW w:w="868" w:type="dxa"/>
            <w:shd w:val="clear" w:color="auto" w:fill="C5E0B3"/>
            <w:hideMark/>
          </w:tcPr>
          <w:p w14:paraId="16ADC669" w14:textId="77777777" w:rsidR="001A6EE4" w:rsidRPr="001A6EE4" w:rsidRDefault="001A6EE4">
            <w:pPr>
              <w:pStyle w:val="Tabele"/>
              <w:jc w:val="right"/>
              <w:rPr>
                <w:color w:val="auto"/>
              </w:rPr>
            </w:pPr>
            <w:r w:rsidRPr="001A6EE4">
              <w:rPr>
                <w:rFonts w:cs="Arial"/>
                <w:color w:val="auto"/>
                <w:szCs w:val="16"/>
              </w:rPr>
              <w:t>25 956</w:t>
            </w:r>
          </w:p>
        </w:tc>
        <w:tc>
          <w:tcPr>
            <w:tcW w:w="870" w:type="dxa"/>
            <w:shd w:val="clear" w:color="auto" w:fill="C5E0B3"/>
            <w:hideMark/>
          </w:tcPr>
          <w:p w14:paraId="23A17034" w14:textId="77777777" w:rsidR="001A6EE4" w:rsidRPr="001A6EE4" w:rsidRDefault="001A6EE4">
            <w:pPr>
              <w:pStyle w:val="Tabele"/>
              <w:jc w:val="right"/>
              <w:rPr>
                <w:color w:val="auto"/>
              </w:rPr>
            </w:pPr>
            <w:r w:rsidRPr="001A6EE4">
              <w:rPr>
                <w:rFonts w:cs="Arial"/>
                <w:color w:val="auto"/>
                <w:szCs w:val="16"/>
              </w:rPr>
              <w:t>24 074</w:t>
            </w:r>
          </w:p>
        </w:tc>
        <w:tc>
          <w:tcPr>
            <w:tcW w:w="868" w:type="dxa"/>
            <w:shd w:val="clear" w:color="auto" w:fill="C5E0B3"/>
            <w:hideMark/>
          </w:tcPr>
          <w:p w14:paraId="035A4E5D" w14:textId="77777777" w:rsidR="001A6EE4" w:rsidRPr="001A6EE4" w:rsidRDefault="001A6EE4">
            <w:pPr>
              <w:pStyle w:val="Tabele"/>
              <w:jc w:val="right"/>
              <w:rPr>
                <w:color w:val="auto"/>
              </w:rPr>
            </w:pPr>
            <w:r w:rsidRPr="001A6EE4">
              <w:rPr>
                <w:rFonts w:cs="Arial"/>
                <w:color w:val="auto"/>
                <w:szCs w:val="16"/>
              </w:rPr>
              <w:t>31 037</w:t>
            </w:r>
          </w:p>
        </w:tc>
        <w:tc>
          <w:tcPr>
            <w:tcW w:w="870" w:type="dxa"/>
            <w:hideMark/>
          </w:tcPr>
          <w:p w14:paraId="3A7D0699" w14:textId="77777777" w:rsidR="001A6EE4" w:rsidRPr="001A6EE4" w:rsidRDefault="001A6EE4">
            <w:pPr>
              <w:pStyle w:val="Tabele"/>
              <w:jc w:val="right"/>
              <w:rPr>
                <w:color w:val="auto"/>
              </w:rPr>
            </w:pPr>
            <w:r w:rsidRPr="001A6EE4">
              <w:rPr>
                <w:rFonts w:cs="Arial"/>
                <w:color w:val="auto"/>
                <w:szCs w:val="16"/>
              </w:rPr>
              <w:t>31 305</w:t>
            </w:r>
          </w:p>
        </w:tc>
        <w:tc>
          <w:tcPr>
            <w:tcW w:w="868" w:type="dxa"/>
            <w:hideMark/>
          </w:tcPr>
          <w:p w14:paraId="6972F9FD" w14:textId="77777777" w:rsidR="001A6EE4" w:rsidRPr="001A6EE4" w:rsidRDefault="001A6EE4">
            <w:pPr>
              <w:pStyle w:val="Tabele"/>
              <w:jc w:val="right"/>
              <w:rPr>
                <w:color w:val="auto"/>
              </w:rPr>
            </w:pPr>
            <w:r w:rsidRPr="001A6EE4">
              <w:rPr>
                <w:rFonts w:cs="Arial"/>
                <w:color w:val="auto"/>
                <w:szCs w:val="16"/>
              </w:rPr>
              <w:t>28 411</w:t>
            </w:r>
          </w:p>
        </w:tc>
        <w:tc>
          <w:tcPr>
            <w:tcW w:w="868" w:type="dxa"/>
            <w:hideMark/>
          </w:tcPr>
          <w:p w14:paraId="7AED5A04" w14:textId="77777777" w:rsidR="001A6EE4" w:rsidRPr="001A6EE4" w:rsidRDefault="001A6EE4">
            <w:pPr>
              <w:pStyle w:val="Tabele"/>
              <w:jc w:val="right"/>
              <w:rPr>
                <w:color w:val="auto"/>
              </w:rPr>
            </w:pPr>
            <w:r w:rsidRPr="001A6EE4">
              <w:rPr>
                <w:rFonts w:cs="Arial"/>
                <w:color w:val="auto"/>
                <w:szCs w:val="16"/>
              </w:rPr>
              <w:t>25 828</w:t>
            </w:r>
          </w:p>
        </w:tc>
        <w:tc>
          <w:tcPr>
            <w:tcW w:w="870" w:type="dxa"/>
          </w:tcPr>
          <w:p w14:paraId="7EA335FF" w14:textId="77777777" w:rsidR="001A6EE4" w:rsidRPr="001A6EE4" w:rsidRDefault="001A6EE4">
            <w:pPr>
              <w:pStyle w:val="Tabele"/>
              <w:jc w:val="right"/>
              <w:rPr>
                <w:color w:val="auto"/>
              </w:rPr>
            </w:pPr>
            <w:r w:rsidRPr="001A6EE4">
              <w:rPr>
                <w:rFonts w:cs="Arial"/>
                <w:color w:val="auto"/>
                <w:szCs w:val="16"/>
              </w:rPr>
              <w:t>22 903</w:t>
            </w:r>
          </w:p>
        </w:tc>
      </w:tr>
      <w:tr w:rsidR="001A6EE4" w:rsidRPr="00F85B97" w14:paraId="2607820E" w14:textId="77777777" w:rsidTr="001A6EE4">
        <w:trPr>
          <w:trHeight w:val="226"/>
        </w:trPr>
        <w:tc>
          <w:tcPr>
            <w:tcW w:w="2213" w:type="dxa"/>
            <w:hideMark/>
          </w:tcPr>
          <w:p w14:paraId="39619383" w14:textId="77777777" w:rsidR="001A6EE4" w:rsidRPr="001A6EE4" w:rsidRDefault="001A6EE4">
            <w:pPr>
              <w:pStyle w:val="Tabele"/>
              <w:rPr>
                <w:color w:val="auto"/>
              </w:rPr>
            </w:pPr>
            <w:r w:rsidRPr="001A6EE4">
              <w:rPr>
                <w:color w:val="auto"/>
              </w:rPr>
              <w:t>Gaz ziemny</w:t>
            </w:r>
          </w:p>
        </w:tc>
        <w:tc>
          <w:tcPr>
            <w:tcW w:w="868" w:type="dxa"/>
            <w:shd w:val="clear" w:color="auto" w:fill="C5E0B3"/>
            <w:hideMark/>
          </w:tcPr>
          <w:p w14:paraId="6F64D683" w14:textId="77777777" w:rsidR="001A6EE4" w:rsidRPr="001A6EE4" w:rsidRDefault="001A6EE4">
            <w:pPr>
              <w:pStyle w:val="Tabele"/>
              <w:jc w:val="right"/>
              <w:rPr>
                <w:color w:val="auto"/>
              </w:rPr>
            </w:pPr>
            <w:r w:rsidRPr="001A6EE4">
              <w:rPr>
                <w:rFonts w:cs="Arial"/>
                <w:color w:val="auto"/>
                <w:szCs w:val="16"/>
              </w:rPr>
              <w:t>12 235</w:t>
            </w:r>
          </w:p>
        </w:tc>
        <w:tc>
          <w:tcPr>
            <w:tcW w:w="868" w:type="dxa"/>
            <w:shd w:val="clear" w:color="auto" w:fill="C5E0B3"/>
            <w:hideMark/>
          </w:tcPr>
          <w:p w14:paraId="0A865C33" w14:textId="77777777" w:rsidR="001A6EE4" w:rsidRPr="001A6EE4" w:rsidRDefault="001A6EE4">
            <w:pPr>
              <w:pStyle w:val="Tabele"/>
              <w:jc w:val="right"/>
              <w:rPr>
                <w:color w:val="auto"/>
              </w:rPr>
            </w:pPr>
            <w:r w:rsidRPr="001A6EE4">
              <w:rPr>
                <w:rFonts w:cs="Arial"/>
                <w:color w:val="auto"/>
                <w:szCs w:val="16"/>
              </w:rPr>
              <w:t>12 805</w:t>
            </w:r>
          </w:p>
        </w:tc>
        <w:tc>
          <w:tcPr>
            <w:tcW w:w="870" w:type="dxa"/>
            <w:shd w:val="clear" w:color="auto" w:fill="C5E0B3"/>
            <w:hideMark/>
          </w:tcPr>
          <w:p w14:paraId="5F8BC6B3" w14:textId="77777777" w:rsidR="001A6EE4" w:rsidRPr="001A6EE4" w:rsidRDefault="001A6EE4">
            <w:pPr>
              <w:pStyle w:val="Tabele"/>
              <w:jc w:val="right"/>
              <w:rPr>
                <w:color w:val="auto"/>
              </w:rPr>
            </w:pPr>
            <w:r w:rsidRPr="001A6EE4">
              <w:rPr>
                <w:rFonts w:cs="Arial"/>
                <w:color w:val="auto"/>
                <w:szCs w:val="16"/>
              </w:rPr>
              <w:t>13 776</w:t>
            </w:r>
          </w:p>
        </w:tc>
        <w:tc>
          <w:tcPr>
            <w:tcW w:w="868" w:type="dxa"/>
            <w:shd w:val="clear" w:color="auto" w:fill="C5E0B3"/>
            <w:hideMark/>
          </w:tcPr>
          <w:p w14:paraId="1052A762" w14:textId="77777777" w:rsidR="001A6EE4" w:rsidRPr="001A6EE4" w:rsidRDefault="001A6EE4">
            <w:pPr>
              <w:pStyle w:val="Tabele"/>
              <w:jc w:val="right"/>
              <w:rPr>
                <w:color w:val="auto"/>
              </w:rPr>
            </w:pPr>
            <w:r w:rsidRPr="001A6EE4">
              <w:rPr>
                <w:rFonts w:cs="Arial"/>
                <w:color w:val="auto"/>
                <w:szCs w:val="16"/>
              </w:rPr>
              <w:t>17 107</w:t>
            </w:r>
          </w:p>
        </w:tc>
        <w:tc>
          <w:tcPr>
            <w:tcW w:w="870" w:type="dxa"/>
            <w:hideMark/>
          </w:tcPr>
          <w:p w14:paraId="4DEC12B9" w14:textId="77777777" w:rsidR="001A6EE4" w:rsidRPr="001A6EE4" w:rsidRDefault="001A6EE4">
            <w:pPr>
              <w:pStyle w:val="Tabele"/>
              <w:jc w:val="right"/>
              <w:rPr>
                <w:color w:val="auto"/>
              </w:rPr>
            </w:pPr>
            <w:r w:rsidRPr="001A6EE4">
              <w:rPr>
                <w:rFonts w:cs="Arial"/>
                <w:color w:val="auto"/>
                <w:szCs w:val="16"/>
              </w:rPr>
              <w:t>20 194</w:t>
            </w:r>
          </w:p>
        </w:tc>
        <w:tc>
          <w:tcPr>
            <w:tcW w:w="868" w:type="dxa"/>
            <w:hideMark/>
          </w:tcPr>
          <w:p w14:paraId="74971EEB" w14:textId="77777777" w:rsidR="001A6EE4" w:rsidRPr="001A6EE4" w:rsidRDefault="001A6EE4">
            <w:pPr>
              <w:pStyle w:val="Tabele"/>
              <w:jc w:val="right"/>
              <w:rPr>
                <w:color w:val="auto"/>
              </w:rPr>
            </w:pPr>
            <w:r w:rsidRPr="001A6EE4">
              <w:rPr>
                <w:rFonts w:cs="Arial"/>
                <w:color w:val="auto"/>
                <w:szCs w:val="16"/>
              </w:rPr>
              <w:t>19 660</w:t>
            </w:r>
          </w:p>
        </w:tc>
        <w:tc>
          <w:tcPr>
            <w:tcW w:w="868" w:type="dxa"/>
            <w:hideMark/>
          </w:tcPr>
          <w:p w14:paraId="648A03CC" w14:textId="77777777" w:rsidR="001A6EE4" w:rsidRPr="001A6EE4" w:rsidRDefault="001A6EE4">
            <w:pPr>
              <w:pStyle w:val="Tabele"/>
              <w:jc w:val="right"/>
              <w:rPr>
                <w:color w:val="auto"/>
              </w:rPr>
            </w:pPr>
            <w:r w:rsidRPr="001A6EE4">
              <w:rPr>
                <w:rFonts w:cs="Arial"/>
                <w:color w:val="auto"/>
                <w:szCs w:val="16"/>
              </w:rPr>
              <w:t>14 194</w:t>
            </w:r>
          </w:p>
        </w:tc>
        <w:tc>
          <w:tcPr>
            <w:tcW w:w="870" w:type="dxa"/>
          </w:tcPr>
          <w:p w14:paraId="1DC08EA4" w14:textId="77777777" w:rsidR="001A6EE4" w:rsidRPr="001A6EE4" w:rsidRDefault="001A6EE4">
            <w:pPr>
              <w:pStyle w:val="Tabele"/>
              <w:jc w:val="right"/>
              <w:rPr>
                <w:color w:val="auto"/>
              </w:rPr>
            </w:pPr>
            <w:r w:rsidRPr="001A6EE4">
              <w:rPr>
                <w:rFonts w:cs="Arial"/>
                <w:color w:val="auto"/>
                <w:szCs w:val="16"/>
              </w:rPr>
              <w:t>9 800</w:t>
            </w:r>
          </w:p>
        </w:tc>
      </w:tr>
      <w:tr w:rsidR="001A6EE4" w:rsidRPr="00F85B97" w14:paraId="2927453B" w14:textId="77777777" w:rsidTr="001A6EE4">
        <w:trPr>
          <w:trHeight w:val="226"/>
        </w:trPr>
        <w:tc>
          <w:tcPr>
            <w:tcW w:w="2213" w:type="dxa"/>
            <w:hideMark/>
          </w:tcPr>
          <w:p w14:paraId="09151999" w14:textId="77777777" w:rsidR="001A6EE4" w:rsidRPr="001A6EE4" w:rsidRDefault="001A6EE4">
            <w:pPr>
              <w:pStyle w:val="Tabele"/>
              <w:rPr>
                <w:color w:val="auto"/>
              </w:rPr>
            </w:pPr>
            <w:r w:rsidRPr="001A6EE4">
              <w:rPr>
                <w:color w:val="auto"/>
              </w:rPr>
              <w:t>Gaz koksowniczy</w:t>
            </w:r>
          </w:p>
        </w:tc>
        <w:tc>
          <w:tcPr>
            <w:tcW w:w="868" w:type="dxa"/>
            <w:shd w:val="clear" w:color="auto" w:fill="C5E0B3"/>
            <w:hideMark/>
          </w:tcPr>
          <w:p w14:paraId="0983B324" w14:textId="77777777" w:rsidR="001A6EE4" w:rsidRPr="001A6EE4" w:rsidRDefault="001A6EE4">
            <w:pPr>
              <w:pStyle w:val="Tabele"/>
              <w:jc w:val="right"/>
              <w:rPr>
                <w:color w:val="auto"/>
              </w:rPr>
            </w:pPr>
            <w:r w:rsidRPr="001A6EE4">
              <w:rPr>
                <w:rFonts w:cs="Arial"/>
                <w:color w:val="auto"/>
                <w:szCs w:val="16"/>
              </w:rPr>
              <w:t>1 447</w:t>
            </w:r>
          </w:p>
        </w:tc>
        <w:tc>
          <w:tcPr>
            <w:tcW w:w="868" w:type="dxa"/>
            <w:shd w:val="clear" w:color="auto" w:fill="C5E0B3"/>
            <w:hideMark/>
          </w:tcPr>
          <w:p w14:paraId="1C7C142B" w14:textId="77777777" w:rsidR="001A6EE4" w:rsidRPr="001A6EE4" w:rsidRDefault="001A6EE4">
            <w:pPr>
              <w:pStyle w:val="Tabele"/>
              <w:jc w:val="right"/>
              <w:rPr>
                <w:color w:val="auto"/>
              </w:rPr>
            </w:pPr>
            <w:r w:rsidRPr="001A6EE4">
              <w:rPr>
                <w:rFonts w:cs="Arial"/>
                <w:color w:val="auto"/>
                <w:szCs w:val="16"/>
              </w:rPr>
              <w:t>1 707</w:t>
            </w:r>
          </w:p>
        </w:tc>
        <w:tc>
          <w:tcPr>
            <w:tcW w:w="870" w:type="dxa"/>
            <w:shd w:val="clear" w:color="auto" w:fill="C5E0B3"/>
            <w:hideMark/>
          </w:tcPr>
          <w:p w14:paraId="5F1E6FEA" w14:textId="77777777" w:rsidR="001A6EE4" w:rsidRPr="001A6EE4" w:rsidRDefault="001A6EE4">
            <w:pPr>
              <w:pStyle w:val="Tabele"/>
              <w:jc w:val="right"/>
              <w:rPr>
                <w:color w:val="auto"/>
              </w:rPr>
            </w:pPr>
            <w:r w:rsidRPr="001A6EE4">
              <w:rPr>
                <w:rFonts w:cs="Arial"/>
                <w:color w:val="auto"/>
                <w:szCs w:val="16"/>
              </w:rPr>
              <w:t>1 704</w:t>
            </w:r>
          </w:p>
        </w:tc>
        <w:tc>
          <w:tcPr>
            <w:tcW w:w="868" w:type="dxa"/>
            <w:shd w:val="clear" w:color="auto" w:fill="C5E0B3"/>
            <w:hideMark/>
          </w:tcPr>
          <w:p w14:paraId="2DB849FD" w14:textId="77777777" w:rsidR="001A6EE4" w:rsidRPr="001A6EE4" w:rsidRDefault="001A6EE4">
            <w:pPr>
              <w:pStyle w:val="Tabele"/>
              <w:jc w:val="right"/>
              <w:rPr>
                <w:color w:val="auto"/>
              </w:rPr>
            </w:pPr>
            <w:r w:rsidRPr="001A6EE4">
              <w:rPr>
                <w:rFonts w:cs="Arial"/>
                <w:color w:val="auto"/>
                <w:szCs w:val="16"/>
              </w:rPr>
              <w:t>1 406</w:t>
            </w:r>
          </w:p>
        </w:tc>
        <w:tc>
          <w:tcPr>
            <w:tcW w:w="870" w:type="dxa"/>
            <w:hideMark/>
          </w:tcPr>
          <w:p w14:paraId="11FB2A8E" w14:textId="77777777" w:rsidR="001A6EE4" w:rsidRPr="001A6EE4" w:rsidRDefault="001A6EE4">
            <w:pPr>
              <w:pStyle w:val="Tabele"/>
              <w:jc w:val="right"/>
              <w:rPr>
                <w:color w:val="auto"/>
              </w:rPr>
            </w:pPr>
            <w:r w:rsidRPr="001A6EE4">
              <w:rPr>
                <w:rFonts w:cs="Arial"/>
                <w:color w:val="auto"/>
                <w:szCs w:val="16"/>
              </w:rPr>
              <w:t>1 246</w:t>
            </w:r>
          </w:p>
        </w:tc>
        <w:tc>
          <w:tcPr>
            <w:tcW w:w="868" w:type="dxa"/>
            <w:hideMark/>
          </w:tcPr>
          <w:p w14:paraId="6B9C538A" w14:textId="77777777" w:rsidR="001A6EE4" w:rsidRPr="001A6EE4" w:rsidRDefault="001A6EE4">
            <w:pPr>
              <w:pStyle w:val="Tabele"/>
              <w:jc w:val="right"/>
              <w:rPr>
                <w:color w:val="auto"/>
              </w:rPr>
            </w:pPr>
            <w:r w:rsidRPr="001A6EE4">
              <w:rPr>
                <w:rFonts w:cs="Arial"/>
                <w:color w:val="auto"/>
                <w:szCs w:val="16"/>
              </w:rPr>
              <w:t>1 148</w:t>
            </w:r>
          </w:p>
        </w:tc>
        <w:tc>
          <w:tcPr>
            <w:tcW w:w="868" w:type="dxa"/>
            <w:hideMark/>
          </w:tcPr>
          <w:p w14:paraId="673DB9AF" w14:textId="77777777" w:rsidR="001A6EE4" w:rsidRPr="001A6EE4" w:rsidRDefault="001A6EE4">
            <w:pPr>
              <w:pStyle w:val="Tabele"/>
              <w:jc w:val="right"/>
              <w:rPr>
                <w:color w:val="auto"/>
              </w:rPr>
            </w:pPr>
            <w:r w:rsidRPr="001A6EE4">
              <w:rPr>
                <w:rFonts w:cs="Arial"/>
                <w:color w:val="auto"/>
                <w:szCs w:val="16"/>
              </w:rPr>
              <w:t>1 083</w:t>
            </w:r>
          </w:p>
        </w:tc>
        <w:tc>
          <w:tcPr>
            <w:tcW w:w="870" w:type="dxa"/>
          </w:tcPr>
          <w:p w14:paraId="460965C9" w14:textId="77777777" w:rsidR="001A6EE4" w:rsidRPr="001A6EE4" w:rsidRDefault="001A6EE4">
            <w:pPr>
              <w:pStyle w:val="Tabele"/>
              <w:jc w:val="right"/>
              <w:rPr>
                <w:color w:val="auto"/>
              </w:rPr>
            </w:pPr>
            <w:r w:rsidRPr="001A6EE4">
              <w:rPr>
                <w:rFonts w:cs="Arial"/>
                <w:color w:val="auto"/>
                <w:szCs w:val="16"/>
              </w:rPr>
              <w:t>975</w:t>
            </w:r>
          </w:p>
        </w:tc>
      </w:tr>
      <w:tr w:rsidR="001A6EE4" w:rsidRPr="00F85B97" w14:paraId="20CA2277" w14:textId="77777777" w:rsidTr="001A6EE4">
        <w:trPr>
          <w:trHeight w:val="226"/>
        </w:trPr>
        <w:tc>
          <w:tcPr>
            <w:tcW w:w="2213" w:type="dxa"/>
            <w:hideMark/>
          </w:tcPr>
          <w:p w14:paraId="6297BBC1" w14:textId="77777777" w:rsidR="001A6EE4" w:rsidRPr="001A6EE4" w:rsidRDefault="001A6EE4">
            <w:pPr>
              <w:pStyle w:val="Tabele"/>
              <w:rPr>
                <w:color w:val="auto"/>
              </w:rPr>
            </w:pPr>
            <w:r w:rsidRPr="001A6EE4">
              <w:rPr>
                <w:color w:val="auto"/>
              </w:rPr>
              <w:t>Gaz wielkopiecowy</w:t>
            </w:r>
          </w:p>
        </w:tc>
        <w:tc>
          <w:tcPr>
            <w:tcW w:w="868" w:type="dxa"/>
            <w:shd w:val="clear" w:color="auto" w:fill="C5E0B3"/>
            <w:hideMark/>
          </w:tcPr>
          <w:p w14:paraId="720AB45A" w14:textId="77777777" w:rsidR="001A6EE4" w:rsidRPr="001A6EE4" w:rsidRDefault="001A6EE4">
            <w:pPr>
              <w:pStyle w:val="Tabele"/>
              <w:jc w:val="right"/>
              <w:rPr>
                <w:color w:val="auto"/>
              </w:rPr>
            </w:pPr>
            <w:r w:rsidRPr="001A6EE4">
              <w:rPr>
                <w:rFonts w:cs="Arial"/>
                <w:color w:val="auto"/>
                <w:szCs w:val="16"/>
              </w:rPr>
              <w:t>560</w:t>
            </w:r>
          </w:p>
        </w:tc>
        <w:tc>
          <w:tcPr>
            <w:tcW w:w="868" w:type="dxa"/>
            <w:shd w:val="clear" w:color="auto" w:fill="C5E0B3"/>
            <w:hideMark/>
          </w:tcPr>
          <w:p w14:paraId="1FB5C759" w14:textId="77777777" w:rsidR="001A6EE4" w:rsidRPr="001A6EE4" w:rsidRDefault="001A6EE4">
            <w:pPr>
              <w:pStyle w:val="Tabele"/>
              <w:jc w:val="right"/>
              <w:rPr>
                <w:color w:val="auto"/>
              </w:rPr>
            </w:pPr>
            <w:r w:rsidRPr="001A6EE4">
              <w:rPr>
                <w:rFonts w:cs="Arial"/>
                <w:color w:val="auto"/>
                <w:szCs w:val="16"/>
              </w:rPr>
              <w:t>526</w:t>
            </w:r>
          </w:p>
        </w:tc>
        <w:tc>
          <w:tcPr>
            <w:tcW w:w="870" w:type="dxa"/>
            <w:shd w:val="clear" w:color="auto" w:fill="C5E0B3"/>
            <w:hideMark/>
          </w:tcPr>
          <w:p w14:paraId="1BAD757B" w14:textId="77777777" w:rsidR="001A6EE4" w:rsidRPr="001A6EE4" w:rsidRDefault="001A6EE4">
            <w:pPr>
              <w:pStyle w:val="Tabele"/>
              <w:jc w:val="right"/>
              <w:rPr>
                <w:color w:val="auto"/>
              </w:rPr>
            </w:pPr>
            <w:r w:rsidRPr="001A6EE4">
              <w:rPr>
                <w:rFonts w:cs="Arial"/>
                <w:color w:val="auto"/>
                <w:szCs w:val="16"/>
              </w:rPr>
              <w:t>632</w:t>
            </w:r>
          </w:p>
        </w:tc>
        <w:tc>
          <w:tcPr>
            <w:tcW w:w="868" w:type="dxa"/>
            <w:shd w:val="clear" w:color="auto" w:fill="C5E0B3"/>
            <w:hideMark/>
          </w:tcPr>
          <w:p w14:paraId="6880A27C" w14:textId="77777777" w:rsidR="001A6EE4" w:rsidRPr="001A6EE4" w:rsidRDefault="001A6EE4">
            <w:pPr>
              <w:pStyle w:val="Tabele"/>
              <w:jc w:val="right"/>
              <w:rPr>
                <w:color w:val="auto"/>
              </w:rPr>
            </w:pPr>
            <w:r w:rsidRPr="001A6EE4">
              <w:rPr>
                <w:rFonts w:cs="Arial"/>
                <w:color w:val="auto"/>
                <w:szCs w:val="16"/>
              </w:rPr>
              <w:t>464</w:t>
            </w:r>
          </w:p>
        </w:tc>
        <w:tc>
          <w:tcPr>
            <w:tcW w:w="870" w:type="dxa"/>
            <w:hideMark/>
          </w:tcPr>
          <w:p w14:paraId="29E64EBB" w14:textId="77777777" w:rsidR="001A6EE4" w:rsidRPr="001A6EE4" w:rsidRDefault="001A6EE4">
            <w:pPr>
              <w:pStyle w:val="Tabele"/>
              <w:jc w:val="right"/>
              <w:rPr>
                <w:color w:val="auto"/>
              </w:rPr>
            </w:pPr>
            <w:r w:rsidRPr="001A6EE4">
              <w:rPr>
                <w:rFonts w:cs="Arial"/>
                <w:color w:val="auto"/>
                <w:szCs w:val="16"/>
              </w:rPr>
              <w:t>546</w:t>
            </w:r>
          </w:p>
        </w:tc>
        <w:tc>
          <w:tcPr>
            <w:tcW w:w="868" w:type="dxa"/>
            <w:hideMark/>
          </w:tcPr>
          <w:p w14:paraId="0367340E" w14:textId="77777777" w:rsidR="001A6EE4" w:rsidRPr="001A6EE4" w:rsidRDefault="001A6EE4">
            <w:pPr>
              <w:pStyle w:val="Tabele"/>
              <w:jc w:val="right"/>
              <w:rPr>
                <w:color w:val="auto"/>
              </w:rPr>
            </w:pPr>
            <w:r w:rsidRPr="001A6EE4">
              <w:rPr>
                <w:rFonts w:cs="Arial"/>
                <w:color w:val="auto"/>
                <w:szCs w:val="16"/>
              </w:rPr>
              <w:t>412</w:t>
            </w:r>
          </w:p>
        </w:tc>
        <w:tc>
          <w:tcPr>
            <w:tcW w:w="868" w:type="dxa"/>
            <w:hideMark/>
          </w:tcPr>
          <w:p w14:paraId="2944A194" w14:textId="77777777" w:rsidR="001A6EE4" w:rsidRPr="001A6EE4" w:rsidRDefault="001A6EE4">
            <w:pPr>
              <w:pStyle w:val="Tabele"/>
              <w:jc w:val="right"/>
              <w:rPr>
                <w:color w:val="auto"/>
              </w:rPr>
            </w:pPr>
            <w:r w:rsidRPr="001A6EE4">
              <w:rPr>
                <w:rFonts w:cs="Arial"/>
                <w:color w:val="auto"/>
                <w:szCs w:val="16"/>
              </w:rPr>
              <w:t>218</w:t>
            </w:r>
          </w:p>
        </w:tc>
        <w:tc>
          <w:tcPr>
            <w:tcW w:w="870" w:type="dxa"/>
          </w:tcPr>
          <w:p w14:paraId="48F76FD9" w14:textId="77777777" w:rsidR="001A6EE4" w:rsidRPr="001A6EE4" w:rsidRDefault="001A6EE4">
            <w:pPr>
              <w:pStyle w:val="Tabele"/>
              <w:jc w:val="right"/>
              <w:rPr>
                <w:color w:val="auto"/>
              </w:rPr>
            </w:pPr>
            <w:r w:rsidRPr="001A6EE4">
              <w:rPr>
                <w:rFonts w:cs="Arial"/>
                <w:color w:val="auto"/>
                <w:szCs w:val="16"/>
              </w:rPr>
              <w:t>107</w:t>
            </w:r>
          </w:p>
        </w:tc>
      </w:tr>
      <w:tr w:rsidR="001A6EE4" w:rsidRPr="00F85B97" w14:paraId="4B76B753" w14:textId="77777777" w:rsidTr="001A6EE4">
        <w:trPr>
          <w:trHeight w:val="226"/>
        </w:trPr>
        <w:tc>
          <w:tcPr>
            <w:tcW w:w="2213" w:type="dxa"/>
            <w:hideMark/>
          </w:tcPr>
          <w:p w14:paraId="0598E509" w14:textId="77777777" w:rsidR="001A6EE4" w:rsidRPr="001A6EE4" w:rsidRDefault="001A6EE4">
            <w:pPr>
              <w:pStyle w:val="Tabele"/>
              <w:rPr>
                <w:color w:val="auto"/>
              </w:rPr>
            </w:pPr>
            <w:r w:rsidRPr="001A6EE4">
              <w:rPr>
                <w:color w:val="auto"/>
              </w:rPr>
              <w:t>Pozost. paliwa gazowe*</w:t>
            </w:r>
          </w:p>
        </w:tc>
        <w:tc>
          <w:tcPr>
            <w:tcW w:w="868" w:type="dxa"/>
            <w:shd w:val="clear" w:color="auto" w:fill="C5E0B3"/>
            <w:hideMark/>
          </w:tcPr>
          <w:p w14:paraId="559732EB" w14:textId="77777777" w:rsidR="001A6EE4" w:rsidRPr="001A6EE4" w:rsidRDefault="001A6EE4">
            <w:pPr>
              <w:pStyle w:val="Tabele"/>
              <w:jc w:val="right"/>
              <w:rPr>
                <w:color w:val="auto"/>
              </w:rPr>
            </w:pPr>
            <w:r w:rsidRPr="001A6EE4">
              <w:rPr>
                <w:rFonts w:cs="Arial"/>
                <w:color w:val="auto"/>
                <w:szCs w:val="16"/>
              </w:rPr>
              <w:t>161</w:t>
            </w:r>
          </w:p>
        </w:tc>
        <w:tc>
          <w:tcPr>
            <w:tcW w:w="868" w:type="dxa"/>
            <w:shd w:val="clear" w:color="auto" w:fill="C5E0B3"/>
            <w:hideMark/>
          </w:tcPr>
          <w:p w14:paraId="24893CC0" w14:textId="77777777" w:rsidR="001A6EE4" w:rsidRPr="001A6EE4" w:rsidRDefault="001A6EE4">
            <w:pPr>
              <w:pStyle w:val="Tabele"/>
              <w:jc w:val="right"/>
              <w:rPr>
                <w:color w:val="auto"/>
              </w:rPr>
            </w:pPr>
            <w:r w:rsidRPr="001A6EE4">
              <w:rPr>
                <w:rFonts w:cs="Arial"/>
                <w:color w:val="auto"/>
                <w:szCs w:val="16"/>
              </w:rPr>
              <w:t>149</w:t>
            </w:r>
          </w:p>
        </w:tc>
        <w:tc>
          <w:tcPr>
            <w:tcW w:w="870" w:type="dxa"/>
            <w:shd w:val="clear" w:color="auto" w:fill="C5E0B3"/>
            <w:hideMark/>
          </w:tcPr>
          <w:p w14:paraId="3FEC459A" w14:textId="77777777" w:rsidR="001A6EE4" w:rsidRPr="001A6EE4" w:rsidRDefault="001A6EE4">
            <w:pPr>
              <w:pStyle w:val="Tabele"/>
              <w:jc w:val="right"/>
              <w:rPr>
                <w:color w:val="auto"/>
              </w:rPr>
            </w:pPr>
            <w:r w:rsidRPr="001A6EE4">
              <w:rPr>
                <w:rFonts w:cs="Arial"/>
                <w:color w:val="auto"/>
                <w:szCs w:val="16"/>
              </w:rPr>
              <w:t>163</w:t>
            </w:r>
          </w:p>
        </w:tc>
        <w:tc>
          <w:tcPr>
            <w:tcW w:w="868" w:type="dxa"/>
            <w:shd w:val="clear" w:color="auto" w:fill="C5E0B3"/>
            <w:hideMark/>
          </w:tcPr>
          <w:p w14:paraId="6636F318" w14:textId="77777777" w:rsidR="001A6EE4" w:rsidRPr="001A6EE4" w:rsidRDefault="001A6EE4">
            <w:pPr>
              <w:pStyle w:val="Tabele"/>
              <w:jc w:val="right"/>
              <w:rPr>
                <w:color w:val="auto"/>
              </w:rPr>
            </w:pPr>
            <w:r w:rsidRPr="001A6EE4">
              <w:rPr>
                <w:rFonts w:cs="Arial"/>
                <w:color w:val="auto"/>
                <w:szCs w:val="16"/>
              </w:rPr>
              <w:t>84</w:t>
            </w:r>
          </w:p>
        </w:tc>
        <w:tc>
          <w:tcPr>
            <w:tcW w:w="870" w:type="dxa"/>
            <w:hideMark/>
          </w:tcPr>
          <w:p w14:paraId="6518CADD" w14:textId="77777777" w:rsidR="001A6EE4" w:rsidRPr="001A6EE4" w:rsidRDefault="001A6EE4">
            <w:pPr>
              <w:pStyle w:val="Tabele"/>
              <w:jc w:val="right"/>
              <w:rPr>
                <w:color w:val="auto"/>
              </w:rPr>
            </w:pPr>
            <w:r w:rsidRPr="001A6EE4">
              <w:rPr>
                <w:rFonts w:cs="Arial"/>
                <w:color w:val="auto"/>
                <w:szCs w:val="16"/>
              </w:rPr>
              <w:t>86</w:t>
            </w:r>
          </w:p>
        </w:tc>
        <w:tc>
          <w:tcPr>
            <w:tcW w:w="868" w:type="dxa"/>
            <w:hideMark/>
          </w:tcPr>
          <w:p w14:paraId="032B76C0" w14:textId="77777777" w:rsidR="001A6EE4" w:rsidRPr="001A6EE4" w:rsidRDefault="001A6EE4">
            <w:pPr>
              <w:pStyle w:val="Tabele"/>
              <w:jc w:val="right"/>
              <w:rPr>
                <w:color w:val="auto"/>
              </w:rPr>
            </w:pPr>
            <w:r w:rsidRPr="001A6EE4">
              <w:rPr>
                <w:rFonts w:cs="Arial"/>
                <w:color w:val="auto"/>
                <w:szCs w:val="16"/>
              </w:rPr>
              <w:t>73</w:t>
            </w:r>
          </w:p>
        </w:tc>
        <w:tc>
          <w:tcPr>
            <w:tcW w:w="868" w:type="dxa"/>
            <w:hideMark/>
          </w:tcPr>
          <w:p w14:paraId="35775DE5" w14:textId="77777777" w:rsidR="001A6EE4" w:rsidRPr="001A6EE4" w:rsidRDefault="001A6EE4">
            <w:pPr>
              <w:pStyle w:val="Tabele"/>
              <w:jc w:val="right"/>
              <w:rPr>
                <w:color w:val="auto"/>
              </w:rPr>
            </w:pPr>
            <w:r w:rsidRPr="001A6EE4">
              <w:rPr>
                <w:rFonts w:cs="Arial"/>
                <w:color w:val="auto"/>
                <w:szCs w:val="16"/>
              </w:rPr>
              <w:t>60</w:t>
            </w:r>
          </w:p>
        </w:tc>
        <w:tc>
          <w:tcPr>
            <w:tcW w:w="870" w:type="dxa"/>
          </w:tcPr>
          <w:p w14:paraId="3F59F23C" w14:textId="77777777" w:rsidR="001A6EE4" w:rsidRPr="001A6EE4" w:rsidRDefault="001A6EE4">
            <w:pPr>
              <w:pStyle w:val="Tabele"/>
              <w:jc w:val="right"/>
              <w:rPr>
                <w:color w:val="auto"/>
              </w:rPr>
            </w:pPr>
            <w:r w:rsidRPr="001A6EE4">
              <w:rPr>
                <w:rFonts w:cs="Arial"/>
                <w:color w:val="auto"/>
                <w:szCs w:val="16"/>
              </w:rPr>
              <w:t>14</w:t>
            </w:r>
          </w:p>
        </w:tc>
      </w:tr>
      <w:tr w:rsidR="001A6EE4" w:rsidRPr="00F85B97" w14:paraId="44400618" w14:textId="77777777" w:rsidTr="001A6EE4">
        <w:trPr>
          <w:trHeight w:val="226"/>
        </w:trPr>
        <w:tc>
          <w:tcPr>
            <w:tcW w:w="2213" w:type="dxa"/>
            <w:hideMark/>
          </w:tcPr>
          <w:p w14:paraId="2463BEA0" w14:textId="77777777" w:rsidR="001A6EE4" w:rsidRPr="001A6EE4" w:rsidRDefault="001A6EE4">
            <w:pPr>
              <w:pStyle w:val="Tabele"/>
              <w:rPr>
                <w:color w:val="auto"/>
              </w:rPr>
            </w:pPr>
            <w:r w:rsidRPr="001A6EE4">
              <w:rPr>
                <w:color w:val="auto"/>
              </w:rPr>
              <w:t>Biomasa stała</w:t>
            </w:r>
          </w:p>
        </w:tc>
        <w:tc>
          <w:tcPr>
            <w:tcW w:w="868" w:type="dxa"/>
            <w:shd w:val="clear" w:color="auto" w:fill="C5E0B3"/>
            <w:hideMark/>
          </w:tcPr>
          <w:p w14:paraId="2194C0F1" w14:textId="77777777" w:rsidR="001A6EE4" w:rsidRPr="001A6EE4" w:rsidRDefault="001A6EE4">
            <w:pPr>
              <w:pStyle w:val="Tabele"/>
              <w:jc w:val="right"/>
              <w:rPr>
                <w:color w:val="auto"/>
              </w:rPr>
            </w:pPr>
            <w:r w:rsidRPr="001A6EE4">
              <w:rPr>
                <w:rFonts w:cs="Arial"/>
                <w:color w:val="auto"/>
                <w:szCs w:val="16"/>
              </w:rPr>
              <w:t>4 166</w:t>
            </w:r>
          </w:p>
        </w:tc>
        <w:tc>
          <w:tcPr>
            <w:tcW w:w="868" w:type="dxa"/>
            <w:shd w:val="clear" w:color="auto" w:fill="C5E0B3"/>
            <w:hideMark/>
          </w:tcPr>
          <w:p w14:paraId="62BA9598" w14:textId="77777777" w:rsidR="001A6EE4" w:rsidRPr="001A6EE4" w:rsidRDefault="001A6EE4">
            <w:pPr>
              <w:pStyle w:val="Tabele"/>
              <w:jc w:val="right"/>
              <w:rPr>
                <w:color w:val="auto"/>
              </w:rPr>
            </w:pPr>
            <w:r w:rsidRPr="001A6EE4">
              <w:rPr>
                <w:rFonts w:cs="Arial"/>
                <w:color w:val="auto"/>
                <w:szCs w:val="16"/>
              </w:rPr>
              <w:t>5 866</w:t>
            </w:r>
          </w:p>
        </w:tc>
        <w:tc>
          <w:tcPr>
            <w:tcW w:w="870" w:type="dxa"/>
            <w:shd w:val="clear" w:color="auto" w:fill="C5E0B3"/>
            <w:hideMark/>
          </w:tcPr>
          <w:p w14:paraId="2B09E354" w14:textId="77777777" w:rsidR="001A6EE4" w:rsidRPr="001A6EE4" w:rsidRDefault="001A6EE4">
            <w:pPr>
              <w:pStyle w:val="Tabele"/>
              <w:jc w:val="right"/>
              <w:rPr>
                <w:color w:val="auto"/>
              </w:rPr>
            </w:pPr>
            <w:r w:rsidRPr="001A6EE4">
              <w:rPr>
                <w:rFonts w:cs="Arial"/>
                <w:color w:val="auto"/>
                <w:szCs w:val="16"/>
              </w:rPr>
              <w:t>6 884</w:t>
            </w:r>
          </w:p>
        </w:tc>
        <w:tc>
          <w:tcPr>
            <w:tcW w:w="868" w:type="dxa"/>
            <w:shd w:val="clear" w:color="auto" w:fill="C5E0B3"/>
            <w:hideMark/>
          </w:tcPr>
          <w:p w14:paraId="3562D1B4" w14:textId="77777777" w:rsidR="001A6EE4" w:rsidRPr="001A6EE4" w:rsidRDefault="001A6EE4">
            <w:pPr>
              <w:pStyle w:val="Tabele"/>
              <w:jc w:val="right"/>
              <w:rPr>
                <w:color w:val="auto"/>
              </w:rPr>
            </w:pPr>
            <w:r w:rsidRPr="001A6EE4">
              <w:rPr>
                <w:rFonts w:cs="Arial"/>
                <w:color w:val="auto"/>
                <w:szCs w:val="16"/>
              </w:rPr>
              <w:t>9 330</w:t>
            </w:r>
          </w:p>
        </w:tc>
        <w:tc>
          <w:tcPr>
            <w:tcW w:w="870" w:type="dxa"/>
            <w:hideMark/>
          </w:tcPr>
          <w:p w14:paraId="2B13A51B" w14:textId="77777777" w:rsidR="001A6EE4" w:rsidRPr="001A6EE4" w:rsidRDefault="001A6EE4">
            <w:pPr>
              <w:pStyle w:val="Tabele"/>
              <w:jc w:val="right"/>
              <w:rPr>
                <w:color w:val="auto"/>
              </w:rPr>
            </w:pPr>
            <w:r w:rsidRPr="001A6EE4">
              <w:rPr>
                <w:rFonts w:cs="Arial"/>
                <w:color w:val="auto"/>
                <w:szCs w:val="16"/>
              </w:rPr>
              <w:t>8 523</w:t>
            </w:r>
          </w:p>
        </w:tc>
        <w:tc>
          <w:tcPr>
            <w:tcW w:w="868" w:type="dxa"/>
            <w:hideMark/>
          </w:tcPr>
          <w:p w14:paraId="2BB1D7EC" w14:textId="77777777" w:rsidR="001A6EE4" w:rsidRPr="001A6EE4" w:rsidRDefault="001A6EE4">
            <w:pPr>
              <w:pStyle w:val="Tabele"/>
              <w:jc w:val="right"/>
              <w:rPr>
                <w:color w:val="auto"/>
              </w:rPr>
            </w:pPr>
            <w:r w:rsidRPr="001A6EE4">
              <w:rPr>
                <w:rFonts w:cs="Arial"/>
                <w:color w:val="auto"/>
                <w:szCs w:val="16"/>
              </w:rPr>
              <w:t>8 409</w:t>
            </w:r>
          </w:p>
        </w:tc>
        <w:tc>
          <w:tcPr>
            <w:tcW w:w="868" w:type="dxa"/>
            <w:hideMark/>
          </w:tcPr>
          <w:p w14:paraId="60B54DC7" w14:textId="77777777" w:rsidR="001A6EE4" w:rsidRPr="001A6EE4" w:rsidRDefault="001A6EE4">
            <w:pPr>
              <w:pStyle w:val="Tabele"/>
              <w:jc w:val="right"/>
              <w:rPr>
                <w:color w:val="auto"/>
              </w:rPr>
            </w:pPr>
            <w:r w:rsidRPr="001A6EE4">
              <w:rPr>
                <w:rFonts w:cs="Arial"/>
                <w:color w:val="auto"/>
                <w:szCs w:val="16"/>
              </w:rPr>
              <w:t>7 429</w:t>
            </w:r>
          </w:p>
        </w:tc>
        <w:tc>
          <w:tcPr>
            <w:tcW w:w="870" w:type="dxa"/>
          </w:tcPr>
          <w:p w14:paraId="2675AB5A" w14:textId="77777777" w:rsidR="001A6EE4" w:rsidRPr="001A6EE4" w:rsidRDefault="001A6EE4">
            <w:pPr>
              <w:pStyle w:val="Tabele"/>
              <w:jc w:val="right"/>
              <w:rPr>
                <w:color w:val="auto"/>
              </w:rPr>
            </w:pPr>
            <w:r w:rsidRPr="001A6EE4">
              <w:rPr>
                <w:rFonts w:cs="Arial"/>
                <w:color w:val="auto"/>
                <w:szCs w:val="16"/>
              </w:rPr>
              <w:t>6 778</w:t>
            </w:r>
          </w:p>
        </w:tc>
      </w:tr>
      <w:tr w:rsidR="001A6EE4" w:rsidRPr="00F85B97" w14:paraId="3BC4E36C" w14:textId="77777777" w:rsidTr="001A6EE4">
        <w:trPr>
          <w:trHeight w:val="226"/>
        </w:trPr>
        <w:tc>
          <w:tcPr>
            <w:tcW w:w="2213" w:type="dxa"/>
            <w:hideMark/>
          </w:tcPr>
          <w:p w14:paraId="6736A115" w14:textId="77777777" w:rsidR="001A6EE4" w:rsidRPr="001A6EE4" w:rsidRDefault="001A6EE4">
            <w:pPr>
              <w:pStyle w:val="Tabele"/>
              <w:rPr>
                <w:color w:val="auto"/>
              </w:rPr>
            </w:pPr>
            <w:r w:rsidRPr="001A6EE4">
              <w:rPr>
                <w:color w:val="auto"/>
              </w:rPr>
              <w:t>Biogaz</w:t>
            </w:r>
          </w:p>
        </w:tc>
        <w:tc>
          <w:tcPr>
            <w:tcW w:w="868" w:type="dxa"/>
            <w:shd w:val="clear" w:color="auto" w:fill="C5E0B3"/>
            <w:hideMark/>
          </w:tcPr>
          <w:p w14:paraId="35CE95B8" w14:textId="77777777" w:rsidR="001A6EE4" w:rsidRPr="001A6EE4" w:rsidRDefault="001A6EE4">
            <w:pPr>
              <w:pStyle w:val="Tabele"/>
              <w:jc w:val="right"/>
              <w:rPr>
                <w:color w:val="auto"/>
              </w:rPr>
            </w:pPr>
            <w:r w:rsidRPr="001A6EE4">
              <w:rPr>
                <w:rFonts w:cs="Arial"/>
                <w:color w:val="auto"/>
                <w:szCs w:val="16"/>
              </w:rPr>
              <w:t>54</w:t>
            </w:r>
          </w:p>
        </w:tc>
        <w:tc>
          <w:tcPr>
            <w:tcW w:w="868" w:type="dxa"/>
            <w:shd w:val="clear" w:color="auto" w:fill="C5E0B3"/>
            <w:hideMark/>
          </w:tcPr>
          <w:p w14:paraId="51528DAF" w14:textId="77777777" w:rsidR="001A6EE4" w:rsidRPr="001A6EE4" w:rsidRDefault="001A6EE4">
            <w:pPr>
              <w:pStyle w:val="Tabele"/>
              <w:jc w:val="right"/>
              <w:rPr>
                <w:color w:val="auto"/>
              </w:rPr>
            </w:pPr>
            <w:r w:rsidRPr="001A6EE4">
              <w:rPr>
                <w:rFonts w:cs="Arial"/>
                <w:color w:val="auto"/>
                <w:szCs w:val="16"/>
              </w:rPr>
              <w:t>115</w:t>
            </w:r>
          </w:p>
        </w:tc>
        <w:tc>
          <w:tcPr>
            <w:tcW w:w="870" w:type="dxa"/>
            <w:shd w:val="clear" w:color="auto" w:fill="C5E0B3"/>
            <w:hideMark/>
          </w:tcPr>
          <w:p w14:paraId="6712443E" w14:textId="77777777" w:rsidR="001A6EE4" w:rsidRPr="001A6EE4" w:rsidRDefault="001A6EE4">
            <w:pPr>
              <w:pStyle w:val="Tabele"/>
              <w:jc w:val="right"/>
              <w:rPr>
                <w:color w:val="auto"/>
              </w:rPr>
            </w:pPr>
            <w:r w:rsidRPr="001A6EE4">
              <w:rPr>
                <w:rFonts w:cs="Arial"/>
                <w:color w:val="auto"/>
                <w:szCs w:val="16"/>
              </w:rPr>
              <w:t>229</w:t>
            </w:r>
          </w:p>
        </w:tc>
        <w:tc>
          <w:tcPr>
            <w:tcW w:w="868" w:type="dxa"/>
            <w:shd w:val="clear" w:color="auto" w:fill="C5E0B3"/>
            <w:hideMark/>
          </w:tcPr>
          <w:p w14:paraId="42D0FE47" w14:textId="77777777" w:rsidR="001A6EE4" w:rsidRPr="001A6EE4" w:rsidRDefault="001A6EE4">
            <w:pPr>
              <w:pStyle w:val="Tabele"/>
              <w:jc w:val="right"/>
              <w:rPr>
                <w:color w:val="auto"/>
              </w:rPr>
            </w:pPr>
            <w:r w:rsidRPr="001A6EE4">
              <w:rPr>
                <w:rFonts w:cs="Arial"/>
                <w:color w:val="auto"/>
                <w:szCs w:val="16"/>
              </w:rPr>
              <w:t>322</w:t>
            </w:r>
          </w:p>
        </w:tc>
        <w:tc>
          <w:tcPr>
            <w:tcW w:w="870" w:type="dxa"/>
            <w:hideMark/>
          </w:tcPr>
          <w:p w14:paraId="66B7B804" w14:textId="77777777" w:rsidR="001A6EE4" w:rsidRPr="001A6EE4" w:rsidRDefault="001A6EE4">
            <w:pPr>
              <w:pStyle w:val="Tabele"/>
              <w:jc w:val="right"/>
              <w:rPr>
                <w:color w:val="auto"/>
              </w:rPr>
            </w:pPr>
            <w:r w:rsidRPr="001A6EE4">
              <w:rPr>
                <w:rFonts w:cs="Arial"/>
                <w:color w:val="auto"/>
                <w:szCs w:val="16"/>
              </w:rPr>
              <w:t>573</w:t>
            </w:r>
          </w:p>
        </w:tc>
        <w:tc>
          <w:tcPr>
            <w:tcW w:w="868" w:type="dxa"/>
            <w:hideMark/>
          </w:tcPr>
          <w:p w14:paraId="311B6392" w14:textId="77777777" w:rsidR="001A6EE4" w:rsidRPr="001A6EE4" w:rsidRDefault="001A6EE4">
            <w:pPr>
              <w:pStyle w:val="Tabele"/>
              <w:jc w:val="right"/>
              <w:rPr>
                <w:color w:val="auto"/>
              </w:rPr>
            </w:pPr>
            <w:r w:rsidRPr="001A6EE4">
              <w:rPr>
                <w:rFonts w:cs="Arial"/>
                <w:color w:val="auto"/>
                <w:szCs w:val="16"/>
              </w:rPr>
              <w:t>784</w:t>
            </w:r>
          </w:p>
        </w:tc>
        <w:tc>
          <w:tcPr>
            <w:tcW w:w="868" w:type="dxa"/>
            <w:hideMark/>
          </w:tcPr>
          <w:p w14:paraId="02C7A405" w14:textId="77777777" w:rsidR="001A6EE4" w:rsidRPr="001A6EE4" w:rsidRDefault="001A6EE4">
            <w:pPr>
              <w:pStyle w:val="Tabele"/>
              <w:jc w:val="right"/>
              <w:rPr>
                <w:color w:val="auto"/>
              </w:rPr>
            </w:pPr>
            <w:r w:rsidRPr="001A6EE4">
              <w:rPr>
                <w:rFonts w:cs="Arial"/>
                <w:color w:val="auto"/>
                <w:szCs w:val="16"/>
              </w:rPr>
              <w:t>876</w:t>
            </w:r>
          </w:p>
        </w:tc>
        <w:tc>
          <w:tcPr>
            <w:tcW w:w="870" w:type="dxa"/>
          </w:tcPr>
          <w:p w14:paraId="3FEC0E56" w14:textId="77777777" w:rsidR="001A6EE4" w:rsidRPr="001A6EE4" w:rsidRDefault="001A6EE4">
            <w:pPr>
              <w:pStyle w:val="Tabele"/>
              <w:jc w:val="right"/>
              <w:rPr>
                <w:color w:val="auto"/>
              </w:rPr>
            </w:pPr>
            <w:r w:rsidRPr="001A6EE4">
              <w:rPr>
                <w:rFonts w:cs="Arial"/>
                <w:color w:val="auto"/>
                <w:szCs w:val="16"/>
              </w:rPr>
              <w:t>851</w:t>
            </w:r>
          </w:p>
        </w:tc>
      </w:tr>
      <w:tr w:rsidR="001A6EE4" w:rsidRPr="00F85B97" w14:paraId="42333321" w14:textId="77777777" w:rsidTr="001A6EE4">
        <w:trPr>
          <w:trHeight w:val="226"/>
        </w:trPr>
        <w:tc>
          <w:tcPr>
            <w:tcW w:w="2213" w:type="dxa"/>
            <w:hideMark/>
          </w:tcPr>
          <w:p w14:paraId="0B55810D" w14:textId="77777777" w:rsidR="001A6EE4" w:rsidRPr="001A6EE4" w:rsidRDefault="001A6EE4">
            <w:pPr>
              <w:pStyle w:val="Tabele"/>
              <w:rPr>
                <w:color w:val="auto"/>
              </w:rPr>
            </w:pPr>
            <w:r w:rsidRPr="001A6EE4">
              <w:rPr>
                <w:color w:val="auto"/>
              </w:rPr>
              <w:t>Biopaliwa</w:t>
            </w:r>
          </w:p>
        </w:tc>
        <w:tc>
          <w:tcPr>
            <w:tcW w:w="868" w:type="dxa"/>
            <w:shd w:val="clear" w:color="auto" w:fill="C5E0B3"/>
            <w:hideMark/>
          </w:tcPr>
          <w:p w14:paraId="6A4488E4" w14:textId="77777777" w:rsidR="001A6EE4" w:rsidRPr="001A6EE4" w:rsidRDefault="001A6EE4">
            <w:pPr>
              <w:pStyle w:val="Tabele"/>
              <w:jc w:val="right"/>
              <w:rPr>
                <w:color w:val="auto"/>
              </w:rPr>
            </w:pPr>
            <w:r w:rsidRPr="001A6EE4">
              <w:rPr>
                <w:rFonts w:cs="Arial"/>
                <w:color w:val="auto"/>
                <w:szCs w:val="16"/>
              </w:rPr>
              <w:t>54</w:t>
            </w:r>
          </w:p>
        </w:tc>
        <w:tc>
          <w:tcPr>
            <w:tcW w:w="868" w:type="dxa"/>
            <w:shd w:val="clear" w:color="auto" w:fill="C5E0B3"/>
            <w:hideMark/>
          </w:tcPr>
          <w:p w14:paraId="6244835E" w14:textId="77777777" w:rsidR="001A6EE4" w:rsidRPr="001A6EE4" w:rsidRDefault="001A6EE4">
            <w:pPr>
              <w:pStyle w:val="Tabele"/>
              <w:jc w:val="right"/>
              <w:rPr>
                <w:color w:val="auto"/>
              </w:rPr>
            </w:pPr>
            <w:r w:rsidRPr="001A6EE4">
              <w:rPr>
                <w:rFonts w:cs="Arial"/>
                <w:color w:val="auto"/>
                <w:szCs w:val="16"/>
              </w:rPr>
              <w:t>868</w:t>
            </w:r>
          </w:p>
        </w:tc>
        <w:tc>
          <w:tcPr>
            <w:tcW w:w="870" w:type="dxa"/>
            <w:shd w:val="clear" w:color="auto" w:fill="C5E0B3"/>
            <w:hideMark/>
          </w:tcPr>
          <w:p w14:paraId="7970A69B" w14:textId="77777777" w:rsidR="001A6EE4" w:rsidRPr="001A6EE4" w:rsidRDefault="001A6EE4">
            <w:pPr>
              <w:pStyle w:val="Tabele"/>
              <w:jc w:val="right"/>
              <w:rPr>
                <w:color w:val="auto"/>
              </w:rPr>
            </w:pPr>
            <w:r w:rsidRPr="001A6EE4">
              <w:rPr>
                <w:rFonts w:cs="Arial"/>
                <w:color w:val="auto"/>
                <w:szCs w:val="16"/>
              </w:rPr>
              <w:t>782</w:t>
            </w:r>
          </w:p>
        </w:tc>
        <w:tc>
          <w:tcPr>
            <w:tcW w:w="868" w:type="dxa"/>
            <w:shd w:val="clear" w:color="auto" w:fill="C5E0B3"/>
            <w:hideMark/>
          </w:tcPr>
          <w:p w14:paraId="71B47301" w14:textId="77777777" w:rsidR="001A6EE4" w:rsidRPr="001A6EE4" w:rsidRDefault="001A6EE4">
            <w:pPr>
              <w:pStyle w:val="Tabele"/>
              <w:jc w:val="right"/>
              <w:rPr>
                <w:color w:val="auto"/>
              </w:rPr>
            </w:pPr>
            <w:r w:rsidRPr="001A6EE4">
              <w:rPr>
                <w:rFonts w:cs="Arial"/>
                <w:color w:val="auto"/>
                <w:szCs w:val="16"/>
              </w:rPr>
              <w:t>1 042</w:t>
            </w:r>
          </w:p>
        </w:tc>
        <w:tc>
          <w:tcPr>
            <w:tcW w:w="870" w:type="dxa"/>
            <w:hideMark/>
          </w:tcPr>
          <w:p w14:paraId="32ACE061" w14:textId="77777777" w:rsidR="001A6EE4" w:rsidRPr="001A6EE4" w:rsidRDefault="001A6EE4">
            <w:pPr>
              <w:pStyle w:val="Tabele"/>
              <w:jc w:val="right"/>
              <w:rPr>
                <w:color w:val="auto"/>
              </w:rPr>
            </w:pPr>
            <w:r w:rsidRPr="001A6EE4">
              <w:rPr>
                <w:rFonts w:cs="Arial"/>
                <w:color w:val="auto"/>
                <w:szCs w:val="16"/>
              </w:rPr>
              <w:t>1 763</w:t>
            </w:r>
          </w:p>
        </w:tc>
        <w:tc>
          <w:tcPr>
            <w:tcW w:w="868" w:type="dxa"/>
            <w:hideMark/>
          </w:tcPr>
          <w:p w14:paraId="2D28BC2F" w14:textId="77777777" w:rsidR="001A6EE4" w:rsidRPr="001A6EE4" w:rsidRDefault="001A6EE4">
            <w:pPr>
              <w:pStyle w:val="Tabele"/>
              <w:jc w:val="right"/>
              <w:rPr>
                <w:color w:val="auto"/>
              </w:rPr>
            </w:pPr>
            <w:r w:rsidRPr="001A6EE4">
              <w:rPr>
                <w:rFonts w:cs="Arial"/>
                <w:color w:val="auto"/>
                <w:szCs w:val="16"/>
              </w:rPr>
              <w:t>1 799</w:t>
            </w:r>
          </w:p>
        </w:tc>
        <w:tc>
          <w:tcPr>
            <w:tcW w:w="868" w:type="dxa"/>
            <w:hideMark/>
          </w:tcPr>
          <w:p w14:paraId="0EC833D7" w14:textId="77777777" w:rsidR="001A6EE4" w:rsidRPr="001A6EE4" w:rsidRDefault="001A6EE4">
            <w:pPr>
              <w:pStyle w:val="Tabele"/>
              <w:jc w:val="right"/>
              <w:rPr>
                <w:color w:val="auto"/>
              </w:rPr>
            </w:pPr>
            <w:r w:rsidRPr="001A6EE4">
              <w:rPr>
                <w:rFonts w:cs="Arial"/>
                <w:color w:val="auto"/>
                <w:szCs w:val="16"/>
              </w:rPr>
              <w:t>1 798</w:t>
            </w:r>
          </w:p>
        </w:tc>
        <w:tc>
          <w:tcPr>
            <w:tcW w:w="870" w:type="dxa"/>
          </w:tcPr>
          <w:p w14:paraId="31796DA3" w14:textId="77777777" w:rsidR="001A6EE4" w:rsidRPr="001A6EE4" w:rsidRDefault="001A6EE4">
            <w:pPr>
              <w:pStyle w:val="Tabele"/>
              <w:jc w:val="right"/>
              <w:rPr>
                <w:color w:val="auto"/>
              </w:rPr>
            </w:pPr>
            <w:r w:rsidRPr="001A6EE4">
              <w:rPr>
                <w:rFonts w:cs="Arial"/>
                <w:color w:val="auto"/>
                <w:szCs w:val="16"/>
              </w:rPr>
              <w:t>1 928</w:t>
            </w:r>
          </w:p>
        </w:tc>
      </w:tr>
      <w:tr w:rsidR="001A6EE4" w:rsidRPr="00F85B97" w14:paraId="63F897DC" w14:textId="77777777" w:rsidTr="001A6EE4">
        <w:trPr>
          <w:trHeight w:val="226"/>
        </w:trPr>
        <w:tc>
          <w:tcPr>
            <w:tcW w:w="2213" w:type="dxa"/>
            <w:hideMark/>
          </w:tcPr>
          <w:p w14:paraId="413D46FD" w14:textId="77777777" w:rsidR="001A6EE4" w:rsidRPr="001A6EE4" w:rsidRDefault="001A6EE4">
            <w:pPr>
              <w:pStyle w:val="Tabele"/>
              <w:rPr>
                <w:color w:val="auto"/>
              </w:rPr>
            </w:pPr>
            <w:r w:rsidRPr="001A6EE4">
              <w:rPr>
                <w:color w:val="auto"/>
              </w:rPr>
              <w:t>Biometan</w:t>
            </w:r>
          </w:p>
        </w:tc>
        <w:tc>
          <w:tcPr>
            <w:tcW w:w="868" w:type="dxa"/>
            <w:shd w:val="clear" w:color="auto" w:fill="C5E0B3"/>
            <w:hideMark/>
          </w:tcPr>
          <w:p w14:paraId="66D9351E" w14:textId="77777777" w:rsidR="001A6EE4" w:rsidRPr="001A6EE4" w:rsidRDefault="001A6EE4">
            <w:pPr>
              <w:pStyle w:val="Tabele"/>
              <w:jc w:val="right"/>
              <w:rPr>
                <w:color w:val="auto"/>
              </w:rPr>
            </w:pPr>
            <w:r w:rsidRPr="001A6EE4">
              <w:rPr>
                <w:rFonts w:cs="Arial"/>
                <w:color w:val="auto"/>
                <w:szCs w:val="16"/>
              </w:rPr>
              <w:t>0</w:t>
            </w:r>
          </w:p>
        </w:tc>
        <w:tc>
          <w:tcPr>
            <w:tcW w:w="868" w:type="dxa"/>
            <w:shd w:val="clear" w:color="auto" w:fill="C5E0B3"/>
            <w:hideMark/>
          </w:tcPr>
          <w:p w14:paraId="35D7BE9A" w14:textId="77777777" w:rsidR="001A6EE4" w:rsidRPr="001A6EE4" w:rsidRDefault="001A6EE4">
            <w:pPr>
              <w:pStyle w:val="Tabele"/>
              <w:jc w:val="right"/>
              <w:rPr>
                <w:color w:val="auto"/>
              </w:rPr>
            </w:pPr>
            <w:r w:rsidRPr="001A6EE4">
              <w:rPr>
                <w:rFonts w:cs="Arial"/>
                <w:color w:val="auto"/>
                <w:szCs w:val="16"/>
              </w:rPr>
              <w:t>0</w:t>
            </w:r>
          </w:p>
        </w:tc>
        <w:tc>
          <w:tcPr>
            <w:tcW w:w="870" w:type="dxa"/>
            <w:shd w:val="clear" w:color="auto" w:fill="C5E0B3"/>
            <w:hideMark/>
          </w:tcPr>
          <w:p w14:paraId="30B7F9B4" w14:textId="77777777" w:rsidR="001A6EE4" w:rsidRPr="001A6EE4" w:rsidRDefault="001A6EE4">
            <w:pPr>
              <w:pStyle w:val="Tabele"/>
              <w:jc w:val="right"/>
              <w:rPr>
                <w:color w:val="auto"/>
              </w:rPr>
            </w:pPr>
            <w:r w:rsidRPr="001A6EE4">
              <w:rPr>
                <w:rFonts w:cs="Arial"/>
                <w:color w:val="auto"/>
                <w:szCs w:val="16"/>
              </w:rPr>
              <w:t>0</w:t>
            </w:r>
          </w:p>
        </w:tc>
        <w:tc>
          <w:tcPr>
            <w:tcW w:w="868" w:type="dxa"/>
            <w:shd w:val="clear" w:color="auto" w:fill="C5E0B3"/>
            <w:hideMark/>
          </w:tcPr>
          <w:p w14:paraId="1CF34D7A" w14:textId="77777777" w:rsidR="001A6EE4" w:rsidRPr="001A6EE4" w:rsidRDefault="001A6EE4">
            <w:pPr>
              <w:pStyle w:val="Tabele"/>
              <w:jc w:val="right"/>
              <w:rPr>
                <w:color w:val="auto"/>
              </w:rPr>
            </w:pPr>
            <w:r w:rsidRPr="001A6EE4">
              <w:rPr>
                <w:rFonts w:cs="Arial"/>
                <w:color w:val="auto"/>
                <w:szCs w:val="16"/>
              </w:rPr>
              <w:t>0</w:t>
            </w:r>
          </w:p>
        </w:tc>
        <w:tc>
          <w:tcPr>
            <w:tcW w:w="870" w:type="dxa"/>
            <w:hideMark/>
          </w:tcPr>
          <w:p w14:paraId="3CF0080E" w14:textId="77777777" w:rsidR="001A6EE4" w:rsidRPr="001A6EE4" w:rsidRDefault="001A6EE4">
            <w:pPr>
              <w:pStyle w:val="Tabele"/>
              <w:jc w:val="right"/>
              <w:rPr>
                <w:color w:val="auto"/>
              </w:rPr>
            </w:pPr>
            <w:r w:rsidRPr="001A6EE4">
              <w:rPr>
                <w:rFonts w:cs="Arial"/>
                <w:color w:val="auto"/>
                <w:szCs w:val="16"/>
              </w:rPr>
              <w:t>54</w:t>
            </w:r>
          </w:p>
        </w:tc>
        <w:tc>
          <w:tcPr>
            <w:tcW w:w="868" w:type="dxa"/>
            <w:hideMark/>
          </w:tcPr>
          <w:p w14:paraId="5F71C68B" w14:textId="77777777" w:rsidR="001A6EE4" w:rsidRPr="001A6EE4" w:rsidRDefault="001A6EE4">
            <w:pPr>
              <w:pStyle w:val="Tabele"/>
              <w:jc w:val="right"/>
              <w:rPr>
                <w:color w:val="auto"/>
              </w:rPr>
            </w:pPr>
            <w:r w:rsidRPr="001A6EE4">
              <w:rPr>
                <w:rFonts w:cs="Arial"/>
                <w:color w:val="auto"/>
                <w:szCs w:val="16"/>
              </w:rPr>
              <w:t>1 270</w:t>
            </w:r>
          </w:p>
        </w:tc>
        <w:tc>
          <w:tcPr>
            <w:tcW w:w="868" w:type="dxa"/>
            <w:hideMark/>
          </w:tcPr>
          <w:p w14:paraId="2ADAAAF3" w14:textId="77777777" w:rsidR="001A6EE4" w:rsidRPr="001A6EE4" w:rsidRDefault="001A6EE4">
            <w:pPr>
              <w:pStyle w:val="Tabele"/>
              <w:jc w:val="right"/>
              <w:rPr>
                <w:color w:val="auto"/>
              </w:rPr>
            </w:pPr>
            <w:r w:rsidRPr="001A6EE4">
              <w:rPr>
                <w:rFonts w:cs="Arial"/>
                <w:color w:val="auto"/>
                <w:szCs w:val="16"/>
              </w:rPr>
              <w:t>2 493</w:t>
            </w:r>
          </w:p>
        </w:tc>
        <w:tc>
          <w:tcPr>
            <w:tcW w:w="870" w:type="dxa"/>
          </w:tcPr>
          <w:p w14:paraId="21DCE7B3" w14:textId="77777777" w:rsidR="001A6EE4" w:rsidRPr="001A6EE4" w:rsidRDefault="001A6EE4">
            <w:pPr>
              <w:pStyle w:val="Tabele"/>
              <w:jc w:val="right"/>
              <w:rPr>
                <w:color w:val="auto"/>
              </w:rPr>
            </w:pPr>
            <w:r w:rsidRPr="001A6EE4">
              <w:rPr>
                <w:rFonts w:cs="Arial"/>
                <w:color w:val="auto"/>
                <w:szCs w:val="16"/>
              </w:rPr>
              <w:t>3 336</w:t>
            </w:r>
          </w:p>
        </w:tc>
      </w:tr>
      <w:tr w:rsidR="001A6EE4" w:rsidRPr="00F85B97" w14:paraId="69FD51B9" w14:textId="77777777" w:rsidTr="001A6EE4">
        <w:trPr>
          <w:trHeight w:val="226"/>
        </w:trPr>
        <w:tc>
          <w:tcPr>
            <w:tcW w:w="2213" w:type="dxa"/>
            <w:hideMark/>
          </w:tcPr>
          <w:p w14:paraId="52E6CF60" w14:textId="77777777" w:rsidR="001A6EE4" w:rsidRPr="001A6EE4" w:rsidRDefault="001A6EE4">
            <w:pPr>
              <w:pStyle w:val="Tabele"/>
              <w:rPr>
                <w:color w:val="auto"/>
              </w:rPr>
            </w:pPr>
            <w:r w:rsidRPr="001A6EE4">
              <w:rPr>
                <w:color w:val="auto"/>
              </w:rPr>
              <w:t>Paliwo jądrowe</w:t>
            </w:r>
          </w:p>
        </w:tc>
        <w:tc>
          <w:tcPr>
            <w:tcW w:w="868" w:type="dxa"/>
            <w:shd w:val="clear" w:color="auto" w:fill="C5E0B3"/>
            <w:hideMark/>
          </w:tcPr>
          <w:p w14:paraId="7BAE8AC3" w14:textId="77777777" w:rsidR="001A6EE4" w:rsidRPr="001A6EE4" w:rsidRDefault="001A6EE4">
            <w:pPr>
              <w:pStyle w:val="Tabele"/>
              <w:jc w:val="right"/>
              <w:rPr>
                <w:color w:val="auto"/>
              </w:rPr>
            </w:pPr>
            <w:r w:rsidRPr="001A6EE4">
              <w:rPr>
                <w:rFonts w:cs="Arial"/>
                <w:color w:val="auto"/>
                <w:szCs w:val="16"/>
              </w:rPr>
              <w:t>0</w:t>
            </w:r>
          </w:p>
        </w:tc>
        <w:tc>
          <w:tcPr>
            <w:tcW w:w="868" w:type="dxa"/>
            <w:shd w:val="clear" w:color="auto" w:fill="C5E0B3"/>
            <w:hideMark/>
          </w:tcPr>
          <w:p w14:paraId="720E4277" w14:textId="77777777" w:rsidR="001A6EE4" w:rsidRPr="001A6EE4" w:rsidRDefault="001A6EE4">
            <w:pPr>
              <w:pStyle w:val="Tabele"/>
              <w:jc w:val="right"/>
              <w:rPr>
                <w:color w:val="auto"/>
              </w:rPr>
            </w:pPr>
            <w:r w:rsidRPr="001A6EE4">
              <w:rPr>
                <w:rFonts w:cs="Arial"/>
                <w:color w:val="auto"/>
                <w:szCs w:val="16"/>
              </w:rPr>
              <w:t>0</w:t>
            </w:r>
          </w:p>
        </w:tc>
        <w:tc>
          <w:tcPr>
            <w:tcW w:w="870" w:type="dxa"/>
            <w:shd w:val="clear" w:color="auto" w:fill="C5E0B3"/>
            <w:hideMark/>
          </w:tcPr>
          <w:p w14:paraId="2818B12A" w14:textId="77777777" w:rsidR="001A6EE4" w:rsidRPr="001A6EE4" w:rsidRDefault="001A6EE4">
            <w:pPr>
              <w:pStyle w:val="Tabele"/>
              <w:jc w:val="right"/>
              <w:rPr>
                <w:color w:val="auto"/>
              </w:rPr>
            </w:pPr>
            <w:r w:rsidRPr="001A6EE4">
              <w:rPr>
                <w:rFonts w:cs="Arial"/>
                <w:color w:val="auto"/>
                <w:szCs w:val="16"/>
              </w:rPr>
              <w:t>0</w:t>
            </w:r>
          </w:p>
        </w:tc>
        <w:tc>
          <w:tcPr>
            <w:tcW w:w="868" w:type="dxa"/>
            <w:shd w:val="clear" w:color="auto" w:fill="C5E0B3"/>
            <w:hideMark/>
          </w:tcPr>
          <w:p w14:paraId="56515B51" w14:textId="77777777" w:rsidR="001A6EE4" w:rsidRPr="001A6EE4" w:rsidRDefault="001A6EE4">
            <w:pPr>
              <w:pStyle w:val="Tabele"/>
              <w:jc w:val="right"/>
              <w:rPr>
                <w:color w:val="auto"/>
              </w:rPr>
            </w:pPr>
            <w:r w:rsidRPr="001A6EE4">
              <w:rPr>
                <w:rFonts w:cs="Arial"/>
                <w:color w:val="auto"/>
                <w:szCs w:val="16"/>
              </w:rPr>
              <w:t>0</w:t>
            </w:r>
          </w:p>
        </w:tc>
        <w:tc>
          <w:tcPr>
            <w:tcW w:w="870" w:type="dxa"/>
            <w:hideMark/>
          </w:tcPr>
          <w:p w14:paraId="0A292213" w14:textId="77777777" w:rsidR="001A6EE4" w:rsidRPr="001A6EE4" w:rsidRDefault="001A6EE4">
            <w:pPr>
              <w:pStyle w:val="Tabele"/>
              <w:jc w:val="right"/>
              <w:rPr>
                <w:color w:val="auto"/>
              </w:rPr>
            </w:pPr>
            <w:r w:rsidRPr="001A6EE4">
              <w:rPr>
                <w:rFonts w:cs="Arial"/>
                <w:color w:val="auto"/>
                <w:szCs w:val="16"/>
              </w:rPr>
              <w:t>0</w:t>
            </w:r>
          </w:p>
        </w:tc>
        <w:tc>
          <w:tcPr>
            <w:tcW w:w="868" w:type="dxa"/>
            <w:hideMark/>
          </w:tcPr>
          <w:p w14:paraId="670CD8BD" w14:textId="77777777" w:rsidR="001A6EE4" w:rsidRPr="001A6EE4" w:rsidRDefault="001A6EE4">
            <w:pPr>
              <w:pStyle w:val="Tabele"/>
              <w:jc w:val="right"/>
              <w:rPr>
                <w:color w:val="auto"/>
              </w:rPr>
            </w:pPr>
            <w:r w:rsidRPr="001A6EE4">
              <w:rPr>
                <w:rFonts w:cs="Arial"/>
                <w:color w:val="auto"/>
                <w:szCs w:val="16"/>
              </w:rPr>
              <w:t>0</w:t>
            </w:r>
          </w:p>
        </w:tc>
        <w:tc>
          <w:tcPr>
            <w:tcW w:w="868" w:type="dxa"/>
            <w:hideMark/>
          </w:tcPr>
          <w:p w14:paraId="72E3C072" w14:textId="77777777" w:rsidR="001A6EE4" w:rsidRPr="001A6EE4" w:rsidRDefault="001A6EE4">
            <w:pPr>
              <w:pStyle w:val="Tabele"/>
              <w:jc w:val="right"/>
              <w:rPr>
                <w:color w:val="auto"/>
              </w:rPr>
            </w:pPr>
            <w:r w:rsidRPr="001A6EE4">
              <w:rPr>
                <w:rFonts w:cs="Arial"/>
                <w:color w:val="auto"/>
                <w:szCs w:val="16"/>
              </w:rPr>
              <w:t>0</w:t>
            </w:r>
          </w:p>
        </w:tc>
        <w:tc>
          <w:tcPr>
            <w:tcW w:w="870" w:type="dxa"/>
          </w:tcPr>
          <w:p w14:paraId="265AC3EF" w14:textId="77777777" w:rsidR="001A6EE4" w:rsidRPr="001A6EE4" w:rsidRDefault="001A6EE4">
            <w:pPr>
              <w:pStyle w:val="Tabele"/>
              <w:jc w:val="right"/>
              <w:rPr>
                <w:color w:val="auto"/>
              </w:rPr>
            </w:pPr>
            <w:r w:rsidRPr="001A6EE4">
              <w:rPr>
                <w:rFonts w:cs="Arial"/>
                <w:color w:val="auto"/>
                <w:szCs w:val="16"/>
              </w:rPr>
              <w:t>6 242</w:t>
            </w:r>
          </w:p>
        </w:tc>
      </w:tr>
      <w:tr w:rsidR="001A6EE4" w:rsidRPr="00F85B97" w14:paraId="16135C4D" w14:textId="77777777" w:rsidTr="001A6EE4">
        <w:trPr>
          <w:trHeight w:val="226"/>
        </w:trPr>
        <w:tc>
          <w:tcPr>
            <w:tcW w:w="2213" w:type="dxa"/>
          </w:tcPr>
          <w:p w14:paraId="363522D0" w14:textId="77777777" w:rsidR="001A6EE4" w:rsidRPr="001A6EE4" w:rsidRDefault="001A6EE4">
            <w:pPr>
              <w:pStyle w:val="Tabele"/>
              <w:rPr>
                <w:color w:val="auto"/>
              </w:rPr>
            </w:pPr>
            <w:r w:rsidRPr="001A6EE4">
              <w:rPr>
                <w:color w:val="auto"/>
              </w:rPr>
              <w:t>Wodór</w:t>
            </w:r>
          </w:p>
        </w:tc>
        <w:tc>
          <w:tcPr>
            <w:tcW w:w="868" w:type="dxa"/>
            <w:shd w:val="clear" w:color="auto" w:fill="C5E0B3"/>
          </w:tcPr>
          <w:p w14:paraId="2F856206" w14:textId="77777777" w:rsidR="001A6EE4" w:rsidRPr="001A6EE4" w:rsidRDefault="001A6EE4">
            <w:pPr>
              <w:pStyle w:val="Tabele"/>
              <w:jc w:val="right"/>
              <w:rPr>
                <w:color w:val="auto"/>
              </w:rPr>
            </w:pPr>
            <w:r w:rsidRPr="001A6EE4">
              <w:rPr>
                <w:rFonts w:cs="Arial"/>
                <w:color w:val="auto"/>
                <w:szCs w:val="16"/>
              </w:rPr>
              <w:t>0</w:t>
            </w:r>
          </w:p>
        </w:tc>
        <w:tc>
          <w:tcPr>
            <w:tcW w:w="868" w:type="dxa"/>
            <w:shd w:val="clear" w:color="auto" w:fill="C5E0B3"/>
          </w:tcPr>
          <w:p w14:paraId="2B0E5F91" w14:textId="77777777" w:rsidR="001A6EE4" w:rsidRPr="001A6EE4" w:rsidRDefault="001A6EE4">
            <w:pPr>
              <w:pStyle w:val="Tabele"/>
              <w:jc w:val="right"/>
              <w:rPr>
                <w:color w:val="auto"/>
              </w:rPr>
            </w:pPr>
            <w:r w:rsidRPr="001A6EE4">
              <w:rPr>
                <w:rFonts w:cs="Arial"/>
                <w:color w:val="auto"/>
                <w:szCs w:val="16"/>
              </w:rPr>
              <w:t>0</w:t>
            </w:r>
          </w:p>
        </w:tc>
        <w:tc>
          <w:tcPr>
            <w:tcW w:w="870" w:type="dxa"/>
            <w:shd w:val="clear" w:color="auto" w:fill="C5E0B3"/>
          </w:tcPr>
          <w:p w14:paraId="6174F9EB" w14:textId="77777777" w:rsidR="001A6EE4" w:rsidRPr="001A6EE4" w:rsidRDefault="001A6EE4">
            <w:pPr>
              <w:pStyle w:val="Tabele"/>
              <w:jc w:val="right"/>
              <w:rPr>
                <w:color w:val="auto"/>
              </w:rPr>
            </w:pPr>
            <w:r w:rsidRPr="001A6EE4">
              <w:rPr>
                <w:rFonts w:cs="Arial"/>
                <w:color w:val="auto"/>
                <w:szCs w:val="16"/>
              </w:rPr>
              <w:t>0</w:t>
            </w:r>
          </w:p>
        </w:tc>
        <w:tc>
          <w:tcPr>
            <w:tcW w:w="868" w:type="dxa"/>
            <w:shd w:val="clear" w:color="auto" w:fill="C5E0B3"/>
          </w:tcPr>
          <w:p w14:paraId="5FA487B5" w14:textId="77777777" w:rsidR="001A6EE4" w:rsidRPr="001A6EE4" w:rsidRDefault="001A6EE4">
            <w:pPr>
              <w:pStyle w:val="Tabele"/>
              <w:jc w:val="right"/>
              <w:rPr>
                <w:color w:val="auto"/>
              </w:rPr>
            </w:pPr>
            <w:r w:rsidRPr="001A6EE4">
              <w:rPr>
                <w:rFonts w:cs="Arial"/>
                <w:color w:val="auto"/>
                <w:szCs w:val="16"/>
              </w:rPr>
              <w:t>0</w:t>
            </w:r>
          </w:p>
        </w:tc>
        <w:tc>
          <w:tcPr>
            <w:tcW w:w="870" w:type="dxa"/>
          </w:tcPr>
          <w:p w14:paraId="45F714B4" w14:textId="77777777" w:rsidR="001A6EE4" w:rsidRPr="001A6EE4" w:rsidRDefault="001A6EE4">
            <w:pPr>
              <w:pStyle w:val="Tabele"/>
              <w:jc w:val="right"/>
              <w:rPr>
                <w:color w:val="auto"/>
              </w:rPr>
            </w:pPr>
            <w:r w:rsidRPr="001A6EE4">
              <w:rPr>
                <w:rFonts w:cs="Arial"/>
                <w:color w:val="auto"/>
                <w:szCs w:val="16"/>
              </w:rPr>
              <w:t>5</w:t>
            </w:r>
          </w:p>
        </w:tc>
        <w:tc>
          <w:tcPr>
            <w:tcW w:w="868" w:type="dxa"/>
          </w:tcPr>
          <w:p w14:paraId="32E21116" w14:textId="77777777" w:rsidR="001A6EE4" w:rsidRPr="001A6EE4" w:rsidRDefault="001A6EE4">
            <w:pPr>
              <w:pStyle w:val="Tabele"/>
              <w:jc w:val="right"/>
              <w:rPr>
                <w:color w:val="auto"/>
              </w:rPr>
            </w:pPr>
            <w:r w:rsidRPr="001A6EE4">
              <w:rPr>
                <w:rFonts w:cs="Arial"/>
                <w:color w:val="auto"/>
                <w:szCs w:val="16"/>
              </w:rPr>
              <w:t>349</w:t>
            </w:r>
          </w:p>
        </w:tc>
        <w:tc>
          <w:tcPr>
            <w:tcW w:w="868" w:type="dxa"/>
          </w:tcPr>
          <w:p w14:paraId="25B64EB6" w14:textId="77777777" w:rsidR="001A6EE4" w:rsidRPr="001A6EE4" w:rsidRDefault="001A6EE4">
            <w:pPr>
              <w:pStyle w:val="Tabele"/>
              <w:jc w:val="right"/>
              <w:rPr>
                <w:color w:val="auto"/>
              </w:rPr>
            </w:pPr>
            <w:r w:rsidRPr="001A6EE4">
              <w:rPr>
                <w:rFonts w:cs="Arial"/>
                <w:color w:val="auto"/>
                <w:szCs w:val="16"/>
              </w:rPr>
              <w:t>982</w:t>
            </w:r>
          </w:p>
        </w:tc>
        <w:tc>
          <w:tcPr>
            <w:tcW w:w="870" w:type="dxa"/>
          </w:tcPr>
          <w:p w14:paraId="5DF66E2A" w14:textId="77777777" w:rsidR="001A6EE4" w:rsidRPr="001A6EE4" w:rsidRDefault="001A6EE4">
            <w:pPr>
              <w:pStyle w:val="Tabele"/>
              <w:jc w:val="right"/>
              <w:rPr>
                <w:color w:val="auto"/>
              </w:rPr>
            </w:pPr>
            <w:r w:rsidRPr="001A6EE4">
              <w:rPr>
                <w:rFonts w:cs="Arial"/>
                <w:color w:val="auto"/>
                <w:szCs w:val="16"/>
              </w:rPr>
              <w:t>3 982</w:t>
            </w:r>
          </w:p>
        </w:tc>
      </w:tr>
      <w:tr w:rsidR="001A6EE4" w:rsidRPr="00F85B97" w14:paraId="7FF32742" w14:textId="77777777" w:rsidTr="001A6EE4">
        <w:trPr>
          <w:trHeight w:val="226"/>
        </w:trPr>
        <w:tc>
          <w:tcPr>
            <w:tcW w:w="2213" w:type="dxa"/>
          </w:tcPr>
          <w:p w14:paraId="7FC8B057" w14:textId="77777777" w:rsidR="001A6EE4" w:rsidRPr="001A6EE4" w:rsidRDefault="001A6EE4">
            <w:pPr>
              <w:pStyle w:val="Tabele"/>
              <w:rPr>
                <w:color w:val="auto"/>
              </w:rPr>
            </w:pPr>
            <w:r w:rsidRPr="001A6EE4">
              <w:rPr>
                <w:color w:val="auto"/>
              </w:rPr>
              <w:t>Odpady komunalne i przemysłowe</w:t>
            </w:r>
          </w:p>
        </w:tc>
        <w:tc>
          <w:tcPr>
            <w:tcW w:w="868" w:type="dxa"/>
            <w:shd w:val="clear" w:color="auto" w:fill="C5E0B3"/>
          </w:tcPr>
          <w:p w14:paraId="5121E68D" w14:textId="77777777" w:rsidR="001A6EE4" w:rsidRPr="001A6EE4" w:rsidRDefault="001A6EE4">
            <w:pPr>
              <w:pStyle w:val="Tabele"/>
              <w:jc w:val="right"/>
              <w:rPr>
                <w:color w:val="auto"/>
              </w:rPr>
            </w:pPr>
            <w:r w:rsidRPr="001A6EE4">
              <w:rPr>
                <w:rFonts w:cs="Arial"/>
                <w:color w:val="auto"/>
                <w:szCs w:val="16"/>
              </w:rPr>
              <w:t>157</w:t>
            </w:r>
          </w:p>
        </w:tc>
        <w:tc>
          <w:tcPr>
            <w:tcW w:w="868" w:type="dxa"/>
            <w:shd w:val="clear" w:color="auto" w:fill="C5E0B3"/>
          </w:tcPr>
          <w:p w14:paraId="1C968D43" w14:textId="77777777" w:rsidR="001A6EE4" w:rsidRPr="001A6EE4" w:rsidRDefault="001A6EE4">
            <w:pPr>
              <w:pStyle w:val="Tabele"/>
              <w:jc w:val="right"/>
              <w:rPr>
                <w:color w:val="auto"/>
              </w:rPr>
            </w:pPr>
            <w:r w:rsidRPr="001A6EE4">
              <w:rPr>
                <w:rFonts w:cs="Arial"/>
                <w:color w:val="auto"/>
                <w:szCs w:val="16"/>
              </w:rPr>
              <w:t>400</w:t>
            </w:r>
          </w:p>
        </w:tc>
        <w:tc>
          <w:tcPr>
            <w:tcW w:w="870" w:type="dxa"/>
            <w:shd w:val="clear" w:color="auto" w:fill="C5E0B3"/>
          </w:tcPr>
          <w:p w14:paraId="56B5F53E" w14:textId="77777777" w:rsidR="001A6EE4" w:rsidRPr="001A6EE4" w:rsidRDefault="001A6EE4">
            <w:pPr>
              <w:pStyle w:val="Tabele"/>
              <w:jc w:val="right"/>
              <w:rPr>
                <w:color w:val="auto"/>
              </w:rPr>
            </w:pPr>
            <w:r w:rsidRPr="001A6EE4">
              <w:rPr>
                <w:rFonts w:cs="Arial"/>
                <w:color w:val="auto"/>
                <w:szCs w:val="16"/>
              </w:rPr>
              <w:t>564</w:t>
            </w:r>
          </w:p>
        </w:tc>
        <w:tc>
          <w:tcPr>
            <w:tcW w:w="868" w:type="dxa"/>
            <w:shd w:val="clear" w:color="auto" w:fill="C5E0B3"/>
          </w:tcPr>
          <w:p w14:paraId="1D8E2451" w14:textId="77777777" w:rsidR="001A6EE4" w:rsidRPr="001A6EE4" w:rsidRDefault="001A6EE4">
            <w:pPr>
              <w:pStyle w:val="Tabele"/>
              <w:jc w:val="right"/>
              <w:rPr>
                <w:color w:val="auto"/>
              </w:rPr>
            </w:pPr>
            <w:r w:rsidRPr="001A6EE4">
              <w:rPr>
                <w:rFonts w:cs="Arial"/>
                <w:color w:val="auto"/>
                <w:szCs w:val="16"/>
              </w:rPr>
              <w:t>1 193</w:t>
            </w:r>
          </w:p>
        </w:tc>
        <w:tc>
          <w:tcPr>
            <w:tcW w:w="870" w:type="dxa"/>
          </w:tcPr>
          <w:p w14:paraId="7113F444" w14:textId="77777777" w:rsidR="001A6EE4" w:rsidRPr="001A6EE4" w:rsidRDefault="001A6EE4">
            <w:pPr>
              <w:pStyle w:val="Tabele"/>
              <w:jc w:val="right"/>
              <w:rPr>
                <w:color w:val="auto"/>
              </w:rPr>
            </w:pPr>
            <w:r w:rsidRPr="001A6EE4">
              <w:rPr>
                <w:rFonts w:cs="Arial"/>
                <w:color w:val="auto"/>
                <w:szCs w:val="16"/>
              </w:rPr>
              <w:t>1 309</w:t>
            </w:r>
          </w:p>
        </w:tc>
        <w:tc>
          <w:tcPr>
            <w:tcW w:w="868" w:type="dxa"/>
          </w:tcPr>
          <w:p w14:paraId="258EC16D" w14:textId="77777777" w:rsidR="001A6EE4" w:rsidRPr="001A6EE4" w:rsidRDefault="001A6EE4">
            <w:pPr>
              <w:pStyle w:val="Tabele"/>
              <w:jc w:val="right"/>
              <w:rPr>
                <w:color w:val="auto"/>
              </w:rPr>
            </w:pPr>
            <w:r w:rsidRPr="001A6EE4">
              <w:rPr>
                <w:rFonts w:cs="Arial"/>
                <w:color w:val="auto"/>
                <w:szCs w:val="16"/>
              </w:rPr>
              <w:t>1 456</w:t>
            </w:r>
          </w:p>
        </w:tc>
        <w:tc>
          <w:tcPr>
            <w:tcW w:w="868" w:type="dxa"/>
          </w:tcPr>
          <w:p w14:paraId="709F3BA6" w14:textId="77777777" w:rsidR="001A6EE4" w:rsidRPr="001A6EE4" w:rsidRDefault="001A6EE4">
            <w:pPr>
              <w:pStyle w:val="Tabele"/>
              <w:jc w:val="right"/>
              <w:rPr>
                <w:color w:val="auto"/>
              </w:rPr>
            </w:pPr>
            <w:r w:rsidRPr="001A6EE4">
              <w:rPr>
                <w:rFonts w:cs="Arial"/>
                <w:color w:val="auto"/>
                <w:szCs w:val="16"/>
              </w:rPr>
              <w:t>1 488</w:t>
            </w:r>
          </w:p>
        </w:tc>
        <w:tc>
          <w:tcPr>
            <w:tcW w:w="870" w:type="dxa"/>
          </w:tcPr>
          <w:p w14:paraId="27C05355" w14:textId="77777777" w:rsidR="001A6EE4" w:rsidRPr="001A6EE4" w:rsidRDefault="001A6EE4">
            <w:pPr>
              <w:pStyle w:val="Tabele"/>
              <w:jc w:val="right"/>
              <w:rPr>
                <w:color w:val="auto"/>
              </w:rPr>
            </w:pPr>
            <w:r w:rsidRPr="001A6EE4">
              <w:rPr>
                <w:rFonts w:cs="Arial"/>
                <w:color w:val="auto"/>
                <w:szCs w:val="16"/>
              </w:rPr>
              <w:t>1 393</w:t>
            </w:r>
          </w:p>
        </w:tc>
      </w:tr>
    </w:tbl>
    <w:p w14:paraId="6E258B0D" w14:textId="2E360E0E" w:rsidR="005C4144" w:rsidRPr="00B24C0C" w:rsidRDefault="005C4144" w:rsidP="00917B0B">
      <w:pPr>
        <w:pStyle w:val="Legenda"/>
      </w:pPr>
      <w:r>
        <w:t>*</w:t>
      </w:r>
      <w:r w:rsidRPr="00D73250">
        <w:t>paliwa odpadowe gazowe (Other Recovered Gases) odzyskiwane głównie w hutach żelaza (oprócz gazu wielkopiecowego) oraz hutach miedzi i cynku.</w:t>
      </w:r>
    </w:p>
    <w:p w14:paraId="31546962" w14:textId="52ECBE48" w:rsidR="005C4144" w:rsidRDefault="005C4144" w:rsidP="005C4144">
      <w:pPr>
        <w:pStyle w:val="ardo"/>
      </w:pPr>
      <w:r w:rsidRPr="00B24C0C">
        <w:t>Źródło: Opracowanie własne ARE S</w:t>
      </w:r>
      <w:r>
        <w:t>.</w:t>
      </w:r>
      <w:r w:rsidRPr="00B24C0C">
        <w:t>A</w:t>
      </w:r>
      <w:r>
        <w:t>.</w:t>
      </w:r>
      <w:r w:rsidRPr="00B24C0C">
        <w:t xml:space="preserve"> (STEAM-PL, MESSAGE-PL), EUROSTAT</w:t>
      </w:r>
    </w:p>
    <w:p w14:paraId="0E5BB197" w14:textId="77777777" w:rsidR="005C4144" w:rsidRDefault="005C4144" w:rsidP="00797A1F">
      <w:pPr>
        <w:pStyle w:val="Nagwek2"/>
      </w:pPr>
      <w:bookmarkStart w:id="469" w:name="_Ref158371961"/>
      <w:bookmarkStart w:id="470" w:name="_Toc171587334"/>
      <w:bookmarkStart w:id="471" w:name="_Toc174710908"/>
      <w:bookmarkStart w:id="472" w:name="_Toc202966901"/>
      <w:r>
        <w:t>Produkcja energii elektrycznej i ciepła</w:t>
      </w:r>
      <w:bookmarkEnd w:id="469"/>
      <w:bookmarkEnd w:id="470"/>
      <w:bookmarkEnd w:id="471"/>
      <w:bookmarkEnd w:id="472"/>
    </w:p>
    <w:p w14:paraId="31402C93" w14:textId="6537D4F1" w:rsidR="00272EA1" w:rsidRDefault="005C4144" w:rsidP="00272EA1">
      <w:r>
        <w:t>W tabeli (</w:t>
      </w:r>
      <w:r w:rsidR="00AE53BA">
        <w:fldChar w:fldCharType="begin"/>
      </w:r>
      <w:r w:rsidR="00AE53BA">
        <w:instrText xml:space="preserve"> REF _Ref195776281 \h </w:instrText>
      </w:r>
      <w:r w:rsidR="00AE53BA">
        <w:fldChar w:fldCharType="separate"/>
      </w:r>
      <w:r w:rsidR="00F27D6F">
        <w:t xml:space="preserve">Tabela </w:t>
      </w:r>
      <w:r w:rsidR="00F27D6F">
        <w:rPr>
          <w:noProof/>
        </w:rPr>
        <w:t>3</w:t>
      </w:r>
      <w:r w:rsidR="00F27D6F">
        <w:t>.</w:t>
      </w:r>
      <w:r w:rsidR="00F27D6F">
        <w:rPr>
          <w:noProof/>
        </w:rPr>
        <w:t>9</w:t>
      </w:r>
      <w:r w:rsidR="00AE53BA">
        <w:fldChar w:fldCharType="end"/>
      </w:r>
      <w:r>
        <w:t>) i na rysunku (</w:t>
      </w:r>
      <w:r>
        <w:fldChar w:fldCharType="begin"/>
      </w:r>
      <w:r>
        <w:instrText xml:space="preserve"> REF _Ref158328802 \h </w:instrText>
      </w:r>
      <w:r>
        <w:fldChar w:fldCharType="separate"/>
      </w:r>
      <w:r w:rsidR="00F27D6F">
        <w:t xml:space="preserve">Rysunek </w:t>
      </w:r>
      <w:r w:rsidR="00F27D6F">
        <w:rPr>
          <w:noProof/>
        </w:rPr>
        <w:t>3</w:t>
      </w:r>
      <w:r w:rsidR="00F27D6F">
        <w:t>.</w:t>
      </w:r>
      <w:r w:rsidR="00F27D6F">
        <w:rPr>
          <w:noProof/>
        </w:rPr>
        <w:t>4</w:t>
      </w:r>
      <w:r>
        <w:fldChar w:fldCharType="end"/>
      </w:r>
      <w:r>
        <w:t>)</w:t>
      </w:r>
      <w:r w:rsidRPr="00B24C0C">
        <w:t xml:space="preserve"> </w:t>
      </w:r>
      <w:bookmarkStart w:id="473" w:name="_Ref156900275"/>
      <w:bookmarkStart w:id="474" w:name="_Toc171587208"/>
      <w:bookmarkStart w:id="475" w:name="_Toc174710992"/>
      <w:r w:rsidR="00272EA1">
        <w:t>zaprezentowano</w:t>
      </w:r>
      <w:r w:rsidR="00272EA1" w:rsidRPr="00B24C0C">
        <w:t xml:space="preserve"> dane dotyczące produkcji energii elektrycznej</w:t>
      </w:r>
      <w:r w:rsidR="00272EA1">
        <w:t xml:space="preserve"> i </w:t>
      </w:r>
      <w:r w:rsidR="00272EA1" w:rsidRPr="00B24C0C">
        <w:t>ciepła sieciowego brutto</w:t>
      </w:r>
      <w:r w:rsidR="00272EA1">
        <w:t xml:space="preserve"> w </w:t>
      </w:r>
      <w:r w:rsidR="00272EA1" w:rsidRPr="00B24C0C">
        <w:t>Polsce. Zgodnie</w:t>
      </w:r>
      <w:r w:rsidR="00272EA1">
        <w:t xml:space="preserve"> z </w:t>
      </w:r>
      <w:r w:rsidR="00272EA1" w:rsidRPr="00B24C0C">
        <w:t>uzyskanymi wynikami prognoz, przewiduje się wzrost krajowej produkcji en</w:t>
      </w:r>
      <w:r w:rsidR="00272EA1">
        <w:t>ergii elektrycznej z poziomu 158 TWh w 2020 r.</w:t>
      </w:r>
      <w:r w:rsidR="00272EA1" w:rsidRPr="00B24C0C">
        <w:t xml:space="preserve"> do </w:t>
      </w:r>
      <w:r w:rsidR="00272EA1">
        <w:t>193</w:t>
      </w:r>
      <w:r w:rsidR="00272EA1" w:rsidRPr="00B24C0C">
        <w:t xml:space="preserve"> TWh</w:t>
      </w:r>
      <w:r w:rsidR="00272EA1">
        <w:t xml:space="preserve"> w </w:t>
      </w:r>
      <w:r w:rsidR="00272EA1" w:rsidRPr="00B24C0C">
        <w:t>2</w:t>
      </w:r>
      <w:r w:rsidR="00272EA1">
        <w:t xml:space="preserve">030 r. oraz </w:t>
      </w:r>
      <w:r w:rsidR="00272EA1" w:rsidRPr="00284724">
        <w:t xml:space="preserve">do </w:t>
      </w:r>
      <w:r w:rsidR="00A4239A" w:rsidRPr="00284724">
        <w:t xml:space="preserve">287 </w:t>
      </w:r>
      <w:r w:rsidR="00272EA1" w:rsidRPr="00284724">
        <w:t>TWh w 20</w:t>
      </w:r>
      <w:r w:rsidR="006A2C92" w:rsidRPr="00284724">
        <w:t>4</w:t>
      </w:r>
      <w:r w:rsidR="00272EA1" w:rsidRPr="00284724">
        <w:t>0 r</w:t>
      </w:r>
      <w:r w:rsidR="00272EA1">
        <w:t>.</w:t>
      </w:r>
      <w:r w:rsidR="00272EA1" w:rsidRPr="00B24C0C">
        <w:t xml:space="preserve"> </w:t>
      </w:r>
      <w:r w:rsidR="00272EA1">
        <w:t>Procentowy wzrost w okresie 2020-2030 wynosi 22% natomiast w </w:t>
      </w:r>
      <w:r w:rsidR="00272EA1" w:rsidRPr="0002163D">
        <w:t>latach 2020-20</w:t>
      </w:r>
      <w:r w:rsidR="00481645" w:rsidRPr="0002163D">
        <w:t>4</w:t>
      </w:r>
      <w:r w:rsidR="00272EA1" w:rsidRPr="0002163D">
        <w:t xml:space="preserve">0 produkcja energii elektrycznej wzrasta </w:t>
      </w:r>
      <w:r w:rsidR="00284724" w:rsidRPr="0002163D">
        <w:t xml:space="preserve">ponad </w:t>
      </w:r>
      <w:r w:rsidR="00284724" w:rsidRPr="0004212B">
        <w:t>81%</w:t>
      </w:r>
      <w:r w:rsidR="00272EA1" w:rsidRPr="0004212B">
        <w:t>.</w:t>
      </w:r>
      <w:r w:rsidR="00272EA1" w:rsidRPr="00B24C0C">
        <w:t xml:space="preserve"> Produkcja krajowa ciep</w:t>
      </w:r>
      <w:r w:rsidR="00272EA1">
        <w:t>ła sieciowego spada z poziomu 286</w:t>
      </w:r>
      <w:r w:rsidR="00272EA1" w:rsidRPr="00B24C0C">
        <w:t xml:space="preserve"> </w:t>
      </w:r>
      <w:r w:rsidR="00272EA1">
        <w:t xml:space="preserve">PJ w 2020 r. </w:t>
      </w:r>
      <w:r w:rsidR="00272EA1" w:rsidRPr="0004212B">
        <w:t xml:space="preserve">do </w:t>
      </w:r>
      <w:r w:rsidR="0002163D" w:rsidRPr="0004212B">
        <w:t>195</w:t>
      </w:r>
      <w:r w:rsidR="00272EA1" w:rsidRPr="0004212B">
        <w:t xml:space="preserve"> PJ w 20</w:t>
      </w:r>
      <w:r w:rsidR="006A2C92" w:rsidRPr="0004212B">
        <w:t>4</w:t>
      </w:r>
      <w:r w:rsidR="00272EA1" w:rsidRPr="0004212B">
        <w:t>0 r</w:t>
      </w:r>
      <w:r w:rsidR="00272EA1">
        <w:t xml:space="preserve">. </w:t>
      </w:r>
      <w:r w:rsidR="00272EA1" w:rsidRPr="0004212B">
        <w:t xml:space="preserve">W ujęciu procentowym spadek wynosi </w:t>
      </w:r>
      <w:r w:rsidR="0004212B" w:rsidRPr="0004212B">
        <w:t>32</w:t>
      </w:r>
      <w:r w:rsidR="00272EA1" w:rsidRPr="0004212B">
        <w:t>% w rozpatrywanym okresie.</w:t>
      </w:r>
    </w:p>
    <w:p w14:paraId="3E765001" w14:textId="0145ACAF" w:rsidR="005C4144" w:rsidRPr="00B24C0C" w:rsidRDefault="005C4144" w:rsidP="005C4144">
      <w:pPr>
        <w:pStyle w:val="Legenda"/>
      </w:pPr>
      <w:bookmarkStart w:id="476" w:name="_Ref195776281"/>
      <w:bookmarkStart w:id="477" w:name="_Toc202966999"/>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3</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9</w:t>
      </w:r>
      <w:r w:rsidR="00653D9A">
        <w:rPr>
          <w:noProof/>
        </w:rPr>
        <w:fldChar w:fldCharType="end"/>
      </w:r>
      <w:bookmarkEnd w:id="473"/>
      <w:bookmarkEnd w:id="476"/>
      <w:r>
        <w:t xml:space="preserve"> </w:t>
      </w:r>
      <w:r w:rsidRPr="00B24C0C">
        <w:t>Produkcja energii elektrycznej</w:t>
      </w:r>
      <w:r>
        <w:t xml:space="preserve"> i </w:t>
      </w:r>
      <w:r w:rsidRPr="00B24C0C">
        <w:t xml:space="preserve">ciepła sieciowego brutto – scenariusz </w:t>
      </w:r>
      <w:r>
        <w:t>WAM</w:t>
      </w:r>
      <w:bookmarkEnd w:id="474"/>
      <w:bookmarkEnd w:id="475"/>
      <w:bookmarkEnd w:id="477"/>
    </w:p>
    <w:tbl>
      <w:tblPr>
        <w:tblStyle w:val="KPEiK"/>
        <w:tblW w:w="5000" w:type="pct"/>
        <w:tblLayout w:type="fixed"/>
        <w:tblLook w:val="04A0" w:firstRow="1" w:lastRow="0" w:firstColumn="1" w:lastColumn="0" w:noHBand="0" w:noVBand="1"/>
      </w:tblPr>
      <w:tblGrid>
        <w:gridCol w:w="1861"/>
        <w:gridCol w:w="898"/>
        <w:gridCol w:w="901"/>
        <w:gridCol w:w="901"/>
        <w:gridCol w:w="899"/>
        <w:gridCol w:w="901"/>
        <w:gridCol w:w="901"/>
        <w:gridCol w:w="899"/>
        <w:gridCol w:w="901"/>
      </w:tblGrid>
      <w:tr w:rsidR="00584733" w:rsidRPr="00B24C0C" w14:paraId="5DA8D628" w14:textId="77777777" w:rsidTr="00584733">
        <w:trPr>
          <w:cnfStyle w:val="100000000000" w:firstRow="1" w:lastRow="0" w:firstColumn="0" w:lastColumn="0" w:oddVBand="0" w:evenVBand="0" w:oddHBand="0" w:evenHBand="0" w:firstRowFirstColumn="0" w:firstRowLastColumn="0" w:lastRowFirstColumn="0" w:lastRowLastColumn="0"/>
          <w:trHeight w:val="229"/>
          <w:tblHeader/>
        </w:trPr>
        <w:tc>
          <w:tcPr>
            <w:tcW w:w="1892" w:type="dxa"/>
            <w:noWrap/>
          </w:tcPr>
          <w:p w14:paraId="55E31191" w14:textId="77777777" w:rsidR="00584733" w:rsidRPr="00B24C0C" w:rsidRDefault="00584733">
            <w:pPr>
              <w:pStyle w:val="Tabele"/>
              <w:jc w:val="center"/>
            </w:pPr>
          </w:p>
        </w:tc>
        <w:tc>
          <w:tcPr>
            <w:tcW w:w="912" w:type="dxa"/>
            <w:hideMark/>
          </w:tcPr>
          <w:p w14:paraId="0325CB1C" w14:textId="77777777" w:rsidR="00584733" w:rsidRPr="00B24C0C" w:rsidRDefault="00584733">
            <w:pPr>
              <w:pStyle w:val="Tabele"/>
              <w:jc w:val="center"/>
              <w:rPr>
                <w:bCs/>
              </w:rPr>
            </w:pPr>
            <w:r w:rsidRPr="00B24C0C">
              <w:rPr>
                <w:bCs/>
              </w:rPr>
              <w:t>2005</w:t>
            </w:r>
          </w:p>
        </w:tc>
        <w:tc>
          <w:tcPr>
            <w:tcW w:w="914" w:type="dxa"/>
            <w:hideMark/>
          </w:tcPr>
          <w:p w14:paraId="5BEDA612" w14:textId="77777777" w:rsidR="00584733" w:rsidRPr="00B24C0C" w:rsidRDefault="00584733">
            <w:pPr>
              <w:pStyle w:val="Tabele"/>
              <w:jc w:val="center"/>
              <w:rPr>
                <w:bCs/>
              </w:rPr>
            </w:pPr>
            <w:r w:rsidRPr="00B24C0C">
              <w:rPr>
                <w:bCs/>
              </w:rPr>
              <w:t>2010</w:t>
            </w:r>
          </w:p>
        </w:tc>
        <w:tc>
          <w:tcPr>
            <w:tcW w:w="914" w:type="dxa"/>
            <w:hideMark/>
          </w:tcPr>
          <w:p w14:paraId="4708E386" w14:textId="77777777" w:rsidR="00584733" w:rsidRPr="00B24C0C" w:rsidRDefault="00584733">
            <w:pPr>
              <w:pStyle w:val="Tabele"/>
              <w:jc w:val="center"/>
              <w:rPr>
                <w:bCs/>
              </w:rPr>
            </w:pPr>
            <w:r w:rsidRPr="00B24C0C">
              <w:rPr>
                <w:bCs/>
              </w:rPr>
              <w:t>2015</w:t>
            </w:r>
          </w:p>
        </w:tc>
        <w:tc>
          <w:tcPr>
            <w:tcW w:w="912" w:type="dxa"/>
            <w:hideMark/>
          </w:tcPr>
          <w:p w14:paraId="3B0D5423" w14:textId="77777777" w:rsidR="00584733" w:rsidRPr="00B24C0C" w:rsidRDefault="00584733">
            <w:pPr>
              <w:pStyle w:val="Tabele"/>
              <w:jc w:val="center"/>
              <w:rPr>
                <w:bCs/>
              </w:rPr>
            </w:pPr>
            <w:r w:rsidRPr="00B24C0C">
              <w:rPr>
                <w:bCs/>
              </w:rPr>
              <w:t>2020</w:t>
            </w:r>
          </w:p>
        </w:tc>
        <w:tc>
          <w:tcPr>
            <w:tcW w:w="914" w:type="dxa"/>
            <w:hideMark/>
          </w:tcPr>
          <w:p w14:paraId="09618EFF" w14:textId="77777777" w:rsidR="00584733" w:rsidRPr="00B24C0C" w:rsidRDefault="00584733">
            <w:pPr>
              <w:pStyle w:val="Tabele"/>
              <w:jc w:val="center"/>
              <w:rPr>
                <w:bCs/>
              </w:rPr>
            </w:pPr>
            <w:r w:rsidRPr="00B24C0C">
              <w:rPr>
                <w:bCs/>
              </w:rPr>
              <w:t>2025</w:t>
            </w:r>
          </w:p>
        </w:tc>
        <w:tc>
          <w:tcPr>
            <w:tcW w:w="914" w:type="dxa"/>
            <w:hideMark/>
          </w:tcPr>
          <w:p w14:paraId="7EB77CAA" w14:textId="77777777" w:rsidR="00584733" w:rsidRPr="00B24C0C" w:rsidRDefault="00584733">
            <w:pPr>
              <w:pStyle w:val="Tabele"/>
              <w:jc w:val="center"/>
              <w:rPr>
                <w:bCs/>
              </w:rPr>
            </w:pPr>
            <w:r w:rsidRPr="00B24C0C">
              <w:rPr>
                <w:bCs/>
              </w:rPr>
              <w:t>2030</w:t>
            </w:r>
          </w:p>
        </w:tc>
        <w:tc>
          <w:tcPr>
            <w:tcW w:w="912" w:type="dxa"/>
            <w:hideMark/>
          </w:tcPr>
          <w:p w14:paraId="60367028" w14:textId="77777777" w:rsidR="00584733" w:rsidRPr="00B24C0C" w:rsidRDefault="00584733">
            <w:pPr>
              <w:pStyle w:val="Tabele"/>
              <w:jc w:val="center"/>
              <w:rPr>
                <w:bCs/>
              </w:rPr>
            </w:pPr>
            <w:r w:rsidRPr="00B24C0C">
              <w:rPr>
                <w:bCs/>
              </w:rPr>
              <w:t>2035</w:t>
            </w:r>
          </w:p>
        </w:tc>
        <w:tc>
          <w:tcPr>
            <w:tcW w:w="914" w:type="dxa"/>
          </w:tcPr>
          <w:p w14:paraId="237985AD" w14:textId="77777777" w:rsidR="00584733" w:rsidRPr="00B24C0C" w:rsidRDefault="00584733">
            <w:pPr>
              <w:pStyle w:val="Tabele"/>
              <w:jc w:val="center"/>
              <w:rPr>
                <w:bCs/>
              </w:rPr>
            </w:pPr>
            <w:r>
              <w:rPr>
                <w:bCs/>
              </w:rPr>
              <w:t>2040</w:t>
            </w:r>
          </w:p>
        </w:tc>
      </w:tr>
      <w:tr w:rsidR="00584733" w:rsidRPr="00F85B97" w14:paraId="72EB8F04" w14:textId="77777777" w:rsidTr="00584733">
        <w:trPr>
          <w:trHeight w:val="229"/>
        </w:trPr>
        <w:tc>
          <w:tcPr>
            <w:tcW w:w="1892" w:type="dxa"/>
            <w:hideMark/>
          </w:tcPr>
          <w:p w14:paraId="312C93FA" w14:textId="77777777" w:rsidR="00584733" w:rsidRPr="00584733" w:rsidRDefault="00584733">
            <w:pPr>
              <w:pStyle w:val="Tabele"/>
              <w:rPr>
                <w:color w:val="auto"/>
              </w:rPr>
            </w:pPr>
            <w:r w:rsidRPr="00584733">
              <w:rPr>
                <w:color w:val="auto"/>
              </w:rPr>
              <w:t>Energia elektryczna [GWh]</w:t>
            </w:r>
          </w:p>
        </w:tc>
        <w:tc>
          <w:tcPr>
            <w:tcW w:w="912" w:type="dxa"/>
            <w:shd w:val="clear" w:color="auto" w:fill="C5E0B3"/>
            <w:noWrap/>
            <w:hideMark/>
          </w:tcPr>
          <w:p w14:paraId="1635A754" w14:textId="77777777" w:rsidR="00584733" w:rsidRPr="00584733" w:rsidRDefault="00584733">
            <w:pPr>
              <w:pStyle w:val="Tabele"/>
              <w:jc w:val="right"/>
              <w:rPr>
                <w:color w:val="auto"/>
              </w:rPr>
            </w:pPr>
            <w:r w:rsidRPr="00584733">
              <w:rPr>
                <w:rFonts w:cs="Arial"/>
                <w:color w:val="auto"/>
                <w:szCs w:val="16"/>
              </w:rPr>
              <w:t>157 295</w:t>
            </w:r>
          </w:p>
        </w:tc>
        <w:tc>
          <w:tcPr>
            <w:tcW w:w="914" w:type="dxa"/>
            <w:shd w:val="clear" w:color="auto" w:fill="C5E0B3"/>
            <w:noWrap/>
            <w:hideMark/>
          </w:tcPr>
          <w:p w14:paraId="2360FC43" w14:textId="77777777" w:rsidR="00584733" w:rsidRPr="00584733" w:rsidRDefault="00584733">
            <w:pPr>
              <w:pStyle w:val="Tabele"/>
              <w:jc w:val="right"/>
              <w:rPr>
                <w:color w:val="auto"/>
              </w:rPr>
            </w:pPr>
            <w:r w:rsidRPr="00584733">
              <w:rPr>
                <w:rFonts w:cs="Arial"/>
                <w:color w:val="auto"/>
                <w:szCs w:val="16"/>
              </w:rPr>
              <w:t>158 186</w:t>
            </w:r>
          </w:p>
        </w:tc>
        <w:tc>
          <w:tcPr>
            <w:tcW w:w="914" w:type="dxa"/>
            <w:shd w:val="clear" w:color="auto" w:fill="C5E0B3"/>
            <w:noWrap/>
            <w:hideMark/>
          </w:tcPr>
          <w:p w14:paraId="5ABA5966" w14:textId="77777777" w:rsidR="00584733" w:rsidRPr="00584733" w:rsidRDefault="00584733">
            <w:pPr>
              <w:pStyle w:val="Tabele"/>
              <w:jc w:val="right"/>
              <w:rPr>
                <w:color w:val="auto"/>
              </w:rPr>
            </w:pPr>
            <w:r w:rsidRPr="00584733">
              <w:rPr>
                <w:rFonts w:cs="Arial"/>
                <w:color w:val="auto"/>
                <w:szCs w:val="16"/>
              </w:rPr>
              <w:t>165 128</w:t>
            </w:r>
          </w:p>
        </w:tc>
        <w:tc>
          <w:tcPr>
            <w:tcW w:w="912" w:type="dxa"/>
            <w:shd w:val="clear" w:color="auto" w:fill="C5E0B3"/>
            <w:noWrap/>
            <w:hideMark/>
          </w:tcPr>
          <w:p w14:paraId="3A048DB3" w14:textId="77777777" w:rsidR="00584733" w:rsidRPr="00584733" w:rsidRDefault="00584733">
            <w:pPr>
              <w:pStyle w:val="Tabele"/>
              <w:jc w:val="right"/>
              <w:rPr>
                <w:color w:val="auto"/>
              </w:rPr>
            </w:pPr>
            <w:r w:rsidRPr="00584733">
              <w:rPr>
                <w:rFonts w:cs="Arial"/>
                <w:color w:val="auto"/>
                <w:szCs w:val="16"/>
              </w:rPr>
              <w:t>158 247</w:t>
            </w:r>
          </w:p>
        </w:tc>
        <w:tc>
          <w:tcPr>
            <w:tcW w:w="914" w:type="dxa"/>
            <w:noWrap/>
            <w:hideMark/>
          </w:tcPr>
          <w:p w14:paraId="5BBCD83A" w14:textId="77777777" w:rsidR="00584733" w:rsidRPr="00584733" w:rsidRDefault="00584733">
            <w:pPr>
              <w:pStyle w:val="Tabele"/>
              <w:jc w:val="right"/>
              <w:rPr>
                <w:color w:val="auto"/>
              </w:rPr>
            </w:pPr>
            <w:r w:rsidRPr="00584733">
              <w:rPr>
                <w:rFonts w:cs="Arial"/>
                <w:color w:val="auto"/>
                <w:szCs w:val="16"/>
              </w:rPr>
              <w:t>180 127</w:t>
            </w:r>
          </w:p>
        </w:tc>
        <w:tc>
          <w:tcPr>
            <w:tcW w:w="914" w:type="dxa"/>
            <w:noWrap/>
            <w:hideMark/>
          </w:tcPr>
          <w:p w14:paraId="76C01EDB" w14:textId="77777777" w:rsidR="00584733" w:rsidRPr="00584733" w:rsidRDefault="00584733">
            <w:pPr>
              <w:pStyle w:val="Tabele"/>
              <w:jc w:val="right"/>
              <w:rPr>
                <w:color w:val="auto"/>
              </w:rPr>
            </w:pPr>
            <w:r w:rsidRPr="00584733">
              <w:rPr>
                <w:rFonts w:cs="Arial"/>
                <w:color w:val="auto"/>
                <w:szCs w:val="16"/>
              </w:rPr>
              <w:t>193 554</w:t>
            </w:r>
          </w:p>
        </w:tc>
        <w:tc>
          <w:tcPr>
            <w:tcW w:w="912" w:type="dxa"/>
            <w:noWrap/>
            <w:hideMark/>
          </w:tcPr>
          <w:p w14:paraId="436CA614" w14:textId="77777777" w:rsidR="00584733" w:rsidRPr="00584733" w:rsidRDefault="00584733">
            <w:pPr>
              <w:pStyle w:val="Tabele"/>
              <w:jc w:val="right"/>
              <w:rPr>
                <w:color w:val="auto"/>
              </w:rPr>
            </w:pPr>
            <w:r w:rsidRPr="00584733">
              <w:rPr>
                <w:rFonts w:cs="Arial"/>
                <w:color w:val="auto"/>
                <w:szCs w:val="16"/>
              </w:rPr>
              <w:t>220 588</w:t>
            </w:r>
          </w:p>
        </w:tc>
        <w:tc>
          <w:tcPr>
            <w:tcW w:w="914" w:type="dxa"/>
          </w:tcPr>
          <w:p w14:paraId="3A2C241C" w14:textId="77777777" w:rsidR="00584733" w:rsidRPr="00584733" w:rsidRDefault="00584733">
            <w:pPr>
              <w:pStyle w:val="Tabele"/>
              <w:jc w:val="right"/>
              <w:rPr>
                <w:color w:val="auto"/>
              </w:rPr>
            </w:pPr>
            <w:r w:rsidRPr="00584733">
              <w:rPr>
                <w:rFonts w:cs="Arial"/>
                <w:color w:val="auto"/>
                <w:szCs w:val="16"/>
              </w:rPr>
              <w:t>287 185</w:t>
            </w:r>
          </w:p>
        </w:tc>
      </w:tr>
      <w:tr w:rsidR="00584733" w:rsidRPr="00F85B97" w14:paraId="239F4390" w14:textId="77777777" w:rsidTr="00584733">
        <w:trPr>
          <w:trHeight w:val="229"/>
        </w:trPr>
        <w:tc>
          <w:tcPr>
            <w:tcW w:w="1892" w:type="dxa"/>
            <w:hideMark/>
          </w:tcPr>
          <w:p w14:paraId="51DA71FB" w14:textId="77777777" w:rsidR="00584733" w:rsidRPr="00584733" w:rsidRDefault="00584733">
            <w:pPr>
              <w:pStyle w:val="Tabele"/>
              <w:rPr>
                <w:color w:val="auto"/>
              </w:rPr>
            </w:pPr>
            <w:r w:rsidRPr="00584733">
              <w:rPr>
                <w:color w:val="auto"/>
              </w:rPr>
              <w:t>Ciepło sieciowe [TJ]</w:t>
            </w:r>
          </w:p>
        </w:tc>
        <w:tc>
          <w:tcPr>
            <w:tcW w:w="912" w:type="dxa"/>
            <w:shd w:val="clear" w:color="auto" w:fill="C5E0B3"/>
            <w:noWrap/>
            <w:hideMark/>
          </w:tcPr>
          <w:p w14:paraId="445388D1" w14:textId="77777777" w:rsidR="00584733" w:rsidRPr="00584733" w:rsidRDefault="00584733">
            <w:pPr>
              <w:pStyle w:val="Tabele"/>
              <w:jc w:val="right"/>
              <w:rPr>
                <w:color w:val="auto"/>
              </w:rPr>
            </w:pPr>
            <w:r w:rsidRPr="00584733">
              <w:rPr>
                <w:rFonts w:cs="Arial"/>
                <w:color w:val="auto"/>
                <w:szCs w:val="16"/>
              </w:rPr>
              <w:t>336 292</w:t>
            </w:r>
          </w:p>
        </w:tc>
        <w:tc>
          <w:tcPr>
            <w:tcW w:w="914" w:type="dxa"/>
            <w:shd w:val="clear" w:color="auto" w:fill="C5E0B3"/>
            <w:noWrap/>
            <w:hideMark/>
          </w:tcPr>
          <w:p w14:paraId="53B4A393" w14:textId="77777777" w:rsidR="00584733" w:rsidRPr="00584733" w:rsidRDefault="00584733">
            <w:pPr>
              <w:pStyle w:val="Tabele"/>
              <w:jc w:val="right"/>
              <w:rPr>
                <w:color w:val="auto"/>
              </w:rPr>
            </w:pPr>
            <w:r w:rsidRPr="00584733">
              <w:rPr>
                <w:rFonts w:cs="Arial"/>
                <w:color w:val="auto"/>
                <w:szCs w:val="16"/>
              </w:rPr>
              <w:t>335 831</w:t>
            </w:r>
          </w:p>
        </w:tc>
        <w:tc>
          <w:tcPr>
            <w:tcW w:w="914" w:type="dxa"/>
            <w:shd w:val="clear" w:color="auto" w:fill="C5E0B3"/>
            <w:noWrap/>
            <w:hideMark/>
          </w:tcPr>
          <w:p w14:paraId="53F41C96" w14:textId="77777777" w:rsidR="00584733" w:rsidRPr="00584733" w:rsidRDefault="00584733">
            <w:pPr>
              <w:pStyle w:val="Tabele"/>
              <w:jc w:val="right"/>
              <w:rPr>
                <w:color w:val="auto"/>
              </w:rPr>
            </w:pPr>
            <w:r w:rsidRPr="00584733">
              <w:rPr>
                <w:rFonts w:cs="Arial"/>
                <w:color w:val="auto"/>
                <w:szCs w:val="16"/>
              </w:rPr>
              <w:t>274 357</w:t>
            </w:r>
          </w:p>
        </w:tc>
        <w:tc>
          <w:tcPr>
            <w:tcW w:w="912" w:type="dxa"/>
            <w:shd w:val="clear" w:color="auto" w:fill="C5E0B3"/>
            <w:noWrap/>
            <w:hideMark/>
          </w:tcPr>
          <w:p w14:paraId="56F98CB1" w14:textId="77777777" w:rsidR="00584733" w:rsidRPr="00584733" w:rsidRDefault="00584733">
            <w:pPr>
              <w:pStyle w:val="Tabele"/>
              <w:jc w:val="right"/>
              <w:rPr>
                <w:color w:val="auto"/>
              </w:rPr>
            </w:pPr>
            <w:r w:rsidRPr="00584733">
              <w:rPr>
                <w:rFonts w:cs="Arial"/>
                <w:color w:val="auto"/>
                <w:szCs w:val="16"/>
              </w:rPr>
              <w:t>285 870</w:t>
            </w:r>
          </w:p>
        </w:tc>
        <w:tc>
          <w:tcPr>
            <w:tcW w:w="914" w:type="dxa"/>
            <w:noWrap/>
            <w:hideMark/>
          </w:tcPr>
          <w:p w14:paraId="3E975936" w14:textId="77777777" w:rsidR="00584733" w:rsidRPr="00584733" w:rsidRDefault="00584733">
            <w:pPr>
              <w:pStyle w:val="Tabele"/>
              <w:jc w:val="right"/>
              <w:rPr>
                <w:color w:val="auto"/>
              </w:rPr>
            </w:pPr>
            <w:r w:rsidRPr="00584733">
              <w:rPr>
                <w:rFonts w:cs="Arial"/>
                <w:color w:val="auto"/>
                <w:szCs w:val="16"/>
              </w:rPr>
              <w:t>270 810</w:t>
            </w:r>
          </w:p>
        </w:tc>
        <w:tc>
          <w:tcPr>
            <w:tcW w:w="914" w:type="dxa"/>
            <w:noWrap/>
            <w:hideMark/>
          </w:tcPr>
          <w:p w14:paraId="4F465092" w14:textId="77777777" w:rsidR="00584733" w:rsidRPr="00584733" w:rsidRDefault="00584733">
            <w:pPr>
              <w:pStyle w:val="Tabele"/>
              <w:jc w:val="right"/>
              <w:rPr>
                <w:color w:val="auto"/>
              </w:rPr>
            </w:pPr>
            <w:r w:rsidRPr="00584733">
              <w:rPr>
                <w:rFonts w:cs="Arial"/>
                <w:color w:val="auto"/>
                <w:szCs w:val="16"/>
              </w:rPr>
              <w:t>241 152</w:t>
            </w:r>
          </w:p>
        </w:tc>
        <w:tc>
          <w:tcPr>
            <w:tcW w:w="912" w:type="dxa"/>
            <w:noWrap/>
            <w:hideMark/>
          </w:tcPr>
          <w:p w14:paraId="578DD6B7" w14:textId="77777777" w:rsidR="00584733" w:rsidRPr="00584733" w:rsidRDefault="00584733">
            <w:pPr>
              <w:pStyle w:val="Tabele"/>
              <w:jc w:val="right"/>
              <w:rPr>
                <w:color w:val="auto"/>
              </w:rPr>
            </w:pPr>
            <w:r w:rsidRPr="00584733">
              <w:rPr>
                <w:rFonts w:cs="Arial"/>
                <w:color w:val="auto"/>
                <w:szCs w:val="16"/>
              </w:rPr>
              <w:t>208 313</w:t>
            </w:r>
          </w:p>
        </w:tc>
        <w:tc>
          <w:tcPr>
            <w:tcW w:w="914" w:type="dxa"/>
          </w:tcPr>
          <w:p w14:paraId="777316F9" w14:textId="77777777" w:rsidR="00584733" w:rsidRPr="00584733" w:rsidRDefault="00584733">
            <w:pPr>
              <w:pStyle w:val="Tabele"/>
              <w:jc w:val="right"/>
              <w:rPr>
                <w:color w:val="auto"/>
              </w:rPr>
            </w:pPr>
            <w:r w:rsidRPr="00584733">
              <w:rPr>
                <w:rFonts w:cs="Arial"/>
                <w:color w:val="auto"/>
                <w:szCs w:val="16"/>
              </w:rPr>
              <w:t>194 755</w:t>
            </w:r>
          </w:p>
        </w:tc>
      </w:tr>
    </w:tbl>
    <w:p w14:paraId="7A37CC33" w14:textId="77777777" w:rsidR="005C4144" w:rsidRDefault="005C4144" w:rsidP="00584733">
      <w:pPr>
        <w:pStyle w:val="Legenda"/>
      </w:pPr>
      <w:r w:rsidRPr="00B24C0C">
        <w:t>Źródło: Opracowanie własne ARE S</w:t>
      </w:r>
      <w:r>
        <w:t>.</w:t>
      </w:r>
      <w:r w:rsidRPr="00B24C0C">
        <w:t>A</w:t>
      </w:r>
      <w:r>
        <w:t>.</w:t>
      </w:r>
      <w:r w:rsidRPr="00B24C0C">
        <w:t xml:space="preserve"> (STEAM-PL, MESSAGE-PL), EUROSTAT</w:t>
      </w:r>
    </w:p>
    <w:tbl>
      <w:tblPr>
        <w:tblStyle w:val="Tabela-Siatka"/>
        <w:tblW w:w="9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70" w:type="dxa"/>
          <w:bottom w:w="28" w:type="dxa"/>
          <w:right w:w="70" w:type="dxa"/>
        </w:tblCellMar>
        <w:tblLook w:val="04A0" w:firstRow="1" w:lastRow="0" w:firstColumn="1" w:lastColumn="0" w:noHBand="0" w:noVBand="1"/>
      </w:tblPr>
      <w:tblGrid>
        <w:gridCol w:w="4940"/>
        <w:gridCol w:w="4760"/>
      </w:tblGrid>
      <w:tr w:rsidR="00B436E0" w14:paraId="79B1207B" w14:textId="77777777" w:rsidTr="002D791C">
        <w:trPr>
          <w:trHeight w:val="425"/>
        </w:trPr>
        <w:tc>
          <w:tcPr>
            <w:tcW w:w="4940" w:type="dxa"/>
          </w:tcPr>
          <w:p w14:paraId="322D6BAD" w14:textId="46621605" w:rsidR="00251831" w:rsidRDefault="00EC4CAE">
            <w:pPr>
              <w:rPr>
                <w:noProof/>
                <w:lang w:eastAsia="pl-PL"/>
              </w:rPr>
            </w:pPr>
            <w:r>
              <w:rPr>
                <w:noProof/>
                <w:lang w:eastAsia="pl-PL"/>
              </w:rPr>
              <w:drawing>
                <wp:inline distT="0" distB="0" distL="0" distR="0" wp14:anchorId="3BF38E84" wp14:editId="1802AACB">
                  <wp:extent cx="3042920" cy="1928813"/>
                  <wp:effectExtent l="0" t="0" r="5080" b="14605"/>
                  <wp:docPr id="213289316" name="Wykres 1">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760" w:type="dxa"/>
          </w:tcPr>
          <w:p w14:paraId="13889462" w14:textId="625EC25E" w:rsidR="00251831" w:rsidRDefault="00CA2BA2">
            <w:pPr>
              <w:keepNext/>
              <w:rPr>
                <w:noProof/>
                <w:lang w:eastAsia="pl-PL"/>
              </w:rPr>
            </w:pPr>
            <w:r>
              <w:rPr>
                <w:noProof/>
                <w:lang w:eastAsia="pl-PL"/>
              </w:rPr>
              <w:drawing>
                <wp:inline distT="0" distB="0" distL="0" distR="0" wp14:anchorId="68537167" wp14:editId="395EF66D">
                  <wp:extent cx="2916555" cy="1907381"/>
                  <wp:effectExtent l="0" t="0" r="17145" b="17145"/>
                  <wp:docPr id="844464210" name="Wykres 1">
                    <a:extLst xmlns:a="http://schemas.openxmlformats.org/drawingml/2006/main">
                      <a:ext uri="{FF2B5EF4-FFF2-40B4-BE49-F238E27FC236}">
                        <a16:creationId xmlns:a16="http://schemas.microsoft.com/office/drawing/2014/main" id="{00000000-0008-0000-0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bl>
    <w:p w14:paraId="54F6BB77" w14:textId="5FDD0CC7" w:rsidR="005C4144" w:rsidRDefault="005C4144" w:rsidP="005C4144">
      <w:pPr>
        <w:pStyle w:val="Legenda"/>
      </w:pPr>
      <w:bookmarkStart w:id="478" w:name="_Ref158328802"/>
      <w:bookmarkStart w:id="479" w:name="_Toc171587273"/>
      <w:bookmarkStart w:id="480" w:name="_Toc174711040"/>
      <w:bookmarkStart w:id="481" w:name="_Toc202967051"/>
      <w:r>
        <w:t xml:space="preserve">Rysunek </w:t>
      </w:r>
      <w:r>
        <w:rPr>
          <w:noProof/>
        </w:rPr>
        <w:fldChar w:fldCharType="begin"/>
      </w:r>
      <w:r>
        <w:rPr>
          <w:noProof/>
        </w:rPr>
        <w:instrText xml:space="preserve"> STYLEREF 1 \s </w:instrText>
      </w:r>
      <w:r>
        <w:rPr>
          <w:noProof/>
        </w:rPr>
        <w:fldChar w:fldCharType="separate"/>
      </w:r>
      <w:r w:rsidR="00F27D6F">
        <w:rPr>
          <w:noProof/>
        </w:rPr>
        <w:t>3</w:t>
      </w:r>
      <w:r>
        <w:rPr>
          <w:noProof/>
        </w:rPr>
        <w:fldChar w:fldCharType="end"/>
      </w:r>
      <w:r>
        <w:t>.</w:t>
      </w:r>
      <w:r w:rsidR="006A0B5C">
        <w:rPr>
          <w:noProof/>
        </w:rPr>
        <w:fldChar w:fldCharType="begin"/>
      </w:r>
      <w:r w:rsidR="006A0B5C">
        <w:rPr>
          <w:noProof/>
        </w:rPr>
        <w:instrText xml:space="preserve"> SEQ Rysunek \* ARABIC \s 1 </w:instrText>
      </w:r>
      <w:r w:rsidR="006A0B5C">
        <w:rPr>
          <w:noProof/>
        </w:rPr>
        <w:fldChar w:fldCharType="separate"/>
      </w:r>
      <w:r w:rsidR="00F27D6F">
        <w:rPr>
          <w:noProof/>
        </w:rPr>
        <w:t>4</w:t>
      </w:r>
      <w:r w:rsidR="006A0B5C">
        <w:rPr>
          <w:noProof/>
        </w:rPr>
        <w:fldChar w:fldCharType="end"/>
      </w:r>
      <w:bookmarkEnd w:id="478"/>
      <w:r>
        <w:t xml:space="preserve"> </w:t>
      </w:r>
      <w:r w:rsidRPr="00DD7875">
        <w:t>Produkcja energii elektrycznej</w:t>
      </w:r>
      <w:r>
        <w:t xml:space="preserve"> i </w:t>
      </w:r>
      <w:r w:rsidRPr="00DD7875">
        <w:t>ciepła s</w:t>
      </w:r>
      <w:r>
        <w:t>ieciowego brutto – scenariusz WA</w:t>
      </w:r>
      <w:r w:rsidRPr="00DD7875">
        <w:t>M</w:t>
      </w:r>
      <w:bookmarkEnd w:id="479"/>
      <w:bookmarkEnd w:id="480"/>
      <w:bookmarkEnd w:id="481"/>
    </w:p>
    <w:p w14:paraId="1882A650" w14:textId="07C82A6B" w:rsidR="005C4144" w:rsidRDefault="005C4144" w:rsidP="005C4144">
      <w:pPr>
        <w:pStyle w:val="ardo"/>
      </w:pPr>
      <w:r w:rsidRPr="00705515">
        <w:t>Źródło: Opracowanie własne ARE S.A</w:t>
      </w:r>
      <w:r>
        <w:t>.</w:t>
      </w:r>
      <w:r w:rsidR="00B1363A" w:rsidRPr="00B1363A">
        <w:t xml:space="preserve"> </w:t>
      </w:r>
    </w:p>
    <w:p w14:paraId="67331BFC" w14:textId="77777777" w:rsidR="005C4144" w:rsidRDefault="005C4144" w:rsidP="00797A1F">
      <w:pPr>
        <w:pStyle w:val="Nagwek2"/>
      </w:pPr>
      <w:bookmarkStart w:id="482" w:name="_Toc171587335"/>
      <w:bookmarkStart w:id="483" w:name="_Toc174710909"/>
      <w:bookmarkStart w:id="484" w:name="_Toc202966902"/>
      <w:r>
        <w:t>Produkcja energii elektrycznej brutto z podziałem na paliwa</w:t>
      </w:r>
      <w:bookmarkEnd w:id="482"/>
      <w:bookmarkEnd w:id="483"/>
      <w:bookmarkEnd w:id="484"/>
    </w:p>
    <w:p w14:paraId="24308156" w14:textId="3A9A1280" w:rsidR="00D506BC" w:rsidRDefault="005C4144" w:rsidP="00D506BC">
      <w:pPr>
        <w:spacing w:after="0"/>
      </w:pPr>
      <w:r w:rsidRPr="004A2073">
        <w:t>Produkcję energii elektrycznej</w:t>
      </w:r>
      <w:r>
        <w:t xml:space="preserve"> w </w:t>
      </w:r>
      <w:r w:rsidRPr="004A2073">
        <w:t>podziale na paliwa przedstawiono</w:t>
      </w:r>
      <w:r>
        <w:t xml:space="preserve"> w </w:t>
      </w:r>
      <w:r w:rsidRPr="004A2073">
        <w:t>tabeli (</w:t>
      </w:r>
      <w:r w:rsidR="002E5DBA">
        <w:fldChar w:fldCharType="begin"/>
      </w:r>
      <w:r w:rsidR="002E5DBA">
        <w:instrText xml:space="preserve"> REF _Ref195872031 \h </w:instrText>
      </w:r>
      <w:r w:rsidR="002E5DBA">
        <w:fldChar w:fldCharType="separate"/>
      </w:r>
      <w:r w:rsidR="00F27D6F">
        <w:t xml:space="preserve">Tabela </w:t>
      </w:r>
      <w:r w:rsidR="00F27D6F">
        <w:rPr>
          <w:noProof/>
        </w:rPr>
        <w:t>3</w:t>
      </w:r>
      <w:r w:rsidR="00F27D6F">
        <w:t>.</w:t>
      </w:r>
      <w:r w:rsidR="00F27D6F">
        <w:rPr>
          <w:noProof/>
        </w:rPr>
        <w:t>10</w:t>
      </w:r>
      <w:r w:rsidR="002E5DBA">
        <w:fldChar w:fldCharType="end"/>
      </w:r>
      <w:r w:rsidRPr="004A2073">
        <w:t>)</w:t>
      </w:r>
      <w:r>
        <w:t xml:space="preserve"> i </w:t>
      </w:r>
      <w:r w:rsidRPr="004A2073">
        <w:t>na rysunku (</w:t>
      </w:r>
      <w:r w:rsidR="00B40FA2">
        <w:fldChar w:fldCharType="begin"/>
      </w:r>
      <w:r w:rsidR="00B40FA2">
        <w:instrText xml:space="preserve"> REF _Ref158208076 \h </w:instrText>
      </w:r>
      <w:r w:rsidR="00B40FA2">
        <w:fldChar w:fldCharType="separate"/>
      </w:r>
      <w:r w:rsidR="00F27D6F">
        <w:t xml:space="preserve">Rysunek </w:t>
      </w:r>
      <w:r w:rsidR="00F27D6F">
        <w:rPr>
          <w:noProof/>
        </w:rPr>
        <w:t>3</w:t>
      </w:r>
      <w:r w:rsidR="00F27D6F">
        <w:t>.</w:t>
      </w:r>
      <w:r w:rsidR="00F27D6F">
        <w:rPr>
          <w:noProof/>
        </w:rPr>
        <w:t>5</w:t>
      </w:r>
      <w:r w:rsidR="00B40FA2">
        <w:fldChar w:fldCharType="end"/>
      </w:r>
      <w:r w:rsidR="00B40FA2">
        <w:t>)</w:t>
      </w:r>
      <w:r w:rsidR="00192598">
        <w:t>.</w:t>
      </w:r>
      <w:r w:rsidRPr="004A2073">
        <w:t xml:space="preserve"> </w:t>
      </w:r>
      <w:r w:rsidR="00D506BC" w:rsidRPr="004A2073">
        <w:t xml:space="preserve">Wyniki przeprowadzonej analizy kierunków rozwoju krajowego sektora elektroenergetycznego wskazują na </w:t>
      </w:r>
      <w:r w:rsidR="00D506BC">
        <w:t>daleko idące</w:t>
      </w:r>
      <w:r w:rsidR="00D506BC" w:rsidRPr="004A2073">
        <w:t xml:space="preserve"> zmiany jakie będą zachodzić</w:t>
      </w:r>
      <w:r w:rsidR="00D506BC">
        <w:t xml:space="preserve"> w </w:t>
      </w:r>
      <w:r w:rsidR="00D506BC" w:rsidRPr="004A2073">
        <w:t xml:space="preserve">strukturze produkcji energii elektrycznej. </w:t>
      </w:r>
      <w:r w:rsidR="00774A5F">
        <w:t xml:space="preserve">Dążenie do obniżenia kosztów energii elektrycznej </w:t>
      </w:r>
      <w:r w:rsidR="00932D49">
        <w:t>o</w:t>
      </w:r>
      <w:r w:rsidR="00932D49" w:rsidRPr="00932D49">
        <w:t>raz wzmacnianie bezpieczeństwa energetycznego poprze</w:t>
      </w:r>
      <w:r w:rsidR="00AA26AA">
        <w:t>z</w:t>
      </w:r>
      <w:r w:rsidR="00932D49" w:rsidRPr="00932D49">
        <w:t xml:space="preserve"> u</w:t>
      </w:r>
      <w:r w:rsidR="00390DD9">
        <w:t>nie</w:t>
      </w:r>
      <w:r w:rsidR="00932D49" w:rsidRPr="00932D49">
        <w:t>zależnieni</w:t>
      </w:r>
      <w:r w:rsidR="008C041A">
        <w:t>e</w:t>
      </w:r>
      <w:r w:rsidR="00932D49" w:rsidRPr="00932D49">
        <w:t xml:space="preserve"> się od importu paliw kopalnych to najważniejsze czynniki powodujące rozwój odnawialnych źródeł energii i ograniczanie</w:t>
      </w:r>
      <w:r w:rsidR="00452DA7" w:rsidRPr="00452DA7">
        <w:t xml:space="preserve"> </w:t>
      </w:r>
      <w:r w:rsidR="00D506BC" w:rsidRPr="004A2073">
        <w:t>udziału elektrowni węglowych</w:t>
      </w:r>
      <w:r w:rsidR="00D506BC">
        <w:t xml:space="preserve"> w </w:t>
      </w:r>
      <w:r w:rsidR="00D506BC" w:rsidRPr="004A2073">
        <w:t>strukturze produkcji energii elektrycznej. Przewiduje się istotny spadek produkcji energii elektrycznej</w:t>
      </w:r>
      <w:r w:rsidR="00D506BC">
        <w:t xml:space="preserve"> z </w:t>
      </w:r>
      <w:r w:rsidR="00D506BC" w:rsidRPr="004A2073">
        <w:t>węgla kamiennego</w:t>
      </w:r>
      <w:r w:rsidR="00D506BC">
        <w:t xml:space="preserve"> i </w:t>
      </w:r>
      <w:r w:rsidR="00D506BC" w:rsidRPr="004A2073">
        <w:t>brunatnego</w:t>
      </w:r>
      <w:r w:rsidR="00D506BC">
        <w:t xml:space="preserve"> w </w:t>
      </w:r>
      <w:r w:rsidR="00D506BC" w:rsidRPr="004A2073">
        <w:t>elektrowniach</w:t>
      </w:r>
      <w:r w:rsidR="00D506BC">
        <w:t xml:space="preserve"> i </w:t>
      </w:r>
      <w:r w:rsidR="00D506BC" w:rsidRPr="004A2073">
        <w:t>elektrociepłowniach jeszcze</w:t>
      </w:r>
      <w:r w:rsidR="00D506BC">
        <w:t xml:space="preserve"> w </w:t>
      </w:r>
      <w:r w:rsidR="00D506BC" w:rsidRPr="004A2073">
        <w:t xml:space="preserve">obecnej dekadzie. </w:t>
      </w:r>
      <w:r w:rsidR="00D506BC">
        <w:t>Zgodnie z otrzymanymi wynikami analiz, p</w:t>
      </w:r>
      <w:r w:rsidR="00D506BC" w:rsidRPr="004A2073">
        <w:t>rodukcja energii elektrycznej</w:t>
      </w:r>
      <w:r w:rsidR="00D506BC">
        <w:t xml:space="preserve"> w </w:t>
      </w:r>
      <w:r w:rsidR="00D506BC" w:rsidRPr="004A2073">
        <w:t>el</w:t>
      </w:r>
      <w:r w:rsidR="00D506BC">
        <w:t>ektrowniach i </w:t>
      </w:r>
      <w:r w:rsidR="00D506BC" w:rsidRPr="004A2073">
        <w:t>e</w:t>
      </w:r>
      <w:r w:rsidR="00D506BC">
        <w:t>lektrociepłowniach</w:t>
      </w:r>
      <w:r w:rsidR="00D506BC" w:rsidRPr="004A2073">
        <w:t xml:space="preserve"> na węgiel kamienny obniża się</w:t>
      </w:r>
      <w:r w:rsidR="00D506BC">
        <w:t xml:space="preserve"> z </w:t>
      </w:r>
      <w:r w:rsidR="00D506BC" w:rsidRPr="004A2073">
        <w:t>poziomu 70,7 TWh</w:t>
      </w:r>
      <w:r w:rsidR="00D506BC">
        <w:t xml:space="preserve"> w </w:t>
      </w:r>
      <w:r w:rsidR="00D506BC" w:rsidRPr="004A2073">
        <w:t>2020</w:t>
      </w:r>
      <w:r w:rsidR="00D506BC">
        <w:t> r. do 27,4 w </w:t>
      </w:r>
      <w:r w:rsidR="00D506BC" w:rsidRPr="004A2073">
        <w:t>2030</w:t>
      </w:r>
      <w:r w:rsidR="00D506BC">
        <w:t> r.</w:t>
      </w:r>
      <w:r w:rsidR="00D506BC" w:rsidRPr="004A2073">
        <w:t>, natomiast na węgiel brunatny</w:t>
      </w:r>
      <w:r w:rsidR="00D506BC">
        <w:t xml:space="preserve"> z poziomu 38,1 TWh do 14,0</w:t>
      </w:r>
      <w:r w:rsidR="00D506BC" w:rsidRPr="004A2073">
        <w:t xml:space="preserve"> TWh. Produkcja energii elektrycznej na węglu kamiennym spada do zera</w:t>
      </w:r>
      <w:r w:rsidR="00D506BC">
        <w:t xml:space="preserve"> w perspektywie 204</w:t>
      </w:r>
      <w:r w:rsidR="00D506BC" w:rsidRPr="004A2073">
        <w:t>0</w:t>
      </w:r>
      <w:r w:rsidR="00D506BC">
        <w:t> r.</w:t>
      </w:r>
      <w:r w:rsidR="00D506BC" w:rsidRPr="004A2073">
        <w:t>,</w:t>
      </w:r>
      <w:r w:rsidR="00D506BC">
        <w:t xml:space="preserve"> a </w:t>
      </w:r>
      <w:r w:rsidR="00D506BC" w:rsidRPr="004A2073">
        <w:t>na węglu brunatnym</w:t>
      </w:r>
      <w:r w:rsidR="00D506BC">
        <w:t xml:space="preserve"> w perspektywie 2035 r</w:t>
      </w:r>
      <w:r w:rsidR="00D506BC" w:rsidRPr="004A2073">
        <w:t>. Głównym czynnikiem wpływającym na wspomniany proces jest stopniowe wypychanie jednostek węglowych</w:t>
      </w:r>
      <w:r w:rsidR="00D506BC">
        <w:t xml:space="preserve"> z </w:t>
      </w:r>
      <w:r w:rsidR="00D506BC" w:rsidRPr="004A2073">
        <w:t>krzywej „merit order” m.in.</w:t>
      </w:r>
      <w:r w:rsidR="00D506BC">
        <w:t xml:space="preserve"> z </w:t>
      </w:r>
      <w:r w:rsidR="00D506BC" w:rsidRPr="004A2073">
        <w:t>powodu dynamicznego wzrostu produkcji</w:t>
      </w:r>
      <w:r w:rsidR="00D506BC">
        <w:t xml:space="preserve"> z </w:t>
      </w:r>
      <w:r w:rsidR="00D506BC" w:rsidRPr="004A2073">
        <w:t>OZE</w:t>
      </w:r>
      <w:r w:rsidR="00D506BC">
        <w:t xml:space="preserve"> i pojawienie się od 2036 r. pierwszych elektrowni jądrowych</w:t>
      </w:r>
      <w:r w:rsidR="00D506BC" w:rsidRPr="004A2073">
        <w:t xml:space="preserve">. Jednostki </w:t>
      </w:r>
      <w:r w:rsidR="00D506BC">
        <w:t>węglowe</w:t>
      </w:r>
      <w:r w:rsidR="00D506BC" w:rsidRPr="004A2073">
        <w:t xml:space="preserve"> będą wytwarzać mniej energii</w:t>
      </w:r>
      <w:r w:rsidR="00D506BC">
        <w:t xml:space="preserve"> w </w:t>
      </w:r>
      <w:r w:rsidR="00D506BC" w:rsidRPr="004A2073">
        <w:t>przeliczeniu na jednostkę mocy</w:t>
      </w:r>
      <w:r w:rsidR="005E1DBC">
        <w:t xml:space="preserve">. Ich potencjalna rola w przyszłości </w:t>
      </w:r>
      <w:r w:rsidR="00CC2F9C">
        <w:t>może ograniczać się do zapewnienia m</w:t>
      </w:r>
      <w:r w:rsidR="0009643F">
        <w:t>ocy rezerwowych, jednak będzie to zależne od konkurencyjności wobec innych technologii</w:t>
      </w:r>
      <w:r w:rsidR="00E005F9">
        <w:t>, takich jak magazyny energii oraz źródła gazowe</w:t>
      </w:r>
      <w:r w:rsidR="00D506BC" w:rsidRPr="004A2073">
        <w:t>.</w:t>
      </w:r>
      <w:r w:rsidR="00D506BC">
        <w:t xml:space="preserve"> W </w:t>
      </w:r>
      <w:r w:rsidR="00D506BC" w:rsidRPr="004A2073">
        <w:t>celu spełniania kryterium bezpieczeństwa systemowego przyjęto, że bez względu na przewidywany czas pracy poszczególnych jednostek,</w:t>
      </w:r>
      <w:r w:rsidR="00D506BC">
        <w:t xml:space="preserve"> a </w:t>
      </w:r>
      <w:r w:rsidR="00D506BC" w:rsidRPr="004A2073">
        <w:t>tym samym zdolność do osiągnięcia progu rentowności, jednostki węglowe nie będą odstawiane do czasu pokrycia zapotrzebowania na moc przez inne źródła wytwórcze</w:t>
      </w:r>
      <w:r w:rsidR="00D506BC" w:rsidRPr="004A2073" w:rsidDel="00644632">
        <w:t xml:space="preserve">. </w:t>
      </w:r>
    </w:p>
    <w:p w14:paraId="73DE7956" w14:textId="6539D7D1" w:rsidR="00D506BC" w:rsidRDefault="00D506BC" w:rsidP="00D506BC">
      <w:pPr>
        <w:spacing w:after="0"/>
      </w:pPr>
      <w:r>
        <w:t xml:space="preserve">Okres transformacji wiąże się ze zwiększonym ryzykiem zapewnienia bezpieczeństwa pracy krajowego systemu elektroenergetycznego. Źródła węglowe będą sukcesywnie zastępowane przez źródła odnawialne, uzupełniane przez magazyny energii, jednostki gazowe oraz jądrowe. Skala inwestycji potrzebna do przeprowadzenia transformacji wytwarzania energii jest </w:t>
      </w:r>
      <w:r w:rsidR="00644632">
        <w:t>du</w:t>
      </w:r>
      <w:r w:rsidR="00813D34">
        <w:t>ża</w:t>
      </w:r>
      <w:r>
        <w:t>, co wiąże się z ryzykiem wystąpienia opóźnień w oddawaniu do eksploatacji nowych źródeł wytwórczych.</w:t>
      </w:r>
    </w:p>
    <w:p w14:paraId="47D54638" w14:textId="13DA9A27" w:rsidR="00D506BC" w:rsidRDefault="00D506BC" w:rsidP="00D96518">
      <w:pPr>
        <w:spacing w:after="0"/>
      </w:pPr>
      <w:r>
        <w:t>Jednostki węglowe rok po roku będą traciły udział w rynku – ograniczenie produkcji będzie prowadziło do wzrostu jednostkowych kosztów produkcji, a to z kolei doprowadzi do spadku zdolności sprzedażowych. Malejący strumień przychodów będzie powodował rosnące kłopoty finansowe tych jednostek, które nie będą w stanie pokrywać swoich kosztów z przychodów z rynku hurtowego</w:t>
      </w:r>
      <w:r w:rsidDel="00D96518">
        <w:t>.</w:t>
      </w:r>
    </w:p>
    <w:p w14:paraId="5BF39D45" w14:textId="54C2550E" w:rsidR="00D506BC" w:rsidRDefault="00D506BC" w:rsidP="00D506BC">
      <w:r>
        <w:t>Produkcja w </w:t>
      </w:r>
      <w:r w:rsidRPr="00B24C0C">
        <w:t xml:space="preserve">jednostkach gazowych (nowe jednostki to głównie wysokosprawne bloki parowo-gazowe) </w:t>
      </w:r>
      <w:r>
        <w:t>wzrośnie z 17,4 TWh w 2020 r. do 41,6 TWh w 2030 r., a </w:t>
      </w:r>
      <w:r w:rsidRPr="00B24C0C">
        <w:t xml:space="preserve">następnie </w:t>
      </w:r>
      <w:r>
        <w:t xml:space="preserve">ulegać będzie stopniowemu obniżaniu </w:t>
      </w:r>
      <w:r w:rsidR="00437C6C">
        <w:t xml:space="preserve">do </w:t>
      </w:r>
      <w:r>
        <w:t>15,9 TWh w 2040</w:t>
      </w:r>
      <w:r w:rsidR="00437C6C">
        <w:t xml:space="preserve"> r</w:t>
      </w:r>
      <w:r>
        <w:t>.</w:t>
      </w:r>
      <w:r w:rsidRPr="00B24C0C">
        <w:t xml:space="preserve"> </w:t>
      </w:r>
      <w:r>
        <w:t>Jest to jednak uzależnione od tempa i zakresu rozwoju pozostałych źródeł wytwórczych (w tym przede wszystkim źródeł jądrowych).</w:t>
      </w:r>
      <w:r w:rsidRPr="00B24C0C">
        <w:t xml:space="preserve"> </w:t>
      </w:r>
      <w:r w:rsidR="0096407D" w:rsidRPr="0096407D">
        <w:t>Biorąc pod uwagę konieczność obn</w:t>
      </w:r>
      <w:r w:rsidR="000D227A">
        <w:t>i</w:t>
      </w:r>
      <w:r w:rsidR="0096407D" w:rsidRPr="0096407D">
        <w:t xml:space="preserve">żania cen </w:t>
      </w:r>
      <w:r w:rsidR="0096407D">
        <w:t>energii, z</w:t>
      </w:r>
      <w:r>
        <w:t>arówno unijna jak i krajowa polityka energetyczna</w:t>
      </w:r>
      <w:r w:rsidRPr="00B24C0C">
        <w:t xml:space="preserve"> </w:t>
      </w:r>
      <w:r>
        <w:t>sprzyjać będzie wdrażaniu</w:t>
      </w:r>
      <w:r w:rsidRPr="00B24C0C">
        <w:t xml:space="preserve"> nowych niskoemisyjnych źródeł,</w:t>
      </w:r>
      <w:r>
        <w:t xml:space="preserve"> z </w:t>
      </w:r>
      <w:r w:rsidRPr="00B24C0C">
        <w:t>których dużą część stanowić będą niesterowalne źródła odnawialne charakteryzujące się</w:t>
      </w:r>
      <w:r>
        <w:t xml:space="preserve"> </w:t>
      </w:r>
      <w:r w:rsidRPr="00B24C0C">
        <w:t>zmiennością produkcji (elektrownie wiatrowe</w:t>
      </w:r>
      <w:r>
        <w:t xml:space="preserve"> i </w:t>
      </w:r>
      <w:r w:rsidRPr="00B24C0C">
        <w:t>fotowoltaika). Występowanie tego rodzaju źródeł wytwarzania</w:t>
      </w:r>
      <w:r>
        <w:t xml:space="preserve"> w </w:t>
      </w:r>
      <w:r w:rsidRPr="00B24C0C">
        <w:t>przewidywanych ilościach wymagać będzie inwestowania</w:t>
      </w:r>
      <w:r>
        <w:t xml:space="preserve"> w </w:t>
      </w:r>
      <w:r w:rsidRPr="00B24C0C">
        <w:t>elastyczne źr</w:t>
      </w:r>
      <w:r>
        <w:t>ódła: turbiny gazowe, a także</w:t>
      </w:r>
      <w:r w:rsidR="0010357D">
        <w:t xml:space="preserve"> </w:t>
      </w:r>
      <w:r>
        <w:t>magazyny energii,</w:t>
      </w:r>
      <w:r w:rsidRPr="00B24C0C">
        <w:t xml:space="preserve"> niezbędne dla integracji</w:t>
      </w:r>
      <w:r>
        <w:t xml:space="preserve"> OZE w </w:t>
      </w:r>
      <w:r w:rsidRPr="00B24C0C">
        <w:t>systemie elektroenergetycznym.</w:t>
      </w:r>
      <w:r>
        <w:t xml:space="preserve"> W latach 2020-2030 u</w:t>
      </w:r>
      <w:r w:rsidRPr="00B24C0C">
        <w:t>dział OZE</w:t>
      </w:r>
      <w:r>
        <w:t xml:space="preserve"> w </w:t>
      </w:r>
      <w:r w:rsidRPr="00B24C0C">
        <w:t>produkcji energii elektrycznej netto zostanie</w:t>
      </w:r>
      <w:r>
        <w:t xml:space="preserve"> więcej niż</w:t>
      </w:r>
      <w:r w:rsidRPr="00B24C0C">
        <w:t xml:space="preserve"> po</w:t>
      </w:r>
      <w:r>
        <w:t>trojony</w:t>
      </w:r>
      <w:r w:rsidRPr="00B24C0C">
        <w:t xml:space="preserve"> </w:t>
      </w:r>
      <w:r>
        <w:t>(udział wzrośnie z 16,2% do 52%)</w:t>
      </w:r>
      <w:r w:rsidRPr="00B24C0C">
        <w:t xml:space="preserve">. </w:t>
      </w:r>
      <w:r>
        <w:t>Należy tutaj zauważyć, że gaz ziemny w nowych jednostkach będzie po 2035 r. sukcesywnie zastępowany</w:t>
      </w:r>
      <w:r w:rsidR="00AC17E6">
        <w:t xml:space="preserve"> </w:t>
      </w:r>
      <w:r w:rsidR="00E51D85">
        <w:t>rosnącym</w:t>
      </w:r>
      <w:r w:rsidR="00E74FD6">
        <w:t xml:space="preserve"> udziałem biometanu w sieciach gazowych </w:t>
      </w:r>
      <w:r w:rsidR="00E51D85">
        <w:t>oraz</w:t>
      </w:r>
      <w:r>
        <w:t xml:space="preserve"> wodorem (w analizie założono, że wszystkie nowe jednostki będą przystosowane do spalania wodoru). </w:t>
      </w:r>
      <w:r w:rsidRPr="00B24C0C">
        <w:t xml:space="preserve">Bardzo ważnym elementem </w:t>
      </w:r>
      <w:r>
        <w:t>transformacji sektora elektroenergetycznego</w:t>
      </w:r>
      <w:r w:rsidRPr="00B24C0C">
        <w:t xml:space="preserve"> jest rozwój energetyki jądrowej</w:t>
      </w:r>
      <w:r>
        <w:t xml:space="preserve"> w </w:t>
      </w:r>
      <w:r w:rsidRPr="00B24C0C">
        <w:t xml:space="preserve">Polsce. </w:t>
      </w:r>
      <w:r>
        <w:t xml:space="preserve">Zgodnie z przyjętymi założeniami, </w:t>
      </w:r>
      <w:r w:rsidRPr="00B24C0C">
        <w:t xml:space="preserve">pierwszy blok elektrowni jądrowej </w:t>
      </w:r>
      <w:r>
        <w:t xml:space="preserve">zostanie oddany do użytku w 2036 r., a kolejne będą uruchamiane w 2036, 2037, 2038, 2040, 2041 i 2043 r. </w:t>
      </w:r>
      <w:r w:rsidRPr="00B24C0C">
        <w:t>Szacowana p</w:t>
      </w:r>
      <w:r>
        <w:t>rodukcja energii elektrycznej brutto z elektrowni jądrowych w 2040 r. wyniesie 27,4 TWh</w:t>
      </w:r>
      <w:r w:rsidRPr="00B24C0C">
        <w:t>. Proces transformacji polskiej energetyki, będzie procesem długotrwałym</w:t>
      </w:r>
      <w:r>
        <w:t xml:space="preserve"> i kosztownym. Musi on zostać rozłożony w </w:t>
      </w:r>
      <w:r w:rsidRPr="00B24C0C">
        <w:t>czasie,</w:t>
      </w:r>
      <w:r>
        <w:t xml:space="preserve"> w </w:t>
      </w:r>
      <w:r w:rsidRPr="00B24C0C">
        <w:t>taki sposób, aby możliwym było ła</w:t>
      </w:r>
      <w:r>
        <w:t>godzenie skutków gospodarczych i </w:t>
      </w:r>
      <w:r w:rsidRPr="00B24C0C">
        <w:t>społecznych</w:t>
      </w:r>
      <w:r>
        <w:t xml:space="preserve"> z </w:t>
      </w:r>
      <w:r w:rsidRPr="00B24C0C">
        <w:t xml:space="preserve">niego wynikających. </w:t>
      </w:r>
      <w:r>
        <w:t>Jednocześnie istotnym aspektem jest jego realizacja we wszystkich obszarach, ponieważ tak istotny wzrost produkcji energii elektrycznej z pogodozależnych źródeł wytwórczych będzie wymagał wdrożenia skutecznych sposobów zagospodarowania nadwyżek. Istotnym elementem transformacji energetycznej jest synchronizacja działań podejmowanych w różnych sektorach i wykorzystanie efektu synergii. Jednym ze sposobów na zagospodarowanie wspomnianych nadwyżek jest elektryfikacj</w:t>
      </w:r>
      <w:r w:rsidR="003A1EF8">
        <w:t>a</w:t>
      </w:r>
      <w:r>
        <w:t xml:space="preserve"> ciepłownictwa, zarówno systemowego, jak i indywidualnego. </w:t>
      </w:r>
    </w:p>
    <w:p w14:paraId="2BE5527C" w14:textId="37701659" w:rsidR="00D506BC" w:rsidRDefault="00D506BC" w:rsidP="00D506BC">
      <w:r>
        <w:t>Ważnym elementem transformacji będzie rozwój elektromobilności i elektryfikacji wielu kierunków użytkowania energii. Kluczową rolę</w:t>
      </w:r>
      <w:r w:rsidRPr="00030A52">
        <w:t xml:space="preserve"> będzie odgrywał </w:t>
      </w:r>
      <w:r>
        <w:t>również</w:t>
      </w:r>
      <w:r w:rsidR="00AC17E6">
        <w:t xml:space="preserve"> biometan i</w:t>
      </w:r>
      <w:r>
        <w:t xml:space="preserve"> </w:t>
      </w:r>
      <w:r w:rsidRPr="00030A52">
        <w:t>wodór</w:t>
      </w:r>
      <w:r>
        <w:t>. W </w:t>
      </w:r>
      <w:r w:rsidRPr="00030A52">
        <w:t xml:space="preserve">sektorze elektroenergetycznym, </w:t>
      </w:r>
      <w:r w:rsidR="00682D0C">
        <w:t xml:space="preserve">bloki </w:t>
      </w:r>
      <w:r w:rsidR="00FE7072">
        <w:t xml:space="preserve">na </w:t>
      </w:r>
      <w:r w:rsidR="00763D12">
        <w:t xml:space="preserve">paliwa gazowe </w:t>
      </w:r>
      <w:r w:rsidRPr="00030A52">
        <w:t>to przede wszystkim źródło elastyczności</w:t>
      </w:r>
      <w:r>
        <w:t xml:space="preserve"> </w:t>
      </w:r>
      <w:r w:rsidR="00763D12">
        <w:t>przy rosnącym</w:t>
      </w:r>
      <w:r w:rsidRPr="00030A52">
        <w:t xml:space="preserve"> udzia</w:t>
      </w:r>
      <w:r w:rsidR="00763D12">
        <w:t>le</w:t>
      </w:r>
      <w:r w:rsidRPr="00030A52">
        <w:t xml:space="preserve"> źródeł OZE</w:t>
      </w:r>
      <w:r>
        <w:t xml:space="preserve">. </w:t>
      </w:r>
      <w:r w:rsidR="00770A6C">
        <w:t>Odnawialne gazy - b</w:t>
      </w:r>
      <w:r w:rsidR="00AC17E6">
        <w:t>iometan i wodór</w:t>
      </w:r>
      <w:r w:rsidRPr="00DE2361">
        <w:t xml:space="preserve"> stanowią</w:t>
      </w:r>
      <w:r w:rsidRPr="00DE2361" w:rsidDel="005D20FD">
        <w:t xml:space="preserve"> </w:t>
      </w:r>
      <w:r w:rsidR="005D20FD">
        <w:t>szansę</w:t>
      </w:r>
      <w:r w:rsidR="005D20FD" w:rsidRPr="00DE2361">
        <w:t xml:space="preserve"> </w:t>
      </w:r>
      <w:r w:rsidRPr="00DE2361">
        <w:t>dla wielkoskalowego</w:t>
      </w:r>
      <w:r>
        <w:t xml:space="preserve"> i </w:t>
      </w:r>
      <w:r w:rsidRPr="00DE2361">
        <w:t>długoterminowego magazynowania energii</w:t>
      </w:r>
      <w:r>
        <w:t xml:space="preserve"> w </w:t>
      </w:r>
      <w:r w:rsidRPr="00DE2361">
        <w:t>celu zrównoważenia sezonowych zmian zapotrzebowania na energię elektryczną.</w:t>
      </w:r>
      <w:r>
        <w:t xml:space="preserve"> W </w:t>
      </w:r>
      <w:r w:rsidRPr="00DE2361">
        <w:t>tym aspekcie przewyższają one techniczne możliwości magazynowania oferowane przez systemy bateryjne, które zazwyczaj operują</w:t>
      </w:r>
      <w:r>
        <w:t xml:space="preserve"> w </w:t>
      </w:r>
      <w:r w:rsidRPr="00DE2361">
        <w:t>krótkich, kilkugodzinowych cyklach.</w:t>
      </w:r>
      <w:r>
        <w:t xml:space="preserve"> W analizie założono, </w:t>
      </w:r>
      <w:r w:rsidR="00535B5A">
        <w:t xml:space="preserve">że </w:t>
      </w:r>
      <w:r w:rsidR="00C3703A">
        <w:t>nowobudowane jednostki gazowe będą przystosowane do spalania wodoru w przyszłości</w:t>
      </w:r>
      <w:r w:rsidR="00C3703A" w:rsidRPr="004076AA">
        <w:t>.</w:t>
      </w:r>
      <w:r w:rsidR="00C6534B" w:rsidDel="00C6534B">
        <w:t xml:space="preserve"> </w:t>
      </w:r>
    </w:p>
    <w:p w14:paraId="30921F00" w14:textId="77777777" w:rsidR="004461CC" w:rsidRDefault="004461CC" w:rsidP="00A9627A">
      <w:pPr>
        <w:pStyle w:val="Legenda"/>
      </w:pPr>
      <w:r>
        <w:br w:type="page"/>
      </w:r>
    </w:p>
    <w:p w14:paraId="76780FC2" w14:textId="1410F2BD" w:rsidR="005C4144" w:rsidRPr="00D919C4" w:rsidRDefault="005C4144" w:rsidP="00A9627A">
      <w:pPr>
        <w:pStyle w:val="Legenda"/>
      </w:pPr>
      <w:bookmarkStart w:id="485" w:name="_Ref156900713"/>
      <w:bookmarkStart w:id="486" w:name="_Ref195872031"/>
      <w:bookmarkStart w:id="487" w:name="_Toc171587209"/>
      <w:bookmarkStart w:id="488" w:name="_Toc174710993"/>
      <w:bookmarkStart w:id="489" w:name="_Toc202967000"/>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3</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10</w:t>
      </w:r>
      <w:r w:rsidR="00653D9A">
        <w:rPr>
          <w:noProof/>
        </w:rPr>
        <w:fldChar w:fldCharType="end"/>
      </w:r>
      <w:bookmarkEnd w:id="485"/>
      <w:bookmarkEnd w:id="486"/>
      <w:r>
        <w:t xml:space="preserve">. </w:t>
      </w:r>
      <w:r w:rsidRPr="00D919C4">
        <w:t xml:space="preserve">Produkcja energii elektrycznej brutto [TWh] – scenariusz </w:t>
      </w:r>
      <w:r>
        <w:t>WAM</w:t>
      </w:r>
      <w:bookmarkEnd w:id="487"/>
      <w:bookmarkEnd w:id="488"/>
      <w:bookmarkEnd w:id="489"/>
    </w:p>
    <w:tbl>
      <w:tblPr>
        <w:tblStyle w:val="KPEiK"/>
        <w:tblW w:w="5000" w:type="pct"/>
        <w:tblLayout w:type="fixed"/>
        <w:tblLook w:val="04A0" w:firstRow="1" w:lastRow="0" w:firstColumn="1" w:lastColumn="0" w:noHBand="0" w:noVBand="1"/>
      </w:tblPr>
      <w:tblGrid>
        <w:gridCol w:w="2452"/>
        <w:gridCol w:w="826"/>
        <w:gridCol w:w="826"/>
        <w:gridCol w:w="826"/>
        <w:gridCol w:w="827"/>
        <w:gridCol w:w="826"/>
        <w:gridCol w:w="826"/>
        <w:gridCol w:w="826"/>
        <w:gridCol w:w="827"/>
      </w:tblGrid>
      <w:tr w:rsidR="005366FD" w:rsidRPr="00D919C4" w14:paraId="750F8527" w14:textId="77777777" w:rsidTr="004B6693">
        <w:trPr>
          <w:cnfStyle w:val="100000000000" w:firstRow="1" w:lastRow="0" w:firstColumn="0" w:lastColumn="0" w:oddVBand="0" w:evenVBand="0" w:oddHBand="0" w:evenHBand="0" w:firstRowFirstColumn="0" w:firstRowLastColumn="0" w:lastRowFirstColumn="0" w:lastRowLastColumn="0"/>
          <w:trHeight w:val="290"/>
          <w:tblHeader/>
        </w:trPr>
        <w:tc>
          <w:tcPr>
            <w:tcW w:w="2452" w:type="dxa"/>
            <w:noWrap/>
          </w:tcPr>
          <w:p w14:paraId="1DB833FD" w14:textId="77777777" w:rsidR="005366FD" w:rsidRPr="00D919C4" w:rsidRDefault="005366FD">
            <w:pPr>
              <w:pStyle w:val="Tabele"/>
              <w:jc w:val="center"/>
            </w:pPr>
          </w:p>
        </w:tc>
        <w:tc>
          <w:tcPr>
            <w:tcW w:w="826" w:type="dxa"/>
            <w:tcBorders>
              <w:bottom w:val="single" w:sz="4" w:space="0" w:color="808080"/>
            </w:tcBorders>
            <w:noWrap/>
            <w:hideMark/>
          </w:tcPr>
          <w:p w14:paraId="3EAF2D14" w14:textId="77777777" w:rsidR="005366FD" w:rsidRPr="00D919C4" w:rsidRDefault="005366FD">
            <w:pPr>
              <w:pStyle w:val="Tabele"/>
              <w:jc w:val="center"/>
              <w:rPr>
                <w:bCs/>
              </w:rPr>
            </w:pPr>
            <w:r w:rsidRPr="00D919C4">
              <w:rPr>
                <w:bCs/>
              </w:rPr>
              <w:t>2005</w:t>
            </w:r>
          </w:p>
        </w:tc>
        <w:tc>
          <w:tcPr>
            <w:tcW w:w="826" w:type="dxa"/>
            <w:tcBorders>
              <w:bottom w:val="single" w:sz="4" w:space="0" w:color="808080"/>
            </w:tcBorders>
            <w:noWrap/>
            <w:hideMark/>
          </w:tcPr>
          <w:p w14:paraId="61612CA2" w14:textId="77777777" w:rsidR="005366FD" w:rsidRPr="00D919C4" w:rsidRDefault="005366FD">
            <w:pPr>
              <w:pStyle w:val="Tabele"/>
              <w:jc w:val="center"/>
              <w:rPr>
                <w:bCs/>
              </w:rPr>
            </w:pPr>
            <w:r w:rsidRPr="00D919C4">
              <w:rPr>
                <w:bCs/>
              </w:rPr>
              <w:t>2010</w:t>
            </w:r>
          </w:p>
        </w:tc>
        <w:tc>
          <w:tcPr>
            <w:tcW w:w="826" w:type="dxa"/>
            <w:tcBorders>
              <w:bottom w:val="single" w:sz="4" w:space="0" w:color="808080"/>
            </w:tcBorders>
            <w:noWrap/>
            <w:hideMark/>
          </w:tcPr>
          <w:p w14:paraId="67FA30EB" w14:textId="77777777" w:rsidR="005366FD" w:rsidRPr="00D919C4" w:rsidRDefault="005366FD">
            <w:pPr>
              <w:pStyle w:val="Tabele"/>
              <w:jc w:val="center"/>
              <w:rPr>
                <w:bCs/>
              </w:rPr>
            </w:pPr>
            <w:r w:rsidRPr="00D919C4">
              <w:rPr>
                <w:bCs/>
              </w:rPr>
              <w:t>2015</w:t>
            </w:r>
          </w:p>
        </w:tc>
        <w:tc>
          <w:tcPr>
            <w:tcW w:w="827" w:type="dxa"/>
            <w:tcBorders>
              <w:bottom w:val="single" w:sz="4" w:space="0" w:color="808080"/>
            </w:tcBorders>
            <w:noWrap/>
            <w:hideMark/>
          </w:tcPr>
          <w:p w14:paraId="0433A10F" w14:textId="77777777" w:rsidR="005366FD" w:rsidRPr="00D919C4" w:rsidRDefault="005366FD">
            <w:pPr>
              <w:pStyle w:val="Tabele"/>
              <w:jc w:val="center"/>
              <w:rPr>
                <w:bCs/>
              </w:rPr>
            </w:pPr>
            <w:r w:rsidRPr="00D919C4">
              <w:rPr>
                <w:bCs/>
              </w:rPr>
              <w:t>2020</w:t>
            </w:r>
          </w:p>
        </w:tc>
        <w:tc>
          <w:tcPr>
            <w:tcW w:w="826" w:type="dxa"/>
            <w:noWrap/>
            <w:hideMark/>
          </w:tcPr>
          <w:p w14:paraId="4BB66F53" w14:textId="77777777" w:rsidR="005366FD" w:rsidRPr="00D919C4" w:rsidRDefault="005366FD">
            <w:pPr>
              <w:pStyle w:val="Tabele"/>
              <w:jc w:val="center"/>
              <w:rPr>
                <w:bCs/>
              </w:rPr>
            </w:pPr>
            <w:r w:rsidRPr="00D919C4">
              <w:rPr>
                <w:bCs/>
              </w:rPr>
              <w:t>2025</w:t>
            </w:r>
          </w:p>
        </w:tc>
        <w:tc>
          <w:tcPr>
            <w:tcW w:w="826" w:type="dxa"/>
            <w:noWrap/>
            <w:hideMark/>
          </w:tcPr>
          <w:p w14:paraId="30D9A9CE" w14:textId="77777777" w:rsidR="005366FD" w:rsidRPr="00D919C4" w:rsidRDefault="005366FD">
            <w:pPr>
              <w:pStyle w:val="Tabele"/>
              <w:jc w:val="center"/>
              <w:rPr>
                <w:bCs/>
              </w:rPr>
            </w:pPr>
            <w:r w:rsidRPr="00D919C4">
              <w:rPr>
                <w:bCs/>
              </w:rPr>
              <w:t>2030</w:t>
            </w:r>
          </w:p>
        </w:tc>
        <w:tc>
          <w:tcPr>
            <w:tcW w:w="826" w:type="dxa"/>
            <w:noWrap/>
            <w:hideMark/>
          </w:tcPr>
          <w:p w14:paraId="295417D5" w14:textId="77777777" w:rsidR="005366FD" w:rsidRPr="00D919C4" w:rsidRDefault="005366FD">
            <w:pPr>
              <w:pStyle w:val="Tabele"/>
              <w:jc w:val="center"/>
              <w:rPr>
                <w:bCs/>
              </w:rPr>
            </w:pPr>
            <w:r w:rsidRPr="00D919C4">
              <w:rPr>
                <w:bCs/>
              </w:rPr>
              <w:t>2035</w:t>
            </w:r>
          </w:p>
        </w:tc>
        <w:tc>
          <w:tcPr>
            <w:tcW w:w="827" w:type="dxa"/>
          </w:tcPr>
          <w:p w14:paraId="1A23119C" w14:textId="77777777" w:rsidR="005366FD" w:rsidRPr="00D919C4" w:rsidRDefault="005366FD">
            <w:pPr>
              <w:pStyle w:val="Tabele"/>
              <w:jc w:val="center"/>
              <w:rPr>
                <w:bCs/>
              </w:rPr>
            </w:pPr>
            <w:r>
              <w:rPr>
                <w:bCs/>
              </w:rPr>
              <w:t>2040</w:t>
            </w:r>
          </w:p>
        </w:tc>
      </w:tr>
      <w:tr w:rsidR="00431332" w:rsidRPr="00F85B97" w14:paraId="0AE0F70E" w14:textId="77777777" w:rsidTr="004B6693">
        <w:trPr>
          <w:trHeight w:val="290"/>
        </w:trPr>
        <w:tc>
          <w:tcPr>
            <w:tcW w:w="2452" w:type="dxa"/>
            <w:noWrap/>
            <w:hideMark/>
          </w:tcPr>
          <w:p w14:paraId="6F741789" w14:textId="77777777" w:rsidR="00431332" w:rsidRPr="005366FD" w:rsidRDefault="00431332">
            <w:pPr>
              <w:pStyle w:val="Tabele"/>
              <w:rPr>
                <w:color w:val="auto"/>
              </w:rPr>
            </w:pPr>
            <w:r w:rsidRPr="005366FD">
              <w:rPr>
                <w:rFonts w:cs="Arial"/>
                <w:color w:val="auto"/>
                <w:szCs w:val="16"/>
              </w:rPr>
              <w:t>Węgiel brunatny</w:t>
            </w:r>
          </w:p>
        </w:tc>
        <w:tc>
          <w:tcPr>
            <w:tcW w:w="826" w:type="dxa"/>
            <w:shd w:val="clear" w:color="auto" w:fill="E2EFD9" w:themeFill="accent6" w:themeFillTint="33"/>
            <w:noWrap/>
            <w:hideMark/>
          </w:tcPr>
          <w:p w14:paraId="53B7D20A" w14:textId="77777777" w:rsidR="00431332" w:rsidRPr="005366FD" w:rsidRDefault="00431332">
            <w:pPr>
              <w:pStyle w:val="Tabele"/>
              <w:jc w:val="right"/>
              <w:rPr>
                <w:color w:val="auto"/>
              </w:rPr>
            </w:pPr>
            <w:r w:rsidRPr="005366FD">
              <w:rPr>
                <w:rFonts w:cs="Arial"/>
                <w:color w:val="auto"/>
                <w:szCs w:val="16"/>
              </w:rPr>
              <w:t>54,8</w:t>
            </w:r>
          </w:p>
        </w:tc>
        <w:tc>
          <w:tcPr>
            <w:tcW w:w="826" w:type="dxa"/>
            <w:shd w:val="clear" w:color="auto" w:fill="E2EFD9" w:themeFill="accent6" w:themeFillTint="33"/>
            <w:noWrap/>
            <w:hideMark/>
          </w:tcPr>
          <w:p w14:paraId="4E01996E" w14:textId="77777777" w:rsidR="00431332" w:rsidRPr="005366FD" w:rsidRDefault="00431332">
            <w:pPr>
              <w:pStyle w:val="Tabele"/>
              <w:jc w:val="right"/>
              <w:rPr>
                <w:color w:val="auto"/>
              </w:rPr>
            </w:pPr>
            <w:r w:rsidRPr="005366FD">
              <w:rPr>
                <w:rFonts w:cs="Arial"/>
                <w:color w:val="auto"/>
                <w:szCs w:val="16"/>
              </w:rPr>
              <w:t>48,7</w:t>
            </w:r>
          </w:p>
        </w:tc>
        <w:tc>
          <w:tcPr>
            <w:tcW w:w="826" w:type="dxa"/>
            <w:shd w:val="clear" w:color="auto" w:fill="E2EFD9" w:themeFill="accent6" w:themeFillTint="33"/>
            <w:noWrap/>
            <w:hideMark/>
          </w:tcPr>
          <w:p w14:paraId="2E67FBF6" w14:textId="77777777" w:rsidR="00431332" w:rsidRPr="005366FD" w:rsidRDefault="00431332">
            <w:pPr>
              <w:pStyle w:val="Tabele"/>
              <w:jc w:val="right"/>
              <w:rPr>
                <w:color w:val="auto"/>
              </w:rPr>
            </w:pPr>
            <w:r w:rsidRPr="005366FD">
              <w:rPr>
                <w:rFonts w:cs="Arial"/>
                <w:color w:val="auto"/>
                <w:szCs w:val="16"/>
              </w:rPr>
              <w:t>52,8</w:t>
            </w:r>
          </w:p>
        </w:tc>
        <w:tc>
          <w:tcPr>
            <w:tcW w:w="827" w:type="dxa"/>
            <w:shd w:val="clear" w:color="auto" w:fill="E2EFD9" w:themeFill="accent6" w:themeFillTint="33"/>
            <w:noWrap/>
            <w:hideMark/>
          </w:tcPr>
          <w:p w14:paraId="6639CE87" w14:textId="77777777" w:rsidR="00431332" w:rsidRPr="005366FD" w:rsidRDefault="00431332">
            <w:pPr>
              <w:pStyle w:val="Tabele"/>
              <w:jc w:val="right"/>
              <w:rPr>
                <w:color w:val="auto"/>
              </w:rPr>
            </w:pPr>
            <w:r w:rsidRPr="005366FD">
              <w:rPr>
                <w:rFonts w:cs="Arial"/>
                <w:color w:val="auto"/>
                <w:szCs w:val="16"/>
              </w:rPr>
              <w:t>38,1</w:t>
            </w:r>
          </w:p>
        </w:tc>
        <w:tc>
          <w:tcPr>
            <w:tcW w:w="826" w:type="dxa"/>
            <w:noWrap/>
            <w:hideMark/>
          </w:tcPr>
          <w:p w14:paraId="52B4F9CB" w14:textId="77777777" w:rsidR="00431332" w:rsidRPr="005366FD" w:rsidRDefault="00431332">
            <w:pPr>
              <w:pStyle w:val="Tabele"/>
              <w:jc w:val="right"/>
              <w:rPr>
                <w:color w:val="auto"/>
              </w:rPr>
            </w:pPr>
            <w:r w:rsidRPr="005366FD">
              <w:rPr>
                <w:rFonts w:cs="Arial"/>
                <w:color w:val="auto"/>
                <w:szCs w:val="16"/>
              </w:rPr>
              <w:t>29,4</w:t>
            </w:r>
          </w:p>
        </w:tc>
        <w:tc>
          <w:tcPr>
            <w:tcW w:w="826" w:type="dxa"/>
            <w:noWrap/>
            <w:hideMark/>
          </w:tcPr>
          <w:p w14:paraId="6F1EE783" w14:textId="139150BD" w:rsidR="00431332" w:rsidRPr="005366FD" w:rsidDel="00707D01" w:rsidRDefault="00431332">
            <w:pPr>
              <w:pStyle w:val="Tabele"/>
              <w:jc w:val="right"/>
              <w:rPr>
                <w:color w:val="auto"/>
              </w:rPr>
            </w:pPr>
            <w:r w:rsidRPr="005366FD" w:rsidDel="00707D01">
              <w:rPr>
                <w:rFonts w:cs="Arial"/>
                <w:color w:val="auto"/>
                <w:szCs w:val="16"/>
              </w:rPr>
              <w:t>14,0</w:t>
            </w:r>
          </w:p>
          <w:p w14:paraId="03DFB80B" w14:textId="60F51630" w:rsidR="00431332" w:rsidRPr="005366FD" w:rsidRDefault="00431332">
            <w:pPr>
              <w:pStyle w:val="Tabele"/>
              <w:jc w:val="right"/>
              <w:rPr>
                <w:color w:val="auto"/>
              </w:rPr>
            </w:pPr>
          </w:p>
        </w:tc>
        <w:tc>
          <w:tcPr>
            <w:tcW w:w="826" w:type="dxa"/>
            <w:vMerge w:val="restart"/>
            <w:noWrap/>
            <w:hideMark/>
          </w:tcPr>
          <w:p w14:paraId="38A42290" w14:textId="63370176" w:rsidR="00431332" w:rsidRPr="005366FD" w:rsidRDefault="00431332" w:rsidP="004D2FA9">
            <w:pPr>
              <w:pStyle w:val="Tabele"/>
              <w:jc w:val="right"/>
              <w:rPr>
                <w:color w:val="auto"/>
              </w:rPr>
            </w:pPr>
            <w:r w:rsidRPr="005366FD">
              <w:rPr>
                <w:rFonts w:cs="Arial"/>
                <w:color w:val="auto"/>
                <w:szCs w:val="16"/>
              </w:rPr>
              <w:t>13,3</w:t>
            </w:r>
          </w:p>
        </w:tc>
        <w:tc>
          <w:tcPr>
            <w:tcW w:w="827" w:type="dxa"/>
            <w:vMerge w:val="restart"/>
          </w:tcPr>
          <w:p w14:paraId="0BCEBA5E" w14:textId="28278EBE" w:rsidR="00431332" w:rsidRPr="005366FD" w:rsidRDefault="00431332" w:rsidP="004D2FA9">
            <w:pPr>
              <w:pStyle w:val="Tabele"/>
              <w:jc w:val="right"/>
              <w:rPr>
                <w:color w:val="auto"/>
              </w:rPr>
            </w:pPr>
            <w:r w:rsidRPr="005366FD">
              <w:rPr>
                <w:rFonts w:cs="Arial"/>
                <w:color w:val="auto"/>
                <w:szCs w:val="16"/>
              </w:rPr>
              <w:t>0,0</w:t>
            </w:r>
          </w:p>
        </w:tc>
      </w:tr>
      <w:tr w:rsidR="00431332" w:rsidRPr="00F85B97" w14:paraId="52A70EFC" w14:textId="77777777" w:rsidTr="004B6693">
        <w:trPr>
          <w:trHeight w:val="290"/>
        </w:trPr>
        <w:tc>
          <w:tcPr>
            <w:tcW w:w="2452" w:type="dxa"/>
            <w:noWrap/>
            <w:hideMark/>
          </w:tcPr>
          <w:p w14:paraId="73729BA4" w14:textId="77777777" w:rsidR="00431332" w:rsidRPr="005366FD" w:rsidRDefault="00431332">
            <w:pPr>
              <w:pStyle w:val="Tabele"/>
              <w:rPr>
                <w:color w:val="auto"/>
              </w:rPr>
            </w:pPr>
            <w:r w:rsidRPr="005366FD">
              <w:rPr>
                <w:rFonts w:cs="Arial"/>
                <w:color w:val="auto"/>
                <w:szCs w:val="16"/>
              </w:rPr>
              <w:t>Węgiel kamienny*</w:t>
            </w:r>
          </w:p>
        </w:tc>
        <w:tc>
          <w:tcPr>
            <w:tcW w:w="826" w:type="dxa"/>
            <w:shd w:val="clear" w:color="auto" w:fill="E2EFD9" w:themeFill="accent6" w:themeFillTint="33"/>
            <w:noWrap/>
            <w:hideMark/>
          </w:tcPr>
          <w:p w14:paraId="0EC9CE54" w14:textId="77777777" w:rsidR="00431332" w:rsidRPr="005366FD" w:rsidRDefault="00431332">
            <w:pPr>
              <w:pStyle w:val="Tabele"/>
              <w:jc w:val="right"/>
              <w:rPr>
                <w:color w:val="auto"/>
              </w:rPr>
            </w:pPr>
            <w:r w:rsidRPr="005366FD">
              <w:rPr>
                <w:rFonts w:cs="Arial"/>
                <w:color w:val="auto"/>
                <w:szCs w:val="16"/>
              </w:rPr>
              <w:t>88,5</w:t>
            </w:r>
          </w:p>
        </w:tc>
        <w:tc>
          <w:tcPr>
            <w:tcW w:w="826" w:type="dxa"/>
            <w:shd w:val="clear" w:color="auto" w:fill="E2EFD9" w:themeFill="accent6" w:themeFillTint="33"/>
            <w:noWrap/>
            <w:hideMark/>
          </w:tcPr>
          <w:p w14:paraId="6EFD27C8" w14:textId="77777777" w:rsidR="00431332" w:rsidRPr="005366FD" w:rsidRDefault="00431332">
            <w:pPr>
              <w:pStyle w:val="Tabele"/>
              <w:jc w:val="right"/>
              <w:rPr>
                <w:color w:val="auto"/>
              </w:rPr>
            </w:pPr>
            <w:r w:rsidRPr="005366FD">
              <w:rPr>
                <w:rFonts w:cs="Arial"/>
                <w:color w:val="auto"/>
                <w:szCs w:val="16"/>
              </w:rPr>
              <w:t>89,3</w:t>
            </w:r>
          </w:p>
        </w:tc>
        <w:tc>
          <w:tcPr>
            <w:tcW w:w="826" w:type="dxa"/>
            <w:shd w:val="clear" w:color="auto" w:fill="E2EFD9" w:themeFill="accent6" w:themeFillTint="33"/>
            <w:noWrap/>
            <w:hideMark/>
          </w:tcPr>
          <w:p w14:paraId="00EC1780" w14:textId="77777777" w:rsidR="00431332" w:rsidRPr="005366FD" w:rsidRDefault="00431332">
            <w:pPr>
              <w:pStyle w:val="Tabele"/>
              <w:jc w:val="right"/>
              <w:rPr>
                <w:color w:val="auto"/>
              </w:rPr>
            </w:pPr>
            <w:r w:rsidRPr="005366FD">
              <w:rPr>
                <w:rFonts w:cs="Arial"/>
                <w:color w:val="auto"/>
                <w:szCs w:val="16"/>
              </w:rPr>
              <w:t>79,4</w:t>
            </w:r>
          </w:p>
        </w:tc>
        <w:tc>
          <w:tcPr>
            <w:tcW w:w="827" w:type="dxa"/>
            <w:shd w:val="clear" w:color="auto" w:fill="E2EFD9" w:themeFill="accent6" w:themeFillTint="33"/>
            <w:noWrap/>
            <w:hideMark/>
          </w:tcPr>
          <w:p w14:paraId="7C4E3614" w14:textId="77777777" w:rsidR="00431332" w:rsidRPr="005366FD" w:rsidRDefault="00431332">
            <w:pPr>
              <w:pStyle w:val="Tabele"/>
              <w:jc w:val="right"/>
              <w:rPr>
                <w:color w:val="auto"/>
              </w:rPr>
            </w:pPr>
            <w:r w:rsidRPr="005366FD">
              <w:rPr>
                <w:rFonts w:cs="Arial"/>
                <w:color w:val="auto"/>
                <w:szCs w:val="16"/>
              </w:rPr>
              <w:t>70,7</w:t>
            </w:r>
          </w:p>
        </w:tc>
        <w:tc>
          <w:tcPr>
            <w:tcW w:w="826" w:type="dxa"/>
            <w:noWrap/>
            <w:hideMark/>
          </w:tcPr>
          <w:p w14:paraId="5F7DA064" w14:textId="77777777" w:rsidR="00431332" w:rsidRPr="005366FD" w:rsidRDefault="00431332">
            <w:pPr>
              <w:pStyle w:val="Tabele"/>
              <w:jc w:val="right"/>
              <w:rPr>
                <w:color w:val="auto"/>
              </w:rPr>
            </w:pPr>
            <w:r w:rsidRPr="005366FD">
              <w:rPr>
                <w:rFonts w:cs="Arial"/>
                <w:color w:val="auto"/>
                <w:szCs w:val="16"/>
              </w:rPr>
              <w:t>57,6</w:t>
            </w:r>
          </w:p>
        </w:tc>
        <w:tc>
          <w:tcPr>
            <w:tcW w:w="826" w:type="dxa"/>
            <w:noWrap/>
            <w:hideMark/>
          </w:tcPr>
          <w:p w14:paraId="717EFCC2" w14:textId="3DD3089D" w:rsidR="00431332" w:rsidRPr="005366FD" w:rsidRDefault="00586E7F">
            <w:pPr>
              <w:pStyle w:val="Tabele"/>
              <w:jc w:val="right"/>
              <w:rPr>
                <w:color w:val="auto"/>
              </w:rPr>
            </w:pPr>
            <w:r w:rsidRPr="005366FD">
              <w:rPr>
                <w:rFonts w:cs="Arial"/>
                <w:color w:val="auto"/>
                <w:szCs w:val="16"/>
              </w:rPr>
              <w:t>27,4</w:t>
            </w:r>
          </w:p>
        </w:tc>
        <w:tc>
          <w:tcPr>
            <w:tcW w:w="826" w:type="dxa"/>
            <w:vMerge/>
            <w:noWrap/>
            <w:hideMark/>
          </w:tcPr>
          <w:p w14:paraId="2FB395EA" w14:textId="49E22AA4" w:rsidR="00431332" w:rsidRPr="005366FD" w:rsidRDefault="00431332">
            <w:pPr>
              <w:pStyle w:val="Tabele"/>
              <w:jc w:val="right"/>
              <w:rPr>
                <w:color w:val="auto"/>
              </w:rPr>
            </w:pPr>
          </w:p>
        </w:tc>
        <w:tc>
          <w:tcPr>
            <w:tcW w:w="827" w:type="dxa"/>
            <w:vMerge/>
          </w:tcPr>
          <w:p w14:paraId="178AFA2B" w14:textId="54FEEF26" w:rsidR="00431332" w:rsidRPr="005366FD" w:rsidRDefault="00431332">
            <w:pPr>
              <w:pStyle w:val="Tabele"/>
              <w:jc w:val="right"/>
              <w:rPr>
                <w:color w:val="auto"/>
              </w:rPr>
            </w:pPr>
          </w:p>
        </w:tc>
      </w:tr>
      <w:tr w:rsidR="005366FD" w:rsidRPr="00F85B97" w14:paraId="6058CAD5" w14:textId="77777777" w:rsidTr="004B6693">
        <w:trPr>
          <w:trHeight w:val="290"/>
        </w:trPr>
        <w:tc>
          <w:tcPr>
            <w:tcW w:w="2452" w:type="dxa"/>
            <w:noWrap/>
            <w:hideMark/>
          </w:tcPr>
          <w:p w14:paraId="6DF6BEC6" w14:textId="77777777" w:rsidR="005366FD" w:rsidRPr="005366FD" w:rsidRDefault="005366FD">
            <w:pPr>
              <w:pStyle w:val="Tabele"/>
              <w:rPr>
                <w:color w:val="auto"/>
              </w:rPr>
            </w:pPr>
            <w:r w:rsidRPr="005366FD">
              <w:rPr>
                <w:rFonts w:cs="Arial"/>
                <w:color w:val="auto"/>
                <w:szCs w:val="16"/>
              </w:rPr>
              <w:t>Paliwa gazowe**</w:t>
            </w:r>
          </w:p>
        </w:tc>
        <w:tc>
          <w:tcPr>
            <w:tcW w:w="826" w:type="dxa"/>
            <w:shd w:val="clear" w:color="auto" w:fill="E2EFD9" w:themeFill="accent6" w:themeFillTint="33"/>
            <w:noWrap/>
            <w:hideMark/>
          </w:tcPr>
          <w:p w14:paraId="2E019AFB" w14:textId="77777777" w:rsidR="005366FD" w:rsidRPr="005366FD" w:rsidRDefault="005366FD">
            <w:pPr>
              <w:pStyle w:val="Tabele"/>
              <w:jc w:val="right"/>
              <w:rPr>
                <w:color w:val="auto"/>
              </w:rPr>
            </w:pPr>
            <w:r w:rsidRPr="005366FD">
              <w:rPr>
                <w:rFonts w:cs="Arial"/>
                <w:color w:val="auto"/>
                <w:szCs w:val="16"/>
              </w:rPr>
              <w:t>5,2</w:t>
            </w:r>
          </w:p>
        </w:tc>
        <w:tc>
          <w:tcPr>
            <w:tcW w:w="826" w:type="dxa"/>
            <w:shd w:val="clear" w:color="auto" w:fill="E2EFD9" w:themeFill="accent6" w:themeFillTint="33"/>
            <w:noWrap/>
            <w:hideMark/>
          </w:tcPr>
          <w:p w14:paraId="0EA35C23" w14:textId="77777777" w:rsidR="005366FD" w:rsidRPr="005366FD" w:rsidRDefault="005366FD">
            <w:pPr>
              <w:pStyle w:val="Tabele"/>
              <w:jc w:val="right"/>
              <w:rPr>
                <w:color w:val="auto"/>
              </w:rPr>
            </w:pPr>
            <w:r w:rsidRPr="005366FD">
              <w:rPr>
                <w:rFonts w:cs="Arial"/>
                <w:color w:val="auto"/>
                <w:szCs w:val="16"/>
              </w:rPr>
              <w:t>5,1</w:t>
            </w:r>
          </w:p>
        </w:tc>
        <w:tc>
          <w:tcPr>
            <w:tcW w:w="826" w:type="dxa"/>
            <w:shd w:val="clear" w:color="auto" w:fill="E2EFD9" w:themeFill="accent6" w:themeFillTint="33"/>
            <w:noWrap/>
            <w:hideMark/>
          </w:tcPr>
          <w:p w14:paraId="2C127319" w14:textId="77777777" w:rsidR="005366FD" w:rsidRPr="005366FD" w:rsidRDefault="005366FD">
            <w:pPr>
              <w:pStyle w:val="Tabele"/>
              <w:jc w:val="right"/>
              <w:rPr>
                <w:color w:val="auto"/>
              </w:rPr>
            </w:pPr>
            <w:r w:rsidRPr="005366FD">
              <w:rPr>
                <w:rFonts w:cs="Arial"/>
                <w:color w:val="auto"/>
                <w:szCs w:val="16"/>
              </w:rPr>
              <w:t>6,4</w:t>
            </w:r>
          </w:p>
        </w:tc>
        <w:tc>
          <w:tcPr>
            <w:tcW w:w="827" w:type="dxa"/>
            <w:shd w:val="clear" w:color="auto" w:fill="E2EFD9" w:themeFill="accent6" w:themeFillTint="33"/>
            <w:noWrap/>
            <w:hideMark/>
          </w:tcPr>
          <w:p w14:paraId="5AD64B64" w14:textId="77777777" w:rsidR="005366FD" w:rsidRPr="005366FD" w:rsidRDefault="005366FD">
            <w:pPr>
              <w:pStyle w:val="Tabele"/>
              <w:jc w:val="right"/>
              <w:rPr>
                <w:color w:val="auto"/>
              </w:rPr>
            </w:pPr>
            <w:r w:rsidRPr="005366FD">
              <w:rPr>
                <w:rFonts w:cs="Arial"/>
                <w:color w:val="auto"/>
                <w:szCs w:val="16"/>
              </w:rPr>
              <w:t>17,4</w:t>
            </w:r>
          </w:p>
        </w:tc>
        <w:tc>
          <w:tcPr>
            <w:tcW w:w="826" w:type="dxa"/>
            <w:noWrap/>
            <w:hideMark/>
          </w:tcPr>
          <w:p w14:paraId="6A1715D7" w14:textId="77777777" w:rsidR="005366FD" w:rsidRPr="005366FD" w:rsidRDefault="005366FD">
            <w:pPr>
              <w:pStyle w:val="Tabele"/>
              <w:jc w:val="right"/>
              <w:rPr>
                <w:color w:val="auto"/>
              </w:rPr>
            </w:pPr>
            <w:r w:rsidRPr="005366FD">
              <w:rPr>
                <w:rFonts w:cs="Arial"/>
                <w:color w:val="auto"/>
                <w:szCs w:val="16"/>
              </w:rPr>
              <w:t>31,8</w:t>
            </w:r>
          </w:p>
        </w:tc>
        <w:tc>
          <w:tcPr>
            <w:tcW w:w="826" w:type="dxa"/>
            <w:noWrap/>
            <w:hideMark/>
          </w:tcPr>
          <w:p w14:paraId="12ADC322" w14:textId="77777777" w:rsidR="005366FD" w:rsidRPr="005366FD" w:rsidRDefault="005366FD">
            <w:pPr>
              <w:pStyle w:val="Tabele"/>
              <w:jc w:val="right"/>
              <w:rPr>
                <w:color w:val="auto"/>
              </w:rPr>
            </w:pPr>
            <w:r w:rsidRPr="005366FD">
              <w:rPr>
                <w:rFonts w:cs="Arial"/>
                <w:color w:val="auto"/>
                <w:szCs w:val="16"/>
              </w:rPr>
              <w:t>41,6</w:t>
            </w:r>
          </w:p>
        </w:tc>
        <w:tc>
          <w:tcPr>
            <w:tcW w:w="826" w:type="dxa"/>
            <w:noWrap/>
            <w:hideMark/>
          </w:tcPr>
          <w:p w14:paraId="2F23A3A7" w14:textId="77777777" w:rsidR="005366FD" w:rsidRPr="005366FD" w:rsidRDefault="005366FD">
            <w:pPr>
              <w:pStyle w:val="Tabele"/>
              <w:jc w:val="right"/>
              <w:rPr>
                <w:color w:val="auto"/>
              </w:rPr>
            </w:pPr>
            <w:r w:rsidRPr="005366FD">
              <w:rPr>
                <w:rFonts w:cs="Arial"/>
                <w:color w:val="auto"/>
                <w:szCs w:val="16"/>
              </w:rPr>
              <w:t>27,8</w:t>
            </w:r>
          </w:p>
        </w:tc>
        <w:tc>
          <w:tcPr>
            <w:tcW w:w="827" w:type="dxa"/>
          </w:tcPr>
          <w:p w14:paraId="054A0F45" w14:textId="77777777" w:rsidR="005366FD" w:rsidRPr="005366FD" w:rsidRDefault="005366FD">
            <w:pPr>
              <w:pStyle w:val="Tabele"/>
              <w:jc w:val="right"/>
              <w:rPr>
                <w:color w:val="auto"/>
              </w:rPr>
            </w:pPr>
            <w:r w:rsidRPr="005366FD">
              <w:rPr>
                <w:rFonts w:cs="Arial"/>
                <w:color w:val="auto"/>
                <w:szCs w:val="16"/>
              </w:rPr>
              <w:t>15,9</w:t>
            </w:r>
          </w:p>
        </w:tc>
      </w:tr>
      <w:tr w:rsidR="005366FD" w:rsidRPr="00F85B97" w14:paraId="15FF3343" w14:textId="77777777" w:rsidTr="004B6693">
        <w:trPr>
          <w:trHeight w:val="290"/>
        </w:trPr>
        <w:tc>
          <w:tcPr>
            <w:tcW w:w="2452" w:type="dxa"/>
            <w:noWrap/>
            <w:hideMark/>
          </w:tcPr>
          <w:p w14:paraId="496A433E" w14:textId="77777777" w:rsidR="005366FD" w:rsidRPr="005366FD" w:rsidRDefault="005366FD">
            <w:pPr>
              <w:pStyle w:val="Tabele"/>
              <w:rPr>
                <w:color w:val="auto"/>
              </w:rPr>
            </w:pPr>
            <w:r w:rsidRPr="005366FD">
              <w:rPr>
                <w:rFonts w:cs="Arial"/>
                <w:color w:val="auto"/>
                <w:szCs w:val="16"/>
              </w:rPr>
              <w:t xml:space="preserve">Olej opałowy </w:t>
            </w:r>
          </w:p>
        </w:tc>
        <w:tc>
          <w:tcPr>
            <w:tcW w:w="826" w:type="dxa"/>
            <w:shd w:val="clear" w:color="auto" w:fill="E2EFD9" w:themeFill="accent6" w:themeFillTint="33"/>
            <w:noWrap/>
            <w:hideMark/>
          </w:tcPr>
          <w:p w14:paraId="0CA270A7" w14:textId="77777777" w:rsidR="005366FD" w:rsidRPr="005366FD" w:rsidRDefault="005366FD">
            <w:pPr>
              <w:pStyle w:val="Tabele"/>
              <w:jc w:val="right"/>
              <w:rPr>
                <w:color w:val="auto"/>
              </w:rPr>
            </w:pPr>
            <w:r w:rsidRPr="005366FD">
              <w:rPr>
                <w:rFonts w:cs="Arial"/>
                <w:color w:val="auto"/>
                <w:szCs w:val="16"/>
              </w:rPr>
              <w:t>2,7</w:t>
            </w:r>
          </w:p>
        </w:tc>
        <w:tc>
          <w:tcPr>
            <w:tcW w:w="826" w:type="dxa"/>
            <w:shd w:val="clear" w:color="auto" w:fill="E2EFD9" w:themeFill="accent6" w:themeFillTint="33"/>
            <w:noWrap/>
            <w:hideMark/>
          </w:tcPr>
          <w:p w14:paraId="4EC862F3" w14:textId="77777777" w:rsidR="005366FD" w:rsidRPr="005366FD" w:rsidRDefault="005366FD">
            <w:pPr>
              <w:pStyle w:val="Tabele"/>
              <w:jc w:val="right"/>
              <w:rPr>
                <w:color w:val="auto"/>
              </w:rPr>
            </w:pPr>
            <w:r w:rsidRPr="005366FD">
              <w:rPr>
                <w:rFonts w:cs="Arial"/>
                <w:color w:val="auto"/>
                <w:szCs w:val="16"/>
              </w:rPr>
              <w:t>2,6</w:t>
            </w:r>
          </w:p>
        </w:tc>
        <w:tc>
          <w:tcPr>
            <w:tcW w:w="826" w:type="dxa"/>
            <w:shd w:val="clear" w:color="auto" w:fill="E2EFD9" w:themeFill="accent6" w:themeFillTint="33"/>
            <w:noWrap/>
            <w:hideMark/>
          </w:tcPr>
          <w:p w14:paraId="7888EB87" w14:textId="77777777" w:rsidR="005366FD" w:rsidRPr="005366FD" w:rsidRDefault="005366FD">
            <w:pPr>
              <w:pStyle w:val="Tabele"/>
              <w:jc w:val="right"/>
              <w:rPr>
                <w:color w:val="auto"/>
              </w:rPr>
            </w:pPr>
            <w:r w:rsidRPr="005366FD">
              <w:rPr>
                <w:rFonts w:cs="Arial"/>
                <w:color w:val="auto"/>
                <w:szCs w:val="16"/>
              </w:rPr>
              <w:t>2,1</w:t>
            </w:r>
          </w:p>
        </w:tc>
        <w:tc>
          <w:tcPr>
            <w:tcW w:w="827" w:type="dxa"/>
            <w:shd w:val="clear" w:color="auto" w:fill="E2EFD9" w:themeFill="accent6" w:themeFillTint="33"/>
            <w:noWrap/>
            <w:hideMark/>
          </w:tcPr>
          <w:p w14:paraId="37C07F6C" w14:textId="77777777" w:rsidR="005366FD" w:rsidRPr="005366FD" w:rsidRDefault="005366FD">
            <w:pPr>
              <w:pStyle w:val="Tabele"/>
              <w:jc w:val="right"/>
              <w:rPr>
                <w:color w:val="auto"/>
              </w:rPr>
            </w:pPr>
            <w:r w:rsidRPr="005366FD">
              <w:rPr>
                <w:rFonts w:cs="Arial"/>
                <w:color w:val="auto"/>
                <w:szCs w:val="16"/>
              </w:rPr>
              <w:t>1,7</w:t>
            </w:r>
          </w:p>
        </w:tc>
        <w:tc>
          <w:tcPr>
            <w:tcW w:w="826" w:type="dxa"/>
            <w:noWrap/>
            <w:hideMark/>
          </w:tcPr>
          <w:p w14:paraId="6EE522EE" w14:textId="77777777" w:rsidR="005366FD" w:rsidRPr="005366FD" w:rsidRDefault="005366FD">
            <w:pPr>
              <w:pStyle w:val="Tabele"/>
              <w:jc w:val="right"/>
              <w:rPr>
                <w:color w:val="auto"/>
              </w:rPr>
            </w:pPr>
            <w:r w:rsidRPr="005366FD">
              <w:rPr>
                <w:rFonts w:cs="Arial"/>
                <w:color w:val="auto"/>
                <w:szCs w:val="16"/>
              </w:rPr>
              <w:t>1,8</w:t>
            </w:r>
          </w:p>
        </w:tc>
        <w:tc>
          <w:tcPr>
            <w:tcW w:w="826" w:type="dxa"/>
            <w:noWrap/>
            <w:hideMark/>
          </w:tcPr>
          <w:p w14:paraId="6779F65A" w14:textId="77777777" w:rsidR="005366FD" w:rsidRPr="005366FD" w:rsidRDefault="005366FD">
            <w:pPr>
              <w:pStyle w:val="Tabele"/>
              <w:jc w:val="right"/>
              <w:rPr>
                <w:color w:val="auto"/>
              </w:rPr>
            </w:pPr>
            <w:r w:rsidRPr="005366FD">
              <w:rPr>
                <w:rFonts w:cs="Arial"/>
                <w:color w:val="auto"/>
                <w:szCs w:val="16"/>
              </w:rPr>
              <w:t>1,4</w:t>
            </w:r>
          </w:p>
        </w:tc>
        <w:tc>
          <w:tcPr>
            <w:tcW w:w="826" w:type="dxa"/>
            <w:noWrap/>
            <w:hideMark/>
          </w:tcPr>
          <w:p w14:paraId="4CECB821" w14:textId="77777777" w:rsidR="005366FD" w:rsidRPr="005366FD" w:rsidRDefault="005366FD">
            <w:pPr>
              <w:pStyle w:val="Tabele"/>
              <w:jc w:val="right"/>
              <w:rPr>
                <w:color w:val="auto"/>
              </w:rPr>
            </w:pPr>
            <w:r w:rsidRPr="005366FD">
              <w:rPr>
                <w:rFonts w:cs="Arial"/>
                <w:color w:val="auto"/>
                <w:szCs w:val="16"/>
              </w:rPr>
              <w:t>1,2</w:t>
            </w:r>
          </w:p>
        </w:tc>
        <w:tc>
          <w:tcPr>
            <w:tcW w:w="827" w:type="dxa"/>
          </w:tcPr>
          <w:p w14:paraId="3060B73C" w14:textId="77777777" w:rsidR="005366FD" w:rsidRPr="005366FD" w:rsidRDefault="005366FD">
            <w:pPr>
              <w:pStyle w:val="Tabele"/>
              <w:jc w:val="right"/>
              <w:rPr>
                <w:color w:val="auto"/>
              </w:rPr>
            </w:pPr>
            <w:r w:rsidRPr="005366FD">
              <w:rPr>
                <w:rFonts w:cs="Arial"/>
                <w:color w:val="auto"/>
                <w:szCs w:val="16"/>
              </w:rPr>
              <w:t>0,9</w:t>
            </w:r>
          </w:p>
        </w:tc>
      </w:tr>
      <w:tr w:rsidR="00EE2E54" w:rsidRPr="00F85B97" w14:paraId="6F6D5E44" w14:textId="77777777" w:rsidTr="004B6693">
        <w:trPr>
          <w:trHeight w:val="290"/>
        </w:trPr>
        <w:tc>
          <w:tcPr>
            <w:tcW w:w="2452" w:type="dxa"/>
            <w:noWrap/>
          </w:tcPr>
          <w:p w14:paraId="5CD7F55D" w14:textId="4AB4574A" w:rsidR="00EE2E54" w:rsidRPr="005366FD" w:rsidRDefault="00EE2E54" w:rsidP="00EE2E54">
            <w:pPr>
              <w:pStyle w:val="Tabele"/>
              <w:rPr>
                <w:rFonts w:cs="Arial"/>
                <w:color w:val="auto"/>
                <w:szCs w:val="16"/>
              </w:rPr>
            </w:pPr>
            <w:r w:rsidRPr="005366FD">
              <w:rPr>
                <w:rFonts w:cs="Arial"/>
                <w:color w:val="auto"/>
                <w:szCs w:val="16"/>
              </w:rPr>
              <w:t>Biometan</w:t>
            </w:r>
            <w:r>
              <w:rPr>
                <w:rFonts w:cs="Arial"/>
                <w:color w:val="auto"/>
                <w:szCs w:val="16"/>
              </w:rPr>
              <w:t>/biogaz/wodór</w:t>
            </w:r>
          </w:p>
        </w:tc>
        <w:tc>
          <w:tcPr>
            <w:tcW w:w="826" w:type="dxa"/>
            <w:shd w:val="clear" w:color="auto" w:fill="E2EFD9" w:themeFill="accent6" w:themeFillTint="33"/>
            <w:noWrap/>
          </w:tcPr>
          <w:p w14:paraId="63ECE11A" w14:textId="03858941" w:rsidR="00EE2E54" w:rsidRPr="005366FD" w:rsidRDefault="00EE2E54" w:rsidP="00EE2E54">
            <w:pPr>
              <w:pStyle w:val="Tabele"/>
              <w:jc w:val="right"/>
              <w:rPr>
                <w:rFonts w:cs="Arial"/>
                <w:color w:val="auto"/>
                <w:szCs w:val="16"/>
              </w:rPr>
            </w:pPr>
            <w:r w:rsidRPr="005366FD">
              <w:rPr>
                <w:rFonts w:cs="Arial"/>
                <w:color w:val="auto"/>
                <w:szCs w:val="16"/>
              </w:rPr>
              <w:t>0,1</w:t>
            </w:r>
          </w:p>
        </w:tc>
        <w:tc>
          <w:tcPr>
            <w:tcW w:w="826" w:type="dxa"/>
            <w:shd w:val="clear" w:color="auto" w:fill="E2EFD9" w:themeFill="accent6" w:themeFillTint="33"/>
            <w:noWrap/>
          </w:tcPr>
          <w:p w14:paraId="11848701" w14:textId="34EF2E26" w:rsidR="00EE2E54" w:rsidRPr="005366FD" w:rsidRDefault="00EE2E54" w:rsidP="00EE2E54">
            <w:pPr>
              <w:pStyle w:val="Tabele"/>
              <w:jc w:val="right"/>
              <w:rPr>
                <w:rFonts w:cs="Arial"/>
                <w:color w:val="auto"/>
                <w:szCs w:val="16"/>
              </w:rPr>
            </w:pPr>
            <w:r w:rsidRPr="005366FD">
              <w:rPr>
                <w:rFonts w:cs="Arial"/>
                <w:color w:val="auto"/>
                <w:szCs w:val="16"/>
              </w:rPr>
              <w:t>0,4</w:t>
            </w:r>
          </w:p>
        </w:tc>
        <w:tc>
          <w:tcPr>
            <w:tcW w:w="826" w:type="dxa"/>
            <w:shd w:val="clear" w:color="auto" w:fill="E2EFD9" w:themeFill="accent6" w:themeFillTint="33"/>
            <w:noWrap/>
          </w:tcPr>
          <w:p w14:paraId="243BDBB3" w14:textId="56CA2FBC" w:rsidR="00EE2E54" w:rsidRPr="005366FD" w:rsidRDefault="00EE2E54" w:rsidP="00EE2E54">
            <w:pPr>
              <w:pStyle w:val="Tabele"/>
              <w:jc w:val="right"/>
              <w:rPr>
                <w:rFonts w:cs="Arial"/>
                <w:color w:val="auto"/>
                <w:szCs w:val="16"/>
              </w:rPr>
            </w:pPr>
            <w:r w:rsidRPr="005366FD">
              <w:rPr>
                <w:rFonts w:cs="Arial"/>
                <w:color w:val="auto"/>
                <w:szCs w:val="16"/>
              </w:rPr>
              <w:t>0,9</w:t>
            </w:r>
          </w:p>
        </w:tc>
        <w:tc>
          <w:tcPr>
            <w:tcW w:w="827" w:type="dxa"/>
            <w:shd w:val="clear" w:color="auto" w:fill="E2EFD9" w:themeFill="accent6" w:themeFillTint="33"/>
            <w:noWrap/>
          </w:tcPr>
          <w:p w14:paraId="27682D8F" w14:textId="25962786" w:rsidR="00EE2E54" w:rsidRPr="005366FD" w:rsidRDefault="00EE2E54" w:rsidP="00EE2E54">
            <w:pPr>
              <w:pStyle w:val="Tabele"/>
              <w:jc w:val="right"/>
              <w:rPr>
                <w:rFonts w:cs="Arial"/>
                <w:color w:val="auto"/>
                <w:szCs w:val="16"/>
              </w:rPr>
            </w:pPr>
            <w:r w:rsidRPr="005366FD">
              <w:rPr>
                <w:rFonts w:cs="Arial"/>
                <w:color w:val="auto"/>
                <w:szCs w:val="16"/>
              </w:rPr>
              <w:t>1,2</w:t>
            </w:r>
          </w:p>
        </w:tc>
        <w:tc>
          <w:tcPr>
            <w:tcW w:w="826" w:type="dxa"/>
            <w:noWrap/>
          </w:tcPr>
          <w:p w14:paraId="62A87E05" w14:textId="0C770C8F" w:rsidR="00EE2E54" w:rsidRPr="005366FD" w:rsidRDefault="00EE2E54" w:rsidP="00EE2E54">
            <w:pPr>
              <w:pStyle w:val="Tabele"/>
              <w:jc w:val="right"/>
              <w:rPr>
                <w:rFonts w:cs="Arial"/>
                <w:color w:val="auto"/>
                <w:szCs w:val="16"/>
              </w:rPr>
            </w:pPr>
            <w:r w:rsidRPr="005366FD">
              <w:rPr>
                <w:rFonts w:cs="Arial"/>
                <w:color w:val="auto"/>
                <w:szCs w:val="16"/>
              </w:rPr>
              <w:t>2,1</w:t>
            </w:r>
          </w:p>
        </w:tc>
        <w:tc>
          <w:tcPr>
            <w:tcW w:w="826" w:type="dxa"/>
            <w:noWrap/>
          </w:tcPr>
          <w:p w14:paraId="74F7730F" w14:textId="4E298B5C" w:rsidR="00EE2E54" w:rsidRPr="005366FD" w:rsidRDefault="00EE2E54" w:rsidP="00EE2E54">
            <w:pPr>
              <w:pStyle w:val="Tabele"/>
              <w:jc w:val="right"/>
              <w:rPr>
                <w:rFonts w:cs="Arial"/>
                <w:color w:val="auto"/>
                <w:szCs w:val="16"/>
              </w:rPr>
            </w:pPr>
            <w:r w:rsidRPr="005366FD">
              <w:rPr>
                <w:rFonts w:cs="Arial"/>
                <w:color w:val="auto"/>
                <w:szCs w:val="16"/>
              </w:rPr>
              <w:t>2,9</w:t>
            </w:r>
          </w:p>
        </w:tc>
        <w:tc>
          <w:tcPr>
            <w:tcW w:w="826" w:type="dxa"/>
            <w:noWrap/>
          </w:tcPr>
          <w:p w14:paraId="54060035" w14:textId="2AD43837" w:rsidR="00EE2E54" w:rsidRPr="005366FD" w:rsidRDefault="00EE2E54" w:rsidP="00EE2E54">
            <w:pPr>
              <w:pStyle w:val="Tabele"/>
              <w:jc w:val="right"/>
              <w:rPr>
                <w:rFonts w:cs="Arial"/>
                <w:color w:val="auto"/>
                <w:szCs w:val="16"/>
              </w:rPr>
            </w:pPr>
            <w:r>
              <w:rPr>
                <w:rFonts w:cs="Arial"/>
                <w:color w:val="auto"/>
                <w:szCs w:val="16"/>
              </w:rPr>
              <w:t>4,5</w:t>
            </w:r>
          </w:p>
        </w:tc>
        <w:tc>
          <w:tcPr>
            <w:tcW w:w="827" w:type="dxa"/>
          </w:tcPr>
          <w:p w14:paraId="0542D18A" w14:textId="2A7D701F" w:rsidR="00EE2E54" w:rsidRPr="005366FD" w:rsidRDefault="00EE2E54" w:rsidP="00EE2E54">
            <w:pPr>
              <w:pStyle w:val="Tabele"/>
              <w:jc w:val="right"/>
              <w:rPr>
                <w:rFonts w:cs="Arial"/>
                <w:color w:val="auto"/>
                <w:szCs w:val="16"/>
              </w:rPr>
            </w:pPr>
            <w:r>
              <w:rPr>
                <w:rFonts w:cs="Arial"/>
                <w:color w:val="auto"/>
                <w:szCs w:val="16"/>
              </w:rPr>
              <w:t>17,2</w:t>
            </w:r>
          </w:p>
        </w:tc>
      </w:tr>
      <w:tr w:rsidR="005366FD" w:rsidRPr="00F85B97" w14:paraId="1049A53C" w14:textId="77777777" w:rsidTr="004B6693">
        <w:trPr>
          <w:trHeight w:val="290"/>
        </w:trPr>
        <w:tc>
          <w:tcPr>
            <w:tcW w:w="2452" w:type="dxa"/>
            <w:noWrap/>
            <w:hideMark/>
          </w:tcPr>
          <w:p w14:paraId="7A5E3F58" w14:textId="77777777" w:rsidR="005366FD" w:rsidRPr="005366FD" w:rsidRDefault="005366FD">
            <w:pPr>
              <w:pStyle w:val="Tabele"/>
              <w:rPr>
                <w:color w:val="auto"/>
              </w:rPr>
            </w:pPr>
            <w:r w:rsidRPr="005366FD">
              <w:rPr>
                <w:rFonts w:cs="Arial"/>
                <w:color w:val="auto"/>
                <w:szCs w:val="16"/>
              </w:rPr>
              <w:t>Energia jądrowa</w:t>
            </w:r>
          </w:p>
        </w:tc>
        <w:tc>
          <w:tcPr>
            <w:tcW w:w="826" w:type="dxa"/>
            <w:shd w:val="clear" w:color="auto" w:fill="E2EFD9" w:themeFill="accent6" w:themeFillTint="33"/>
            <w:noWrap/>
            <w:hideMark/>
          </w:tcPr>
          <w:p w14:paraId="0CB1010B" w14:textId="77777777" w:rsidR="005366FD" w:rsidRPr="005366FD" w:rsidRDefault="005366FD">
            <w:pPr>
              <w:pStyle w:val="Tabele"/>
              <w:jc w:val="right"/>
              <w:rPr>
                <w:color w:val="auto"/>
              </w:rPr>
            </w:pPr>
            <w:r w:rsidRPr="005366FD">
              <w:rPr>
                <w:rFonts w:cs="Arial"/>
                <w:color w:val="auto"/>
                <w:szCs w:val="16"/>
              </w:rPr>
              <w:t>0,0</w:t>
            </w:r>
          </w:p>
        </w:tc>
        <w:tc>
          <w:tcPr>
            <w:tcW w:w="826" w:type="dxa"/>
            <w:shd w:val="clear" w:color="auto" w:fill="E2EFD9" w:themeFill="accent6" w:themeFillTint="33"/>
            <w:noWrap/>
            <w:hideMark/>
          </w:tcPr>
          <w:p w14:paraId="7D81B006" w14:textId="77777777" w:rsidR="005366FD" w:rsidRPr="005366FD" w:rsidRDefault="005366FD">
            <w:pPr>
              <w:pStyle w:val="Tabele"/>
              <w:jc w:val="right"/>
              <w:rPr>
                <w:color w:val="auto"/>
              </w:rPr>
            </w:pPr>
            <w:r w:rsidRPr="005366FD">
              <w:rPr>
                <w:rFonts w:cs="Arial"/>
                <w:color w:val="auto"/>
                <w:szCs w:val="16"/>
              </w:rPr>
              <w:t>0,0</w:t>
            </w:r>
          </w:p>
        </w:tc>
        <w:tc>
          <w:tcPr>
            <w:tcW w:w="826" w:type="dxa"/>
            <w:shd w:val="clear" w:color="auto" w:fill="E2EFD9" w:themeFill="accent6" w:themeFillTint="33"/>
            <w:noWrap/>
            <w:hideMark/>
          </w:tcPr>
          <w:p w14:paraId="734ADCC0" w14:textId="77777777" w:rsidR="005366FD" w:rsidRPr="005366FD" w:rsidRDefault="005366FD">
            <w:pPr>
              <w:pStyle w:val="Tabele"/>
              <w:jc w:val="right"/>
              <w:rPr>
                <w:color w:val="auto"/>
              </w:rPr>
            </w:pPr>
            <w:r w:rsidRPr="005366FD">
              <w:rPr>
                <w:rFonts w:cs="Arial"/>
                <w:color w:val="auto"/>
                <w:szCs w:val="16"/>
              </w:rPr>
              <w:t>0,0</w:t>
            </w:r>
          </w:p>
        </w:tc>
        <w:tc>
          <w:tcPr>
            <w:tcW w:w="827" w:type="dxa"/>
            <w:shd w:val="clear" w:color="auto" w:fill="E2EFD9" w:themeFill="accent6" w:themeFillTint="33"/>
            <w:noWrap/>
            <w:hideMark/>
          </w:tcPr>
          <w:p w14:paraId="1A039449" w14:textId="77777777" w:rsidR="005366FD" w:rsidRPr="005366FD" w:rsidRDefault="005366FD">
            <w:pPr>
              <w:pStyle w:val="Tabele"/>
              <w:jc w:val="right"/>
              <w:rPr>
                <w:color w:val="auto"/>
              </w:rPr>
            </w:pPr>
            <w:r w:rsidRPr="005366FD">
              <w:rPr>
                <w:rFonts w:cs="Arial"/>
                <w:color w:val="auto"/>
                <w:szCs w:val="16"/>
              </w:rPr>
              <w:t>0,0</w:t>
            </w:r>
          </w:p>
        </w:tc>
        <w:tc>
          <w:tcPr>
            <w:tcW w:w="826" w:type="dxa"/>
            <w:noWrap/>
            <w:hideMark/>
          </w:tcPr>
          <w:p w14:paraId="165C629A" w14:textId="77777777" w:rsidR="005366FD" w:rsidRPr="005366FD" w:rsidRDefault="005366FD">
            <w:pPr>
              <w:pStyle w:val="Tabele"/>
              <w:jc w:val="right"/>
              <w:rPr>
                <w:color w:val="auto"/>
              </w:rPr>
            </w:pPr>
            <w:r w:rsidRPr="005366FD">
              <w:rPr>
                <w:rFonts w:cs="Arial"/>
                <w:color w:val="auto"/>
                <w:szCs w:val="16"/>
              </w:rPr>
              <w:t>0,0</w:t>
            </w:r>
          </w:p>
        </w:tc>
        <w:tc>
          <w:tcPr>
            <w:tcW w:w="826" w:type="dxa"/>
            <w:noWrap/>
            <w:hideMark/>
          </w:tcPr>
          <w:p w14:paraId="713F7C9E" w14:textId="77777777" w:rsidR="005366FD" w:rsidRPr="005366FD" w:rsidRDefault="005366FD">
            <w:pPr>
              <w:pStyle w:val="Tabele"/>
              <w:jc w:val="right"/>
              <w:rPr>
                <w:color w:val="auto"/>
              </w:rPr>
            </w:pPr>
            <w:r w:rsidRPr="005366FD">
              <w:rPr>
                <w:rFonts w:cs="Arial"/>
                <w:color w:val="auto"/>
                <w:szCs w:val="16"/>
              </w:rPr>
              <w:t>0,0</w:t>
            </w:r>
          </w:p>
        </w:tc>
        <w:tc>
          <w:tcPr>
            <w:tcW w:w="826" w:type="dxa"/>
            <w:noWrap/>
            <w:hideMark/>
          </w:tcPr>
          <w:p w14:paraId="2B9CAEF6" w14:textId="77777777" w:rsidR="005366FD" w:rsidRPr="005366FD" w:rsidRDefault="005366FD">
            <w:pPr>
              <w:pStyle w:val="Tabele"/>
              <w:jc w:val="right"/>
              <w:rPr>
                <w:color w:val="auto"/>
              </w:rPr>
            </w:pPr>
            <w:r w:rsidRPr="005366FD">
              <w:rPr>
                <w:rFonts w:cs="Arial"/>
                <w:color w:val="auto"/>
                <w:szCs w:val="16"/>
              </w:rPr>
              <w:t>0,0</w:t>
            </w:r>
          </w:p>
        </w:tc>
        <w:tc>
          <w:tcPr>
            <w:tcW w:w="827" w:type="dxa"/>
          </w:tcPr>
          <w:p w14:paraId="34F0ED0F" w14:textId="77777777" w:rsidR="005366FD" w:rsidRPr="005366FD" w:rsidRDefault="005366FD">
            <w:pPr>
              <w:pStyle w:val="Tabele"/>
              <w:jc w:val="right"/>
              <w:rPr>
                <w:color w:val="auto"/>
              </w:rPr>
            </w:pPr>
            <w:r w:rsidRPr="005366FD">
              <w:rPr>
                <w:rFonts w:cs="Arial"/>
                <w:color w:val="auto"/>
                <w:szCs w:val="16"/>
              </w:rPr>
              <w:t>27,4</w:t>
            </w:r>
          </w:p>
        </w:tc>
      </w:tr>
      <w:tr w:rsidR="005366FD" w:rsidRPr="00F85B97" w14:paraId="401375FE" w14:textId="77777777" w:rsidTr="004B6693">
        <w:trPr>
          <w:trHeight w:val="290"/>
        </w:trPr>
        <w:tc>
          <w:tcPr>
            <w:tcW w:w="2452" w:type="dxa"/>
            <w:noWrap/>
            <w:hideMark/>
          </w:tcPr>
          <w:p w14:paraId="74549B60" w14:textId="77777777" w:rsidR="005366FD" w:rsidRPr="005366FD" w:rsidRDefault="005366FD">
            <w:pPr>
              <w:pStyle w:val="Tabele"/>
              <w:rPr>
                <w:color w:val="auto"/>
              </w:rPr>
            </w:pPr>
            <w:r w:rsidRPr="005366FD">
              <w:rPr>
                <w:rFonts w:cs="Arial"/>
                <w:color w:val="auto"/>
                <w:szCs w:val="16"/>
              </w:rPr>
              <w:t>Biomasa</w:t>
            </w:r>
          </w:p>
        </w:tc>
        <w:tc>
          <w:tcPr>
            <w:tcW w:w="826" w:type="dxa"/>
            <w:shd w:val="clear" w:color="auto" w:fill="E2EFD9" w:themeFill="accent6" w:themeFillTint="33"/>
            <w:noWrap/>
            <w:hideMark/>
          </w:tcPr>
          <w:p w14:paraId="6CD9B4FF" w14:textId="77777777" w:rsidR="005366FD" w:rsidRPr="005366FD" w:rsidRDefault="005366FD">
            <w:pPr>
              <w:pStyle w:val="Tabele"/>
              <w:jc w:val="right"/>
              <w:rPr>
                <w:color w:val="auto"/>
              </w:rPr>
            </w:pPr>
            <w:r w:rsidRPr="005366FD">
              <w:rPr>
                <w:rFonts w:cs="Arial"/>
                <w:color w:val="auto"/>
                <w:szCs w:val="16"/>
              </w:rPr>
              <w:t>1,4</w:t>
            </w:r>
          </w:p>
        </w:tc>
        <w:tc>
          <w:tcPr>
            <w:tcW w:w="826" w:type="dxa"/>
            <w:shd w:val="clear" w:color="auto" w:fill="E2EFD9" w:themeFill="accent6" w:themeFillTint="33"/>
            <w:noWrap/>
            <w:hideMark/>
          </w:tcPr>
          <w:p w14:paraId="7701960A" w14:textId="77777777" w:rsidR="005366FD" w:rsidRPr="005366FD" w:rsidRDefault="005366FD">
            <w:pPr>
              <w:pStyle w:val="Tabele"/>
              <w:jc w:val="right"/>
              <w:rPr>
                <w:color w:val="auto"/>
              </w:rPr>
            </w:pPr>
            <w:r w:rsidRPr="005366FD">
              <w:rPr>
                <w:rFonts w:cs="Arial"/>
                <w:color w:val="auto"/>
                <w:szCs w:val="16"/>
              </w:rPr>
              <w:t>5,9</w:t>
            </w:r>
          </w:p>
        </w:tc>
        <w:tc>
          <w:tcPr>
            <w:tcW w:w="826" w:type="dxa"/>
            <w:shd w:val="clear" w:color="auto" w:fill="E2EFD9" w:themeFill="accent6" w:themeFillTint="33"/>
            <w:noWrap/>
            <w:hideMark/>
          </w:tcPr>
          <w:p w14:paraId="12E60422" w14:textId="77777777" w:rsidR="005366FD" w:rsidRPr="005366FD" w:rsidRDefault="005366FD">
            <w:pPr>
              <w:pStyle w:val="Tabele"/>
              <w:jc w:val="right"/>
              <w:rPr>
                <w:color w:val="auto"/>
              </w:rPr>
            </w:pPr>
            <w:r w:rsidRPr="005366FD">
              <w:rPr>
                <w:rFonts w:cs="Arial"/>
                <w:color w:val="auto"/>
                <w:szCs w:val="16"/>
              </w:rPr>
              <w:t>9,0</w:t>
            </w:r>
          </w:p>
        </w:tc>
        <w:tc>
          <w:tcPr>
            <w:tcW w:w="827" w:type="dxa"/>
            <w:shd w:val="clear" w:color="auto" w:fill="E2EFD9" w:themeFill="accent6" w:themeFillTint="33"/>
            <w:noWrap/>
            <w:hideMark/>
          </w:tcPr>
          <w:p w14:paraId="1D3941A1" w14:textId="77777777" w:rsidR="005366FD" w:rsidRPr="005366FD" w:rsidRDefault="005366FD">
            <w:pPr>
              <w:pStyle w:val="Tabele"/>
              <w:jc w:val="right"/>
              <w:rPr>
                <w:color w:val="auto"/>
              </w:rPr>
            </w:pPr>
            <w:r w:rsidRPr="005366FD">
              <w:rPr>
                <w:rFonts w:cs="Arial"/>
                <w:color w:val="auto"/>
                <w:szCs w:val="16"/>
              </w:rPr>
              <w:t>6,9</w:t>
            </w:r>
          </w:p>
        </w:tc>
        <w:tc>
          <w:tcPr>
            <w:tcW w:w="826" w:type="dxa"/>
            <w:noWrap/>
            <w:hideMark/>
          </w:tcPr>
          <w:p w14:paraId="38977696" w14:textId="77777777" w:rsidR="005366FD" w:rsidRPr="005366FD" w:rsidRDefault="005366FD">
            <w:pPr>
              <w:pStyle w:val="Tabele"/>
              <w:jc w:val="right"/>
              <w:rPr>
                <w:color w:val="auto"/>
              </w:rPr>
            </w:pPr>
            <w:r w:rsidRPr="005366FD">
              <w:rPr>
                <w:rFonts w:cs="Arial"/>
                <w:color w:val="auto"/>
                <w:szCs w:val="16"/>
              </w:rPr>
              <w:t>6,2</w:t>
            </w:r>
          </w:p>
        </w:tc>
        <w:tc>
          <w:tcPr>
            <w:tcW w:w="826" w:type="dxa"/>
            <w:noWrap/>
            <w:hideMark/>
          </w:tcPr>
          <w:p w14:paraId="25AD1BB4" w14:textId="77777777" w:rsidR="005366FD" w:rsidRPr="005366FD" w:rsidRDefault="005366FD">
            <w:pPr>
              <w:pStyle w:val="Tabele"/>
              <w:jc w:val="right"/>
              <w:rPr>
                <w:color w:val="auto"/>
              </w:rPr>
            </w:pPr>
            <w:r w:rsidRPr="005366FD">
              <w:rPr>
                <w:rFonts w:cs="Arial"/>
                <w:color w:val="auto"/>
                <w:szCs w:val="16"/>
              </w:rPr>
              <w:t>5,6</w:t>
            </w:r>
          </w:p>
        </w:tc>
        <w:tc>
          <w:tcPr>
            <w:tcW w:w="826" w:type="dxa"/>
            <w:noWrap/>
            <w:hideMark/>
          </w:tcPr>
          <w:p w14:paraId="7D0C9F9B" w14:textId="77777777" w:rsidR="005366FD" w:rsidRPr="005366FD" w:rsidRDefault="005366FD">
            <w:pPr>
              <w:pStyle w:val="Tabele"/>
              <w:jc w:val="right"/>
              <w:rPr>
                <w:color w:val="auto"/>
              </w:rPr>
            </w:pPr>
            <w:r w:rsidRPr="005366FD">
              <w:rPr>
                <w:rFonts w:cs="Arial"/>
                <w:color w:val="auto"/>
                <w:szCs w:val="16"/>
              </w:rPr>
              <w:t>4,5</w:t>
            </w:r>
          </w:p>
        </w:tc>
        <w:tc>
          <w:tcPr>
            <w:tcW w:w="827" w:type="dxa"/>
          </w:tcPr>
          <w:p w14:paraId="6853E7A1" w14:textId="77777777" w:rsidR="005366FD" w:rsidRPr="005366FD" w:rsidRDefault="005366FD">
            <w:pPr>
              <w:pStyle w:val="Tabele"/>
              <w:jc w:val="right"/>
              <w:rPr>
                <w:color w:val="auto"/>
              </w:rPr>
            </w:pPr>
            <w:r w:rsidRPr="005366FD">
              <w:rPr>
                <w:rFonts w:cs="Arial"/>
                <w:color w:val="auto"/>
                <w:szCs w:val="16"/>
              </w:rPr>
              <w:t>4,1</w:t>
            </w:r>
          </w:p>
        </w:tc>
      </w:tr>
      <w:tr w:rsidR="005366FD" w:rsidRPr="00F85B97" w14:paraId="1C4B2C94" w14:textId="77777777" w:rsidTr="004B6693">
        <w:trPr>
          <w:trHeight w:val="290"/>
        </w:trPr>
        <w:tc>
          <w:tcPr>
            <w:tcW w:w="2452" w:type="dxa"/>
            <w:noWrap/>
            <w:hideMark/>
          </w:tcPr>
          <w:p w14:paraId="1E4313A9" w14:textId="77777777" w:rsidR="005366FD" w:rsidRPr="005366FD" w:rsidRDefault="005366FD">
            <w:pPr>
              <w:pStyle w:val="Tabele"/>
              <w:rPr>
                <w:color w:val="auto"/>
              </w:rPr>
            </w:pPr>
            <w:r w:rsidRPr="005366FD">
              <w:rPr>
                <w:rFonts w:cs="Arial"/>
                <w:color w:val="auto"/>
                <w:szCs w:val="16"/>
              </w:rPr>
              <w:t xml:space="preserve">Energia wodna </w:t>
            </w:r>
          </w:p>
        </w:tc>
        <w:tc>
          <w:tcPr>
            <w:tcW w:w="826" w:type="dxa"/>
            <w:shd w:val="clear" w:color="auto" w:fill="E2EFD9" w:themeFill="accent6" w:themeFillTint="33"/>
            <w:noWrap/>
            <w:hideMark/>
          </w:tcPr>
          <w:p w14:paraId="0E560999" w14:textId="77777777" w:rsidR="005366FD" w:rsidRPr="005366FD" w:rsidRDefault="005366FD">
            <w:pPr>
              <w:pStyle w:val="Tabele"/>
              <w:jc w:val="right"/>
              <w:rPr>
                <w:color w:val="auto"/>
              </w:rPr>
            </w:pPr>
            <w:r w:rsidRPr="005366FD">
              <w:rPr>
                <w:rFonts w:cs="Arial"/>
                <w:color w:val="auto"/>
                <w:szCs w:val="16"/>
              </w:rPr>
              <w:t>2,2</w:t>
            </w:r>
          </w:p>
        </w:tc>
        <w:tc>
          <w:tcPr>
            <w:tcW w:w="826" w:type="dxa"/>
            <w:shd w:val="clear" w:color="auto" w:fill="E2EFD9" w:themeFill="accent6" w:themeFillTint="33"/>
            <w:noWrap/>
            <w:hideMark/>
          </w:tcPr>
          <w:p w14:paraId="15BAE5D6" w14:textId="77777777" w:rsidR="005366FD" w:rsidRPr="005366FD" w:rsidRDefault="005366FD">
            <w:pPr>
              <w:pStyle w:val="Tabele"/>
              <w:jc w:val="right"/>
              <w:rPr>
                <w:color w:val="auto"/>
              </w:rPr>
            </w:pPr>
            <w:r w:rsidRPr="005366FD">
              <w:rPr>
                <w:rFonts w:cs="Arial"/>
                <w:color w:val="auto"/>
                <w:szCs w:val="16"/>
              </w:rPr>
              <w:t>2,9</w:t>
            </w:r>
          </w:p>
        </w:tc>
        <w:tc>
          <w:tcPr>
            <w:tcW w:w="826" w:type="dxa"/>
            <w:shd w:val="clear" w:color="auto" w:fill="E2EFD9" w:themeFill="accent6" w:themeFillTint="33"/>
            <w:noWrap/>
            <w:hideMark/>
          </w:tcPr>
          <w:p w14:paraId="3E0FFF82" w14:textId="77777777" w:rsidR="005366FD" w:rsidRPr="005366FD" w:rsidRDefault="005366FD">
            <w:pPr>
              <w:pStyle w:val="Tabele"/>
              <w:jc w:val="right"/>
              <w:rPr>
                <w:color w:val="auto"/>
              </w:rPr>
            </w:pPr>
            <w:r w:rsidRPr="005366FD">
              <w:rPr>
                <w:rFonts w:cs="Arial"/>
                <w:color w:val="auto"/>
                <w:szCs w:val="16"/>
              </w:rPr>
              <w:t>1,8</w:t>
            </w:r>
          </w:p>
        </w:tc>
        <w:tc>
          <w:tcPr>
            <w:tcW w:w="827" w:type="dxa"/>
            <w:shd w:val="clear" w:color="auto" w:fill="E2EFD9" w:themeFill="accent6" w:themeFillTint="33"/>
            <w:noWrap/>
            <w:hideMark/>
          </w:tcPr>
          <w:p w14:paraId="06CA03FC" w14:textId="77777777" w:rsidR="005366FD" w:rsidRPr="005366FD" w:rsidRDefault="005366FD">
            <w:pPr>
              <w:pStyle w:val="Tabele"/>
              <w:jc w:val="right"/>
              <w:rPr>
                <w:color w:val="auto"/>
              </w:rPr>
            </w:pPr>
            <w:r w:rsidRPr="005366FD">
              <w:rPr>
                <w:rFonts w:cs="Arial"/>
                <w:color w:val="auto"/>
                <w:szCs w:val="16"/>
              </w:rPr>
              <w:t>2,1</w:t>
            </w:r>
          </w:p>
        </w:tc>
        <w:tc>
          <w:tcPr>
            <w:tcW w:w="826" w:type="dxa"/>
            <w:noWrap/>
            <w:hideMark/>
          </w:tcPr>
          <w:p w14:paraId="0F07814A" w14:textId="77777777" w:rsidR="005366FD" w:rsidRPr="005366FD" w:rsidRDefault="005366FD">
            <w:pPr>
              <w:pStyle w:val="Tabele"/>
              <w:jc w:val="right"/>
              <w:rPr>
                <w:color w:val="auto"/>
              </w:rPr>
            </w:pPr>
            <w:r w:rsidRPr="005366FD">
              <w:rPr>
                <w:rFonts w:cs="Arial"/>
                <w:color w:val="auto"/>
                <w:szCs w:val="16"/>
              </w:rPr>
              <w:t>2,6</w:t>
            </w:r>
          </w:p>
        </w:tc>
        <w:tc>
          <w:tcPr>
            <w:tcW w:w="826" w:type="dxa"/>
            <w:noWrap/>
            <w:hideMark/>
          </w:tcPr>
          <w:p w14:paraId="2DF7A3D7" w14:textId="77777777" w:rsidR="005366FD" w:rsidRPr="005366FD" w:rsidRDefault="005366FD">
            <w:pPr>
              <w:pStyle w:val="Tabele"/>
              <w:jc w:val="right"/>
              <w:rPr>
                <w:color w:val="auto"/>
              </w:rPr>
            </w:pPr>
            <w:r w:rsidRPr="005366FD">
              <w:rPr>
                <w:rFonts w:cs="Arial"/>
                <w:color w:val="auto"/>
                <w:szCs w:val="16"/>
              </w:rPr>
              <w:t>2,9</w:t>
            </w:r>
          </w:p>
        </w:tc>
        <w:tc>
          <w:tcPr>
            <w:tcW w:w="826" w:type="dxa"/>
            <w:noWrap/>
            <w:hideMark/>
          </w:tcPr>
          <w:p w14:paraId="10552C2D" w14:textId="77777777" w:rsidR="005366FD" w:rsidRPr="005366FD" w:rsidRDefault="005366FD">
            <w:pPr>
              <w:pStyle w:val="Tabele"/>
              <w:jc w:val="right"/>
              <w:rPr>
                <w:color w:val="auto"/>
              </w:rPr>
            </w:pPr>
            <w:r w:rsidRPr="005366FD">
              <w:rPr>
                <w:rFonts w:cs="Arial"/>
                <w:color w:val="auto"/>
                <w:szCs w:val="16"/>
              </w:rPr>
              <w:t>3,0</w:t>
            </w:r>
          </w:p>
        </w:tc>
        <w:tc>
          <w:tcPr>
            <w:tcW w:w="827" w:type="dxa"/>
          </w:tcPr>
          <w:p w14:paraId="2E8C6F40" w14:textId="77777777" w:rsidR="005366FD" w:rsidRPr="005366FD" w:rsidRDefault="005366FD">
            <w:pPr>
              <w:pStyle w:val="Tabele"/>
              <w:jc w:val="right"/>
              <w:rPr>
                <w:color w:val="auto"/>
              </w:rPr>
            </w:pPr>
            <w:r w:rsidRPr="005366FD">
              <w:rPr>
                <w:rFonts w:cs="Arial"/>
                <w:color w:val="auto"/>
                <w:szCs w:val="16"/>
              </w:rPr>
              <w:t>3,0</w:t>
            </w:r>
          </w:p>
        </w:tc>
      </w:tr>
      <w:tr w:rsidR="005366FD" w:rsidRPr="00F85B97" w14:paraId="5EF62C3A" w14:textId="77777777" w:rsidTr="004B6693">
        <w:trPr>
          <w:trHeight w:val="290"/>
        </w:trPr>
        <w:tc>
          <w:tcPr>
            <w:tcW w:w="2452" w:type="dxa"/>
            <w:noWrap/>
            <w:hideMark/>
          </w:tcPr>
          <w:p w14:paraId="0AF9D8F9" w14:textId="77777777" w:rsidR="005366FD" w:rsidRPr="005366FD" w:rsidRDefault="005366FD">
            <w:pPr>
              <w:pStyle w:val="Tabele"/>
              <w:rPr>
                <w:color w:val="auto"/>
              </w:rPr>
            </w:pPr>
            <w:r w:rsidRPr="005366FD">
              <w:rPr>
                <w:rFonts w:cs="Arial"/>
                <w:color w:val="auto"/>
                <w:szCs w:val="16"/>
              </w:rPr>
              <w:t>Z wody przepompowanej</w:t>
            </w:r>
          </w:p>
        </w:tc>
        <w:tc>
          <w:tcPr>
            <w:tcW w:w="826" w:type="dxa"/>
            <w:shd w:val="clear" w:color="auto" w:fill="E2EFD9" w:themeFill="accent6" w:themeFillTint="33"/>
            <w:noWrap/>
            <w:hideMark/>
          </w:tcPr>
          <w:p w14:paraId="2E058C91" w14:textId="77777777" w:rsidR="005366FD" w:rsidRPr="005366FD" w:rsidRDefault="005366FD">
            <w:pPr>
              <w:pStyle w:val="Tabele"/>
              <w:jc w:val="right"/>
              <w:rPr>
                <w:color w:val="auto"/>
              </w:rPr>
            </w:pPr>
            <w:r w:rsidRPr="005366FD">
              <w:rPr>
                <w:rFonts w:cs="Arial"/>
                <w:color w:val="auto"/>
                <w:szCs w:val="16"/>
              </w:rPr>
              <w:t>1,6</w:t>
            </w:r>
          </w:p>
        </w:tc>
        <w:tc>
          <w:tcPr>
            <w:tcW w:w="826" w:type="dxa"/>
            <w:shd w:val="clear" w:color="auto" w:fill="E2EFD9" w:themeFill="accent6" w:themeFillTint="33"/>
            <w:noWrap/>
            <w:hideMark/>
          </w:tcPr>
          <w:p w14:paraId="25EE74CA" w14:textId="77777777" w:rsidR="005366FD" w:rsidRPr="005366FD" w:rsidRDefault="005366FD">
            <w:pPr>
              <w:pStyle w:val="Tabele"/>
              <w:jc w:val="right"/>
              <w:rPr>
                <w:color w:val="auto"/>
              </w:rPr>
            </w:pPr>
            <w:r w:rsidRPr="005366FD">
              <w:rPr>
                <w:rFonts w:cs="Arial"/>
                <w:color w:val="auto"/>
                <w:szCs w:val="16"/>
              </w:rPr>
              <w:t>0,6</w:t>
            </w:r>
          </w:p>
        </w:tc>
        <w:tc>
          <w:tcPr>
            <w:tcW w:w="826" w:type="dxa"/>
            <w:shd w:val="clear" w:color="auto" w:fill="E2EFD9" w:themeFill="accent6" w:themeFillTint="33"/>
            <w:noWrap/>
            <w:hideMark/>
          </w:tcPr>
          <w:p w14:paraId="48032241" w14:textId="77777777" w:rsidR="005366FD" w:rsidRPr="005366FD" w:rsidRDefault="005366FD">
            <w:pPr>
              <w:pStyle w:val="Tabele"/>
              <w:jc w:val="right"/>
              <w:rPr>
                <w:color w:val="auto"/>
              </w:rPr>
            </w:pPr>
            <w:r w:rsidRPr="005366FD">
              <w:rPr>
                <w:rFonts w:cs="Arial"/>
                <w:color w:val="auto"/>
                <w:szCs w:val="16"/>
              </w:rPr>
              <w:t>0,6</w:t>
            </w:r>
          </w:p>
        </w:tc>
        <w:tc>
          <w:tcPr>
            <w:tcW w:w="827" w:type="dxa"/>
            <w:shd w:val="clear" w:color="auto" w:fill="E2EFD9" w:themeFill="accent6" w:themeFillTint="33"/>
            <w:noWrap/>
            <w:hideMark/>
          </w:tcPr>
          <w:p w14:paraId="3B45EC48" w14:textId="77777777" w:rsidR="005366FD" w:rsidRPr="005366FD" w:rsidRDefault="005366FD">
            <w:pPr>
              <w:pStyle w:val="Tabele"/>
              <w:jc w:val="right"/>
              <w:rPr>
                <w:color w:val="auto"/>
              </w:rPr>
            </w:pPr>
            <w:r w:rsidRPr="005366FD">
              <w:rPr>
                <w:rFonts w:cs="Arial"/>
                <w:color w:val="auto"/>
                <w:szCs w:val="16"/>
              </w:rPr>
              <w:t>0,8</w:t>
            </w:r>
          </w:p>
        </w:tc>
        <w:tc>
          <w:tcPr>
            <w:tcW w:w="826" w:type="dxa"/>
            <w:noWrap/>
            <w:hideMark/>
          </w:tcPr>
          <w:p w14:paraId="048669BD" w14:textId="77777777" w:rsidR="005366FD" w:rsidRPr="005366FD" w:rsidRDefault="005366FD">
            <w:pPr>
              <w:pStyle w:val="Tabele"/>
              <w:jc w:val="right"/>
              <w:rPr>
                <w:color w:val="auto"/>
              </w:rPr>
            </w:pPr>
            <w:r w:rsidRPr="005366FD">
              <w:rPr>
                <w:rFonts w:cs="Arial"/>
                <w:color w:val="auto"/>
                <w:szCs w:val="16"/>
              </w:rPr>
              <w:t>1,4</w:t>
            </w:r>
          </w:p>
        </w:tc>
        <w:tc>
          <w:tcPr>
            <w:tcW w:w="826" w:type="dxa"/>
            <w:noWrap/>
            <w:hideMark/>
          </w:tcPr>
          <w:p w14:paraId="33933A7F" w14:textId="77777777" w:rsidR="005366FD" w:rsidRPr="005366FD" w:rsidRDefault="005366FD">
            <w:pPr>
              <w:pStyle w:val="Tabele"/>
              <w:jc w:val="right"/>
              <w:rPr>
                <w:color w:val="auto"/>
              </w:rPr>
            </w:pPr>
            <w:r w:rsidRPr="005366FD">
              <w:rPr>
                <w:rFonts w:cs="Arial"/>
                <w:color w:val="auto"/>
                <w:szCs w:val="16"/>
              </w:rPr>
              <w:t>3,3</w:t>
            </w:r>
          </w:p>
        </w:tc>
        <w:tc>
          <w:tcPr>
            <w:tcW w:w="826" w:type="dxa"/>
            <w:noWrap/>
            <w:hideMark/>
          </w:tcPr>
          <w:p w14:paraId="3237F4E0" w14:textId="77777777" w:rsidR="005366FD" w:rsidRPr="005366FD" w:rsidRDefault="005366FD">
            <w:pPr>
              <w:pStyle w:val="Tabele"/>
              <w:jc w:val="right"/>
              <w:rPr>
                <w:color w:val="auto"/>
              </w:rPr>
            </w:pPr>
            <w:r w:rsidRPr="005366FD">
              <w:rPr>
                <w:rFonts w:cs="Arial"/>
                <w:color w:val="auto"/>
                <w:szCs w:val="16"/>
              </w:rPr>
              <w:t>3,6</w:t>
            </w:r>
          </w:p>
        </w:tc>
        <w:tc>
          <w:tcPr>
            <w:tcW w:w="827" w:type="dxa"/>
          </w:tcPr>
          <w:p w14:paraId="27BA0DF1" w14:textId="77777777" w:rsidR="005366FD" w:rsidRPr="005366FD" w:rsidRDefault="005366FD">
            <w:pPr>
              <w:pStyle w:val="Tabele"/>
              <w:jc w:val="right"/>
              <w:rPr>
                <w:color w:val="auto"/>
              </w:rPr>
            </w:pPr>
            <w:r w:rsidRPr="005366FD">
              <w:rPr>
                <w:rFonts w:cs="Arial"/>
                <w:color w:val="auto"/>
                <w:szCs w:val="16"/>
              </w:rPr>
              <w:t>4,0</w:t>
            </w:r>
          </w:p>
        </w:tc>
      </w:tr>
      <w:tr w:rsidR="005366FD" w:rsidRPr="00F85B97" w14:paraId="53F04C00" w14:textId="77777777" w:rsidTr="004B6693">
        <w:trPr>
          <w:trHeight w:val="290"/>
        </w:trPr>
        <w:tc>
          <w:tcPr>
            <w:tcW w:w="2452" w:type="dxa"/>
            <w:noWrap/>
            <w:hideMark/>
          </w:tcPr>
          <w:p w14:paraId="250B8E67" w14:textId="77777777" w:rsidR="005366FD" w:rsidRPr="005366FD" w:rsidRDefault="005366FD">
            <w:pPr>
              <w:pStyle w:val="Tabele"/>
              <w:rPr>
                <w:color w:val="auto"/>
              </w:rPr>
            </w:pPr>
            <w:r w:rsidRPr="005366FD">
              <w:rPr>
                <w:rFonts w:cs="Arial"/>
                <w:color w:val="auto"/>
                <w:szCs w:val="16"/>
              </w:rPr>
              <w:t>Energia wiatru na lądzie</w:t>
            </w:r>
          </w:p>
        </w:tc>
        <w:tc>
          <w:tcPr>
            <w:tcW w:w="826" w:type="dxa"/>
            <w:shd w:val="clear" w:color="auto" w:fill="E2EFD9" w:themeFill="accent6" w:themeFillTint="33"/>
            <w:noWrap/>
            <w:hideMark/>
          </w:tcPr>
          <w:p w14:paraId="4762DD62" w14:textId="77777777" w:rsidR="005366FD" w:rsidRPr="005366FD" w:rsidRDefault="005366FD">
            <w:pPr>
              <w:pStyle w:val="Tabele"/>
              <w:jc w:val="right"/>
              <w:rPr>
                <w:color w:val="auto"/>
              </w:rPr>
            </w:pPr>
            <w:r w:rsidRPr="005366FD">
              <w:rPr>
                <w:rFonts w:cs="Arial"/>
                <w:color w:val="auto"/>
                <w:szCs w:val="16"/>
              </w:rPr>
              <w:t>0,1</w:t>
            </w:r>
          </w:p>
        </w:tc>
        <w:tc>
          <w:tcPr>
            <w:tcW w:w="826" w:type="dxa"/>
            <w:shd w:val="clear" w:color="auto" w:fill="E2EFD9" w:themeFill="accent6" w:themeFillTint="33"/>
            <w:noWrap/>
            <w:hideMark/>
          </w:tcPr>
          <w:p w14:paraId="36D3DBE2" w14:textId="77777777" w:rsidR="005366FD" w:rsidRPr="005366FD" w:rsidRDefault="005366FD">
            <w:pPr>
              <w:pStyle w:val="Tabele"/>
              <w:jc w:val="right"/>
              <w:rPr>
                <w:color w:val="auto"/>
              </w:rPr>
            </w:pPr>
            <w:r w:rsidRPr="005366FD">
              <w:rPr>
                <w:rFonts w:cs="Arial"/>
                <w:color w:val="auto"/>
                <w:szCs w:val="16"/>
              </w:rPr>
              <w:t>1,7</w:t>
            </w:r>
          </w:p>
        </w:tc>
        <w:tc>
          <w:tcPr>
            <w:tcW w:w="826" w:type="dxa"/>
            <w:shd w:val="clear" w:color="auto" w:fill="E2EFD9" w:themeFill="accent6" w:themeFillTint="33"/>
            <w:noWrap/>
            <w:hideMark/>
          </w:tcPr>
          <w:p w14:paraId="78A73A6D" w14:textId="77777777" w:rsidR="005366FD" w:rsidRPr="005366FD" w:rsidRDefault="005366FD">
            <w:pPr>
              <w:pStyle w:val="Tabele"/>
              <w:jc w:val="right"/>
              <w:rPr>
                <w:color w:val="auto"/>
              </w:rPr>
            </w:pPr>
            <w:r w:rsidRPr="005366FD">
              <w:rPr>
                <w:rFonts w:cs="Arial"/>
                <w:color w:val="auto"/>
                <w:szCs w:val="16"/>
              </w:rPr>
              <w:t>10,9</w:t>
            </w:r>
          </w:p>
        </w:tc>
        <w:tc>
          <w:tcPr>
            <w:tcW w:w="827" w:type="dxa"/>
            <w:shd w:val="clear" w:color="auto" w:fill="E2EFD9" w:themeFill="accent6" w:themeFillTint="33"/>
            <w:noWrap/>
            <w:hideMark/>
          </w:tcPr>
          <w:p w14:paraId="427952D2" w14:textId="77777777" w:rsidR="005366FD" w:rsidRPr="005366FD" w:rsidRDefault="005366FD">
            <w:pPr>
              <w:pStyle w:val="Tabele"/>
              <w:jc w:val="right"/>
              <w:rPr>
                <w:color w:val="auto"/>
              </w:rPr>
            </w:pPr>
            <w:r w:rsidRPr="005366FD">
              <w:rPr>
                <w:rFonts w:cs="Arial"/>
                <w:color w:val="auto"/>
                <w:szCs w:val="16"/>
              </w:rPr>
              <w:t>15,8</w:t>
            </w:r>
          </w:p>
        </w:tc>
        <w:tc>
          <w:tcPr>
            <w:tcW w:w="826" w:type="dxa"/>
            <w:noWrap/>
            <w:hideMark/>
          </w:tcPr>
          <w:p w14:paraId="436B196E" w14:textId="77777777" w:rsidR="005366FD" w:rsidRPr="005366FD" w:rsidRDefault="005366FD">
            <w:pPr>
              <w:pStyle w:val="Tabele"/>
              <w:jc w:val="right"/>
              <w:rPr>
                <w:color w:val="auto"/>
              </w:rPr>
            </w:pPr>
            <w:r w:rsidRPr="005366FD">
              <w:rPr>
                <w:rFonts w:cs="Arial"/>
                <w:color w:val="auto"/>
                <w:szCs w:val="16"/>
              </w:rPr>
              <w:t>27,5</w:t>
            </w:r>
          </w:p>
        </w:tc>
        <w:tc>
          <w:tcPr>
            <w:tcW w:w="826" w:type="dxa"/>
            <w:noWrap/>
            <w:hideMark/>
          </w:tcPr>
          <w:p w14:paraId="7EBB7450" w14:textId="77777777" w:rsidR="005366FD" w:rsidRPr="005366FD" w:rsidRDefault="005366FD">
            <w:pPr>
              <w:pStyle w:val="Tabele"/>
              <w:jc w:val="right"/>
              <w:rPr>
                <w:color w:val="auto"/>
              </w:rPr>
            </w:pPr>
            <w:r w:rsidRPr="005366FD">
              <w:rPr>
                <w:rFonts w:cs="Arial"/>
                <w:color w:val="auto"/>
                <w:szCs w:val="16"/>
              </w:rPr>
              <w:t>41,5</w:t>
            </w:r>
          </w:p>
        </w:tc>
        <w:tc>
          <w:tcPr>
            <w:tcW w:w="826" w:type="dxa"/>
            <w:noWrap/>
            <w:hideMark/>
          </w:tcPr>
          <w:p w14:paraId="786A1BB8" w14:textId="77777777" w:rsidR="005366FD" w:rsidRPr="005366FD" w:rsidRDefault="005366FD">
            <w:pPr>
              <w:pStyle w:val="Tabele"/>
              <w:jc w:val="right"/>
              <w:rPr>
                <w:color w:val="auto"/>
              </w:rPr>
            </w:pPr>
            <w:r w:rsidRPr="005366FD">
              <w:rPr>
                <w:rFonts w:cs="Arial"/>
                <w:color w:val="auto"/>
                <w:szCs w:val="16"/>
              </w:rPr>
              <w:t>68,0</w:t>
            </w:r>
          </w:p>
        </w:tc>
        <w:tc>
          <w:tcPr>
            <w:tcW w:w="827" w:type="dxa"/>
          </w:tcPr>
          <w:p w14:paraId="19B64906" w14:textId="77777777" w:rsidR="005366FD" w:rsidRPr="005366FD" w:rsidRDefault="005366FD">
            <w:pPr>
              <w:pStyle w:val="Tabele"/>
              <w:jc w:val="right"/>
              <w:rPr>
                <w:color w:val="auto"/>
              </w:rPr>
            </w:pPr>
            <w:r w:rsidRPr="005366FD">
              <w:rPr>
                <w:rFonts w:cs="Arial"/>
                <w:color w:val="auto"/>
                <w:szCs w:val="16"/>
              </w:rPr>
              <w:t>90,9</w:t>
            </w:r>
          </w:p>
        </w:tc>
      </w:tr>
      <w:tr w:rsidR="005366FD" w:rsidRPr="00F85B97" w14:paraId="0191B273" w14:textId="77777777" w:rsidTr="004B6693">
        <w:trPr>
          <w:trHeight w:val="290"/>
        </w:trPr>
        <w:tc>
          <w:tcPr>
            <w:tcW w:w="2452" w:type="dxa"/>
            <w:noWrap/>
            <w:hideMark/>
          </w:tcPr>
          <w:p w14:paraId="44A08CF4" w14:textId="77777777" w:rsidR="005366FD" w:rsidRPr="005366FD" w:rsidRDefault="005366FD">
            <w:pPr>
              <w:pStyle w:val="Tabele"/>
              <w:rPr>
                <w:color w:val="auto"/>
              </w:rPr>
            </w:pPr>
            <w:r w:rsidRPr="005366FD">
              <w:rPr>
                <w:rFonts w:cs="Arial"/>
                <w:color w:val="auto"/>
                <w:szCs w:val="16"/>
              </w:rPr>
              <w:t>Energia wiatru na morzu</w:t>
            </w:r>
          </w:p>
        </w:tc>
        <w:tc>
          <w:tcPr>
            <w:tcW w:w="826" w:type="dxa"/>
            <w:shd w:val="clear" w:color="auto" w:fill="E2EFD9" w:themeFill="accent6" w:themeFillTint="33"/>
            <w:noWrap/>
            <w:hideMark/>
          </w:tcPr>
          <w:p w14:paraId="5E4C52D7" w14:textId="77777777" w:rsidR="005366FD" w:rsidRPr="005366FD" w:rsidRDefault="005366FD">
            <w:pPr>
              <w:pStyle w:val="Tabele"/>
              <w:jc w:val="right"/>
              <w:rPr>
                <w:color w:val="auto"/>
              </w:rPr>
            </w:pPr>
            <w:r w:rsidRPr="005366FD">
              <w:rPr>
                <w:rFonts w:cs="Arial"/>
                <w:color w:val="auto"/>
                <w:szCs w:val="16"/>
              </w:rPr>
              <w:t>0,0</w:t>
            </w:r>
          </w:p>
        </w:tc>
        <w:tc>
          <w:tcPr>
            <w:tcW w:w="826" w:type="dxa"/>
            <w:shd w:val="clear" w:color="auto" w:fill="E2EFD9" w:themeFill="accent6" w:themeFillTint="33"/>
            <w:noWrap/>
            <w:hideMark/>
          </w:tcPr>
          <w:p w14:paraId="3112F905" w14:textId="77777777" w:rsidR="005366FD" w:rsidRPr="005366FD" w:rsidRDefault="005366FD">
            <w:pPr>
              <w:pStyle w:val="Tabele"/>
              <w:jc w:val="right"/>
              <w:rPr>
                <w:color w:val="auto"/>
              </w:rPr>
            </w:pPr>
            <w:r w:rsidRPr="005366FD">
              <w:rPr>
                <w:rFonts w:cs="Arial"/>
                <w:color w:val="auto"/>
                <w:szCs w:val="16"/>
              </w:rPr>
              <w:t>0,0</w:t>
            </w:r>
          </w:p>
        </w:tc>
        <w:tc>
          <w:tcPr>
            <w:tcW w:w="826" w:type="dxa"/>
            <w:shd w:val="clear" w:color="auto" w:fill="E2EFD9" w:themeFill="accent6" w:themeFillTint="33"/>
            <w:noWrap/>
            <w:hideMark/>
          </w:tcPr>
          <w:p w14:paraId="3FE7F268" w14:textId="77777777" w:rsidR="005366FD" w:rsidRPr="005366FD" w:rsidRDefault="005366FD">
            <w:pPr>
              <w:pStyle w:val="Tabele"/>
              <w:jc w:val="right"/>
              <w:rPr>
                <w:color w:val="auto"/>
              </w:rPr>
            </w:pPr>
            <w:r w:rsidRPr="005366FD">
              <w:rPr>
                <w:rFonts w:cs="Arial"/>
                <w:color w:val="auto"/>
                <w:szCs w:val="16"/>
              </w:rPr>
              <w:t>0,0</w:t>
            </w:r>
          </w:p>
        </w:tc>
        <w:tc>
          <w:tcPr>
            <w:tcW w:w="827" w:type="dxa"/>
            <w:shd w:val="clear" w:color="auto" w:fill="E2EFD9" w:themeFill="accent6" w:themeFillTint="33"/>
            <w:noWrap/>
            <w:hideMark/>
          </w:tcPr>
          <w:p w14:paraId="404B6576" w14:textId="77777777" w:rsidR="005366FD" w:rsidRPr="005366FD" w:rsidRDefault="005366FD">
            <w:pPr>
              <w:pStyle w:val="Tabele"/>
              <w:jc w:val="right"/>
              <w:rPr>
                <w:color w:val="auto"/>
              </w:rPr>
            </w:pPr>
            <w:r w:rsidRPr="005366FD">
              <w:rPr>
                <w:rFonts w:cs="Arial"/>
                <w:color w:val="auto"/>
                <w:szCs w:val="16"/>
              </w:rPr>
              <w:t>0,0</w:t>
            </w:r>
          </w:p>
        </w:tc>
        <w:tc>
          <w:tcPr>
            <w:tcW w:w="826" w:type="dxa"/>
            <w:noWrap/>
            <w:hideMark/>
          </w:tcPr>
          <w:p w14:paraId="27802600" w14:textId="77777777" w:rsidR="005366FD" w:rsidRPr="005366FD" w:rsidRDefault="005366FD">
            <w:pPr>
              <w:pStyle w:val="Tabele"/>
              <w:jc w:val="right"/>
              <w:rPr>
                <w:color w:val="auto"/>
              </w:rPr>
            </w:pPr>
            <w:r w:rsidRPr="005366FD">
              <w:rPr>
                <w:rFonts w:cs="Arial"/>
                <w:color w:val="auto"/>
                <w:szCs w:val="16"/>
              </w:rPr>
              <w:t>0,0</w:t>
            </w:r>
          </w:p>
        </w:tc>
        <w:tc>
          <w:tcPr>
            <w:tcW w:w="826" w:type="dxa"/>
            <w:noWrap/>
            <w:hideMark/>
          </w:tcPr>
          <w:p w14:paraId="7A3EA86F" w14:textId="77777777" w:rsidR="005366FD" w:rsidRPr="005366FD" w:rsidRDefault="005366FD">
            <w:pPr>
              <w:pStyle w:val="Tabele"/>
              <w:jc w:val="right"/>
              <w:rPr>
                <w:color w:val="auto"/>
              </w:rPr>
            </w:pPr>
            <w:r w:rsidRPr="005366FD">
              <w:rPr>
                <w:rFonts w:cs="Arial"/>
                <w:color w:val="auto"/>
                <w:szCs w:val="16"/>
              </w:rPr>
              <w:t>20,6</w:t>
            </w:r>
          </w:p>
        </w:tc>
        <w:tc>
          <w:tcPr>
            <w:tcW w:w="826" w:type="dxa"/>
            <w:noWrap/>
            <w:hideMark/>
          </w:tcPr>
          <w:p w14:paraId="50D0B3BE" w14:textId="77777777" w:rsidR="005366FD" w:rsidRPr="005366FD" w:rsidRDefault="005366FD">
            <w:pPr>
              <w:pStyle w:val="Tabele"/>
              <w:jc w:val="right"/>
              <w:rPr>
                <w:color w:val="auto"/>
              </w:rPr>
            </w:pPr>
            <w:r w:rsidRPr="005366FD">
              <w:rPr>
                <w:rFonts w:cs="Arial"/>
                <w:color w:val="auto"/>
                <w:szCs w:val="16"/>
              </w:rPr>
              <w:t>48,9</w:t>
            </w:r>
          </w:p>
        </w:tc>
        <w:tc>
          <w:tcPr>
            <w:tcW w:w="827" w:type="dxa"/>
          </w:tcPr>
          <w:p w14:paraId="718C5EF4" w14:textId="77777777" w:rsidR="005366FD" w:rsidRPr="005366FD" w:rsidRDefault="005366FD">
            <w:pPr>
              <w:pStyle w:val="Tabele"/>
              <w:jc w:val="right"/>
              <w:rPr>
                <w:color w:val="auto"/>
              </w:rPr>
            </w:pPr>
            <w:r w:rsidRPr="005366FD">
              <w:rPr>
                <w:rFonts w:cs="Arial"/>
                <w:color w:val="auto"/>
                <w:szCs w:val="16"/>
              </w:rPr>
              <w:t>66,9</w:t>
            </w:r>
          </w:p>
        </w:tc>
      </w:tr>
      <w:tr w:rsidR="005366FD" w:rsidRPr="00F85B97" w14:paraId="7632DFB9" w14:textId="77777777" w:rsidTr="004B6693">
        <w:trPr>
          <w:trHeight w:val="290"/>
        </w:trPr>
        <w:tc>
          <w:tcPr>
            <w:tcW w:w="2452" w:type="dxa"/>
            <w:noWrap/>
            <w:hideMark/>
          </w:tcPr>
          <w:p w14:paraId="4D779FFF" w14:textId="77777777" w:rsidR="005366FD" w:rsidRPr="005366FD" w:rsidRDefault="005366FD">
            <w:pPr>
              <w:pStyle w:val="Tabele"/>
              <w:rPr>
                <w:color w:val="auto"/>
              </w:rPr>
            </w:pPr>
            <w:r w:rsidRPr="005366FD">
              <w:rPr>
                <w:rFonts w:cs="Arial"/>
                <w:color w:val="auto"/>
                <w:szCs w:val="16"/>
              </w:rPr>
              <w:t>Energia słoneczna</w:t>
            </w:r>
          </w:p>
        </w:tc>
        <w:tc>
          <w:tcPr>
            <w:tcW w:w="826" w:type="dxa"/>
            <w:shd w:val="clear" w:color="auto" w:fill="E2EFD9" w:themeFill="accent6" w:themeFillTint="33"/>
            <w:noWrap/>
            <w:hideMark/>
          </w:tcPr>
          <w:p w14:paraId="0141D8A7" w14:textId="77777777" w:rsidR="005366FD" w:rsidRPr="005366FD" w:rsidRDefault="005366FD">
            <w:pPr>
              <w:pStyle w:val="Tabele"/>
              <w:jc w:val="right"/>
              <w:rPr>
                <w:color w:val="auto"/>
              </w:rPr>
            </w:pPr>
            <w:r w:rsidRPr="005366FD">
              <w:rPr>
                <w:rFonts w:cs="Arial"/>
                <w:color w:val="auto"/>
                <w:szCs w:val="16"/>
              </w:rPr>
              <w:t>0,0</w:t>
            </w:r>
          </w:p>
        </w:tc>
        <w:tc>
          <w:tcPr>
            <w:tcW w:w="826" w:type="dxa"/>
            <w:shd w:val="clear" w:color="auto" w:fill="E2EFD9" w:themeFill="accent6" w:themeFillTint="33"/>
            <w:noWrap/>
            <w:hideMark/>
          </w:tcPr>
          <w:p w14:paraId="56212388" w14:textId="77777777" w:rsidR="005366FD" w:rsidRPr="005366FD" w:rsidRDefault="005366FD">
            <w:pPr>
              <w:pStyle w:val="Tabele"/>
              <w:jc w:val="right"/>
              <w:rPr>
                <w:color w:val="auto"/>
              </w:rPr>
            </w:pPr>
            <w:r w:rsidRPr="005366FD">
              <w:rPr>
                <w:rFonts w:cs="Arial"/>
                <w:color w:val="auto"/>
                <w:szCs w:val="16"/>
              </w:rPr>
              <w:t>0,0</w:t>
            </w:r>
          </w:p>
        </w:tc>
        <w:tc>
          <w:tcPr>
            <w:tcW w:w="826" w:type="dxa"/>
            <w:shd w:val="clear" w:color="auto" w:fill="E2EFD9" w:themeFill="accent6" w:themeFillTint="33"/>
            <w:noWrap/>
            <w:hideMark/>
          </w:tcPr>
          <w:p w14:paraId="505D0055" w14:textId="77777777" w:rsidR="005366FD" w:rsidRPr="005366FD" w:rsidRDefault="005366FD">
            <w:pPr>
              <w:pStyle w:val="Tabele"/>
              <w:jc w:val="right"/>
              <w:rPr>
                <w:color w:val="auto"/>
              </w:rPr>
            </w:pPr>
            <w:r w:rsidRPr="005366FD">
              <w:rPr>
                <w:rFonts w:cs="Arial"/>
                <w:color w:val="auto"/>
                <w:szCs w:val="16"/>
              </w:rPr>
              <w:t>0,1</w:t>
            </w:r>
          </w:p>
        </w:tc>
        <w:tc>
          <w:tcPr>
            <w:tcW w:w="827" w:type="dxa"/>
            <w:shd w:val="clear" w:color="auto" w:fill="E2EFD9" w:themeFill="accent6" w:themeFillTint="33"/>
            <w:noWrap/>
            <w:hideMark/>
          </w:tcPr>
          <w:p w14:paraId="1AE29FB6" w14:textId="77777777" w:rsidR="005366FD" w:rsidRPr="005366FD" w:rsidRDefault="005366FD">
            <w:pPr>
              <w:pStyle w:val="Tabele"/>
              <w:jc w:val="right"/>
              <w:rPr>
                <w:color w:val="auto"/>
              </w:rPr>
            </w:pPr>
            <w:r w:rsidRPr="005366FD">
              <w:rPr>
                <w:rFonts w:cs="Arial"/>
                <w:color w:val="auto"/>
                <w:szCs w:val="16"/>
              </w:rPr>
              <w:t>2,0</w:t>
            </w:r>
          </w:p>
        </w:tc>
        <w:tc>
          <w:tcPr>
            <w:tcW w:w="826" w:type="dxa"/>
            <w:noWrap/>
            <w:hideMark/>
          </w:tcPr>
          <w:p w14:paraId="0315D300" w14:textId="77777777" w:rsidR="005366FD" w:rsidRPr="005366FD" w:rsidRDefault="005366FD">
            <w:pPr>
              <w:pStyle w:val="Tabele"/>
              <w:jc w:val="right"/>
              <w:rPr>
                <w:color w:val="auto"/>
              </w:rPr>
            </w:pPr>
            <w:r w:rsidRPr="005366FD">
              <w:rPr>
                <w:rFonts w:cs="Arial"/>
                <w:color w:val="auto"/>
                <w:szCs w:val="16"/>
              </w:rPr>
              <w:t>16,8</w:t>
            </w:r>
          </w:p>
        </w:tc>
        <w:tc>
          <w:tcPr>
            <w:tcW w:w="826" w:type="dxa"/>
            <w:noWrap/>
            <w:hideMark/>
          </w:tcPr>
          <w:p w14:paraId="774C5E38" w14:textId="77777777" w:rsidR="005366FD" w:rsidRPr="005366FD" w:rsidRDefault="005366FD">
            <w:pPr>
              <w:pStyle w:val="Tabele"/>
              <w:jc w:val="right"/>
              <w:rPr>
                <w:color w:val="auto"/>
              </w:rPr>
            </w:pPr>
            <w:r w:rsidRPr="005366FD">
              <w:rPr>
                <w:rFonts w:cs="Arial"/>
                <w:color w:val="auto"/>
                <w:szCs w:val="16"/>
              </w:rPr>
              <w:t>26,4</w:t>
            </w:r>
          </w:p>
        </w:tc>
        <w:tc>
          <w:tcPr>
            <w:tcW w:w="826" w:type="dxa"/>
            <w:noWrap/>
            <w:hideMark/>
          </w:tcPr>
          <w:p w14:paraId="47C78587" w14:textId="77777777" w:rsidR="005366FD" w:rsidRPr="005366FD" w:rsidRDefault="005366FD">
            <w:pPr>
              <w:pStyle w:val="Tabele"/>
              <w:jc w:val="right"/>
              <w:rPr>
                <w:color w:val="auto"/>
              </w:rPr>
            </w:pPr>
            <w:r w:rsidRPr="005366FD">
              <w:rPr>
                <w:rFonts w:cs="Arial"/>
                <w:color w:val="auto"/>
                <w:szCs w:val="16"/>
              </w:rPr>
              <w:t>36,2</w:t>
            </w:r>
          </w:p>
        </w:tc>
        <w:tc>
          <w:tcPr>
            <w:tcW w:w="827" w:type="dxa"/>
          </w:tcPr>
          <w:p w14:paraId="4C5A6E46" w14:textId="77777777" w:rsidR="005366FD" w:rsidRPr="005366FD" w:rsidRDefault="005366FD">
            <w:pPr>
              <w:pStyle w:val="Tabele"/>
              <w:jc w:val="right"/>
              <w:rPr>
                <w:color w:val="auto"/>
              </w:rPr>
            </w:pPr>
            <w:r w:rsidRPr="005366FD">
              <w:rPr>
                <w:rFonts w:cs="Arial"/>
                <w:color w:val="auto"/>
                <w:szCs w:val="16"/>
              </w:rPr>
              <w:t>46,8</w:t>
            </w:r>
          </w:p>
        </w:tc>
      </w:tr>
      <w:tr w:rsidR="005366FD" w:rsidRPr="00F85B97" w14:paraId="211D9A47" w14:textId="77777777" w:rsidTr="004B6693">
        <w:trPr>
          <w:trHeight w:val="290"/>
        </w:trPr>
        <w:tc>
          <w:tcPr>
            <w:tcW w:w="2452" w:type="dxa"/>
            <w:noWrap/>
            <w:hideMark/>
          </w:tcPr>
          <w:p w14:paraId="18BDA389" w14:textId="77777777" w:rsidR="005366FD" w:rsidRPr="005366FD" w:rsidRDefault="005366FD">
            <w:pPr>
              <w:pStyle w:val="Tabele"/>
              <w:rPr>
                <w:bCs/>
                <w:color w:val="auto"/>
              </w:rPr>
            </w:pPr>
            <w:r w:rsidRPr="005366FD">
              <w:rPr>
                <w:rFonts w:cs="Arial"/>
                <w:color w:val="auto"/>
                <w:szCs w:val="16"/>
              </w:rPr>
              <w:t>Energia geotermalna</w:t>
            </w:r>
          </w:p>
        </w:tc>
        <w:tc>
          <w:tcPr>
            <w:tcW w:w="826" w:type="dxa"/>
            <w:shd w:val="clear" w:color="auto" w:fill="E2EFD9" w:themeFill="accent6" w:themeFillTint="33"/>
            <w:noWrap/>
            <w:hideMark/>
          </w:tcPr>
          <w:p w14:paraId="3E3784D4" w14:textId="77777777" w:rsidR="005366FD" w:rsidRPr="005366FD" w:rsidRDefault="005366FD">
            <w:pPr>
              <w:pStyle w:val="Tabele"/>
              <w:jc w:val="right"/>
              <w:rPr>
                <w:bCs/>
                <w:color w:val="auto"/>
              </w:rPr>
            </w:pPr>
            <w:r w:rsidRPr="005366FD">
              <w:rPr>
                <w:rFonts w:cs="Arial"/>
                <w:color w:val="auto"/>
                <w:szCs w:val="16"/>
              </w:rPr>
              <w:t>0,0</w:t>
            </w:r>
          </w:p>
        </w:tc>
        <w:tc>
          <w:tcPr>
            <w:tcW w:w="826" w:type="dxa"/>
            <w:shd w:val="clear" w:color="auto" w:fill="E2EFD9" w:themeFill="accent6" w:themeFillTint="33"/>
            <w:noWrap/>
            <w:hideMark/>
          </w:tcPr>
          <w:p w14:paraId="72EF8C7C" w14:textId="77777777" w:rsidR="005366FD" w:rsidRPr="005366FD" w:rsidRDefault="005366FD">
            <w:pPr>
              <w:pStyle w:val="Tabele"/>
              <w:jc w:val="right"/>
              <w:rPr>
                <w:bCs/>
                <w:color w:val="auto"/>
              </w:rPr>
            </w:pPr>
            <w:r w:rsidRPr="005366FD">
              <w:rPr>
                <w:rFonts w:cs="Arial"/>
                <w:color w:val="auto"/>
                <w:szCs w:val="16"/>
              </w:rPr>
              <w:t>0,0</w:t>
            </w:r>
          </w:p>
        </w:tc>
        <w:tc>
          <w:tcPr>
            <w:tcW w:w="826" w:type="dxa"/>
            <w:shd w:val="clear" w:color="auto" w:fill="E2EFD9" w:themeFill="accent6" w:themeFillTint="33"/>
            <w:noWrap/>
            <w:hideMark/>
          </w:tcPr>
          <w:p w14:paraId="6AED5839" w14:textId="77777777" w:rsidR="005366FD" w:rsidRPr="005366FD" w:rsidRDefault="005366FD">
            <w:pPr>
              <w:pStyle w:val="Tabele"/>
              <w:jc w:val="right"/>
              <w:rPr>
                <w:bCs/>
                <w:color w:val="auto"/>
              </w:rPr>
            </w:pPr>
            <w:r w:rsidRPr="005366FD">
              <w:rPr>
                <w:rFonts w:cs="Arial"/>
                <w:color w:val="auto"/>
                <w:szCs w:val="16"/>
              </w:rPr>
              <w:t>0,0</w:t>
            </w:r>
          </w:p>
        </w:tc>
        <w:tc>
          <w:tcPr>
            <w:tcW w:w="827" w:type="dxa"/>
            <w:shd w:val="clear" w:color="auto" w:fill="E2EFD9" w:themeFill="accent6" w:themeFillTint="33"/>
            <w:noWrap/>
            <w:hideMark/>
          </w:tcPr>
          <w:p w14:paraId="2E5E6131" w14:textId="77777777" w:rsidR="005366FD" w:rsidRPr="005366FD" w:rsidRDefault="005366FD">
            <w:pPr>
              <w:pStyle w:val="Tabele"/>
              <w:jc w:val="right"/>
              <w:rPr>
                <w:bCs/>
                <w:color w:val="auto"/>
              </w:rPr>
            </w:pPr>
            <w:r w:rsidRPr="005366FD">
              <w:rPr>
                <w:rFonts w:cs="Arial"/>
                <w:color w:val="auto"/>
                <w:szCs w:val="16"/>
              </w:rPr>
              <w:t>0,0</w:t>
            </w:r>
          </w:p>
        </w:tc>
        <w:tc>
          <w:tcPr>
            <w:tcW w:w="826" w:type="dxa"/>
            <w:noWrap/>
            <w:hideMark/>
          </w:tcPr>
          <w:p w14:paraId="75C37096" w14:textId="77777777" w:rsidR="005366FD" w:rsidRPr="005366FD" w:rsidRDefault="005366FD">
            <w:pPr>
              <w:pStyle w:val="Tabele"/>
              <w:jc w:val="right"/>
              <w:rPr>
                <w:bCs/>
                <w:color w:val="auto"/>
              </w:rPr>
            </w:pPr>
            <w:r w:rsidRPr="005366FD">
              <w:rPr>
                <w:rFonts w:cs="Arial"/>
                <w:color w:val="auto"/>
                <w:szCs w:val="16"/>
              </w:rPr>
              <w:t>0,0</w:t>
            </w:r>
          </w:p>
        </w:tc>
        <w:tc>
          <w:tcPr>
            <w:tcW w:w="826" w:type="dxa"/>
            <w:noWrap/>
            <w:hideMark/>
          </w:tcPr>
          <w:p w14:paraId="65C317E3" w14:textId="77777777" w:rsidR="005366FD" w:rsidRPr="005366FD" w:rsidRDefault="005366FD">
            <w:pPr>
              <w:pStyle w:val="Tabele"/>
              <w:jc w:val="right"/>
              <w:rPr>
                <w:bCs/>
                <w:color w:val="auto"/>
              </w:rPr>
            </w:pPr>
            <w:r w:rsidRPr="005366FD">
              <w:rPr>
                <w:rFonts w:cs="Arial"/>
                <w:color w:val="auto"/>
                <w:szCs w:val="16"/>
              </w:rPr>
              <w:t>0,0</w:t>
            </w:r>
          </w:p>
        </w:tc>
        <w:tc>
          <w:tcPr>
            <w:tcW w:w="826" w:type="dxa"/>
            <w:noWrap/>
            <w:hideMark/>
          </w:tcPr>
          <w:p w14:paraId="087840CD" w14:textId="77777777" w:rsidR="005366FD" w:rsidRPr="005366FD" w:rsidRDefault="005366FD">
            <w:pPr>
              <w:pStyle w:val="Tabele"/>
              <w:jc w:val="right"/>
              <w:rPr>
                <w:bCs/>
                <w:color w:val="auto"/>
              </w:rPr>
            </w:pPr>
            <w:r w:rsidRPr="005366FD">
              <w:rPr>
                <w:rFonts w:cs="Arial"/>
                <w:color w:val="auto"/>
                <w:szCs w:val="16"/>
              </w:rPr>
              <w:t>0,0</w:t>
            </w:r>
          </w:p>
        </w:tc>
        <w:tc>
          <w:tcPr>
            <w:tcW w:w="827" w:type="dxa"/>
          </w:tcPr>
          <w:p w14:paraId="085AAA14" w14:textId="77777777" w:rsidR="005366FD" w:rsidRPr="005366FD" w:rsidRDefault="005366FD">
            <w:pPr>
              <w:pStyle w:val="Tabele"/>
              <w:jc w:val="right"/>
              <w:rPr>
                <w:bCs/>
                <w:color w:val="auto"/>
              </w:rPr>
            </w:pPr>
            <w:r w:rsidRPr="005366FD">
              <w:rPr>
                <w:rFonts w:cs="Arial"/>
                <w:color w:val="auto"/>
                <w:szCs w:val="16"/>
              </w:rPr>
              <w:t>0,0</w:t>
            </w:r>
          </w:p>
        </w:tc>
      </w:tr>
      <w:tr w:rsidR="005366FD" w:rsidRPr="00F85B97" w14:paraId="29A2679F" w14:textId="77777777" w:rsidTr="004B6693">
        <w:trPr>
          <w:trHeight w:val="290"/>
        </w:trPr>
        <w:tc>
          <w:tcPr>
            <w:tcW w:w="2452" w:type="dxa"/>
            <w:noWrap/>
          </w:tcPr>
          <w:p w14:paraId="30D7B016" w14:textId="77777777" w:rsidR="005366FD" w:rsidRPr="005366FD" w:rsidRDefault="005366FD">
            <w:pPr>
              <w:pStyle w:val="Tabele"/>
              <w:rPr>
                <w:color w:val="auto"/>
                <w:szCs w:val="16"/>
              </w:rPr>
            </w:pPr>
            <w:r w:rsidRPr="005366FD">
              <w:rPr>
                <w:rFonts w:cs="Arial"/>
                <w:color w:val="auto"/>
                <w:szCs w:val="16"/>
              </w:rPr>
              <w:t>Pozostałe***</w:t>
            </w:r>
          </w:p>
        </w:tc>
        <w:tc>
          <w:tcPr>
            <w:tcW w:w="826" w:type="dxa"/>
            <w:shd w:val="clear" w:color="auto" w:fill="E2EFD9" w:themeFill="accent6" w:themeFillTint="33"/>
            <w:noWrap/>
          </w:tcPr>
          <w:p w14:paraId="5D8AF65C" w14:textId="77777777" w:rsidR="005366FD" w:rsidRPr="005366FD" w:rsidRDefault="005366FD">
            <w:pPr>
              <w:pStyle w:val="Tabele"/>
              <w:jc w:val="right"/>
              <w:rPr>
                <w:color w:val="auto"/>
                <w:szCs w:val="16"/>
              </w:rPr>
            </w:pPr>
            <w:r w:rsidRPr="005366FD">
              <w:rPr>
                <w:rFonts w:cs="Arial"/>
                <w:color w:val="auto"/>
                <w:szCs w:val="16"/>
              </w:rPr>
              <w:t>0,7</w:t>
            </w:r>
          </w:p>
        </w:tc>
        <w:tc>
          <w:tcPr>
            <w:tcW w:w="826" w:type="dxa"/>
            <w:shd w:val="clear" w:color="auto" w:fill="E2EFD9" w:themeFill="accent6" w:themeFillTint="33"/>
            <w:noWrap/>
          </w:tcPr>
          <w:p w14:paraId="371A145E" w14:textId="77777777" w:rsidR="005366FD" w:rsidRPr="005366FD" w:rsidRDefault="005366FD">
            <w:pPr>
              <w:pStyle w:val="Tabele"/>
              <w:jc w:val="right"/>
              <w:rPr>
                <w:color w:val="auto"/>
                <w:szCs w:val="16"/>
              </w:rPr>
            </w:pPr>
            <w:r w:rsidRPr="005366FD">
              <w:rPr>
                <w:rFonts w:cs="Arial"/>
                <w:color w:val="auto"/>
                <w:szCs w:val="16"/>
              </w:rPr>
              <w:t>1,1</w:t>
            </w:r>
          </w:p>
        </w:tc>
        <w:tc>
          <w:tcPr>
            <w:tcW w:w="826" w:type="dxa"/>
            <w:shd w:val="clear" w:color="auto" w:fill="E2EFD9" w:themeFill="accent6" w:themeFillTint="33"/>
            <w:noWrap/>
          </w:tcPr>
          <w:p w14:paraId="7E8C3808" w14:textId="77777777" w:rsidR="005366FD" w:rsidRPr="005366FD" w:rsidRDefault="005366FD">
            <w:pPr>
              <w:pStyle w:val="Tabele"/>
              <w:jc w:val="right"/>
              <w:rPr>
                <w:color w:val="auto"/>
                <w:szCs w:val="16"/>
              </w:rPr>
            </w:pPr>
            <w:r w:rsidRPr="005366FD">
              <w:rPr>
                <w:rFonts w:cs="Arial"/>
                <w:color w:val="auto"/>
                <w:szCs w:val="16"/>
              </w:rPr>
              <w:t>1,0</w:t>
            </w:r>
          </w:p>
        </w:tc>
        <w:tc>
          <w:tcPr>
            <w:tcW w:w="827" w:type="dxa"/>
            <w:shd w:val="clear" w:color="auto" w:fill="E2EFD9" w:themeFill="accent6" w:themeFillTint="33"/>
            <w:noWrap/>
          </w:tcPr>
          <w:p w14:paraId="644E7B99" w14:textId="77777777" w:rsidR="005366FD" w:rsidRPr="005366FD" w:rsidRDefault="005366FD">
            <w:pPr>
              <w:pStyle w:val="Tabele"/>
              <w:jc w:val="right"/>
              <w:rPr>
                <w:color w:val="auto"/>
                <w:szCs w:val="16"/>
              </w:rPr>
            </w:pPr>
            <w:r w:rsidRPr="005366FD">
              <w:rPr>
                <w:rFonts w:cs="Arial"/>
                <w:color w:val="auto"/>
                <w:szCs w:val="16"/>
              </w:rPr>
              <w:t>1,5</w:t>
            </w:r>
          </w:p>
        </w:tc>
        <w:tc>
          <w:tcPr>
            <w:tcW w:w="826" w:type="dxa"/>
            <w:noWrap/>
          </w:tcPr>
          <w:p w14:paraId="31E87D9E" w14:textId="77777777" w:rsidR="005366FD" w:rsidRPr="005366FD" w:rsidRDefault="005366FD">
            <w:pPr>
              <w:pStyle w:val="Tabele"/>
              <w:jc w:val="right"/>
              <w:rPr>
                <w:color w:val="auto"/>
                <w:szCs w:val="16"/>
              </w:rPr>
            </w:pPr>
            <w:r w:rsidRPr="005366FD">
              <w:rPr>
                <w:rFonts w:cs="Arial"/>
                <w:color w:val="auto"/>
                <w:szCs w:val="16"/>
              </w:rPr>
              <w:t>2,3</w:t>
            </w:r>
          </w:p>
        </w:tc>
        <w:tc>
          <w:tcPr>
            <w:tcW w:w="826" w:type="dxa"/>
            <w:noWrap/>
          </w:tcPr>
          <w:p w14:paraId="3F27D27E" w14:textId="77777777" w:rsidR="005366FD" w:rsidRPr="005366FD" w:rsidRDefault="005366FD">
            <w:pPr>
              <w:pStyle w:val="Tabele"/>
              <w:jc w:val="right"/>
              <w:rPr>
                <w:color w:val="auto"/>
                <w:szCs w:val="16"/>
              </w:rPr>
            </w:pPr>
            <w:r w:rsidRPr="005366FD">
              <w:rPr>
                <w:rFonts w:cs="Arial"/>
                <w:color w:val="auto"/>
                <w:szCs w:val="16"/>
              </w:rPr>
              <w:t>2,4</w:t>
            </w:r>
          </w:p>
        </w:tc>
        <w:tc>
          <w:tcPr>
            <w:tcW w:w="826" w:type="dxa"/>
            <w:noWrap/>
          </w:tcPr>
          <w:p w14:paraId="75C2F92C" w14:textId="77777777" w:rsidR="005366FD" w:rsidRPr="005366FD" w:rsidRDefault="005366FD">
            <w:pPr>
              <w:pStyle w:val="Tabele"/>
              <w:jc w:val="right"/>
              <w:rPr>
                <w:color w:val="auto"/>
                <w:szCs w:val="16"/>
              </w:rPr>
            </w:pPr>
            <w:r w:rsidRPr="005366FD">
              <w:rPr>
                <w:rFonts w:cs="Arial"/>
                <w:color w:val="auto"/>
                <w:szCs w:val="16"/>
              </w:rPr>
              <w:t>2,2</w:t>
            </w:r>
          </w:p>
        </w:tc>
        <w:tc>
          <w:tcPr>
            <w:tcW w:w="827" w:type="dxa"/>
          </w:tcPr>
          <w:p w14:paraId="53DDFF2D" w14:textId="77777777" w:rsidR="005366FD" w:rsidRPr="005366FD" w:rsidRDefault="005366FD">
            <w:pPr>
              <w:pStyle w:val="Tabele"/>
              <w:jc w:val="right"/>
              <w:rPr>
                <w:color w:val="auto"/>
                <w:szCs w:val="16"/>
              </w:rPr>
            </w:pPr>
            <w:r w:rsidRPr="005366FD">
              <w:rPr>
                <w:rFonts w:cs="Arial"/>
                <w:color w:val="auto"/>
                <w:szCs w:val="16"/>
              </w:rPr>
              <w:t>1,7</w:t>
            </w:r>
          </w:p>
        </w:tc>
      </w:tr>
      <w:tr w:rsidR="005366FD" w:rsidRPr="00F85B97" w14:paraId="36998C6D" w14:textId="77777777" w:rsidTr="004B6693">
        <w:trPr>
          <w:trHeight w:val="290"/>
        </w:trPr>
        <w:tc>
          <w:tcPr>
            <w:tcW w:w="2452" w:type="dxa"/>
            <w:noWrap/>
          </w:tcPr>
          <w:p w14:paraId="566E10E2" w14:textId="77777777" w:rsidR="005366FD" w:rsidRPr="005366FD" w:rsidRDefault="005366FD">
            <w:pPr>
              <w:pStyle w:val="Tabele"/>
              <w:rPr>
                <w:color w:val="auto"/>
                <w:szCs w:val="16"/>
              </w:rPr>
            </w:pPr>
            <w:r w:rsidRPr="005366FD">
              <w:rPr>
                <w:rFonts w:cs="Arial"/>
                <w:color w:val="auto"/>
                <w:szCs w:val="16"/>
              </w:rPr>
              <w:t>Magazyny (Baterie)</w:t>
            </w:r>
          </w:p>
        </w:tc>
        <w:tc>
          <w:tcPr>
            <w:tcW w:w="826" w:type="dxa"/>
            <w:shd w:val="clear" w:color="auto" w:fill="E2EFD9" w:themeFill="accent6" w:themeFillTint="33"/>
            <w:noWrap/>
          </w:tcPr>
          <w:p w14:paraId="578A8AF0" w14:textId="77777777" w:rsidR="005366FD" w:rsidRPr="005366FD" w:rsidRDefault="005366FD">
            <w:pPr>
              <w:pStyle w:val="Tabele"/>
              <w:jc w:val="right"/>
              <w:rPr>
                <w:color w:val="auto"/>
                <w:szCs w:val="16"/>
              </w:rPr>
            </w:pPr>
            <w:r w:rsidRPr="005366FD">
              <w:rPr>
                <w:rFonts w:cs="Arial"/>
                <w:color w:val="auto"/>
                <w:szCs w:val="16"/>
              </w:rPr>
              <w:t>0,0</w:t>
            </w:r>
          </w:p>
        </w:tc>
        <w:tc>
          <w:tcPr>
            <w:tcW w:w="826" w:type="dxa"/>
            <w:shd w:val="clear" w:color="auto" w:fill="E2EFD9" w:themeFill="accent6" w:themeFillTint="33"/>
            <w:noWrap/>
          </w:tcPr>
          <w:p w14:paraId="7900F50C" w14:textId="77777777" w:rsidR="005366FD" w:rsidRPr="005366FD" w:rsidRDefault="005366FD">
            <w:pPr>
              <w:pStyle w:val="Tabele"/>
              <w:jc w:val="right"/>
              <w:rPr>
                <w:color w:val="auto"/>
                <w:szCs w:val="16"/>
              </w:rPr>
            </w:pPr>
            <w:r w:rsidRPr="005366FD">
              <w:rPr>
                <w:rFonts w:cs="Arial"/>
                <w:color w:val="auto"/>
                <w:szCs w:val="16"/>
              </w:rPr>
              <w:t>0,0</w:t>
            </w:r>
          </w:p>
        </w:tc>
        <w:tc>
          <w:tcPr>
            <w:tcW w:w="826" w:type="dxa"/>
            <w:shd w:val="clear" w:color="auto" w:fill="E2EFD9" w:themeFill="accent6" w:themeFillTint="33"/>
            <w:noWrap/>
          </w:tcPr>
          <w:p w14:paraId="34C5C1B9" w14:textId="77777777" w:rsidR="005366FD" w:rsidRPr="005366FD" w:rsidRDefault="005366FD">
            <w:pPr>
              <w:pStyle w:val="Tabele"/>
              <w:jc w:val="right"/>
              <w:rPr>
                <w:color w:val="auto"/>
                <w:szCs w:val="16"/>
              </w:rPr>
            </w:pPr>
            <w:r w:rsidRPr="005366FD">
              <w:rPr>
                <w:rFonts w:cs="Arial"/>
                <w:color w:val="auto"/>
                <w:szCs w:val="16"/>
              </w:rPr>
              <w:t>0,0</w:t>
            </w:r>
          </w:p>
        </w:tc>
        <w:tc>
          <w:tcPr>
            <w:tcW w:w="827" w:type="dxa"/>
            <w:shd w:val="clear" w:color="auto" w:fill="E2EFD9" w:themeFill="accent6" w:themeFillTint="33"/>
            <w:noWrap/>
          </w:tcPr>
          <w:p w14:paraId="21A5B37F" w14:textId="77777777" w:rsidR="005366FD" w:rsidRPr="005366FD" w:rsidRDefault="005366FD">
            <w:pPr>
              <w:pStyle w:val="Tabele"/>
              <w:jc w:val="right"/>
              <w:rPr>
                <w:color w:val="auto"/>
                <w:szCs w:val="16"/>
              </w:rPr>
            </w:pPr>
            <w:r w:rsidRPr="005366FD">
              <w:rPr>
                <w:rFonts w:cs="Arial"/>
                <w:color w:val="auto"/>
                <w:szCs w:val="16"/>
              </w:rPr>
              <w:t>0,0</w:t>
            </w:r>
          </w:p>
        </w:tc>
        <w:tc>
          <w:tcPr>
            <w:tcW w:w="826" w:type="dxa"/>
            <w:noWrap/>
          </w:tcPr>
          <w:p w14:paraId="6CE3C814" w14:textId="77777777" w:rsidR="005366FD" w:rsidRPr="005366FD" w:rsidRDefault="005366FD">
            <w:pPr>
              <w:pStyle w:val="Tabele"/>
              <w:jc w:val="right"/>
              <w:rPr>
                <w:color w:val="auto"/>
                <w:szCs w:val="16"/>
              </w:rPr>
            </w:pPr>
            <w:r w:rsidRPr="005366FD">
              <w:rPr>
                <w:rFonts w:cs="Arial"/>
                <w:color w:val="auto"/>
                <w:szCs w:val="16"/>
              </w:rPr>
              <w:t>0,6</w:t>
            </w:r>
          </w:p>
        </w:tc>
        <w:tc>
          <w:tcPr>
            <w:tcW w:w="826" w:type="dxa"/>
            <w:noWrap/>
          </w:tcPr>
          <w:p w14:paraId="797FA943" w14:textId="77777777" w:rsidR="005366FD" w:rsidRPr="005366FD" w:rsidRDefault="005366FD">
            <w:pPr>
              <w:pStyle w:val="Tabele"/>
              <w:jc w:val="right"/>
              <w:rPr>
                <w:color w:val="auto"/>
                <w:szCs w:val="16"/>
              </w:rPr>
            </w:pPr>
            <w:r w:rsidRPr="005366FD">
              <w:rPr>
                <w:rFonts w:cs="Arial"/>
                <w:color w:val="auto"/>
                <w:szCs w:val="16"/>
              </w:rPr>
              <w:t>3,6</w:t>
            </w:r>
          </w:p>
        </w:tc>
        <w:tc>
          <w:tcPr>
            <w:tcW w:w="826" w:type="dxa"/>
            <w:noWrap/>
          </w:tcPr>
          <w:p w14:paraId="318D753D" w14:textId="77777777" w:rsidR="005366FD" w:rsidRPr="005366FD" w:rsidRDefault="005366FD">
            <w:pPr>
              <w:pStyle w:val="Tabele"/>
              <w:jc w:val="right"/>
              <w:rPr>
                <w:color w:val="auto"/>
                <w:szCs w:val="16"/>
              </w:rPr>
            </w:pPr>
            <w:r w:rsidRPr="005366FD">
              <w:rPr>
                <w:rFonts w:cs="Arial"/>
                <w:color w:val="auto"/>
                <w:szCs w:val="16"/>
              </w:rPr>
              <w:t>7,5</w:t>
            </w:r>
          </w:p>
        </w:tc>
        <w:tc>
          <w:tcPr>
            <w:tcW w:w="827" w:type="dxa"/>
          </w:tcPr>
          <w:p w14:paraId="1AD76F6B" w14:textId="77777777" w:rsidR="005366FD" w:rsidRPr="005366FD" w:rsidRDefault="005366FD">
            <w:pPr>
              <w:pStyle w:val="Tabele"/>
              <w:jc w:val="right"/>
              <w:rPr>
                <w:color w:val="auto"/>
                <w:szCs w:val="16"/>
              </w:rPr>
            </w:pPr>
            <w:r w:rsidRPr="005366FD">
              <w:rPr>
                <w:rFonts w:cs="Arial"/>
                <w:color w:val="auto"/>
                <w:szCs w:val="16"/>
              </w:rPr>
              <w:t>8,4</w:t>
            </w:r>
          </w:p>
        </w:tc>
      </w:tr>
      <w:tr w:rsidR="005366FD" w:rsidRPr="00F85B97" w14:paraId="58B01B4E" w14:textId="77777777" w:rsidTr="004B6693">
        <w:trPr>
          <w:trHeight w:val="290"/>
        </w:trPr>
        <w:tc>
          <w:tcPr>
            <w:tcW w:w="2452" w:type="dxa"/>
            <w:noWrap/>
          </w:tcPr>
          <w:p w14:paraId="3BAD00F3" w14:textId="77777777" w:rsidR="005366FD" w:rsidRPr="005366FD" w:rsidRDefault="005366FD">
            <w:pPr>
              <w:pStyle w:val="Tabele"/>
              <w:rPr>
                <w:rFonts w:cs="Arial"/>
                <w:b/>
                <w:bCs/>
                <w:color w:val="auto"/>
                <w:szCs w:val="16"/>
              </w:rPr>
            </w:pPr>
            <w:r w:rsidRPr="005366FD">
              <w:rPr>
                <w:rFonts w:cs="Arial"/>
                <w:b/>
                <w:bCs/>
                <w:color w:val="auto"/>
                <w:szCs w:val="16"/>
              </w:rPr>
              <w:t>Razem</w:t>
            </w:r>
          </w:p>
        </w:tc>
        <w:tc>
          <w:tcPr>
            <w:tcW w:w="826" w:type="dxa"/>
            <w:shd w:val="clear" w:color="auto" w:fill="E2EFD9" w:themeFill="accent6" w:themeFillTint="33"/>
            <w:noWrap/>
          </w:tcPr>
          <w:p w14:paraId="770A2B76" w14:textId="77777777" w:rsidR="005366FD" w:rsidRPr="005366FD" w:rsidRDefault="005366FD">
            <w:pPr>
              <w:pStyle w:val="Tabele"/>
              <w:jc w:val="right"/>
              <w:rPr>
                <w:rFonts w:cs="Arial"/>
                <w:b/>
                <w:bCs/>
                <w:color w:val="auto"/>
                <w:szCs w:val="16"/>
              </w:rPr>
            </w:pPr>
            <w:r w:rsidRPr="005366FD">
              <w:rPr>
                <w:rFonts w:cs="Arial"/>
                <w:b/>
                <w:bCs/>
                <w:color w:val="auto"/>
                <w:szCs w:val="16"/>
              </w:rPr>
              <w:t>157,3</w:t>
            </w:r>
          </w:p>
        </w:tc>
        <w:tc>
          <w:tcPr>
            <w:tcW w:w="826" w:type="dxa"/>
            <w:shd w:val="clear" w:color="auto" w:fill="E2EFD9" w:themeFill="accent6" w:themeFillTint="33"/>
            <w:noWrap/>
          </w:tcPr>
          <w:p w14:paraId="5C324F1E" w14:textId="77777777" w:rsidR="005366FD" w:rsidRPr="005366FD" w:rsidRDefault="005366FD">
            <w:pPr>
              <w:pStyle w:val="Tabele"/>
              <w:jc w:val="right"/>
              <w:rPr>
                <w:rFonts w:cs="Arial"/>
                <w:b/>
                <w:bCs/>
                <w:color w:val="auto"/>
                <w:szCs w:val="16"/>
              </w:rPr>
            </w:pPr>
            <w:r w:rsidRPr="005366FD">
              <w:rPr>
                <w:rFonts w:cs="Arial"/>
                <w:b/>
                <w:bCs/>
                <w:color w:val="auto"/>
                <w:szCs w:val="16"/>
              </w:rPr>
              <w:t>158,2</w:t>
            </w:r>
          </w:p>
        </w:tc>
        <w:tc>
          <w:tcPr>
            <w:tcW w:w="826" w:type="dxa"/>
            <w:shd w:val="clear" w:color="auto" w:fill="E2EFD9" w:themeFill="accent6" w:themeFillTint="33"/>
            <w:noWrap/>
          </w:tcPr>
          <w:p w14:paraId="1112187A" w14:textId="77777777" w:rsidR="005366FD" w:rsidRPr="005366FD" w:rsidRDefault="005366FD">
            <w:pPr>
              <w:pStyle w:val="Tabele"/>
              <w:jc w:val="right"/>
              <w:rPr>
                <w:rFonts w:cs="Arial"/>
                <w:b/>
                <w:bCs/>
                <w:color w:val="auto"/>
                <w:szCs w:val="16"/>
              </w:rPr>
            </w:pPr>
            <w:r w:rsidRPr="005366FD">
              <w:rPr>
                <w:rFonts w:cs="Arial"/>
                <w:b/>
                <w:bCs/>
                <w:color w:val="auto"/>
                <w:szCs w:val="16"/>
              </w:rPr>
              <w:t>165,1</w:t>
            </w:r>
          </w:p>
        </w:tc>
        <w:tc>
          <w:tcPr>
            <w:tcW w:w="827" w:type="dxa"/>
            <w:shd w:val="clear" w:color="auto" w:fill="E2EFD9" w:themeFill="accent6" w:themeFillTint="33"/>
            <w:noWrap/>
          </w:tcPr>
          <w:p w14:paraId="7E41CD58" w14:textId="77777777" w:rsidR="005366FD" w:rsidRPr="005366FD" w:rsidRDefault="005366FD">
            <w:pPr>
              <w:pStyle w:val="Tabele"/>
              <w:jc w:val="right"/>
              <w:rPr>
                <w:rFonts w:cs="Arial"/>
                <w:b/>
                <w:bCs/>
                <w:color w:val="auto"/>
                <w:szCs w:val="16"/>
              </w:rPr>
            </w:pPr>
            <w:r w:rsidRPr="005366FD">
              <w:rPr>
                <w:rFonts w:cs="Arial"/>
                <w:b/>
                <w:bCs/>
                <w:color w:val="auto"/>
                <w:szCs w:val="16"/>
              </w:rPr>
              <w:t>158,2</w:t>
            </w:r>
          </w:p>
        </w:tc>
        <w:tc>
          <w:tcPr>
            <w:tcW w:w="826" w:type="dxa"/>
            <w:noWrap/>
          </w:tcPr>
          <w:p w14:paraId="3D6F9EAE" w14:textId="77777777" w:rsidR="005366FD" w:rsidRPr="005366FD" w:rsidRDefault="005366FD">
            <w:pPr>
              <w:pStyle w:val="Tabele"/>
              <w:jc w:val="right"/>
              <w:rPr>
                <w:color w:val="auto"/>
                <w:szCs w:val="16"/>
              </w:rPr>
            </w:pPr>
            <w:r w:rsidRPr="005366FD">
              <w:rPr>
                <w:rFonts w:cs="Arial"/>
                <w:b/>
                <w:bCs/>
                <w:color w:val="auto"/>
                <w:szCs w:val="16"/>
              </w:rPr>
              <w:t>180,1</w:t>
            </w:r>
          </w:p>
        </w:tc>
        <w:tc>
          <w:tcPr>
            <w:tcW w:w="826" w:type="dxa"/>
            <w:noWrap/>
          </w:tcPr>
          <w:p w14:paraId="7E2760D5" w14:textId="77777777" w:rsidR="005366FD" w:rsidRPr="005366FD" w:rsidRDefault="005366FD">
            <w:pPr>
              <w:pStyle w:val="Tabele"/>
              <w:jc w:val="right"/>
              <w:rPr>
                <w:color w:val="auto"/>
                <w:szCs w:val="16"/>
              </w:rPr>
            </w:pPr>
            <w:r w:rsidRPr="005366FD">
              <w:rPr>
                <w:rFonts w:cs="Arial"/>
                <w:b/>
                <w:bCs/>
                <w:color w:val="auto"/>
                <w:szCs w:val="16"/>
              </w:rPr>
              <w:t>193,6</w:t>
            </w:r>
          </w:p>
        </w:tc>
        <w:tc>
          <w:tcPr>
            <w:tcW w:w="826" w:type="dxa"/>
            <w:noWrap/>
          </w:tcPr>
          <w:p w14:paraId="47BAD399" w14:textId="77777777" w:rsidR="005366FD" w:rsidRPr="005366FD" w:rsidRDefault="005366FD">
            <w:pPr>
              <w:pStyle w:val="Tabele"/>
              <w:jc w:val="right"/>
              <w:rPr>
                <w:color w:val="auto"/>
                <w:szCs w:val="16"/>
              </w:rPr>
            </w:pPr>
            <w:r w:rsidRPr="005366FD">
              <w:rPr>
                <w:rFonts w:cs="Arial"/>
                <w:b/>
                <w:bCs/>
                <w:color w:val="auto"/>
                <w:szCs w:val="16"/>
              </w:rPr>
              <w:t>220,6</w:t>
            </w:r>
          </w:p>
        </w:tc>
        <w:tc>
          <w:tcPr>
            <w:tcW w:w="827" w:type="dxa"/>
          </w:tcPr>
          <w:p w14:paraId="6554771C" w14:textId="77777777" w:rsidR="005366FD" w:rsidRPr="005366FD" w:rsidRDefault="005366FD">
            <w:pPr>
              <w:pStyle w:val="Tabele"/>
              <w:jc w:val="right"/>
              <w:rPr>
                <w:color w:val="auto"/>
                <w:szCs w:val="16"/>
              </w:rPr>
            </w:pPr>
            <w:r w:rsidRPr="005366FD">
              <w:rPr>
                <w:rFonts w:cs="Arial"/>
                <w:b/>
                <w:bCs/>
                <w:color w:val="auto"/>
                <w:szCs w:val="16"/>
              </w:rPr>
              <w:t>287,2</w:t>
            </w:r>
          </w:p>
        </w:tc>
      </w:tr>
    </w:tbl>
    <w:p w14:paraId="63BE6ADF" w14:textId="77777777" w:rsidR="005C4144" w:rsidRPr="00EB3C74" w:rsidRDefault="005C4144" w:rsidP="005C4144">
      <w:pPr>
        <w:pStyle w:val="adnotacje"/>
      </w:pPr>
      <w:r w:rsidRPr="00EB3C74">
        <w:t>* Łącznie</w:t>
      </w:r>
      <w:r>
        <w:t xml:space="preserve"> z </w:t>
      </w:r>
      <w:r w:rsidRPr="00EB3C74">
        <w:t>gazem koksowniczym</w:t>
      </w:r>
      <w:r>
        <w:t xml:space="preserve"> i </w:t>
      </w:r>
      <w:r w:rsidRPr="00EB3C74">
        <w:t>wielkopiecowym</w:t>
      </w:r>
    </w:p>
    <w:p w14:paraId="1B16E6FF" w14:textId="77777777" w:rsidR="005C4144" w:rsidRPr="00EB3C74" w:rsidRDefault="005C4144" w:rsidP="005C4144">
      <w:pPr>
        <w:pStyle w:val="adnotacje"/>
      </w:pPr>
      <w:r w:rsidRPr="00EB3C74">
        <w:t>** Gaz ziemny wysokometanowy</w:t>
      </w:r>
      <w:r>
        <w:t xml:space="preserve"> i </w:t>
      </w:r>
      <w:r w:rsidRPr="00EB3C74">
        <w:t>zaazotowany, gaz</w:t>
      </w:r>
      <w:r>
        <w:t xml:space="preserve"> z </w:t>
      </w:r>
      <w:r w:rsidRPr="00EB3C74">
        <w:t>odmetanowania kopalń, gaz towarzyszący ropie naftowej</w:t>
      </w:r>
    </w:p>
    <w:p w14:paraId="58A89363" w14:textId="77777777" w:rsidR="005C4144" w:rsidRPr="00EB3C74" w:rsidRDefault="005C4144" w:rsidP="005C4144">
      <w:pPr>
        <w:pStyle w:val="adnotacje"/>
      </w:pPr>
      <w:r w:rsidRPr="00EB3C74">
        <w:t>*** Nieorganiczne odpady przemysłowe</w:t>
      </w:r>
      <w:r>
        <w:t xml:space="preserve"> i </w:t>
      </w:r>
      <w:r w:rsidRPr="00EB3C74">
        <w:t>komunalne</w:t>
      </w:r>
    </w:p>
    <w:p w14:paraId="562B1322" w14:textId="54B205A0" w:rsidR="005C4144" w:rsidRDefault="005C4144" w:rsidP="000B75D3">
      <w:pPr>
        <w:pStyle w:val="Legenda"/>
      </w:pPr>
      <w:r w:rsidRPr="00D919C4">
        <w:t>Źródło: Opracowanie własne ARE S</w:t>
      </w:r>
      <w:r>
        <w:t>.</w:t>
      </w:r>
      <w:r w:rsidRPr="00D919C4">
        <w:t>A</w:t>
      </w:r>
      <w:r>
        <w:t>.</w:t>
      </w:r>
      <w:r w:rsidRPr="00D919C4">
        <w:t xml:space="preserve"> (MESSAGE-PL</w:t>
      </w:r>
      <w:r w:rsidR="000B75D3" w:rsidRPr="00D919C4">
        <w:t>),</w:t>
      </w:r>
      <w:r w:rsidRPr="00D919C4">
        <w:t xml:space="preserve"> EUROSTAT</w:t>
      </w:r>
    </w:p>
    <w:p w14:paraId="4D89D4D8" w14:textId="77777777" w:rsidR="005C4144" w:rsidRDefault="005C4144" w:rsidP="005C4144"/>
    <w:p w14:paraId="3BB745F9" w14:textId="77777777" w:rsidR="005C4144" w:rsidRDefault="005C4144" w:rsidP="005C4144">
      <w:pPr>
        <w:sectPr w:rsidR="005C4144" w:rsidSect="005C4144">
          <w:pgSz w:w="11906" w:h="16838"/>
          <w:pgMar w:top="1417" w:right="1417" w:bottom="1417" w:left="1417" w:header="708" w:footer="708" w:gutter="0"/>
          <w:cols w:space="708"/>
          <w:docGrid w:linePitch="360"/>
        </w:sectPr>
      </w:pPr>
    </w:p>
    <w:p w14:paraId="10EBE76B" w14:textId="77777777" w:rsidR="00754506" w:rsidRDefault="004C3BCC" w:rsidP="005C4144">
      <w:pPr>
        <w:pStyle w:val="Legenda"/>
        <w:rPr>
          <w:i w:val="0"/>
        </w:rPr>
      </w:pPr>
      <w:bookmarkStart w:id="490" w:name="_Toc202967052"/>
      <w:r>
        <w:rPr>
          <w:noProof/>
        </w:rPr>
        <w:drawing>
          <wp:inline distT="0" distB="0" distL="0" distR="0" wp14:anchorId="57BCA774" wp14:editId="488F6697">
            <wp:extent cx="9000000" cy="4680000"/>
            <wp:effectExtent l="0" t="0" r="0" b="6350"/>
            <wp:docPr id="1031707622" name="Wykres 1">
              <a:extLst xmlns:a="http://schemas.openxmlformats.org/drawingml/2006/main">
                <a:ext uri="{FF2B5EF4-FFF2-40B4-BE49-F238E27FC236}">
                  <a16:creationId xmlns:a16="http://schemas.microsoft.com/office/drawing/2014/main" id="{AEE879C4-B199-4044-8FF2-9A96BDE0F1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00CD479B" w:rsidDel="00707D01">
        <w:rPr>
          <w:i w:val="0"/>
        </w:rPr>
        <w:t xml:space="preserve"> </w:t>
      </w:r>
      <w:bookmarkStart w:id="491" w:name="_Ref158208076"/>
      <w:bookmarkStart w:id="492" w:name="_Toc171587274"/>
      <w:bookmarkStart w:id="493" w:name="_Toc174711041"/>
      <w:bookmarkStart w:id="494" w:name="_Ref195776592"/>
    </w:p>
    <w:p w14:paraId="32DB684C" w14:textId="2CB40336" w:rsidR="005C4144" w:rsidRDefault="005C4144" w:rsidP="005C4144">
      <w:pPr>
        <w:pStyle w:val="Legenda"/>
      </w:pPr>
      <w:r>
        <w:t xml:space="preserve">Rysunek </w:t>
      </w:r>
      <w:r>
        <w:rPr>
          <w:noProof/>
        </w:rPr>
        <w:fldChar w:fldCharType="begin"/>
      </w:r>
      <w:r>
        <w:rPr>
          <w:noProof/>
        </w:rPr>
        <w:instrText xml:space="preserve"> STYLEREF 1 \s </w:instrText>
      </w:r>
      <w:r>
        <w:rPr>
          <w:noProof/>
        </w:rPr>
        <w:fldChar w:fldCharType="separate"/>
      </w:r>
      <w:r w:rsidR="00F27D6F">
        <w:rPr>
          <w:noProof/>
        </w:rPr>
        <w:t>3</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5</w:t>
      </w:r>
      <w:r>
        <w:rPr>
          <w:noProof/>
        </w:rPr>
        <w:fldChar w:fldCharType="end"/>
      </w:r>
      <w:bookmarkEnd w:id="491"/>
      <w:r>
        <w:t xml:space="preserve">. </w:t>
      </w:r>
      <w:r w:rsidRPr="00B97864">
        <w:t>Produkcja energii elektrycznej brutto</w:t>
      </w:r>
      <w:r>
        <w:t xml:space="preserve"> w </w:t>
      </w:r>
      <w:r w:rsidRPr="00B97864">
        <w:t>Polsce</w:t>
      </w:r>
      <w:r>
        <w:t xml:space="preserve"> z </w:t>
      </w:r>
      <w:r w:rsidRPr="00B97864">
        <w:t xml:space="preserve">podziałem na paliwa (scenariusz </w:t>
      </w:r>
      <w:r>
        <w:t>WAM</w:t>
      </w:r>
      <w:r w:rsidRPr="00B97864">
        <w:t>)</w:t>
      </w:r>
      <w:bookmarkEnd w:id="490"/>
      <w:bookmarkEnd w:id="492"/>
      <w:bookmarkEnd w:id="493"/>
      <w:bookmarkEnd w:id="494"/>
    </w:p>
    <w:p w14:paraId="263CEAED" w14:textId="77777777" w:rsidR="005C4144" w:rsidRDefault="005C4144" w:rsidP="005C4144">
      <w:pPr>
        <w:pStyle w:val="adnotacje"/>
      </w:pPr>
      <w:r>
        <w:t>*Łącznie z gazem koksowniczym i wielkopiecowym</w:t>
      </w:r>
    </w:p>
    <w:p w14:paraId="0A0D4C3C" w14:textId="77777777" w:rsidR="005C4144" w:rsidRDefault="005C4144" w:rsidP="005C4144">
      <w:pPr>
        <w:pStyle w:val="adnotacje"/>
      </w:pPr>
      <w:r>
        <w:t>**Gaz ziemny wysokometanowy i zaazotowany, gaz z odmetanowania kopalń, gaz towarzyszący ropie naftowej</w:t>
      </w:r>
    </w:p>
    <w:p w14:paraId="3B324DDF" w14:textId="77777777" w:rsidR="005C4144" w:rsidRDefault="005C4144" w:rsidP="005C4144">
      <w:pPr>
        <w:pStyle w:val="adnotacje"/>
      </w:pPr>
      <w:r>
        <w:t>***Odpady przemysłowe i komunalne</w:t>
      </w:r>
    </w:p>
    <w:p w14:paraId="4F6EFE2B" w14:textId="6623C6B3" w:rsidR="005C4144" w:rsidRDefault="005C4144" w:rsidP="006545C1">
      <w:pPr>
        <w:pStyle w:val="Legenda"/>
      </w:pPr>
      <w:r>
        <w:t xml:space="preserve">Źródło: </w:t>
      </w:r>
      <w:r w:rsidRPr="00CE7B26">
        <w:t>Opracowanie własne ARE S.A.</w:t>
      </w:r>
    </w:p>
    <w:p w14:paraId="70198625" w14:textId="77777777" w:rsidR="005C4144" w:rsidRDefault="005C4144" w:rsidP="005C4144">
      <w:pPr>
        <w:sectPr w:rsidR="005C4144" w:rsidSect="005C4144">
          <w:pgSz w:w="16838" w:h="11906" w:orient="landscape"/>
          <w:pgMar w:top="1417" w:right="1417" w:bottom="1417" w:left="1417" w:header="708" w:footer="708" w:gutter="0"/>
          <w:cols w:space="708"/>
          <w:docGrid w:linePitch="360"/>
        </w:sectPr>
      </w:pPr>
    </w:p>
    <w:p w14:paraId="1E3C2112" w14:textId="77777777" w:rsidR="005C4144" w:rsidRDefault="005C4144" w:rsidP="00F32920">
      <w:pPr>
        <w:pStyle w:val="Nagwek2"/>
        <w:spacing w:before="0"/>
      </w:pPr>
      <w:bookmarkStart w:id="495" w:name="_Toc171587336"/>
      <w:bookmarkStart w:id="496" w:name="_Toc174710910"/>
      <w:bookmarkStart w:id="497" w:name="_Toc202966903"/>
      <w:r>
        <w:t>Zdolności wytwórcze energii elektrycznej z podziałem na źródła</w:t>
      </w:r>
      <w:bookmarkEnd w:id="495"/>
      <w:bookmarkEnd w:id="496"/>
      <w:bookmarkEnd w:id="497"/>
    </w:p>
    <w:p w14:paraId="054E8CF6" w14:textId="3F730A25" w:rsidR="00FC50E8" w:rsidRDefault="00D73588" w:rsidP="005C4144">
      <w:r>
        <w:t>Omówione w poprzednim punkcie raportu poziomy produkcji energii elektrycznej są pochodną określonej w modelu MESSAGE optymalnej struktury mocy wytwórczych w systemie. Dobór jednostek wytwarzania został przeprowadzony w oparciu o kryterium najniższych kosztów systemowych w całym rozpatrywanym okresie czasowym, przy uwzględnieniu ograniczeń natury technicznej, surowcowej, regulacyjnej i środowiskowej.</w:t>
      </w:r>
      <w:r w:rsidRPr="00D919C4">
        <w:t xml:space="preserve"> </w:t>
      </w:r>
      <w:r w:rsidRPr="008B0994">
        <w:t>Wyniki obliczeń przedstawion</w:t>
      </w:r>
      <w:r w:rsidR="0032737F">
        <w:t>e poniżej</w:t>
      </w:r>
      <w:r w:rsidRPr="008B0994">
        <w:t xml:space="preserve"> </w:t>
      </w:r>
      <w:r w:rsidR="005C4144" w:rsidRPr="008B0994">
        <w:t>(</w:t>
      </w:r>
      <w:r w:rsidR="00276294">
        <w:fldChar w:fldCharType="begin"/>
      </w:r>
      <w:r w:rsidR="00276294">
        <w:instrText xml:space="preserve"> REF _Ref195872084 \h </w:instrText>
      </w:r>
      <w:r w:rsidR="00276294">
        <w:fldChar w:fldCharType="separate"/>
      </w:r>
      <w:r w:rsidR="00F27D6F">
        <w:t xml:space="preserve">Tabela </w:t>
      </w:r>
      <w:r w:rsidR="00F27D6F">
        <w:rPr>
          <w:noProof/>
        </w:rPr>
        <w:t>3</w:t>
      </w:r>
      <w:r w:rsidR="00F27D6F">
        <w:t>.</w:t>
      </w:r>
      <w:r w:rsidR="00F27D6F">
        <w:rPr>
          <w:noProof/>
        </w:rPr>
        <w:t>11</w:t>
      </w:r>
      <w:r w:rsidR="00276294">
        <w:fldChar w:fldCharType="end"/>
      </w:r>
      <w:r w:rsidR="005C4144">
        <w:t xml:space="preserve"> i</w:t>
      </w:r>
      <w:r w:rsidR="002646F6">
        <w:t xml:space="preserve"> </w:t>
      </w:r>
      <w:r w:rsidR="00A910B4">
        <w:fldChar w:fldCharType="begin"/>
      </w:r>
      <w:r w:rsidR="00A910B4">
        <w:instrText xml:space="preserve"> REF _Ref201150305 \h </w:instrText>
      </w:r>
      <w:r w:rsidR="00A910B4">
        <w:fldChar w:fldCharType="separate"/>
      </w:r>
      <w:r w:rsidR="00F27D6F">
        <w:t xml:space="preserve">Rysunek </w:t>
      </w:r>
      <w:r w:rsidR="00A910B4">
        <w:fldChar w:fldCharType="end"/>
      </w:r>
      <w:r w:rsidR="005C4144">
        <w:t> </w:t>
      </w:r>
      <w:r w:rsidR="005C4144" w:rsidRPr="00D919C4">
        <w:t xml:space="preserve">) </w:t>
      </w:r>
      <w:r w:rsidR="00B24FE5">
        <w:t>wskazują na istotny wzrost mocy osiągalnej netto w systemie ogółem (z </w:t>
      </w:r>
      <w:r w:rsidR="00B24FE5" w:rsidRPr="008B0994">
        <w:t>4</w:t>
      </w:r>
      <w:r w:rsidR="00D026CC" w:rsidRPr="008B0994">
        <w:t>8</w:t>
      </w:r>
      <w:r w:rsidR="00B24FE5">
        <w:t xml:space="preserve"> GW w 2020 r. do 97 GW w 2030 r. oraz </w:t>
      </w:r>
      <w:r w:rsidR="008B0994" w:rsidRPr="008B0994">
        <w:t>156</w:t>
      </w:r>
      <w:r w:rsidR="00B24FE5">
        <w:t xml:space="preserve"> </w:t>
      </w:r>
      <w:r w:rsidR="00B24FE5" w:rsidRPr="008B0994">
        <w:t>GW w 20</w:t>
      </w:r>
      <w:r w:rsidR="001018AA" w:rsidRPr="008B0994">
        <w:t>4</w:t>
      </w:r>
      <w:r w:rsidR="00B24FE5" w:rsidRPr="008B0994">
        <w:t>0 r.).</w:t>
      </w:r>
      <w:r w:rsidR="00B24FE5">
        <w:t xml:space="preserve"> Wzrost ten jest wywołany głównie znaczącym przyrostem mocy charakteryzujących się niskimi wskaźnikami </w:t>
      </w:r>
      <w:r w:rsidR="00E10C2F">
        <w:t xml:space="preserve">wykorzystania </w:t>
      </w:r>
      <w:r w:rsidR="00B24FE5">
        <w:t>mocy zainstalowanej (PV, wiatrowe). Moce elektrowni wiatrowych na lądzie wzrastają z poziomu 6,5 GW w 2020 r. do 16,6 GW w 2030 r. oraz 35 GW w</w:t>
      </w:r>
      <w:r w:rsidR="001F4AAE">
        <w:t xml:space="preserve"> </w:t>
      </w:r>
      <w:r w:rsidR="00B24FE5">
        <w:t>2040 r. Istotnym komponentem wchodzącym w skład przyszłego miksu energetycznego będzie także energetyka wiatrowa na morzu. Do końca 2030 r. założono instalację ok. 6</w:t>
      </w:r>
      <w:r w:rsidR="001F4AAE">
        <w:t> </w:t>
      </w:r>
      <w:r w:rsidR="00B24FE5">
        <w:t xml:space="preserve">GW, a w perspektywie 2040 r. </w:t>
      </w:r>
      <w:r w:rsidR="001F4AAE">
        <w:t>–</w:t>
      </w:r>
      <w:r w:rsidR="00B24FE5">
        <w:t xml:space="preserve"> 18 GW. Najszybszy i największy przyrost mocy w systemie dotyczy fotowoltaiki (zarówno mikroinstalacji jak i dużych farm </w:t>
      </w:r>
      <w:r w:rsidR="008B1AA2">
        <w:t>–</w:t>
      </w:r>
      <w:r w:rsidR="00B24FE5">
        <w:t xml:space="preserve"> z</w:t>
      </w:r>
      <w:r w:rsidR="008B1AA2">
        <w:t> </w:t>
      </w:r>
      <w:r w:rsidR="00B24FE5">
        <w:t xml:space="preserve">poziomu 1,3 GW w 2020 r. do 32 GW w 2030 oraz </w:t>
      </w:r>
      <w:r w:rsidR="00E01E27" w:rsidRPr="00E01E27">
        <w:t xml:space="preserve">51 </w:t>
      </w:r>
      <w:r w:rsidR="00B24FE5" w:rsidRPr="00E01E27">
        <w:t>GW w 20</w:t>
      </w:r>
      <w:r w:rsidR="000E19F6" w:rsidRPr="00E01E27">
        <w:t>4</w:t>
      </w:r>
      <w:r w:rsidR="00B24FE5" w:rsidRPr="00E01E27">
        <w:t>0 r</w:t>
      </w:r>
      <w:r w:rsidR="00B24FE5">
        <w:t>.). W konsekwencji z</w:t>
      </w:r>
      <w:r w:rsidR="00B24FE5" w:rsidRPr="00D919C4">
        <w:t>nacząco zmniejszy się rola jednostek systemowych zasilanych paliwami węglowymi – ich udział</w:t>
      </w:r>
      <w:r w:rsidR="00B24FE5">
        <w:t xml:space="preserve"> w </w:t>
      </w:r>
      <w:r w:rsidR="00B24FE5" w:rsidRPr="00D919C4">
        <w:t xml:space="preserve">mocy </w:t>
      </w:r>
      <w:r w:rsidR="00B24FE5">
        <w:t>osiągalnej</w:t>
      </w:r>
      <w:r w:rsidR="00B24FE5" w:rsidRPr="00D919C4">
        <w:t xml:space="preserve"> netto u</w:t>
      </w:r>
      <w:r w:rsidR="00B24FE5">
        <w:t>legnie redukcji z ok. 63% w 2020 r. do 19% w 2030 r</w:t>
      </w:r>
      <w:r w:rsidR="008B1AA2">
        <w:t>.</w:t>
      </w:r>
      <w:r w:rsidR="002F6839" w:rsidRPr="002F6839">
        <w:rPr>
          <w:rFonts w:ascii="Segoe UI" w:eastAsia="Times New Roman" w:hAnsi="Segoe UI" w:cs="Segoe UI"/>
          <w:kern w:val="0"/>
          <w:sz w:val="18"/>
          <w:szCs w:val="18"/>
          <w:lang w:eastAsia="pl-PL"/>
          <w14:ligatures w14:val="none"/>
        </w:rPr>
        <w:t xml:space="preserve"> </w:t>
      </w:r>
      <w:r w:rsidR="00E0700F">
        <w:t>Po 2035 r. struktura KSE rozbudowywana jest o technologię wielkoskalowych bloków jądrowych, których moc w</w:t>
      </w:r>
      <w:r w:rsidR="00C7033C">
        <w:t> </w:t>
      </w:r>
      <w:r w:rsidR="00E0700F">
        <w:t xml:space="preserve">2040 r. osiąga ok. 3,5 GW. W prognozach do aKPEiK w horyzoncie do 2040 r. nie występują moce małych reaktorów jądrowych, </w:t>
      </w:r>
      <w:r w:rsidR="00F50BB5">
        <w:t xml:space="preserve">m.in. </w:t>
      </w:r>
      <w:r w:rsidR="00E0700F">
        <w:t>ze względu na brak ich komercyjnego wdrożenia na świecie i</w:t>
      </w:r>
      <w:r w:rsidR="00C7033C">
        <w:t> </w:t>
      </w:r>
      <w:r w:rsidR="00E0700F">
        <w:t>niepewność co do dalszego rozwoju tej technologii</w:t>
      </w:r>
      <w:r w:rsidR="008D4C80">
        <w:rPr>
          <w:rStyle w:val="Odwoanieprzypisudolnego"/>
        </w:rPr>
        <w:footnoteReference w:id="26"/>
      </w:r>
      <w:r w:rsidR="008D4C80">
        <w:t xml:space="preserve">. </w:t>
      </w:r>
      <w:r w:rsidR="002F6839" w:rsidRPr="002F6839">
        <w:t xml:space="preserve">Od 2035 </w:t>
      </w:r>
      <w:r w:rsidR="0031086C">
        <w:t xml:space="preserve">r. </w:t>
      </w:r>
      <w:r w:rsidR="002F6839" w:rsidRPr="002F6839">
        <w:t>w przedstawionej tabeli</w:t>
      </w:r>
      <w:r w:rsidR="00B935EA">
        <w:t>,</w:t>
      </w:r>
      <w:r w:rsidR="002F6839" w:rsidRPr="002F6839">
        <w:t xml:space="preserve"> źródła dyspozycyjne (elektrownie na gaz ziemny/biometan/wodór oraz elektrownie na węgiel kamienny i</w:t>
      </w:r>
      <w:r w:rsidR="008B1AA2">
        <w:t> </w:t>
      </w:r>
      <w:r w:rsidR="002F6839" w:rsidRPr="002F6839">
        <w:t>brunatny) zostały ujęte w jednej pozycji zbiorczej. Wynika to z założenia, że źródła te będą pełniły podobne funkcje dla bilansowania i zapewnienia elastyczności pracy krajowego systemu elektroenergetycznego: zarówno elektrownie gazowe, jak i węglowe pozostaną ważnymi elementami stabilizującymi pracę systemu przy wzrastającej roli OZE, choć udział źródeł węglowych będzie stopniowo ograniczany – najpierw węgla brunatnego, a następnie kamiennego. Dokładne proporcje pomiędzy źródłami gazowymi i węglowymi (zarówno na węgiel brunatny, jak i kamienny), a także moment oraz tempo wygaszania źródeł węglowych będą zależały od bieżących uwarunkowań systemowych, społecznych, ekonomicznych, tempa przyrostu nowych mocy wytwórczych, warunków bezpieczeństwa pracy KSE oraz decyzji podejmowanych przez spółki energetyczne. Autorzy dokumentu KPEiK nie rozstrzygają tej kwestii, pozostawiając ją decyzjom rynkowym</w:t>
      </w:r>
      <w:r w:rsidR="002F6839">
        <w:t xml:space="preserve">. </w:t>
      </w:r>
      <w:r w:rsidR="002F6839" w:rsidRPr="002F6839">
        <w:t>Jednocześnie warto dodać, że elektrownie gazowe przewidziane są do stopniowego przechodzenia na paliwa odnawialne – w szczególności biometan, a w późniejszym okresie także wodór</w:t>
      </w:r>
      <w:r w:rsidR="00B935EA">
        <w:t>.</w:t>
      </w:r>
      <w:r w:rsidR="00B24FE5" w:rsidDel="007A5E02">
        <w:t xml:space="preserve"> </w:t>
      </w:r>
      <w:r w:rsidR="00B24FE5">
        <w:t>U</w:t>
      </w:r>
      <w:r w:rsidR="00B24FE5" w:rsidRPr="00D919C4">
        <w:t>dział źródeł o</w:t>
      </w:r>
      <w:r w:rsidR="00B24FE5">
        <w:t xml:space="preserve">dnawialnych </w:t>
      </w:r>
      <w:r w:rsidR="00C20AD9" w:rsidRPr="00174B7D">
        <w:t xml:space="preserve">w strukturze mocy </w:t>
      </w:r>
      <w:r w:rsidR="00B24FE5">
        <w:t>wzrasta z </w:t>
      </w:r>
      <w:r w:rsidR="00B24FE5" w:rsidRPr="00174B7D">
        <w:t>2</w:t>
      </w:r>
      <w:r w:rsidR="008B2612" w:rsidRPr="00174B7D">
        <w:t>6</w:t>
      </w:r>
      <w:r w:rsidR="00B24FE5">
        <w:t xml:space="preserve">% w 2020 r. do </w:t>
      </w:r>
      <w:r w:rsidR="00B24FE5" w:rsidRPr="00174B7D">
        <w:t>5</w:t>
      </w:r>
      <w:r w:rsidR="008B2612" w:rsidRPr="00174B7D">
        <w:t>9</w:t>
      </w:r>
      <w:r w:rsidR="00B24FE5">
        <w:t xml:space="preserve">% w 2030 r. oraz do </w:t>
      </w:r>
      <w:r w:rsidR="00D5492C" w:rsidRPr="00174B7D">
        <w:t>68</w:t>
      </w:r>
      <w:r w:rsidR="00B24FE5" w:rsidRPr="00174B7D">
        <w:t>% w 20</w:t>
      </w:r>
      <w:r w:rsidR="00F27227" w:rsidRPr="00174B7D">
        <w:t>4</w:t>
      </w:r>
      <w:r w:rsidR="00B24FE5" w:rsidRPr="00174B7D">
        <w:t>0 r</w:t>
      </w:r>
      <w:r w:rsidR="00E241B1">
        <w:t>.</w:t>
      </w:r>
      <w:r w:rsidR="00E241B1" w:rsidRPr="00E241B1">
        <w:rPr>
          <w:rFonts w:ascii="Segoe UI" w:hAnsi="Segoe UI" w:cs="Segoe UI"/>
          <w:sz w:val="18"/>
          <w:szCs w:val="18"/>
        </w:rPr>
        <w:t xml:space="preserve"> </w:t>
      </w:r>
      <w:r w:rsidR="00E241B1" w:rsidRPr="00E241B1">
        <w:t xml:space="preserve">Zamiast szczytowych i podszytowych jednostek węglowych ich rolę mogą równie dobrze przejąć moce gazowe. </w:t>
      </w:r>
    </w:p>
    <w:p w14:paraId="394104E3" w14:textId="55BAE438" w:rsidR="00FC50E8" w:rsidRDefault="00FF6426" w:rsidP="00FF6426">
      <w:r>
        <w:t>P</w:t>
      </w:r>
      <w:r w:rsidRPr="00FF6426">
        <w:t xml:space="preserve">rognozowana struktura mocy wytwórczych została poddana analizom przez Operatora Systemu Przesyłowego – PSE S.A. pod kątem zapewnienia wystarczalności zasobów wytwórczych w krajowym systemie elektroenergetycznym w odniesieniu do przyjętej prognozy zapotrzebowania. </w:t>
      </w:r>
      <w:r w:rsidR="00C676D0">
        <w:t>Analizy miał</w:t>
      </w:r>
      <w:r w:rsidR="00DB6B86">
        <w:t>y</w:t>
      </w:r>
      <w:r w:rsidR="00C676D0">
        <w:t xml:space="preserve"> charakter ogólny</w:t>
      </w:r>
      <w:r w:rsidR="00DB6B86">
        <w:t>.</w:t>
      </w:r>
      <w:r w:rsidRPr="00FF6426">
        <w:t xml:space="preserve"> Przez wystarczalność zasobów wytwórczych rozumiana jest ich zdolność do pokrycia zapotrzebowania na energię elektryczną. Parametrami opisującymi wystarczalność zasobów wytwórczych są probabilistyczne wskaźniki LOLE (ang. </w:t>
      </w:r>
      <w:r w:rsidRPr="00E33854">
        <w:rPr>
          <w:i/>
          <w:iCs/>
        </w:rPr>
        <w:t>loss of load expectation</w:t>
      </w:r>
      <w:r w:rsidRPr="00FF6426">
        <w:t xml:space="preserve">) oraz LOLP (ang. </w:t>
      </w:r>
      <w:r w:rsidRPr="00E33854">
        <w:rPr>
          <w:i/>
          <w:iCs/>
        </w:rPr>
        <w:t>loss of load probability</w:t>
      </w:r>
      <w:r w:rsidRPr="00FF6426">
        <w:t>). Przeliczenia wykonano dla 38 profili lat klimatycznych (1982-2019). Wyniki uproszczonej analizy wystarczalności zasobów wytwórczych potwierdzają spełnienie standardu bezpieczeństwa w scenariuszu WAM w perspektywie do 2030 r.</w:t>
      </w:r>
      <w:r w:rsidRPr="00FF6426">
        <w:rPr>
          <w:b/>
          <w:bCs/>
        </w:rPr>
        <w:t xml:space="preserve"> </w:t>
      </w:r>
      <w:r w:rsidR="00384E90">
        <w:t>–</w:t>
      </w:r>
      <w:r w:rsidRPr="00FF6426">
        <w:t xml:space="preserve"> uśredniona wartość wskaźnika LOLE dla analizowanych lat klimatycznych wykazuje brak przekroczenia</w:t>
      </w:r>
      <w:r w:rsidR="001D48D3">
        <w:rPr>
          <w:rStyle w:val="Odwoanieprzypisudolnego"/>
        </w:rPr>
        <w:footnoteReference w:id="27"/>
      </w:r>
      <w:r w:rsidRPr="00FF6426">
        <w:t xml:space="preserve"> standardu bezpieczeństwa 3h/rok do </w:t>
      </w:r>
      <w:r w:rsidR="00F128CB">
        <w:t>2030 r.</w:t>
      </w:r>
      <w:r w:rsidRPr="00FF6426">
        <w:t xml:space="preserve"> włącznie. </w:t>
      </w:r>
      <w:r w:rsidR="00FC50E8">
        <w:br w:type="page"/>
      </w:r>
    </w:p>
    <w:p w14:paraId="7A92D428" w14:textId="49B58E40" w:rsidR="005C4144" w:rsidRDefault="005C4144" w:rsidP="005C4144">
      <w:pPr>
        <w:pStyle w:val="Legenda"/>
      </w:pPr>
      <w:bookmarkStart w:id="498" w:name="_Ref156901200"/>
      <w:bookmarkStart w:id="499" w:name="_Ref195872084"/>
      <w:bookmarkStart w:id="500" w:name="_Toc171587210"/>
      <w:bookmarkStart w:id="501" w:name="_Toc174710994"/>
      <w:bookmarkStart w:id="502" w:name="_Toc202967001"/>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3</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11</w:t>
      </w:r>
      <w:r w:rsidR="00653D9A">
        <w:rPr>
          <w:noProof/>
        </w:rPr>
        <w:fldChar w:fldCharType="end"/>
      </w:r>
      <w:bookmarkEnd w:id="498"/>
      <w:bookmarkEnd w:id="499"/>
      <w:r>
        <w:t xml:space="preserve">. </w:t>
      </w:r>
      <w:r w:rsidRPr="00D919C4">
        <w:t xml:space="preserve">Moc osiągalna netto źródeł wytwarzania energii elektrycznej wg technologii (scenariusz </w:t>
      </w:r>
      <w:r>
        <w:t>WAM</w:t>
      </w:r>
      <w:r w:rsidRPr="00D919C4">
        <w:t>)</w:t>
      </w:r>
      <w:r>
        <w:t xml:space="preserve"> </w:t>
      </w:r>
      <w:r w:rsidRPr="00D919C4">
        <w:t>[MW]</w:t>
      </w:r>
      <w:bookmarkEnd w:id="500"/>
      <w:bookmarkEnd w:id="501"/>
      <w:bookmarkEnd w:id="502"/>
    </w:p>
    <w:tbl>
      <w:tblPr>
        <w:tblStyle w:val="KPEiK"/>
        <w:tblW w:w="5003" w:type="pct"/>
        <w:tblLayout w:type="fixed"/>
        <w:tblLook w:val="04A0" w:firstRow="1" w:lastRow="0" w:firstColumn="1" w:lastColumn="0" w:noHBand="0" w:noVBand="1"/>
      </w:tblPr>
      <w:tblGrid>
        <w:gridCol w:w="2547"/>
        <w:gridCol w:w="815"/>
        <w:gridCol w:w="815"/>
        <w:gridCol w:w="815"/>
        <w:gridCol w:w="815"/>
        <w:gridCol w:w="815"/>
        <w:gridCol w:w="815"/>
        <w:gridCol w:w="815"/>
        <w:gridCol w:w="815"/>
      </w:tblGrid>
      <w:tr w:rsidR="00927FF7" w:rsidRPr="00887C76" w14:paraId="3104BC8F" w14:textId="77777777" w:rsidTr="0092305B">
        <w:trPr>
          <w:cnfStyle w:val="100000000000" w:firstRow="1" w:lastRow="0" w:firstColumn="0" w:lastColumn="0" w:oddVBand="0" w:evenVBand="0" w:oddHBand="0" w:evenHBand="0" w:firstRowFirstColumn="0" w:firstRowLastColumn="0" w:lastRowFirstColumn="0" w:lastRowLastColumn="0"/>
          <w:trHeight w:val="227"/>
          <w:tblHeader/>
        </w:trPr>
        <w:tc>
          <w:tcPr>
            <w:tcW w:w="2547" w:type="dxa"/>
            <w:noWrap/>
            <w:hideMark/>
          </w:tcPr>
          <w:p w14:paraId="5A4D3B1C" w14:textId="77777777" w:rsidR="00927FF7" w:rsidRPr="00887C76" w:rsidRDefault="00927FF7">
            <w:pPr>
              <w:pStyle w:val="Tabele"/>
              <w:jc w:val="center"/>
              <w:rPr>
                <w:b w:val="0"/>
                <w:lang w:eastAsia="pl-PL"/>
              </w:rPr>
            </w:pPr>
          </w:p>
        </w:tc>
        <w:tc>
          <w:tcPr>
            <w:tcW w:w="815" w:type="dxa"/>
            <w:tcBorders>
              <w:bottom w:val="single" w:sz="4" w:space="0" w:color="808080"/>
            </w:tcBorders>
            <w:noWrap/>
            <w:hideMark/>
          </w:tcPr>
          <w:p w14:paraId="5FE174CA" w14:textId="77777777" w:rsidR="00927FF7" w:rsidRPr="00887C76" w:rsidRDefault="00927FF7">
            <w:pPr>
              <w:pStyle w:val="Tabele"/>
              <w:jc w:val="center"/>
              <w:rPr>
                <w:b w:val="0"/>
                <w:lang w:eastAsia="pl-PL"/>
              </w:rPr>
            </w:pPr>
            <w:r w:rsidRPr="00887C76">
              <w:rPr>
                <w:lang w:eastAsia="pl-PL"/>
              </w:rPr>
              <w:t>2005</w:t>
            </w:r>
          </w:p>
        </w:tc>
        <w:tc>
          <w:tcPr>
            <w:tcW w:w="815" w:type="dxa"/>
            <w:tcBorders>
              <w:bottom w:val="single" w:sz="4" w:space="0" w:color="808080"/>
            </w:tcBorders>
            <w:noWrap/>
            <w:hideMark/>
          </w:tcPr>
          <w:p w14:paraId="674A5E7E" w14:textId="77777777" w:rsidR="00927FF7" w:rsidRPr="00887C76" w:rsidRDefault="00927FF7">
            <w:pPr>
              <w:pStyle w:val="Tabele"/>
              <w:jc w:val="center"/>
              <w:rPr>
                <w:b w:val="0"/>
                <w:lang w:eastAsia="pl-PL"/>
              </w:rPr>
            </w:pPr>
            <w:r w:rsidRPr="00887C76">
              <w:rPr>
                <w:lang w:eastAsia="pl-PL"/>
              </w:rPr>
              <w:t>2010</w:t>
            </w:r>
          </w:p>
        </w:tc>
        <w:tc>
          <w:tcPr>
            <w:tcW w:w="815" w:type="dxa"/>
            <w:tcBorders>
              <w:bottom w:val="single" w:sz="4" w:space="0" w:color="808080"/>
            </w:tcBorders>
            <w:noWrap/>
            <w:hideMark/>
          </w:tcPr>
          <w:p w14:paraId="2B18044E" w14:textId="77777777" w:rsidR="00927FF7" w:rsidRPr="00887C76" w:rsidRDefault="00927FF7">
            <w:pPr>
              <w:pStyle w:val="Tabele"/>
              <w:jc w:val="center"/>
              <w:rPr>
                <w:b w:val="0"/>
                <w:lang w:eastAsia="pl-PL"/>
              </w:rPr>
            </w:pPr>
            <w:r w:rsidRPr="00887C76">
              <w:rPr>
                <w:lang w:eastAsia="pl-PL"/>
              </w:rPr>
              <w:t>2015</w:t>
            </w:r>
          </w:p>
        </w:tc>
        <w:tc>
          <w:tcPr>
            <w:tcW w:w="815" w:type="dxa"/>
            <w:tcBorders>
              <w:bottom w:val="single" w:sz="4" w:space="0" w:color="808080"/>
            </w:tcBorders>
            <w:noWrap/>
            <w:hideMark/>
          </w:tcPr>
          <w:p w14:paraId="5369F9D4" w14:textId="77777777" w:rsidR="00927FF7" w:rsidRPr="00887C76" w:rsidRDefault="00927FF7">
            <w:pPr>
              <w:pStyle w:val="Tabele"/>
              <w:jc w:val="center"/>
              <w:rPr>
                <w:b w:val="0"/>
                <w:lang w:eastAsia="pl-PL"/>
              </w:rPr>
            </w:pPr>
            <w:r w:rsidRPr="00887C76">
              <w:rPr>
                <w:lang w:eastAsia="pl-PL"/>
              </w:rPr>
              <w:t>2020</w:t>
            </w:r>
          </w:p>
        </w:tc>
        <w:tc>
          <w:tcPr>
            <w:tcW w:w="815" w:type="dxa"/>
            <w:noWrap/>
            <w:hideMark/>
          </w:tcPr>
          <w:p w14:paraId="23A21D86" w14:textId="77777777" w:rsidR="00927FF7" w:rsidRPr="00887C76" w:rsidRDefault="00927FF7">
            <w:pPr>
              <w:pStyle w:val="Tabele"/>
              <w:jc w:val="center"/>
              <w:rPr>
                <w:b w:val="0"/>
                <w:lang w:eastAsia="pl-PL"/>
              </w:rPr>
            </w:pPr>
            <w:r w:rsidRPr="00887C76">
              <w:rPr>
                <w:lang w:eastAsia="pl-PL"/>
              </w:rPr>
              <w:t>2025</w:t>
            </w:r>
          </w:p>
        </w:tc>
        <w:tc>
          <w:tcPr>
            <w:tcW w:w="815" w:type="dxa"/>
            <w:noWrap/>
            <w:hideMark/>
          </w:tcPr>
          <w:p w14:paraId="1D53598D" w14:textId="2E4D7387" w:rsidR="00927FF7" w:rsidRPr="00887C76" w:rsidRDefault="00927FF7">
            <w:pPr>
              <w:pStyle w:val="Tabele"/>
              <w:jc w:val="center"/>
              <w:rPr>
                <w:b w:val="0"/>
                <w:lang w:eastAsia="pl-PL"/>
              </w:rPr>
            </w:pPr>
            <w:r w:rsidRPr="00887C76">
              <w:rPr>
                <w:lang w:eastAsia="pl-PL"/>
              </w:rPr>
              <w:t>2030</w:t>
            </w:r>
          </w:p>
        </w:tc>
        <w:tc>
          <w:tcPr>
            <w:tcW w:w="815" w:type="dxa"/>
            <w:noWrap/>
            <w:hideMark/>
          </w:tcPr>
          <w:p w14:paraId="219F2EB9" w14:textId="77777777" w:rsidR="00927FF7" w:rsidRPr="00887C76" w:rsidRDefault="00927FF7">
            <w:pPr>
              <w:pStyle w:val="Tabele"/>
              <w:jc w:val="center"/>
              <w:rPr>
                <w:b w:val="0"/>
                <w:lang w:eastAsia="pl-PL"/>
              </w:rPr>
            </w:pPr>
            <w:r w:rsidRPr="00887C76">
              <w:rPr>
                <w:lang w:eastAsia="pl-PL"/>
              </w:rPr>
              <w:t>2035</w:t>
            </w:r>
          </w:p>
        </w:tc>
        <w:tc>
          <w:tcPr>
            <w:tcW w:w="815" w:type="dxa"/>
            <w:hideMark/>
          </w:tcPr>
          <w:p w14:paraId="72D02108" w14:textId="77777777" w:rsidR="00927FF7" w:rsidRPr="00887C76" w:rsidRDefault="00927FF7">
            <w:pPr>
              <w:pStyle w:val="Tabele"/>
              <w:jc w:val="center"/>
              <w:rPr>
                <w:b w:val="0"/>
                <w:lang w:eastAsia="pl-PL"/>
              </w:rPr>
            </w:pPr>
            <w:r w:rsidRPr="00887C76">
              <w:rPr>
                <w:lang w:eastAsia="pl-PL"/>
              </w:rPr>
              <w:t>2040</w:t>
            </w:r>
          </w:p>
        </w:tc>
      </w:tr>
      <w:tr w:rsidR="00797776" w:rsidRPr="00EB1298" w14:paraId="3DF0A8C5" w14:textId="77777777" w:rsidTr="0092305B">
        <w:trPr>
          <w:trHeight w:val="227"/>
        </w:trPr>
        <w:tc>
          <w:tcPr>
            <w:tcW w:w="2547" w:type="dxa"/>
            <w:noWrap/>
            <w:hideMark/>
          </w:tcPr>
          <w:p w14:paraId="1DC2869A" w14:textId="77777777" w:rsidR="00797776" w:rsidRPr="00350EE0" w:rsidRDefault="00797776">
            <w:pPr>
              <w:pStyle w:val="Tabele"/>
              <w:rPr>
                <w:color w:val="auto"/>
                <w:szCs w:val="16"/>
                <w:lang w:eastAsia="pl-PL"/>
              </w:rPr>
            </w:pPr>
            <w:r w:rsidRPr="00350EE0">
              <w:rPr>
                <w:rFonts w:cs="Arial"/>
                <w:color w:val="auto"/>
                <w:szCs w:val="16"/>
              </w:rPr>
              <w:t>EL_Węgiel brunatny</w:t>
            </w:r>
          </w:p>
        </w:tc>
        <w:tc>
          <w:tcPr>
            <w:tcW w:w="815" w:type="dxa"/>
            <w:shd w:val="clear" w:color="auto" w:fill="E2EFD9" w:themeFill="accent6" w:themeFillTint="33"/>
            <w:noWrap/>
            <w:hideMark/>
          </w:tcPr>
          <w:p w14:paraId="4AB294D1" w14:textId="77777777" w:rsidR="00797776" w:rsidRPr="00350EE0" w:rsidRDefault="00797776">
            <w:pPr>
              <w:pStyle w:val="Tabele"/>
              <w:jc w:val="right"/>
              <w:rPr>
                <w:color w:val="auto"/>
                <w:szCs w:val="16"/>
                <w:lang w:eastAsia="pl-PL"/>
              </w:rPr>
            </w:pPr>
            <w:r w:rsidRPr="00350EE0">
              <w:rPr>
                <w:rFonts w:cs="Arial"/>
                <w:color w:val="auto"/>
                <w:szCs w:val="16"/>
              </w:rPr>
              <w:t>8 197</w:t>
            </w:r>
          </w:p>
        </w:tc>
        <w:tc>
          <w:tcPr>
            <w:tcW w:w="815" w:type="dxa"/>
            <w:shd w:val="clear" w:color="auto" w:fill="E2EFD9" w:themeFill="accent6" w:themeFillTint="33"/>
            <w:noWrap/>
            <w:hideMark/>
          </w:tcPr>
          <w:p w14:paraId="4003EBB8" w14:textId="77777777" w:rsidR="00797776" w:rsidRPr="00350EE0" w:rsidRDefault="00797776">
            <w:pPr>
              <w:pStyle w:val="Tabele"/>
              <w:jc w:val="right"/>
              <w:rPr>
                <w:color w:val="auto"/>
                <w:szCs w:val="16"/>
                <w:lang w:eastAsia="pl-PL"/>
              </w:rPr>
            </w:pPr>
            <w:r w:rsidRPr="00350EE0">
              <w:rPr>
                <w:rFonts w:cs="Arial"/>
                <w:color w:val="auto"/>
                <w:szCs w:val="16"/>
              </w:rPr>
              <w:t>8 145</w:t>
            </w:r>
          </w:p>
        </w:tc>
        <w:tc>
          <w:tcPr>
            <w:tcW w:w="815" w:type="dxa"/>
            <w:shd w:val="clear" w:color="auto" w:fill="E2EFD9" w:themeFill="accent6" w:themeFillTint="33"/>
            <w:noWrap/>
            <w:hideMark/>
          </w:tcPr>
          <w:p w14:paraId="7176CADB" w14:textId="77777777" w:rsidR="00797776" w:rsidRPr="00350EE0" w:rsidRDefault="00797776">
            <w:pPr>
              <w:pStyle w:val="Tabele"/>
              <w:jc w:val="right"/>
              <w:rPr>
                <w:color w:val="auto"/>
                <w:szCs w:val="16"/>
                <w:lang w:eastAsia="pl-PL"/>
              </w:rPr>
            </w:pPr>
            <w:r w:rsidRPr="00350EE0">
              <w:rPr>
                <w:rFonts w:cs="Arial"/>
                <w:color w:val="auto"/>
                <w:szCs w:val="16"/>
              </w:rPr>
              <w:t>8 643</w:t>
            </w:r>
          </w:p>
        </w:tc>
        <w:tc>
          <w:tcPr>
            <w:tcW w:w="815" w:type="dxa"/>
            <w:shd w:val="clear" w:color="auto" w:fill="E2EFD9" w:themeFill="accent6" w:themeFillTint="33"/>
            <w:noWrap/>
            <w:hideMark/>
          </w:tcPr>
          <w:p w14:paraId="75512BAA" w14:textId="77777777" w:rsidR="00797776" w:rsidRPr="00350EE0" w:rsidRDefault="00797776">
            <w:pPr>
              <w:pStyle w:val="Tabele"/>
              <w:jc w:val="right"/>
              <w:rPr>
                <w:color w:val="auto"/>
                <w:szCs w:val="16"/>
                <w:lang w:eastAsia="pl-PL"/>
              </w:rPr>
            </w:pPr>
            <w:r w:rsidRPr="00927FF7">
              <w:rPr>
                <w:rFonts w:cs="Arial"/>
                <w:color w:val="auto"/>
                <w:szCs w:val="16"/>
              </w:rPr>
              <w:t>7 445</w:t>
            </w:r>
          </w:p>
        </w:tc>
        <w:tc>
          <w:tcPr>
            <w:tcW w:w="815" w:type="dxa"/>
            <w:noWrap/>
            <w:hideMark/>
          </w:tcPr>
          <w:p w14:paraId="46051F8E" w14:textId="77777777" w:rsidR="00797776" w:rsidRPr="00350EE0" w:rsidRDefault="00797776">
            <w:pPr>
              <w:pStyle w:val="Tabele"/>
              <w:jc w:val="right"/>
              <w:rPr>
                <w:color w:val="auto"/>
                <w:szCs w:val="16"/>
                <w:lang w:eastAsia="pl-PL"/>
              </w:rPr>
            </w:pPr>
            <w:r w:rsidRPr="00350EE0">
              <w:rPr>
                <w:rFonts w:cs="Arial"/>
                <w:color w:val="auto"/>
                <w:szCs w:val="16"/>
              </w:rPr>
              <w:t>7 007</w:t>
            </w:r>
          </w:p>
        </w:tc>
        <w:tc>
          <w:tcPr>
            <w:tcW w:w="815" w:type="dxa"/>
            <w:vMerge w:val="restart"/>
            <w:noWrap/>
          </w:tcPr>
          <w:p w14:paraId="4D985BBC" w14:textId="26B3886F" w:rsidR="00797776" w:rsidRPr="00350EE0" w:rsidRDefault="009322FC" w:rsidP="00797776">
            <w:pPr>
              <w:pStyle w:val="Tabele"/>
              <w:jc w:val="right"/>
              <w:rPr>
                <w:color w:val="auto"/>
                <w:szCs w:val="16"/>
                <w:lang w:eastAsia="pl-PL"/>
              </w:rPr>
            </w:pPr>
            <w:r>
              <w:rPr>
                <w:rFonts w:cs="Arial"/>
                <w:color w:val="auto"/>
                <w:szCs w:val="16"/>
              </w:rPr>
              <w:t>14 033</w:t>
            </w:r>
          </w:p>
        </w:tc>
        <w:tc>
          <w:tcPr>
            <w:tcW w:w="815" w:type="dxa"/>
            <w:vMerge w:val="restart"/>
            <w:noWrap/>
            <w:hideMark/>
          </w:tcPr>
          <w:p w14:paraId="69040A45" w14:textId="3A9EA3F6" w:rsidR="00797776" w:rsidRPr="00350EE0" w:rsidRDefault="00797776">
            <w:pPr>
              <w:pStyle w:val="Tabele"/>
              <w:jc w:val="right"/>
              <w:rPr>
                <w:color w:val="auto"/>
                <w:szCs w:val="16"/>
                <w:lang w:eastAsia="pl-PL"/>
              </w:rPr>
            </w:pPr>
            <w:r w:rsidRPr="00350EE0">
              <w:rPr>
                <w:rFonts w:cs="Arial"/>
                <w:color w:val="auto"/>
                <w:szCs w:val="16"/>
              </w:rPr>
              <w:t>17 117</w:t>
            </w:r>
          </w:p>
        </w:tc>
        <w:tc>
          <w:tcPr>
            <w:tcW w:w="815" w:type="dxa"/>
            <w:vMerge w:val="restart"/>
            <w:hideMark/>
          </w:tcPr>
          <w:p w14:paraId="5B0AE423" w14:textId="7D519E93" w:rsidR="00797776" w:rsidRPr="00350EE0" w:rsidRDefault="00797776">
            <w:pPr>
              <w:pStyle w:val="Tabele"/>
              <w:jc w:val="right"/>
              <w:rPr>
                <w:color w:val="auto"/>
                <w:szCs w:val="16"/>
                <w:lang w:eastAsia="pl-PL"/>
              </w:rPr>
            </w:pPr>
            <w:r w:rsidRPr="00350EE0">
              <w:rPr>
                <w:rFonts w:cs="Arial"/>
                <w:color w:val="auto"/>
                <w:szCs w:val="16"/>
              </w:rPr>
              <w:t>12 680</w:t>
            </w:r>
          </w:p>
        </w:tc>
      </w:tr>
      <w:tr w:rsidR="00797776" w:rsidRPr="00EB1298" w14:paraId="66A95955" w14:textId="77777777" w:rsidTr="0092305B">
        <w:trPr>
          <w:trHeight w:val="227"/>
        </w:trPr>
        <w:tc>
          <w:tcPr>
            <w:tcW w:w="2547" w:type="dxa"/>
            <w:noWrap/>
            <w:hideMark/>
          </w:tcPr>
          <w:p w14:paraId="548754F9" w14:textId="77777777" w:rsidR="00797776" w:rsidRPr="00350EE0" w:rsidRDefault="00797776">
            <w:pPr>
              <w:pStyle w:val="Tabele"/>
              <w:rPr>
                <w:color w:val="auto"/>
                <w:szCs w:val="16"/>
                <w:lang w:eastAsia="pl-PL"/>
              </w:rPr>
            </w:pPr>
            <w:r w:rsidRPr="00350EE0">
              <w:rPr>
                <w:rFonts w:cs="Arial"/>
                <w:color w:val="auto"/>
                <w:szCs w:val="16"/>
              </w:rPr>
              <w:t>EL_Węgiel kamienny</w:t>
            </w:r>
          </w:p>
        </w:tc>
        <w:tc>
          <w:tcPr>
            <w:tcW w:w="815" w:type="dxa"/>
            <w:shd w:val="clear" w:color="auto" w:fill="E2EFD9" w:themeFill="accent6" w:themeFillTint="33"/>
            <w:noWrap/>
            <w:hideMark/>
          </w:tcPr>
          <w:p w14:paraId="66D3B244" w14:textId="77777777" w:rsidR="00797776" w:rsidRPr="00350EE0" w:rsidRDefault="00797776">
            <w:pPr>
              <w:pStyle w:val="Tabele"/>
              <w:jc w:val="right"/>
              <w:rPr>
                <w:color w:val="auto"/>
                <w:szCs w:val="16"/>
                <w:lang w:eastAsia="pl-PL"/>
              </w:rPr>
            </w:pPr>
            <w:r w:rsidRPr="00350EE0">
              <w:rPr>
                <w:rFonts w:cs="Arial"/>
                <w:color w:val="auto"/>
                <w:szCs w:val="16"/>
              </w:rPr>
              <w:t>14 613</w:t>
            </w:r>
          </w:p>
        </w:tc>
        <w:tc>
          <w:tcPr>
            <w:tcW w:w="815" w:type="dxa"/>
            <w:shd w:val="clear" w:color="auto" w:fill="E2EFD9" w:themeFill="accent6" w:themeFillTint="33"/>
            <w:noWrap/>
            <w:hideMark/>
          </w:tcPr>
          <w:p w14:paraId="626AC46D" w14:textId="77777777" w:rsidR="00797776" w:rsidRPr="00350EE0" w:rsidRDefault="00797776">
            <w:pPr>
              <w:pStyle w:val="Tabele"/>
              <w:jc w:val="right"/>
              <w:rPr>
                <w:color w:val="auto"/>
                <w:szCs w:val="16"/>
                <w:lang w:eastAsia="pl-PL"/>
              </w:rPr>
            </w:pPr>
            <w:r w:rsidRPr="00350EE0">
              <w:rPr>
                <w:rFonts w:cs="Arial"/>
                <w:color w:val="auto"/>
                <w:szCs w:val="16"/>
              </w:rPr>
              <w:t>14 655</w:t>
            </w:r>
          </w:p>
        </w:tc>
        <w:tc>
          <w:tcPr>
            <w:tcW w:w="815" w:type="dxa"/>
            <w:shd w:val="clear" w:color="auto" w:fill="E2EFD9" w:themeFill="accent6" w:themeFillTint="33"/>
            <w:noWrap/>
            <w:hideMark/>
          </w:tcPr>
          <w:p w14:paraId="34FE6EC0" w14:textId="77777777" w:rsidR="00797776" w:rsidRPr="00350EE0" w:rsidRDefault="00797776">
            <w:pPr>
              <w:pStyle w:val="Tabele"/>
              <w:jc w:val="right"/>
              <w:rPr>
                <w:color w:val="auto"/>
                <w:szCs w:val="16"/>
                <w:lang w:eastAsia="pl-PL"/>
              </w:rPr>
            </w:pPr>
            <w:r w:rsidRPr="00350EE0">
              <w:rPr>
                <w:rFonts w:cs="Arial"/>
                <w:color w:val="auto"/>
                <w:szCs w:val="16"/>
              </w:rPr>
              <w:t>13 617</w:t>
            </w:r>
          </w:p>
        </w:tc>
        <w:tc>
          <w:tcPr>
            <w:tcW w:w="815" w:type="dxa"/>
            <w:shd w:val="clear" w:color="auto" w:fill="E2EFD9" w:themeFill="accent6" w:themeFillTint="33"/>
            <w:noWrap/>
            <w:hideMark/>
          </w:tcPr>
          <w:p w14:paraId="1FEB9DD5" w14:textId="77777777" w:rsidR="00797776" w:rsidRPr="00350EE0" w:rsidRDefault="00797776">
            <w:pPr>
              <w:pStyle w:val="Tabele"/>
              <w:jc w:val="right"/>
              <w:rPr>
                <w:color w:val="auto"/>
                <w:szCs w:val="16"/>
                <w:lang w:eastAsia="pl-PL"/>
              </w:rPr>
            </w:pPr>
            <w:r w:rsidRPr="00927FF7">
              <w:rPr>
                <w:rFonts w:cs="Arial"/>
                <w:color w:val="auto"/>
                <w:szCs w:val="16"/>
              </w:rPr>
              <w:t>15 889</w:t>
            </w:r>
          </w:p>
        </w:tc>
        <w:tc>
          <w:tcPr>
            <w:tcW w:w="815" w:type="dxa"/>
            <w:noWrap/>
            <w:hideMark/>
          </w:tcPr>
          <w:p w14:paraId="2D12C54E" w14:textId="77777777" w:rsidR="00797776" w:rsidRPr="00350EE0" w:rsidRDefault="00797776">
            <w:pPr>
              <w:pStyle w:val="Tabele"/>
              <w:jc w:val="right"/>
              <w:rPr>
                <w:color w:val="auto"/>
                <w:szCs w:val="16"/>
                <w:lang w:eastAsia="pl-PL"/>
              </w:rPr>
            </w:pPr>
            <w:r w:rsidRPr="00350EE0">
              <w:rPr>
                <w:rFonts w:cs="Arial"/>
                <w:color w:val="auto"/>
                <w:szCs w:val="16"/>
              </w:rPr>
              <w:t>14 465</w:t>
            </w:r>
          </w:p>
        </w:tc>
        <w:tc>
          <w:tcPr>
            <w:tcW w:w="815" w:type="dxa"/>
            <w:vMerge/>
            <w:noWrap/>
          </w:tcPr>
          <w:p w14:paraId="4427FB68" w14:textId="634DD09A" w:rsidR="00797776" w:rsidRPr="00350EE0" w:rsidRDefault="00797776">
            <w:pPr>
              <w:pStyle w:val="Tabele"/>
              <w:jc w:val="right"/>
              <w:rPr>
                <w:color w:val="auto"/>
                <w:szCs w:val="16"/>
                <w:lang w:eastAsia="pl-PL"/>
              </w:rPr>
            </w:pPr>
          </w:p>
        </w:tc>
        <w:tc>
          <w:tcPr>
            <w:tcW w:w="815" w:type="dxa"/>
            <w:vMerge/>
            <w:noWrap/>
            <w:hideMark/>
          </w:tcPr>
          <w:p w14:paraId="4CE495DA" w14:textId="40B6CE64" w:rsidR="00797776" w:rsidRPr="00350EE0" w:rsidRDefault="00797776">
            <w:pPr>
              <w:pStyle w:val="Tabele"/>
              <w:jc w:val="right"/>
              <w:rPr>
                <w:color w:val="auto"/>
                <w:szCs w:val="16"/>
                <w:lang w:eastAsia="pl-PL"/>
              </w:rPr>
            </w:pPr>
          </w:p>
        </w:tc>
        <w:tc>
          <w:tcPr>
            <w:tcW w:w="815" w:type="dxa"/>
            <w:vMerge/>
            <w:hideMark/>
          </w:tcPr>
          <w:p w14:paraId="7855BA90" w14:textId="744ADE1B" w:rsidR="00797776" w:rsidRPr="00350EE0" w:rsidRDefault="00797776">
            <w:pPr>
              <w:pStyle w:val="Tabele"/>
              <w:jc w:val="right"/>
              <w:rPr>
                <w:color w:val="auto"/>
                <w:szCs w:val="16"/>
                <w:lang w:eastAsia="pl-PL"/>
              </w:rPr>
            </w:pPr>
          </w:p>
        </w:tc>
      </w:tr>
      <w:tr w:rsidR="006E4C06" w:rsidRPr="00EB1298" w14:paraId="5B448117" w14:textId="77777777" w:rsidTr="0092305B">
        <w:trPr>
          <w:trHeight w:val="227"/>
        </w:trPr>
        <w:tc>
          <w:tcPr>
            <w:tcW w:w="2547" w:type="dxa"/>
            <w:noWrap/>
            <w:hideMark/>
          </w:tcPr>
          <w:p w14:paraId="09D4FE27" w14:textId="7EB69390" w:rsidR="006E4C06" w:rsidRPr="00350EE0" w:rsidRDefault="006E4C06">
            <w:pPr>
              <w:pStyle w:val="Tabele"/>
              <w:rPr>
                <w:color w:val="auto"/>
                <w:szCs w:val="16"/>
                <w:lang w:eastAsia="pl-PL"/>
              </w:rPr>
            </w:pPr>
            <w:r w:rsidRPr="00350EE0">
              <w:rPr>
                <w:rFonts w:cs="Arial"/>
                <w:color w:val="auto"/>
                <w:szCs w:val="16"/>
              </w:rPr>
              <w:t>EL_</w:t>
            </w:r>
            <w:r w:rsidR="00AF54BE">
              <w:rPr>
                <w:rFonts w:cs="Arial"/>
                <w:color w:val="auto"/>
                <w:szCs w:val="16"/>
              </w:rPr>
              <w:t>Paliwa gaz. kopalne i odn.</w:t>
            </w:r>
          </w:p>
        </w:tc>
        <w:tc>
          <w:tcPr>
            <w:tcW w:w="815" w:type="dxa"/>
            <w:shd w:val="clear" w:color="auto" w:fill="E2EFD9" w:themeFill="accent6" w:themeFillTint="33"/>
            <w:noWrap/>
            <w:hideMark/>
          </w:tcPr>
          <w:p w14:paraId="4B26E3B3" w14:textId="77777777" w:rsidR="006E4C06" w:rsidRPr="00350EE0" w:rsidRDefault="006E4C06">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2DFA3972" w14:textId="77777777" w:rsidR="006E4C06" w:rsidRPr="00350EE0" w:rsidRDefault="006E4C06">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737AA812" w14:textId="77777777" w:rsidR="006E4C06" w:rsidRPr="00350EE0" w:rsidRDefault="006E4C06">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438EBCB1" w14:textId="77777777" w:rsidR="006E4C06" w:rsidRPr="00350EE0" w:rsidRDefault="006E4C06">
            <w:pPr>
              <w:pStyle w:val="Tabele"/>
              <w:jc w:val="right"/>
              <w:rPr>
                <w:color w:val="auto"/>
                <w:szCs w:val="16"/>
                <w:lang w:eastAsia="pl-PL"/>
              </w:rPr>
            </w:pPr>
            <w:r w:rsidRPr="00927FF7">
              <w:rPr>
                <w:rFonts w:cs="Arial"/>
                <w:color w:val="auto"/>
                <w:szCs w:val="16"/>
              </w:rPr>
              <w:t>0</w:t>
            </w:r>
          </w:p>
        </w:tc>
        <w:tc>
          <w:tcPr>
            <w:tcW w:w="815" w:type="dxa"/>
            <w:noWrap/>
            <w:hideMark/>
          </w:tcPr>
          <w:p w14:paraId="55E99968" w14:textId="77777777" w:rsidR="006E4C06" w:rsidRPr="00350EE0" w:rsidRDefault="006E4C06">
            <w:pPr>
              <w:pStyle w:val="Tabele"/>
              <w:jc w:val="right"/>
              <w:rPr>
                <w:color w:val="auto"/>
                <w:szCs w:val="16"/>
                <w:lang w:eastAsia="pl-PL"/>
              </w:rPr>
            </w:pPr>
            <w:r w:rsidRPr="00350EE0">
              <w:rPr>
                <w:rFonts w:cs="Arial"/>
                <w:color w:val="auto"/>
                <w:szCs w:val="16"/>
              </w:rPr>
              <w:t>1 915</w:t>
            </w:r>
          </w:p>
        </w:tc>
        <w:tc>
          <w:tcPr>
            <w:tcW w:w="815" w:type="dxa"/>
            <w:noWrap/>
          </w:tcPr>
          <w:p w14:paraId="7DAF1314" w14:textId="7AC07E12" w:rsidR="006E4C06" w:rsidRPr="00350EE0" w:rsidRDefault="00C311DF">
            <w:pPr>
              <w:pStyle w:val="Tabele"/>
              <w:jc w:val="right"/>
              <w:rPr>
                <w:color w:val="auto"/>
                <w:szCs w:val="16"/>
                <w:lang w:eastAsia="pl-PL"/>
              </w:rPr>
            </w:pPr>
            <w:r>
              <w:rPr>
                <w:color w:val="auto"/>
                <w:szCs w:val="16"/>
                <w:lang w:eastAsia="pl-PL"/>
              </w:rPr>
              <w:t>6 059</w:t>
            </w:r>
          </w:p>
        </w:tc>
        <w:tc>
          <w:tcPr>
            <w:tcW w:w="815" w:type="dxa"/>
            <w:vMerge/>
            <w:noWrap/>
            <w:hideMark/>
          </w:tcPr>
          <w:p w14:paraId="407BE079" w14:textId="7F9647D3" w:rsidR="006E4C06" w:rsidRPr="00350EE0" w:rsidRDefault="006E4C06">
            <w:pPr>
              <w:pStyle w:val="Tabele"/>
              <w:jc w:val="right"/>
              <w:rPr>
                <w:color w:val="auto"/>
                <w:szCs w:val="16"/>
                <w:lang w:eastAsia="pl-PL"/>
              </w:rPr>
            </w:pPr>
          </w:p>
        </w:tc>
        <w:tc>
          <w:tcPr>
            <w:tcW w:w="815" w:type="dxa"/>
            <w:vMerge/>
            <w:hideMark/>
          </w:tcPr>
          <w:p w14:paraId="6B5F65AF" w14:textId="1D8AC63D" w:rsidR="006E4C06" w:rsidRPr="00350EE0" w:rsidRDefault="006E4C06">
            <w:pPr>
              <w:pStyle w:val="Tabele"/>
              <w:jc w:val="right"/>
              <w:rPr>
                <w:color w:val="auto"/>
                <w:szCs w:val="16"/>
                <w:lang w:eastAsia="pl-PL"/>
              </w:rPr>
            </w:pPr>
          </w:p>
        </w:tc>
      </w:tr>
      <w:tr w:rsidR="00927FF7" w:rsidRPr="00EB1298" w14:paraId="1DBE6877" w14:textId="77777777" w:rsidTr="0092305B">
        <w:trPr>
          <w:trHeight w:val="227"/>
        </w:trPr>
        <w:tc>
          <w:tcPr>
            <w:tcW w:w="2547" w:type="dxa"/>
            <w:noWrap/>
            <w:hideMark/>
          </w:tcPr>
          <w:p w14:paraId="6E1934BB" w14:textId="77777777" w:rsidR="00927FF7" w:rsidRPr="00350EE0" w:rsidRDefault="00927FF7">
            <w:pPr>
              <w:pStyle w:val="Tabele"/>
              <w:rPr>
                <w:color w:val="auto"/>
                <w:szCs w:val="16"/>
                <w:lang w:eastAsia="pl-PL"/>
              </w:rPr>
            </w:pPr>
            <w:r w:rsidRPr="00350EE0">
              <w:rPr>
                <w:rFonts w:cs="Arial"/>
                <w:color w:val="auto"/>
                <w:szCs w:val="16"/>
              </w:rPr>
              <w:t>EL_Jądrowe systemowe</w:t>
            </w:r>
          </w:p>
        </w:tc>
        <w:tc>
          <w:tcPr>
            <w:tcW w:w="815" w:type="dxa"/>
            <w:shd w:val="clear" w:color="auto" w:fill="E2EFD9" w:themeFill="accent6" w:themeFillTint="33"/>
            <w:noWrap/>
            <w:hideMark/>
          </w:tcPr>
          <w:p w14:paraId="5808E0EB"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67A9824B"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6CF858CD"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0E739D59" w14:textId="77777777" w:rsidR="00927FF7" w:rsidRPr="00350EE0" w:rsidRDefault="00927FF7">
            <w:pPr>
              <w:pStyle w:val="Tabele"/>
              <w:jc w:val="right"/>
              <w:rPr>
                <w:color w:val="auto"/>
                <w:szCs w:val="16"/>
                <w:lang w:eastAsia="pl-PL"/>
              </w:rPr>
            </w:pPr>
            <w:r w:rsidRPr="00927FF7">
              <w:rPr>
                <w:rFonts w:cs="Arial"/>
                <w:color w:val="auto"/>
                <w:szCs w:val="16"/>
              </w:rPr>
              <w:t>0</w:t>
            </w:r>
          </w:p>
        </w:tc>
        <w:tc>
          <w:tcPr>
            <w:tcW w:w="815" w:type="dxa"/>
            <w:noWrap/>
            <w:hideMark/>
          </w:tcPr>
          <w:p w14:paraId="04680FF7"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noWrap/>
            <w:hideMark/>
          </w:tcPr>
          <w:p w14:paraId="273925CA"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noWrap/>
            <w:hideMark/>
          </w:tcPr>
          <w:p w14:paraId="566B6C8E"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hideMark/>
          </w:tcPr>
          <w:p w14:paraId="723069EF" w14:textId="77777777" w:rsidR="00927FF7" w:rsidRPr="00350EE0" w:rsidRDefault="00927FF7">
            <w:pPr>
              <w:pStyle w:val="Tabele"/>
              <w:jc w:val="right"/>
              <w:rPr>
                <w:color w:val="auto"/>
                <w:szCs w:val="16"/>
                <w:lang w:eastAsia="pl-PL"/>
              </w:rPr>
            </w:pPr>
            <w:r w:rsidRPr="00350EE0">
              <w:rPr>
                <w:rFonts w:cs="Arial"/>
                <w:color w:val="auto"/>
                <w:szCs w:val="16"/>
              </w:rPr>
              <w:t>3 510</w:t>
            </w:r>
          </w:p>
        </w:tc>
      </w:tr>
      <w:tr w:rsidR="00927FF7" w:rsidRPr="00EB1298" w14:paraId="27C16050" w14:textId="77777777" w:rsidTr="0092305B">
        <w:trPr>
          <w:trHeight w:val="227"/>
        </w:trPr>
        <w:tc>
          <w:tcPr>
            <w:tcW w:w="2547" w:type="dxa"/>
            <w:noWrap/>
            <w:hideMark/>
          </w:tcPr>
          <w:p w14:paraId="2CBA5833" w14:textId="77777777" w:rsidR="00927FF7" w:rsidRPr="00350EE0" w:rsidRDefault="00927FF7">
            <w:pPr>
              <w:pStyle w:val="Tabele"/>
              <w:rPr>
                <w:color w:val="auto"/>
                <w:szCs w:val="16"/>
                <w:lang w:eastAsia="pl-PL"/>
              </w:rPr>
            </w:pPr>
            <w:r w:rsidRPr="00350EE0">
              <w:rPr>
                <w:rFonts w:cs="Arial"/>
                <w:color w:val="auto"/>
                <w:szCs w:val="16"/>
              </w:rPr>
              <w:t>EL_Jądrowe_SMR</w:t>
            </w:r>
          </w:p>
        </w:tc>
        <w:tc>
          <w:tcPr>
            <w:tcW w:w="815" w:type="dxa"/>
            <w:shd w:val="clear" w:color="auto" w:fill="E2EFD9" w:themeFill="accent6" w:themeFillTint="33"/>
            <w:noWrap/>
            <w:hideMark/>
          </w:tcPr>
          <w:p w14:paraId="03D6747F"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553FE90D"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0FDC8B6A"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1ADD265F" w14:textId="77777777" w:rsidR="00927FF7" w:rsidRPr="00350EE0" w:rsidRDefault="00927FF7">
            <w:pPr>
              <w:pStyle w:val="Tabele"/>
              <w:jc w:val="right"/>
              <w:rPr>
                <w:color w:val="auto"/>
                <w:szCs w:val="16"/>
                <w:lang w:eastAsia="pl-PL"/>
              </w:rPr>
            </w:pPr>
            <w:r w:rsidRPr="00927FF7">
              <w:rPr>
                <w:rFonts w:cs="Arial"/>
                <w:color w:val="auto"/>
                <w:szCs w:val="16"/>
              </w:rPr>
              <w:t>0</w:t>
            </w:r>
          </w:p>
        </w:tc>
        <w:tc>
          <w:tcPr>
            <w:tcW w:w="815" w:type="dxa"/>
            <w:noWrap/>
            <w:hideMark/>
          </w:tcPr>
          <w:p w14:paraId="3115BB37"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noWrap/>
            <w:hideMark/>
          </w:tcPr>
          <w:p w14:paraId="29BC095E"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noWrap/>
            <w:hideMark/>
          </w:tcPr>
          <w:p w14:paraId="2DC03391"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hideMark/>
          </w:tcPr>
          <w:p w14:paraId="4187020A" w14:textId="77777777" w:rsidR="00927FF7" w:rsidRPr="00350EE0" w:rsidRDefault="00927FF7">
            <w:pPr>
              <w:pStyle w:val="Tabele"/>
              <w:jc w:val="right"/>
              <w:rPr>
                <w:color w:val="auto"/>
                <w:szCs w:val="16"/>
                <w:lang w:eastAsia="pl-PL"/>
              </w:rPr>
            </w:pPr>
            <w:r w:rsidRPr="00350EE0">
              <w:rPr>
                <w:rFonts w:cs="Arial"/>
                <w:color w:val="auto"/>
                <w:szCs w:val="16"/>
              </w:rPr>
              <w:t>0</w:t>
            </w:r>
          </w:p>
        </w:tc>
      </w:tr>
      <w:tr w:rsidR="00927FF7" w:rsidRPr="00EB1298" w14:paraId="1AD2079A" w14:textId="77777777" w:rsidTr="0092305B">
        <w:trPr>
          <w:trHeight w:val="227"/>
        </w:trPr>
        <w:tc>
          <w:tcPr>
            <w:tcW w:w="2547" w:type="dxa"/>
            <w:noWrap/>
            <w:hideMark/>
          </w:tcPr>
          <w:p w14:paraId="4098B7E0" w14:textId="77777777" w:rsidR="00927FF7" w:rsidRPr="00350EE0" w:rsidRDefault="00927FF7">
            <w:pPr>
              <w:pStyle w:val="Tabele"/>
              <w:rPr>
                <w:color w:val="auto"/>
                <w:szCs w:val="16"/>
                <w:lang w:eastAsia="pl-PL"/>
              </w:rPr>
            </w:pPr>
            <w:r w:rsidRPr="00350EE0">
              <w:rPr>
                <w:rFonts w:cs="Arial"/>
                <w:color w:val="auto"/>
                <w:szCs w:val="16"/>
              </w:rPr>
              <w:t>EL_Wodne</w:t>
            </w:r>
          </w:p>
        </w:tc>
        <w:tc>
          <w:tcPr>
            <w:tcW w:w="815" w:type="dxa"/>
            <w:shd w:val="clear" w:color="auto" w:fill="E2EFD9" w:themeFill="accent6" w:themeFillTint="33"/>
            <w:noWrap/>
            <w:hideMark/>
          </w:tcPr>
          <w:p w14:paraId="3DD2EBE9" w14:textId="77777777" w:rsidR="00927FF7" w:rsidRPr="00350EE0" w:rsidRDefault="00927FF7">
            <w:pPr>
              <w:pStyle w:val="Tabele"/>
              <w:jc w:val="right"/>
              <w:rPr>
                <w:color w:val="auto"/>
                <w:szCs w:val="16"/>
                <w:lang w:eastAsia="pl-PL"/>
              </w:rPr>
            </w:pPr>
            <w:r w:rsidRPr="00350EE0">
              <w:rPr>
                <w:rFonts w:cs="Arial"/>
                <w:color w:val="auto"/>
                <w:szCs w:val="16"/>
              </w:rPr>
              <w:t>914</w:t>
            </w:r>
          </w:p>
        </w:tc>
        <w:tc>
          <w:tcPr>
            <w:tcW w:w="815" w:type="dxa"/>
            <w:shd w:val="clear" w:color="auto" w:fill="E2EFD9" w:themeFill="accent6" w:themeFillTint="33"/>
            <w:noWrap/>
            <w:hideMark/>
          </w:tcPr>
          <w:p w14:paraId="5FB113D2" w14:textId="77777777" w:rsidR="00927FF7" w:rsidRPr="00350EE0" w:rsidRDefault="00927FF7">
            <w:pPr>
              <w:pStyle w:val="Tabele"/>
              <w:jc w:val="right"/>
              <w:rPr>
                <w:color w:val="auto"/>
                <w:szCs w:val="16"/>
                <w:lang w:eastAsia="pl-PL"/>
              </w:rPr>
            </w:pPr>
            <w:r w:rsidRPr="00350EE0">
              <w:rPr>
                <w:rFonts w:cs="Arial"/>
                <w:color w:val="auto"/>
                <w:szCs w:val="16"/>
              </w:rPr>
              <w:t>935</w:t>
            </w:r>
          </w:p>
        </w:tc>
        <w:tc>
          <w:tcPr>
            <w:tcW w:w="815" w:type="dxa"/>
            <w:shd w:val="clear" w:color="auto" w:fill="E2EFD9" w:themeFill="accent6" w:themeFillTint="33"/>
            <w:noWrap/>
            <w:hideMark/>
          </w:tcPr>
          <w:p w14:paraId="275258C0" w14:textId="77777777" w:rsidR="00927FF7" w:rsidRPr="00350EE0" w:rsidRDefault="00927FF7">
            <w:pPr>
              <w:pStyle w:val="Tabele"/>
              <w:jc w:val="right"/>
              <w:rPr>
                <w:color w:val="auto"/>
                <w:szCs w:val="16"/>
                <w:lang w:eastAsia="pl-PL"/>
              </w:rPr>
            </w:pPr>
            <w:r w:rsidRPr="00350EE0">
              <w:rPr>
                <w:rFonts w:cs="Arial"/>
                <w:color w:val="auto"/>
                <w:szCs w:val="16"/>
              </w:rPr>
              <w:t>964</w:t>
            </w:r>
          </w:p>
        </w:tc>
        <w:tc>
          <w:tcPr>
            <w:tcW w:w="815" w:type="dxa"/>
            <w:shd w:val="clear" w:color="auto" w:fill="E2EFD9" w:themeFill="accent6" w:themeFillTint="33"/>
            <w:noWrap/>
            <w:hideMark/>
          </w:tcPr>
          <w:p w14:paraId="1D238216" w14:textId="77777777" w:rsidR="00927FF7" w:rsidRPr="00350EE0" w:rsidRDefault="00927FF7">
            <w:pPr>
              <w:pStyle w:val="Tabele"/>
              <w:jc w:val="right"/>
              <w:rPr>
                <w:color w:val="auto"/>
                <w:szCs w:val="16"/>
                <w:lang w:eastAsia="pl-PL"/>
              </w:rPr>
            </w:pPr>
            <w:r w:rsidRPr="00927FF7">
              <w:rPr>
                <w:rFonts w:cs="Arial"/>
                <w:color w:val="auto"/>
                <w:szCs w:val="16"/>
              </w:rPr>
              <w:t>987</w:t>
            </w:r>
          </w:p>
        </w:tc>
        <w:tc>
          <w:tcPr>
            <w:tcW w:w="815" w:type="dxa"/>
            <w:noWrap/>
            <w:hideMark/>
          </w:tcPr>
          <w:p w14:paraId="764252A4" w14:textId="77777777" w:rsidR="00927FF7" w:rsidRPr="00350EE0" w:rsidRDefault="00927FF7">
            <w:pPr>
              <w:pStyle w:val="Tabele"/>
              <w:jc w:val="right"/>
              <w:rPr>
                <w:color w:val="auto"/>
                <w:szCs w:val="16"/>
                <w:lang w:eastAsia="pl-PL"/>
              </w:rPr>
            </w:pPr>
            <w:r w:rsidRPr="00350EE0">
              <w:rPr>
                <w:rFonts w:cs="Arial"/>
                <w:color w:val="auto"/>
                <w:szCs w:val="16"/>
              </w:rPr>
              <w:t>1 008</w:t>
            </w:r>
          </w:p>
        </w:tc>
        <w:tc>
          <w:tcPr>
            <w:tcW w:w="815" w:type="dxa"/>
            <w:noWrap/>
            <w:hideMark/>
          </w:tcPr>
          <w:p w14:paraId="696956CF" w14:textId="77777777" w:rsidR="00927FF7" w:rsidRPr="00350EE0" w:rsidRDefault="00927FF7">
            <w:pPr>
              <w:pStyle w:val="Tabele"/>
              <w:jc w:val="right"/>
              <w:rPr>
                <w:color w:val="auto"/>
                <w:szCs w:val="16"/>
                <w:lang w:eastAsia="pl-PL"/>
              </w:rPr>
            </w:pPr>
            <w:r w:rsidRPr="00350EE0">
              <w:rPr>
                <w:rFonts w:cs="Arial"/>
                <w:color w:val="auto"/>
                <w:szCs w:val="16"/>
              </w:rPr>
              <w:t>1 118</w:t>
            </w:r>
          </w:p>
        </w:tc>
        <w:tc>
          <w:tcPr>
            <w:tcW w:w="815" w:type="dxa"/>
            <w:noWrap/>
            <w:hideMark/>
          </w:tcPr>
          <w:p w14:paraId="09343F82" w14:textId="77777777" w:rsidR="00927FF7" w:rsidRPr="00350EE0" w:rsidRDefault="00927FF7">
            <w:pPr>
              <w:pStyle w:val="Tabele"/>
              <w:jc w:val="right"/>
              <w:rPr>
                <w:color w:val="auto"/>
                <w:szCs w:val="16"/>
                <w:lang w:eastAsia="pl-PL"/>
              </w:rPr>
            </w:pPr>
            <w:r w:rsidRPr="00350EE0">
              <w:rPr>
                <w:rFonts w:cs="Arial"/>
                <w:color w:val="auto"/>
                <w:szCs w:val="16"/>
              </w:rPr>
              <w:t>1 148</w:t>
            </w:r>
          </w:p>
        </w:tc>
        <w:tc>
          <w:tcPr>
            <w:tcW w:w="815" w:type="dxa"/>
            <w:hideMark/>
          </w:tcPr>
          <w:p w14:paraId="34751ED1" w14:textId="77777777" w:rsidR="00927FF7" w:rsidRPr="00350EE0" w:rsidRDefault="00927FF7">
            <w:pPr>
              <w:pStyle w:val="Tabele"/>
              <w:jc w:val="right"/>
              <w:rPr>
                <w:color w:val="auto"/>
                <w:szCs w:val="16"/>
                <w:lang w:eastAsia="pl-PL"/>
              </w:rPr>
            </w:pPr>
            <w:r w:rsidRPr="00350EE0">
              <w:rPr>
                <w:rFonts w:cs="Arial"/>
                <w:color w:val="auto"/>
                <w:szCs w:val="16"/>
              </w:rPr>
              <w:t>1 178</w:t>
            </w:r>
          </w:p>
        </w:tc>
      </w:tr>
      <w:tr w:rsidR="00927FF7" w:rsidRPr="00EB1298" w14:paraId="36A6EA61" w14:textId="77777777" w:rsidTr="0092305B">
        <w:trPr>
          <w:trHeight w:val="227"/>
        </w:trPr>
        <w:tc>
          <w:tcPr>
            <w:tcW w:w="2547" w:type="dxa"/>
            <w:noWrap/>
            <w:hideMark/>
          </w:tcPr>
          <w:p w14:paraId="067A683B" w14:textId="77777777" w:rsidR="00927FF7" w:rsidRPr="00350EE0" w:rsidRDefault="00927FF7">
            <w:pPr>
              <w:pStyle w:val="Tabele"/>
              <w:rPr>
                <w:color w:val="auto"/>
                <w:szCs w:val="16"/>
                <w:lang w:eastAsia="pl-PL"/>
              </w:rPr>
            </w:pPr>
            <w:r w:rsidRPr="00350EE0">
              <w:rPr>
                <w:rFonts w:cs="Arial"/>
                <w:color w:val="auto"/>
                <w:szCs w:val="16"/>
              </w:rPr>
              <w:t>EL_Szczytowo-pompowe</w:t>
            </w:r>
          </w:p>
        </w:tc>
        <w:tc>
          <w:tcPr>
            <w:tcW w:w="815" w:type="dxa"/>
            <w:shd w:val="clear" w:color="auto" w:fill="E2EFD9" w:themeFill="accent6" w:themeFillTint="33"/>
            <w:noWrap/>
            <w:hideMark/>
          </w:tcPr>
          <w:p w14:paraId="20FD4546" w14:textId="77777777" w:rsidR="00927FF7" w:rsidRPr="00350EE0" w:rsidRDefault="00927FF7">
            <w:pPr>
              <w:pStyle w:val="Tabele"/>
              <w:jc w:val="right"/>
              <w:rPr>
                <w:color w:val="auto"/>
                <w:szCs w:val="16"/>
                <w:lang w:eastAsia="pl-PL"/>
              </w:rPr>
            </w:pPr>
            <w:r w:rsidRPr="00350EE0">
              <w:rPr>
                <w:rFonts w:cs="Arial"/>
                <w:color w:val="auto"/>
                <w:szCs w:val="16"/>
              </w:rPr>
              <w:t>1 679</w:t>
            </w:r>
          </w:p>
        </w:tc>
        <w:tc>
          <w:tcPr>
            <w:tcW w:w="815" w:type="dxa"/>
            <w:shd w:val="clear" w:color="auto" w:fill="E2EFD9" w:themeFill="accent6" w:themeFillTint="33"/>
            <w:noWrap/>
            <w:hideMark/>
          </w:tcPr>
          <w:p w14:paraId="2F575DDB" w14:textId="77777777" w:rsidR="00927FF7" w:rsidRPr="00350EE0" w:rsidRDefault="00927FF7">
            <w:pPr>
              <w:pStyle w:val="Tabele"/>
              <w:jc w:val="right"/>
              <w:rPr>
                <w:color w:val="auto"/>
                <w:szCs w:val="16"/>
                <w:lang w:eastAsia="pl-PL"/>
              </w:rPr>
            </w:pPr>
            <w:r w:rsidRPr="00350EE0">
              <w:rPr>
                <w:rFonts w:cs="Arial"/>
                <w:color w:val="auto"/>
                <w:szCs w:val="16"/>
              </w:rPr>
              <w:t>1 679</w:t>
            </w:r>
          </w:p>
        </w:tc>
        <w:tc>
          <w:tcPr>
            <w:tcW w:w="815" w:type="dxa"/>
            <w:shd w:val="clear" w:color="auto" w:fill="E2EFD9" w:themeFill="accent6" w:themeFillTint="33"/>
            <w:noWrap/>
            <w:hideMark/>
          </w:tcPr>
          <w:p w14:paraId="45B862B7" w14:textId="77777777" w:rsidR="00927FF7" w:rsidRPr="00350EE0" w:rsidRDefault="00927FF7">
            <w:pPr>
              <w:pStyle w:val="Tabele"/>
              <w:jc w:val="right"/>
              <w:rPr>
                <w:color w:val="auto"/>
                <w:szCs w:val="16"/>
                <w:lang w:eastAsia="pl-PL"/>
              </w:rPr>
            </w:pPr>
            <w:r w:rsidRPr="00350EE0">
              <w:rPr>
                <w:rFonts w:cs="Arial"/>
                <w:color w:val="auto"/>
                <w:szCs w:val="16"/>
              </w:rPr>
              <w:t>1 705</w:t>
            </w:r>
          </w:p>
        </w:tc>
        <w:tc>
          <w:tcPr>
            <w:tcW w:w="815" w:type="dxa"/>
            <w:shd w:val="clear" w:color="auto" w:fill="E2EFD9" w:themeFill="accent6" w:themeFillTint="33"/>
            <w:noWrap/>
            <w:hideMark/>
          </w:tcPr>
          <w:p w14:paraId="4DAFDD3F" w14:textId="77777777" w:rsidR="00927FF7" w:rsidRPr="00350EE0" w:rsidRDefault="00927FF7">
            <w:pPr>
              <w:pStyle w:val="Tabele"/>
              <w:jc w:val="right"/>
              <w:rPr>
                <w:color w:val="auto"/>
                <w:szCs w:val="16"/>
                <w:lang w:eastAsia="pl-PL"/>
              </w:rPr>
            </w:pPr>
            <w:r w:rsidRPr="00927FF7">
              <w:rPr>
                <w:rFonts w:cs="Arial"/>
                <w:color w:val="auto"/>
                <w:szCs w:val="16"/>
              </w:rPr>
              <w:t>1 705</w:t>
            </w:r>
          </w:p>
        </w:tc>
        <w:tc>
          <w:tcPr>
            <w:tcW w:w="815" w:type="dxa"/>
            <w:noWrap/>
            <w:hideMark/>
          </w:tcPr>
          <w:p w14:paraId="6EC7A0C3" w14:textId="77777777" w:rsidR="00927FF7" w:rsidRPr="00350EE0" w:rsidRDefault="00927FF7">
            <w:pPr>
              <w:pStyle w:val="Tabele"/>
              <w:jc w:val="right"/>
              <w:rPr>
                <w:color w:val="auto"/>
                <w:szCs w:val="16"/>
                <w:lang w:eastAsia="pl-PL"/>
              </w:rPr>
            </w:pPr>
            <w:r w:rsidRPr="00350EE0">
              <w:rPr>
                <w:rFonts w:cs="Arial"/>
                <w:color w:val="auto"/>
                <w:szCs w:val="16"/>
              </w:rPr>
              <w:t>1 767</w:t>
            </w:r>
          </w:p>
        </w:tc>
        <w:tc>
          <w:tcPr>
            <w:tcW w:w="815" w:type="dxa"/>
            <w:noWrap/>
            <w:hideMark/>
          </w:tcPr>
          <w:p w14:paraId="7B6F41BC" w14:textId="0BBA221F" w:rsidR="00927FF7" w:rsidRPr="00350EE0" w:rsidRDefault="00927FF7">
            <w:pPr>
              <w:pStyle w:val="Tabele"/>
              <w:jc w:val="right"/>
              <w:rPr>
                <w:color w:val="auto"/>
                <w:szCs w:val="16"/>
                <w:lang w:eastAsia="pl-PL"/>
              </w:rPr>
            </w:pPr>
            <w:r w:rsidRPr="00350EE0">
              <w:rPr>
                <w:rFonts w:cs="Arial"/>
                <w:color w:val="auto"/>
                <w:szCs w:val="16"/>
              </w:rPr>
              <w:t>2</w:t>
            </w:r>
            <w:r w:rsidR="00E10C2F">
              <w:rPr>
                <w:rFonts w:cs="Arial"/>
                <w:color w:val="auto"/>
                <w:szCs w:val="16"/>
              </w:rPr>
              <w:t> </w:t>
            </w:r>
            <w:r w:rsidRPr="00350EE0">
              <w:rPr>
                <w:rFonts w:cs="Arial"/>
                <w:color w:val="auto"/>
                <w:szCs w:val="16"/>
              </w:rPr>
              <w:t>510</w:t>
            </w:r>
            <w:r w:rsidR="00E10C2F">
              <w:rPr>
                <w:rFonts w:cs="Arial"/>
                <w:color w:val="auto"/>
                <w:szCs w:val="16"/>
              </w:rPr>
              <w:t>*</w:t>
            </w:r>
          </w:p>
        </w:tc>
        <w:tc>
          <w:tcPr>
            <w:tcW w:w="815" w:type="dxa"/>
            <w:noWrap/>
            <w:hideMark/>
          </w:tcPr>
          <w:p w14:paraId="7639D4E3" w14:textId="73A46B02" w:rsidR="00927FF7" w:rsidRPr="00350EE0" w:rsidRDefault="00927FF7">
            <w:pPr>
              <w:pStyle w:val="Tabele"/>
              <w:jc w:val="right"/>
              <w:rPr>
                <w:color w:val="auto"/>
                <w:szCs w:val="16"/>
                <w:lang w:eastAsia="pl-PL"/>
              </w:rPr>
            </w:pPr>
            <w:r w:rsidRPr="00350EE0">
              <w:rPr>
                <w:rFonts w:cs="Arial"/>
                <w:color w:val="auto"/>
                <w:szCs w:val="16"/>
              </w:rPr>
              <w:t>2</w:t>
            </w:r>
            <w:r w:rsidR="00E10C2F">
              <w:rPr>
                <w:rFonts w:cs="Arial"/>
                <w:color w:val="auto"/>
                <w:szCs w:val="16"/>
              </w:rPr>
              <w:t> </w:t>
            </w:r>
            <w:r w:rsidRPr="00350EE0">
              <w:rPr>
                <w:rFonts w:cs="Arial"/>
                <w:color w:val="auto"/>
                <w:szCs w:val="16"/>
              </w:rPr>
              <w:t>510</w:t>
            </w:r>
            <w:r w:rsidR="00E10C2F">
              <w:rPr>
                <w:rFonts w:cs="Arial"/>
                <w:color w:val="auto"/>
                <w:szCs w:val="16"/>
              </w:rPr>
              <w:t>*</w:t>
            </w:r>
          </w:p>
        </w:tc>
        <w:tc>
          <w:tcPr>
            <w:tcW w:w="815" w:type="dxa"/>
            <w:hideMark/>
          </w:tcPr>
          <w:p w14:paraId="23A8F197" w14:textId="486B4345" w:rsidR="00927FF7" w:rsidRPr="00350EE0" w:rsidRDefault="00927FF7">
            <w:pPr>
              <w:pStyle w:val="Tabele"/>
              <w:jc w:val="right"/>
              <w:rPr>
                <w:color w:val="auto"/>
                <w:szCs w:val="16"/>
                <w:lang w:eastAsia="pl-PL"/>
              </w:rPr>
            </w:pPr>
            <w:r w:rsidRPr="00350EE0">
              <w:rPr>
                <w:rFonts w:cs="Arial"/>
                <w:color w:val="auto"/>
                <w:szCs w:val="16"/>
              </w:rPr>
              <w:t>4</w:t>
            </w:r>
            <w:r w:rsidR="00E10C2F">
              <w:rPr>
                <w:rFonts w:cs="Arial"/>
                <w:color w:val="auto"/>
                <w:szCs w:val="16"/>
              </w:rPr>
              <w:t> </w:t>
            </w:r>
            <w:r w:rsidRPr="00350EE0">
              <w:rPr>
                <w:rFonts w:cs="Arial"/>
                <w:color w:val="auto"/>
                <w:szCs w:val="16"/>
              </w:rPr>
              <w:t>235</w:t>
            </w:r>
            <w:r w:rsidR="00E10C2F">
              <w:rPr>
                <w:rFonts w:cs="Arial"/>
                <w:color w:val="auto"/>
                <w:szCs w:val="16"/>
              </w:rPr>
              <w:t>*</w:t>
            </w:r>
          </w:p>
        </w:tc>
      </w:tr>
      <w:tr w:rsidR="00927FF7" w:rsidRPr="00EB1298" w14:paraId="1E1AEF86" w14:textId="77777777" w:rsidTr="0092305B">
        <w:trPr>
          <w:trHeight w:val="227"/>
        </w:trPr>
        <w:tc>
          <w:tcPr>
            <w:tcW w:w="2547" w:type="dxa"/>
            <w:noWrap/>
            <w:hideMark/>
          </w:tcPr>
          <w:p w14:paraId="3C7A61DB" w14:textId="77777777" w:rsidR="00927FF7" w:rsidRPr="00350EE0" w:rsidRDefault="00927FF7">
            <w:pPr>
              <w:pStyle w:val="Tabele"/>
              <w:rPr>
                <w:color w:val="auto"/>
                <w:szCs w:val="16"/>
                <w:lang w:eastAsia="pl-PL"/>
              </w:rPr>
            </w:pPr>
            <w:r w:rsidRPr="00350EE0">
              <w:rPr>
                <w:rFonts w:cs="Arial"/>
                <w:color w:val="auto"/>
                <w:szCs w:val="16"/>
              </w:rPr>
              <w:t>EC_Przemysłowe</w:t>
            </w:r>
          </w:p>
        </w:tc>
        <w:tc>
          <w:tcPr>
            <w:tcW w:w="815" w:type="dxa"/>
            <w:vMerge w:val="restart"/>
            <w:shd w:val="clear" w:color="auto" w:fill="E2EFD9" w:themeFill="accent6" w:themeFillTint="33"/>
            <w:noWrap/>
            <w:hideMark/>
          </w:tcPr>
          <w:p w14:paraId="3E08E780" w14:textId="77777777" w:rsidR="00927FF7" w:rsidRPr="00350EE0" w:rsidRDefault="00927FF7">
            <w:pPr>
              <w:pStyle w:val="Tabele"/>
              <w:jc w:val="right"/>
              <w:rPr>
                <w:color w:val="auto"/>
                <w:szCs w:val="16"/>
                <w:lang w:eastAsia="pl-PL"/>
              </w:rPr>
            </w:pPr>
            <w:r w:rsidRPr="00350EE0">
              <w:rPr>
                <w:rFonts w:cs="Arial"/>
                <w:color w:val="auto"/>
                <w:szCs w:val="16"/>
              </w:rPr>
              <w:t>6 140</w:t>
            </w:r>
          </w:p>
        </w:tc>
        <w:tc>
          <w:tcPr>
            <w:tcW w:w="815" w:type="dxa"/>
            <w:vMerge w:val="restart"/>
            <w:shd w:val="clear" w:color="auto" w:fill="E2EFD9" w:themeFill="accent6" w:themeFillTint="33"/>
            <w:noWrap/>
            <w:hideMark/>
          </w:tcPr>
          <w:p w14:paraId="76A5E447" w14:textId="77777777" w:rsidR="00927FF7" w:rsidRPr="00350EE0" w:rsidRDefault="00927FF7">
            <w:pPr>
              <w:pStyle w:val="Tabele"/>
              <w:jc w:val="right"/>
              <w:rPr>
                <w:color w:val="auto"/>
                <w:szCs w:val="16"/>
                <w:lang w:eastAsia="pl-PL"/>
              </w:rPr>
            </w:pPr>
            <w:r w:rsidRPr="00350EE0">
              <w:rPr>
                <w:rFonts w:cs="Arial"/>
                <w:color w:val="auto"/>
                <w:szCs w:val="16"/>
              </w:rPr>
              <w:t>6 126</w:t>
            </w:r>
          </w:p>
        </w:tc>
        <w:tc>
          <w:tcPr>
            <w:tcW w:w="815" w:type="dxa"/>
            <w:shd w:val="clear" w:color="auto" w:fill="E2EFD9" w:themeFill="accent6" w:themeFillTint="33"/>
            <w:noWrap/>
            <w:hideMark/>
          </w:tcPr>
          <w:p w14:paraId="55335C45" w14:textId="77777777" w:rsidR="00927FF7" w:rsidRPr="00350EE0" w:rsidRDefault="00927FF7">
            <w:pPr>
              <w:pStyle w:val="Tabele"/>
              <w:jc w:val="right"/>
              <w:rPr>
                <w:color w:val="auto"/>
                <w:szCs w:val="16"/>
                <w:lang w:eastAsia="pl-PL"/>
              </w:rPr>
            </w:pPr>
            <w:r w:rsidRPr="00350EE0">
              <w:rPr>
                <w:rFonts w:cs="Arial"/>
                <w:color w:val="auto"/>
                <w:szCs w:val="16"/>
              </w:rPr>
              <w:t>1 605</w:t>
            </w:r>
          </w:p>
        </w:tc>
        <w:tc>
          <w:tcPr>
            <w:tcW w:w="815" w:type="dxa"/>
            <w:shd w:val="clear" w:color="auto" w:fill="E2EFD9" w:themeFill="accent6" w:themeFillTint="33"/>
            <w:noWrap/>
            <w:hideMark/>
          </w:tcPr>
          <w:p w14:paraId="2E67B33C" w14:textId="77777777" w:rsidR="00927FF7" w:rsidRPr="00350EE0" w:rsidRDefault="00927FF7">
            <w:pPr>
              <w:pStyle w:val="Tabele"/>
              <w:jc w:val="right"/>
              <w:rPr>
                <w:color w:val="auto"/>
                <w:szCs w:val="16"/>
                <w:lang w:eastAsia="pl-PL"/>
              </w:rPr>
            </w:pPr>
            <w:r w:rsidRPr="00927FF7">
              <w:rPr>
                <w:rFonts w:cs="Arial"/>
                <w:color w:val="auto"/>
                <w:szCs w:val="16"/>
              </w:rPr>
              <w:t>1 945</w:t>
            </w:r>
          </w:p>
        </w:tc>
        <w:tc>
          <w:tcPr>
            <w:tcW w:w="815" w:type="dxa"/>
            <w:noWrap/>
            <w:hideMark/>
          </w:tcPr>
          <w:p w14:paraId="5B53DB6A" w14:textId="77777777" w:rsidR="00927FF7" w:rsidRPr="00350EE0" w:rsidRDefault="00927FF7">
            <w:pPr>
              <w:pStyle w:val="Tabele"/>
              <w:jc w:val="right"/>
              <w:rPr>
                <w:color w:val="auto"/>
                <w:szCs w:val="16"/>
                <w:lang w:eastAsia="pl-PL"/>
              </w:rPr>
            </w:pPr>
            <w:r w:rsidRPr="00350EE0">
              <w:rPr>
                <w:rFonts w:cs="Arial"/>
                <w:color w:val="auto"/>
                <w:szCs w:val="16"/>
              </w:rPr>
              <w:t>1 809</w:t>
            </w:r>
          </w:p>
        </w:tc>
        <w:tc>
          <w:tcPr>
            <w:tcW w:w="815" w:type="dxa"/>
            <w:noWrap/>
            <w:hideMark/>
          </w:tcPr>
          <w:p w14:paraId="3B154A73" w14:textId="77777777" w:rsidR="00927FF7" w:rsidRPr="00350EE0" w:rsidRDefault="00927FF7">
            <w:pPr>
              <w:pStyle w:val="Tabele"/>
              <w:jc w:val="right"/>
              <w:rPr>
                <w:color w:val="auto"/>
                <w:szCs w:val="16"/>
                <w:lang w:eastAsia="pl-PL"/>
              </w:rPr>
            </w:pPr>
            <w:r w:rsidRPr="00350EE0">
              <w:rPr>
                <w:rFonts w:cs="Arial"/>
                <w:color w:val="auto"/>
                <w:szCs w:val="16"/>
              </w:rPr>
              <w:t>1 754</w:t>
            </w:r>
          </w:p>
        </w:tc>
        <w:tc>
          <w:tcPr>
            <w:tcW w:w="815" w:type="dxa"/>
            <w:noWrap/>
            <w:hideMark/>
          </w:tcPr>
          <w:p w14:paraId="3AD5E88E" w14:textId="77777777" w:rsidR="00927FF7" w:rsidRPr="00350EE0" w:rsidRDefault="00927FF7">
            <w:pPr>
              <w:pStyle w:val="Tabele"/>
              <w:jc w:val="right"/>
              <w:rPr>
                <w:color w:val="auto"/>
                <w:szCs w:val="16"/>
                <w:lang w:eastAsia="pl-PL"/>
              </w:rPr>
            </w:pPr>
            <w:r w:rsidRPr="00350EE0">
              <w:rPr>
                <w:rFonts w:cs="Arial"/>
                <w:color w:val="auto"/>
                <w:szCs w:val="16"/>
              </w:rPr>
              <w:t>1 672</w:t>
            </w:r>
          </w:p>
        </w:tc>
        <w:tc>
          <w:tcPr>
            <w:tcW w:w="815" w:type="dxa"/>
            <w:hideMark/>
          </w:tcPr>
          <w:p w14:paraId="3B477411" w14:textId="77777777" w:rsidR="00927FF7" w:rsidRPr="00350EE0" w:rsidRDefault="00927FF7">
            <w:pPr>
              <w:pStyle w:val="Tabele"/>
              <w:jc w:val="right"/>
              <w:rPr>
                <w:color w:val="auto"/>
                <w:szCs w:val="16"/>
                <w:lang w:eastAsia="pl-PL"/>
              </w:rPr>
            </w:pPr>
            <w:r w:rsidRPr="00350EE0">
              <w:rPr>
                <w:rFonts w:cs="Arial"/>
                <w:color w:val="auto"/>
                <w:szCs w:val="16"/>
              </w:rPr>
              <w:t>935</w:t>
            </w:r>
          </w:p>
        </w:tc>
      </w:tr>
      <w:tr w:rsidR="00927FF7" w:rsidRPr="00EB1298" w14:paraId="7D596B36" w14:textId="77777777" w:rsidTr="0092305B">
        <w:trPr>
          <w:trHeight w:val="227"/>
        </w:trPr>
        <w:tc>
          <w:tcPr>
            <w:tcW w:w="2547" w:type="dxa"/>
            <w:noWrap/>
            <w:hideMark/>
          </w:tcPr>
          <w:p w14:paraId="0A63B216" w14:textId="77777777" w:rsidR="00927FF7" w:rsidRPr="00350EE0" w:rsidRDefault="00927FF7">
            <w:pPr>
              <w:pStyle w:val="Tabele"/>
              <w:rPr>
                <w:color w:val="auto"/>
                <w:szCs w:val="16"/>
                <w:lang w:eastAsia="pl-PL"/>
              </w:rPr>
            </w:pPr>
            <w:r w:rsidRPr="00350EE0">
              <w:rPr>
                <w:rFonts w:cs="Arial"/>
                <w:color w:val="auto"/>
                <w:szCs w:val="16"/>
              </w:rPr>
              <w:t>EC_WK</w:t>
            </w:r>
          </w:p>
        </w:tc>
        <w:tc>
          <w:tcPr>
            <w:tcW w:w="815" w:type="dxa"/>
            <w:vMerge/>
            <w:shd w:val="clear" w:color="auto" w:fill="E2EFD9" w:themeFill="accent6" w:themeFillTint="33"/>
            <w:hideMark/>
          </w:tcPr>
          <w:p w14:paraId="2DB3B7A1" w14:textId="77777777" w:rsidR="00927FF7" w:rsidRPr="00350EE0" w:rsidRDefault="00927FF7">
            <w:pPr>
              <w:pStyle w:val="Tabele"/>
              <w:jc w:val="right"/>
              <w:rPr>
                <w:color w:val="auto"/>
                <w:szCs w:val="16"/>
                <w:lang w:eastAsia="pl-PL"/>
              </w:rPr>
            </w:pPr>
          </w:p>
        </w:tc>
        <w:tc>
          <w:tcPr>
            <w:tcW w:w="815" w:type="dxa"/>
            <w:vMerge/>
            <w:shd w:val="clear" w:color="auto" w:fill="E2EFD9" w:themeFill="accent6" w:themeFillTint="33"/>
            <w:hideMark/>
          </w:tcPr>
          <w:p w14:paraId="629879D2" w14:textId="77777777" w:rsidR="00927FF7" w:rsidRPr="00350EE0" w:rsidRDefault="00927FF7">
            <w:pPr>
              <w:pStyle w:val="Tabele"/>
              <w:jc w:val="right"/>
              <w:rPr>
                <w:color w:val="auto"/>
                <w:szCs w:val="16"/>
                <w:lang w:eastAsia="pl-PL"/>
              </w:rPr>
            </w:pPr>
          </w:p>
        </w:tc>
        <w:tc>
          <w:tcPr>
            <w:tcW w:w="815" w:type="dxa"/>
            <w:shd w:val="clear" w:color="auto" w:fill="E2EFD9" w:themeFill="accent6" w:themeFillTint="33"/>
            <w:noWrap/>
            <w:hideMark/>
          </w:tcPr>
          <w:p w14:paraId="0E86616E" w14:textId="77777777" w:rsidR="00927FF7" w:rsidRPr="00350EE0" w:rsidRDefault="00927FF7">
            <w:pPr>
              <w:pStyle w:val="Tabele"/>
              <w:jc w:val="right"/>
              <w:rPr>
                <w:color w:val="auto"/>
                <w:szCs w:val="16"/>
                <w:lang w:eastAsia="pl-PL"/>
              </w:rPr>
            </w:pPr>
            <w:r w:rsidRPr="00350EE0">
              <w:rPr>
                <w:rFonts w:cs="Arial"/>
                <w:color w:val="auto"/>
                <w:szCs w:val="16"/>
              </w:rPr>
              <w:t>4 968</w:t>
            </w:r>
          </w:p>
        </w:tc>
        <w:tc>
          <w:tcPr>
            <w:tcW w:w="815" w:type="dxa"/>
            <w:shd w:val="clear" w:color="auto" w:fill="E2EFD9" w:themeFill="accent6" w:themeFillTint="33"/>
            <w:noWrap/>
            <w:hideMark/>
          </w:tcPr>
          <w:p w14:paraId="54548144" w14:textId="77777777" w:rsidR="00927FF7" w:rsidRPr="00350EE0" w:rsidRDefault="00927FF7">
            <w:pPr>
              <w:pStyle w:val="Tabele"/>
              <w:jc w:val="right"/>
              <w:rPr>
                <w:color w:val="auto"/>
                <w:szCs w:val="16"/>
                <w:lang w:eastAsia="pl-PL"/>
              </w:rPr>
            </w:pPr>
            <w:r w:rsidRPr="00927FF7">
              <w:rPr>
                <w:rFonts w:cs="Arial"/>
                <w:color w:val="auto"/>
                <w:szCs w:val="16"/>
              </w:rPr>
              <w:t>5 226</w:t>
            </w:r>
          </w:p>
        </w:tc>
        <w:tc>
          <w:tcPr>
            <w:tcW w:w="815" w:type="dxa"/>
            <w:noWrap/>
            <w:hideMark/>
          </w:tcPr>
          <w:p w14:paraId="48EFF268" w14:textId="77777777" w:rsidR="00927FF7" w:rsidRPr="00350EE0" w:rsidRDefault="00927FF7">
            <w:pPr>
              <w:pStyle w:val="Tabele"/>
              <w:jc w:val="right"/>
              <w:rPr>
                <w:color w:val="auto"/>
                <w:szCs w:val="16"/>
                <w:lang w:eastAsia="pl-PL"/>
              </w:rPr>
            </w:pPr>
            <w:r w:rsidRPr="00350EE0">
              <w:rPr>
                <w:rFonts w:cs="Arial"/>
                <w:color w:val="auto"/>
                <w:szCs w:val="16"/>
              </w:rPr>
              <w:t>4 037</w:t>
            </w:r>
          </w:p>
        </w:tc>
        <w:tc>
          <w:tcPr>
            <w:tcW w:w="815" w:type="dxa"/>
            <w:noWrap/>
            <w:hideMark/>
          </w:tcPr>
          <w:p w14:paraId="38335E6B" w14:textId="77777777" w:rsidR="00927FF7" w:rsidRPr="00350EE0" w:rsidRDefault="00927FF7">
            <w:pPr>
              <w:pStyle w:val="Tabele"/>
              <w:jc w:val="right"/>
              <w:rPr>
                <w:color w:val="auto"/>
                <w:szCs w:val="16"/>
                <w:lang w:eastAsia="pl-PL"/>
              </w:rPr>
            </w:pPr>
            <w:r w:rsidRPr="00350EE0">
              <w:rPr>
                <w:rFonts w:cs="Arial"/>
                <w:color w:val="auto"/>
                <w:szCs w:val="16"/>
              </w:rPr>
              <w:t>3 238</w:t>
            </w:r>
          </w:p>
        </w:tc>
        <w:tc>
          <w:tcPr>
            <w:tcW w:w="815" w:type="dxa"/>
            <w:noWrap/>
            <w:hideMark/>
          </w:tcPr>
          <w:p w14:paraId="25B9F229" w14:textId="77777777" w:rsidR="00927FF7" w:rsidRPr="00350EE0" w:rsidRDefault="00927FF7">
            <w:pPr>
              <w:pStyle w:val="Tabele"/>
              <w:jc w:val="right"/>
              <w:rPr>
                <w:color w:val="auto"/>
                <w:szCs w:val="16"/>
                <w:lang w:eastAsia="pl-PL"/>
              </w:rPr>
            </w:pPr>
            <w:r w:rsidRPr="00350EE0">
              <w:rPr>
                <w:rFonts w:cs="Arial"/>
                <w:color w:val="auto"/>
                <w:szCs w:val="16"/>
              </w:rPr>
              <w:t>2 187</w:t>
            </w:r>
          </w:p>
        </w:tc>
        <w:tc>
          <w:tcPr>
            <w:tcW w:w="815" w:type="dxa"/>
            <w:hideMark/>
          </w:tcPr>
          <w:p w14:paraId="698BC6B7" w14:textId="77777777" w:rsidR="00927FF7" w:rsidRPr="00350EE0" w:rsidRDefault="00927FF7">
            <w:pPr>
              <w:pStyle w:val="Tabele"/>
              <w:jc w:val="right"/>
              <w:rPr>
                <w:color w:val="auto"/>
                <w:szCs w:val="16"/>
                <w:lang w:eastAsia="pl-PL"/>
              </w:rPr>
            </w:pPr>
            <w:r w:rsidRPr="00350EE0">
              <w:rPr>
                <w:rFonts w:cs="Arial"/>
                <w:color w:val="auto"/>
                <w:szCs w:val="16"/>
              </w:rPr>
              <w:t>0</w:t>
            </w:r>
          </w:p>
        </w:tc>
      </w:tr>
      <w:tr w:rsidR="00927FF7" w:rsidRPr="00EB1298" w14:paraId="73205F03" w14:textId="77777777" w:rsidTr="0092305B">
        <w:trPr>
          <w:trHeight w:val="227"/>
        </w:trPr>
        <w:tc>
          <w:tcPr>
            <w:tcW w:w="2547" w:type="dxa"/>
            <w:noWrap/>
            <w:hideMark/>
          </w:tcPr>
          <w:p w14:paraId="6A7302A8" w14:textId="0C60B5F3" w:rsidR="00927FF7" w:rsidRPr="00350EE0" w:rsidRDefault="00927FF7">
            <w:pPr>
              <w:pStyle w:val="Tabele"/>
              <w:rPr>
                <w:color w:val="auto"/>
                <w:szCs w:val="16"/>
                <w:lang w:eastAsia="pl-PL"/>
              </w:rPr>
            </w:pPr>
            <w:r w:rsidRPr="00350EE0">
              <w:rPr>
                <w:rFonts w:cs="Arial"/>
                <w:color w:val="auto"/>
                <w:szCs w:val="16"/>
              </w:rPr>
              <w:t>EC_</w:t>
            </w:r>
            <w:r w:rsidR="00AF54BE">
              <w:rPr>
                <w:rFonts w:cs="Arial"/>
                <w:color w:val="auto"/>
                <w:szCs w:val="16"/>
              </w:rPr>
              <w:t>Paliwa gaz. kopalne i odn.</w:t>
            </w:r>
          </w:p>
        </w:tc>
        <w:tc>
          <w:tcPr>
            <w:tcW w:w="815" w:type="dxa"/>
            <w:shd w:val="clear" w:color="auto" w:fill="E2EFD9" w:themeFill="accent6" w:themeFillTint="33"/>
            <w:noWrap/>
            <w:hideMark/>
          </w:tcPr>
          <w:p w14:paraId="5939D39A" w14:textId="77777777" w:rsidR="00927FF7" w:rsidRPr="00350EE0" w:rsidRDefault="00927FF7">
            <w:pPr>
              <w:pStyle w:val="Tabele"/>
              <w:jc w:val="right"/>
              <w:rPr>
                <w:color w:val="auto"/>
                <w:szCs w:val="16"/>
                <w:lang w:eastAsia="pl-PL"/>
              </w:rPr>
            </w:pPr>
            <w:r w:rsidRPr="00350EE0">
              <w:rPr>
                <w:rFonts w:cs="Arial"/>
                <w:color w:val="auto"/>
                <w:szCs w:val="16"/>
              </w:rPr>
              <w:t>760</w:t>
            </w:r>
          </w:p>
        </w:tc>
        <w:tc>
          <w:tcPr>
            <w:tcW w:w="815" w:type="dxa"/>
            <w:shd w:val="clear" w:color="auto" w:fill="E2EFD9" w:themeFill="accent6" w:themeFillTint="33"/>
            <w:noWrap/>
            <w:hideMark/>
          </w:tcPr>
          <w:p w14:paraId="1A779C5B" w14:textId="77777777" w:rsidR="00927FF7" w:rsidRPr="00350EE0" w:rsidRDefault="00927FF7">
            <w:pPr>
              <w:pStyle w:val="Tabele"/>
              <w:jc w:val="right"/>
              <w:rPr>
                <w:color w:val="auto"/>
                <w:szCs w:val="16"/>
                <w:lang w:eastAsia="pl-PL"/>
              </w:rPr>
            </w:pPr>
            <w:r w:rsidRPr="00350EE0">
              <w:rPr>
                <w:rFonts w:cs="Arial"/>
                <w:color w:val="auto"/>
                <w:szCs w:val="16"/>
              </w:rPr>
              <w:t>807</w:t>
            </w:r>
          </w:p>
        </w:tc>
        <w:tc>
          <w:tcPr>
            <w:tcW w:w="815" w:type="dxa"/>
            <w:shd w:val="clear" w:color="auto" w:fill="E2EFD9" w:themeFill="accent6" w:themeFillTint="33"/>
            <w:noWrap/>
            <w:hideMark/>
          </w:tcPr>
          <w:p w14:paraId="79B607A0" w14:textId="77777777" w:rsidR="00927FF7" w:rsidRPr="00350EE0" w:rsidRDefault="00927FF7">
            <w:pPr>
              <w:pStyle w:val="Tabele"/>
              <w:jc w:val="right"/>
              <w:rPr>
                <w:color w:val="auto"/>
                <w:szCs w:val="16"/>
                <w:lang w:eastAsia="pl-PL"/>
              </w:rPr>
            </w:pPr>
            <w:r w:rsidRPr="00350EE0">
              <w:rPr>
                <w:rFonts w:cs="Arial"/>
                <w:color w:val="auto"/>
                <w:szCs w:val="16"/>
              </w:rPr>
              <w:t>928</w:t>
            </w:r>
          </w:p>
        </w:tc>
        <w:tc>
          <w:tcPr>
            <w:tcW w:w="815" w:type="dxa"/>
            <w:shd w:val="clear" w:color="auto" w:fill="E2EFD9" w:themeFill="accent6" w:themeFillTint="33"/>
            <w:noWrap/>
            <w:hideMark/>
          </w:tcPr>
          <w:p w14:paraId="574F8AA5" w14:textId="77777777" w:rsidR="00927FF7" w:rsidRPr="00350EE0" w:rsidRDefault="00927FF7">
            <w:pPr>
              <w:pStyle w:val="Tabele"/>
              <w:jc w:val="right"/>
              <w:rPr>
                <w:color w:val="auto"/>
                <w:szCs w:val="16"/>
                <w:lang w:eastAsia="pl-PL"/>
              </w:rPr>
            </w:pPr>
            <w:r w:rsidRPr="00927FF7">
              <w:rPr>
                <w:rFonts w:cs="Arial"/>
                <w:color w:val="auto"/>
                <w:szCs w:val="16"/>
              </w:rPr>
              <w:t>2 688</w:t>
            </w:r>
          </w:p>
        </w:tc>
        <w:tc>
          <w:tcPr>
            <w:tcW w:w="815" w:type="dxa"/>
            <w:noWrap/>
            <w:hideMark/>
          </w:tcPr>
          <w:p w14:paraId="2186D028" w14:textId="77777777" w:rsidR="00927FF7" w:rsidRPr="00350EE0" w:rsidRDefault="00927FF7">
            <w:pPr>
              <w:pStyle w:val="Tabele"/>
              <w:jc w:val="right"/>
              <w:rPr>
                <w:color w:val="auto"/>
                <w:szCs w:val="16"/>
                <w:lang w:eastAsia="pl-PL"/>
              </w:rPr>
            </w:pPr>
            <w:r w:rsidRPr="00350EE0">
              <w:rPr>
                <w:rFonts w:cs="Arial"/>
                <w:color w:val="auto"/>
                <w:szCs w:val="16"/>
              </w:rPr>
              <w:t>5 434</w:t>
            </w:r>
          </w:p>
        </w:tc>
        <w:tc>
          <w:tcPr>
            <w:tcW w:w="815" w:type="dxa"/>
            <w:noWrap/>
            <w:hideMark/>
          </w:tcPr>
          <w:p w14:paraId="4BEC5DCE" w14:textId="77777777" w:rsidR="00927FF7" w:rsidRPr="00350EE0" w:rsidRDefault="00927FF7">
            <w:pPr>
              <w:pStyle w:val="Tabele"/>
              <w:jc w:val="right"/>
              <w:rPr>
                <w:color w:val="auto"/>
                <w:szCs w:val="16"/>
                <w:lang w:eastAsia="pl-PL"/>
              </w:rPr>
            </w:pPr>
            <w:r w:rsidRPr="00350EE0">
              <w:rPr>
                <w:rFonts w:cs="Arial"/>
                <w:color w:val="auto"/>
                <w:szCs w:val="16"/>
              </w:rPr>
              <w:t>6 870</w:t>
            </w:r>
          </w:p>
        </w:tc>
        <w:tc>
          <w:tcPr>
            <w:tcW w:w="815" w:type="dxa"/>
            <w:noWrap/>
            <w:hideMark/>
          </w:tcPr>
          <w:p w14:paraId="45D7886B" w14:textId="77777777" w:rsidR="00927FF7" w:rsidRPr="00350EE0" w:rsidRDefault="00927FF7">
            <w:pPr>
              <w:pStyle w:val="Tabele"/>
              <w:jc w:val="right"/>
              <w:rPr>
                <w:color w:val="auto"/>
                <w:szCs w:val="16"/>
                <w:lang w:eastAsia="pl-PL"/>
              </w:rPr>
            </w:pPr>
            <w:r w:rsidRPr="00350EE0">
              <w:rPr>
                <w:rFonts w:cs="Arial"/>
                <w:color w:val="auto"/>
                <w:szCs w:val="16"/>
              </w:rPr>
              <w:t>7 561</w:t>
            </w:r>
          </w:p>
        </w:tc>
        <w:tc>
          <w:tcPr>
            <w:tcW w:w="815" w:type="dxa"/>
            <w:hideMark/>
          </w:tcPr>
          <w:p w14:paraId="78994FE1" w14:textId="77777777" w:rsidR="00927FF7" w:rsidRPr="00350EE0" w:rsidRDefault="00927FF7">
            <w:pPr>
              <w:pStyle w:val="Tabele"/>
              <w:jc w:val="right"/>
              <w:rPr>
                <w:color w:val="auto"/>
                <w:szCs w:val="16"/>
                <w:lang w:eastAsia="pl-PL"/>
              </w:rPr>
            </w:pPr>
            <w:r w:rsidRPr="00350EE0">
              <w:rPr>
                <w:rFonts w:cs="Arial"/>
                <w:color w:val="auto"/>
                <w:szCs w:val="16"/>
              </w:rPr>
              <w:t>9 228</w:t>
            </w:r>
          </w:p>
        </w:tc>
      </w:tr>
      <w:tr w:rsidR="00927FF7" w:rsidRPr="00EB1298" w14:paraId="3282C799" w14:textId="77777777" w:rsidTr="0092305B">
        <w:trPr>
          <w:trHeight w:val="227"/>
        </w:trPr>
        <w:tc>
          <w:tcPr>
            <w:tcW w:w="2547" w:type="dxa"/>
            <w:noWrap/>
            <w:hideMark/>
          </w:tcPr>
          <w:p w14:paraId="3BE9FDA3" w14:textId="77777777" w:rsidR="00927FF7" w:rsidRPr="00350EE0" w:rsidRDefault="00927FF7">
            <w:pPr>
              <w:pStyle w:val="Tabele"/>
              <w:rPr>
                <w:color w:val="auto"/>
                <w:szCs w:val="16"/>
                <w:lang w:eastAsia="pl-PL"/>
              </w:rPr>
            </w:pPr>
            <w:r w:rsidRPr="00350EE0">
              <w:rPr>
                <w:rFonts w:cs="Arial"/>
                <w:color w:val="auto"/>
                <w:szCs w:val="16"/>
              </w:rPr>
              <w:t>EL i EC_Biomasa</w:t>
            </w:r>
          </w:p>
        </w:tc>
        <w:tc>
          <w:tcPr>
            <w:tcW w:w="815" w:type="dxa"/>
            <w:vMerge w:val="restart"/>
            <w:shd w:val="clear" w:color="auto" w:fill="E2EFD9" w:themeFill="accent6" w:themeFillTint="33"/>
            <w:noWrap/>
            <w:hideMark/>
          </w:tcPr>
          <w:p w14:paraId="1AB42052" w14:textId="77777777" w:rsidR="00927FF7" w:rsidRPr="00350EE0" w:rsidRDefault="00927FF7">
            <w:pPr>
              <w:pStyle w:val="Tabele"/>
              <w:jc w:val="right"/>
              <w:rPr>
                <w:color w:val="auto"/>
                <w:szCs w:val="16"/>
                <w:lang w:eastAsia="pl-PL"/>
              </w:rPr>
            </w:pPr>
            <w:r w:rsidRPr="00350EE0">
              <w:rPr>
                <w:rFonts w:cs="Arial"/>
                <w:color w:val="auto"/>
                <w:szCs w:val="16"/>
              </w:rPr>
              <w:t>102</w:t>
            </w:r>
          </w:p>
        </w:tc>
        <w:tc>
          <w:tcPr>
            <w:tcW w:w="815" w:type="dxa"/>
            <w:vMerge w:val="restart"/>
            <w:shd w:val="clear" w:color="auto" w:fill="E2EFD9" w:themeFill="accent6" w:themeFillTint="33"/>
            <w:noWrap/>
            <w:hideMark/>
          </w:tcPr>
          <w:p w14:paraId="0B48B5EB" w14:textId="77777777" w:rsidR="00927FF7" w:rsidRPr="00350EE0" w:rsidRDefault="00927FF7">
            <w:pPr>
              <w:pStyle w:val="Tabele"/>
              <w:jc w:val="right"/>
              <w:rPr>
                <w:color w:val="auto"/>
                <w:szCs w:val="16"/>
                <w:lang w:eastAsia="pl-PL"/>
              </w:rPr>
            </w:pPr>
            <w:r w:rsidRPr="00350EE0">
              <w:rPr>
                <w:rFonts w:cs="Arial"/>
                <w:color w:val="auto"/>
                <w:szCs w:val="16"/>
              </w:rPr>
              <w:t>140</w:t>
            </w:r>
          </w:p>
        </w:tc>
        <w:tc>
          <w:tcPr>
            <w:tcW w:w="815" w:type="dxa"/>
            <w:shd w:val="clear" w:color="auto" w:fill="E2EFD9" w:themeFill="accent6" w:themeFillTint="33"/>
            <w:noWrap/>
            <w:hideMark/>
          </w:tcPr>
          <w:p w14:paraId="7F77C0D3" w14:textId="77777777" w:rsidR="00927FF7" w:rsidRPr="00350EE0" w:rsidRDefault="00927FF7">
            <w:pPr>
              <w:pStyle w:val="Tabele"/>
              <w:jc w:val="right"/>
              <w:rPr>
                <w:color w:val="auto"/>
                <w:szCs w:val="16"/>
                <w:lang w:eastAsia="pl-PL"/>
              </w:rPr>
            </w:pPr>
            <w:r w:rsidRPr="00350EE0">
              <w:rPr>
                <w:rFonts w:cs="Arial"/>
                <w:color w:val="auto"/>
                <w:szCs w:val="16"/>
              </w:rPr>
              <w:t>513</w:t>
            </w:r>
          </w:p>
        </w:tc>
        <w:tc>
          <w:tcPr>
            <w:tcW w:w="815" w:type="dxa"/>
            <w:shd w:val="clear" w:color="auto" w:fill="E2EFD9" w:themeFill="accent6" w:themeFillTint="33"/>
            <w:noWrap/>
            <w:hideMark/>
          </w:tcPr>
          <w:p w14:paraId="302D514B" w14:textId="77777777" w:rsidR="00927FF7" w:rsidRPr="00350EE0" w:rsidRDefault="00927FF7">
            <w:pPr>
              <w:pStyle w:val="Tabele"/>
              <w:jc w:val="right"/>
              <w:rPr>
                <w:color w:val="auto"/>
                <w:szCs w:val="16"/>
                <w:lang w:eastAsia="pl-PL"/>
              </w:rPr>
            </w:pPr>
            <w:r w:rsidRPr="00927FF7">
              <w:rPr>
                <w:rFonts w:cs="Arial"/>
                <w:color w:val="auto"/>
                <w:szCs w:val="16"/>
              </w:rPr>
              <w:t>534</w:t>
            </w:r>
          </w:p>
        </w:tc>
        <w:tc>
          <w:tcPr>
            <w:tcW w:w="815" w:type="dxa"/>
            <w:noWrap/>
            <w:hideMark/>
          </w:tcPr>
          <w:p w14:paraId="559480CA" w14:textId="77777777" w:rsidR="00927FF7" w:rsidRPr="00350EE0" w:rsidRDefault="00927FF7">
            <w:pPr>
              <w:pStyle w:val="Tabele"/>
              <w:jc w:val="right"/>
              <w:rPr>
                <w:color w:val="auto"/>
                <w:szCs w:val="16"/>
                <w:lang w:eastAsia="pl-PL"/>
              </w:rPr>
            </w:pPr>
            <w:r w:rsidRPr="00350EE0">
              <w:rPr>
                <w:rFonts w:cs="Arial"/>
                <w:color w:val="auto"/>
                <w:szCs w:val="16"/>
              </w:rPr>
              <w:t>638</w:t>
            </w:r>
          </w:p>
        </w:tc>
        <w:tc>
          <w:tcPr>
            <w:tcW w:w="815" w:type="dxa"/>
            <w:noWrap/>
            <w:hideMark/>
          </w:tcPr>
          <w:p w14:paraId="3D1D975B" w14:textId="77777777" w:rsidR="00927FF7" w:rsidRPr="00350EE0" w:rsidRDefault="00927FF7">
            <w:pPr>
              <w:pStyle w:val="Tabele"/>
              <w:jc w:val="right"/>
              <w:rPr>
                <w:color w:val="auto"/>
                <w:szCs w:val="16"/>
                <w:lang w:eastAsia="pl-PL"/>
              </w:rPr>
            </w:pPr>
            <w:r w:rsidRPr="00350EE0">
              <w:rPr>
                <w:rFonts w:cs="Arial"/>
                <w:color w:val="auto"/>
                <w:szCs w:val="16"/>
              </w:rPr>
              <w:t>702</w:t>
            </w:r>
          </w:p>
        </w:tc>
        <w:tc>
          <w:tcPr>
            <w:tcW w:w="815" w:type="dxa"/>
            <w:noWrap/>
            <w:hideMark/>
          </w:tcPr>
          <w:p w14:paraId="33444CF6" w14:textId="77777777" w:rsidR="00927FF7" w:rsidRPr="00350EE0" w:rsidRDefault="00927FF7">
            <w:pPr>
              <w:pStyle w:val="Tabele"/>
              <w:jc w:val="right"/>
              <w:rPr>
                <w:color w:val="auto"/>
                <w:szCs w:val="16"/>
                <w:lang w:eastAsia="pl-PL"/>
              </w:rPr>
            </w:pPr>
            <w:r w:rsidRPr="00350EE0">
              <w:rPr>
                <w:rFonts w:cs="Arial"/>
                <w:color w:val="auto"/>
                <w:szCs w:val="16"/>
              </w:rPr>
              <w:t>710</w:t>
            </w:r>
          </w:p>
        </w:tc>
        <w:tc>
          <w:tcPr>
            <w:tcW w:w="815" w:type="dxa"/>
            <w:hideMark/>
          </w:tcPr>
          <w:p w14:paraId="5E49371B" w14:textId="77777777" w:rsidR="00927FF7" w:rsidRPr="00350EE0" w:rsidRDefault="00927FF7">
            <w:pPr>
              <w:pStyle w:val="Tabele"/>
              <w:jc w:val="right"/>
              <w:rPr>
                <w:color w:val="auto"/>
                <w:szCs w:val="16"/>
                <w:lang w:eastAsia="pl-PL"/>
              </w:rPr>
            </w:pPr>
            <w:r w:rsidRPr="00350EE0">
              <w:rPr>
                <w:rFonts w:cs="Arial"/>
                <w:color w:val="auto"/>
                <w:szCs w:val="16"/>
              </w:rPr>
              <w:t>611</w:t>
            </w:r>
          </w:p>
        </w:tc>
      </w:tr>
      <w:tr w:rsidR="00927FF7" w:rsidRPr="00EB1298" w14:paraId="161CD68A" w14:textId="77777777" w:rsidTr="0092305B">
        <w:trPr>
          <w:trHeight w:val="227"/>
        </w:trPr>
        <w:tc>
          <w:tcPr>
            <w:tcW w:w="2547" w:type="dxa"/>
            <w:noWrap/>
            <w:hideMark/>
          </w:tcPr>
          <w:p w14:paraId="5E301498" w14:textId="77777777" w:rsidR="00927FF7" w:rsidRPr="00350EE0" w:rsidRDefault="00927FF7">
            <w:pPr>
              <w:pStyle w:val="Tabele"/>
              <w:rPr>
                <w:color w:val="auto"/>
                <w:szCs w:val="16"/>
                <w:lang w:eastAsia="pl-PL"/>
              </w:rPr>
            </w:pPr>
            <w:r w:rsidRPr="00350EE0">
              <w:rPr>
                <w:rFonts w:cs="Arial"/>
                <w:color w:val="auto"/>
                <w:szCs w:val="16"/>
              </w:rPr>
              <w:t>EC_Biogaz</w:t>
            </w:r>
          </w:p>
        </w:tc>
        <w:tc>
          <w:tcPr>
            <w:tcW w:w="815" w:type="dxa"/>
            <w:vMerge/>
            <w:shd w:val="clear" w:color="auto" w:fill="E2EFD9" w:themeFill="accent6" w:themeFillTint="33"/>
            <w:hideMark/>
          </w:tcPr>
          <w:p w14:paraId="7592E727" w14:textId="77777777" w:rsidR="00927FF7" w:rsidRPr="00350EE0" w:rsidRDefault="00927FF7">
            <w:pPr>
              <w:pStyle w:val="Tabele"/>
              <w:jc w:val="right"/>
              <w:rPr>
                <w:color w:val="auto"/>
                <w:szCs w:val="16"/>
                <w:lang w:eastAsia="pl-PL"/>
              </w:rPr>
            </w:pPr>
          </w:p>
        </w:tc>
        <w:tc>
          <w:tcPr>
            <w:tcW w:w="815" w:type="dxa"/>
            <w:vMerge/>
            <w:shd w:val="clear" w:color="auto" w:fill="E2EFD9" w:themeFill="accent6" w:themeFillTint="33"/>
            <w:hideMark/>
          </w:tcPr>
          <w:p w14:paraId="1FBABE81" w14:textId="77777777" w:rsidR="00927FF7" w:rsidRPr="00350EE0" w:rsidRDefault="00927FF7">
            <w:pPr>
              <w:pStyle w:val="Tabele"/>
              <w:jc w:val="right"/>
              <w:rPr>
                <w:color w:val="auto"/>
                <w:szCs w:val="16"/>
                <w:lang w:eastAsia="pl-PL"/>
              </w:rPr>
            </w:pPr>
          </w:p>
        </w:tc>
        <w:tc>
          <w:tcPr>
            <w:tcW w:w="815" w:type="dxa"/>
            <w:shd w:val="clear" w:color="auto" w:fill="E2EFD9" w:themeFill="accent6" w:themeFillTint="33"/>
            <w:noWrap/>
            <w:hideMark/>
          </w:tcPr>
          <w:p w14:paraId="5A2B0DBD" w14:textId="77777777" w:rsidR="00927FF7" w:rsidRPr="00350EE0" w:rsidRDefault="00927FF7">
            <w:pPr>
              <w:pStyle w:val="Tabele"/>
              <w:jc w:val="right"/>
              <w:rPr>
                <w:color w:val="auto"/>
                <w:szCs w:val="16"/>
                <w:lang w:eastAsia="pl-PL"/>
              </w:rPr>
            </w:pPr>
            <w:r w:rsidRPr="00350EE0">
              <w:rPr>
                <w:rFonts w:cs="Arial"/>
                <w:color w:val="auto"/>
                <w:szCs w:val="16"/>
              </w:rPr>
              <w:t>216</w:t>
            </w:r>
          </w:p>
        </w:tc>
        <w:tc>
          <w:tcPr>
            <w:tcW w:w="815" w:type="dxa"/>
            <w:shd w:val="clear" w:color="auto" w:fill="E2EFD9" w:themeFill="accent6" w:themeFillTint="33"/>
            <w:noWrap/>
            <w:hideMark/>
          </w:tcPr>
          <w:p w14:paraId="40BAF250" w14:textId="77777777" w:rsidR="00927FF7" w:rsidRPr="00350EE0" w:rsidRDefault="00927FF7">
            <w:pPr>
              <w:pStyle w:val="Tabele"/>
              <w:jc w:val="right"/>
              <w:rPr>
                <w:color w:val="auto"/>
                <w:szCs w:val="16"/>
                <w:lang w:eastAsia="pl-PL"/>
              </w:rPr>
            </w:pPr>
            <w:r w:rsidRPr="00927FF7">
              <w:rPr>
                <w:rFonts w:cs="Arial"/>
                <w:color w:val="auto"/>
                <w:szCs w:val="16"/>
              </w:rPr>
              <w:t>241</w:t>
            </w:r>
          </w:p>
        </w:tc>
        <w:tc>
          <w:tcPr>
            <w:tcW w:w="815" w:type="dxa"/>
            <w:noWrap/>
            <w:hideMark/>
          </w:tcPr>
          <w:p w14:paraId="5EEEBB0E" w14:textId="77777777" w:rsidR="00927FF7" w:rsidRPr="00350EE0" w:rsidRDefault="00927FF7">
            <w:pPr>
              <w:pStyle w:val="Tabele"/>
              <w:jc w:val="right"/>
              <w:rPr>
                <w:color w:val="auto"/>
                <w:szCs w:val="16"/>
                <w:lang w:eastAsia="pl-PL"/>
              </w:rPr>
            </w:pPr>
            <w:r w:rsidRPr="00350EE0">
              <w:rPr>
                <w:rFonts w:cs="Arial"/>
                <w:color w:val="auto"/>
                <w:szCs w:val="16"/>
              </w:rPr>
              <w:t>350</w:t>
            </w:r>
          </w:p>
        </w:tc>
        <w:tc>
          <w:tcPr>
            <w:tcW w:w="815" w:type="dxa"/>
            <w:noWrap/>
            <w:hideMark/>
          </w:tcPr>
          <w:p w14:paraId="078AF9AE" w14:textId="77777777" w:rsidR="00927FF7" w:rsidRPr="00350EE0" w:rsidRDefault="00927FF7">
            <w:pPr>
              <w:pStyle w:val="Tabele"/>
              <w:jc w:val="right"/>
              <w:rPr>
                <w:color w:val="auto"/>
                <w:szCs w:val="16"/>
                <w:lang w:eastAsia="pl-PL"/>
              </w:rPr>
            </w:pPr>
            <w:r w:rsidRPr="00350EE0">
              <w:rPr>
                <w:rFonts w:cs="Arial"/>
                <w:color w:val="auto"/>
                <w:szCs w:val="16"/>
              </w:rPr>
              <w:t>486</w:t>
            </w:r>
          </w:p>
        </w:tc>
        <w:tc>
          <w:tcPr>
            <w:tcW w:w="815" w:type="dxa"/>
            <w:noWrap/>
            <w:hideMark/>
          </w:tcPr>
          <w:p w14:paraId="799949C5" w14:textId="77777777" w:rsidR="00927FF7" w:rsidRPr="00350EE0" w:rsidRDefault="00927FF7">
            <w:pPr>
              <w:pStyle w:val="Tabele"/>
              <w:jc w:val="right"/>
              <w:rPr>
                <w:color w:val="auto"/>
                <w:szCs w:val="16"/>
                <w:lang w:eastAsia="pl-PL"/>
              </w:rPr>
            </w:pPr>
            <w:r w:rsidRPr="00350EE0">
              <w:rPr>
                <w:rFonts w:cs="Arial"/>
                <w:color w:val="auto"/>
                <w:szCs w:val="16"/>
              </w:rPr>
              <w:t>511</w:t>
            </w:r>
          </w:p>
        </w:tc>
        <w:tc>
          <w:tcPr>
            <w:tcW w:w="815" w:type="dxa"/>
            <w:hideMark/>
          </w:tcPr>
          <w:p w14:paraId="08B0084D" w14:textId="77777777" w:rsidR="00927FF7" w:rsidRPr="00350EE0" w:rsidRDefault="00927FF7">
            <w:pPr>
              <w:pStyle w:val="Tabele"/>
              <w:jc w:val="right"/>
              <w:rPr>
                <w:color w:val="auto"/>
                <w:szCs w:val="16"/>
                <w:lang w:eastAsia="pl-PL"/>
              </w:rPr>
            </w:pPr>
            <w:r w:rsidRPr="00350EE0">
              <w:rPr>
                <w:rFonts w:cs="Arial"/>
                <w:color w:val="auto"/>
                <w:szCs w:val="16"/>
              </w:rPr>
              <w:t>449</w:t>
            </w:r>
          </w:p>
        </w:tc>
      </w:tr>
      <w:tr w:rsidR="00927FF7" w:rsidRPr="00EB1298" w14:paraId="0BE948C0" w14:textId="77777777" w:rsidTr="0092305B">
        <w:trPr>
          <w:trHeight w:val="227"/>
        </w:trPr>
        <w:tc>
          <w:tcPr>
            <w:tcW w:w="2547" w:type="dxa"/>
            <w:noWrap/>
            <w:hideMark/>
          </w:tcPr>
          <w:p w14:paraId="6B5F39C2" w14:textId="77777777" w:rsidR="00927FF7" w:rsidRPr="00350EE0" w:rsidRDefault="00927FF7">
            <w:pPr>
              <w:pStyle w:val="Tabele"/>
              <w:rPr>
                <w:color w:val="auto"/>
                <w:szCs w:val="16"/>
                <w:lang w:eastAsia="pl-PL"/>
              </w:rPr>
            </w:pPr>
            <w:r w:rsidRPr="00350EE0">
              <w:rPr>
                <w:rFonts w:cs="Arial"/>
                <w:color w:val="auto"/>
                <w:szCs w:val="16"/>
              </w:rPr>
              <w:t>BECCS</w:t>
            </w:r>
          </w:p>
        </w:tc>
        <w:tc>
          <w:tcPr>
            <w:tcW w:w="815" w:type="dxa"/>
            <w:shd w:val="clear" w:color="auto" w:fill="E2EFD9" w:themeFill="accent6" w:themeFillTint="33"/>
            <w:noWrap/>
            <w:hideMark/>
          </w:tcPr>
          <w:p w14:paraId="3F37A836"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553CE646"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1C5AF049"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67C0E6BA" w14:textId="77777777" w:rsidR="00927FF7" w:rsidRPr="00350EE0" w:rsidRDefault="00927FF7">
            <w:pPr>
              <w:pStyle w:val="Tabele"/>
              <w:jc w:val="right"/>
              <w:rPr>
                <w:color w:val="auto"/>
                <w:szCs w:val="16"/>
                <w:lang w:eastAsia="pl-PL"/>
              </w:rPr>
            </w:pPr>
            <w:r w:rsidRPr="00927FF7">
              <w:rPr>
                <w:rFonts w:cs="Arial"/>
                <w:color w:val="auto"/>
                <w:szCs w:val="16"/>
              </w:rPr>
              <w:t>0</w:t>
            </w:r>
          </w:p>
        </w:tc>
        <w:tc>
          <w:tcPr>
            <w:tcW w:w="815" w:type="dxa"/>
            <w:noWrap/>
            <w:hideMark/>
          </w:tcPr>
          <w:p w14:paraId="6E604EF9"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noWrap/>
            <w:hideMark/>
          </w:tcPr>
          <w:p w14:paraId="7FC2ABC0"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noWrap/>
            <w:hideMark/>
          </w:tcPr>
          <w:p w14:paraId="6A43EA58"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hideMark/>
          </w:tcPr>
          <w:p w14:paraId="4A822D13" w14:textId="77777777" w:rsidR="00927FF7" w:rsidRPr="00350EE0" w:rsidRDefault="00927FF7">
            <w:pPr>
              <w:pStyle w:val="Tabele"/>
              <w:jc w:val="right"/>
              <w:rPr>
                <w:color w:val="auto"/>
                <w:szCs w:val="16"/>
                <w:lang w:eastAsia="pl-PL"/>
              </w:rPr>
            </w:pPr>
            <w:r w:rsidRPr="00350EE0">
              <w:rPr>
                <w:rFonts w:cs="Arial"/>
                <w:color w:val="auto"/>
                <w:szCs w:val="16"/>
              </w:rPr>
              <w:t>0</w:t>
            </w:r>
          </w:p>
        </w:tc>
      </w:tr>
      <w:tr w:rsidR="00927FF7" w:rsidRPr="00EB1298" w14:paraId="17A28FD5" w14:textId="77777777" w:rsidTr="0092305B">
        <w:trPr>
          <w:trHeight w:val="227"/>
        </w:trPr>
        <w:tc>
          <w:tcPr>
            <w:tcW w:w="2547" w:type="dxa"/>
            <w:noWrap/>
            <w:hideMark/>
          </w:tcPr>
          <w:p w14:paraId="0F98A37A" w14:textId="77777777" w:rsidR="00927FF7" w:rsidRPr="00350EE0" w:rsidRDefault="00927FF7">
            <w:pPr>
              <w:pStyle w:val="Tabele"/>
              <w:rPr>
                <w:color w:val="auto"/>
                <w:szCs w:val="16"/>
                <w:lang w:eastAsia="pl-PL"/>
              </w:rPr>
            </w:pPr>
            <w:r w:rsidRPr="00350EE0">
              <w:rPr>
                <w:rFonts w:cs="Arial"/>
                <w:color w:val="auto"/>
                <w:szCs w:val="16"/>
              </w:rPr>
              <w:t>EL_Wiatrowe na lądzie</w:t>
            </w:r>
          </w:p>
        </w:tc>
        <w:tc>
          <w:tcPr>
            <w:tcW w:w="815" w:type="dxa"/>
            <w:shd w:val="clear" w:color="auto" w:fill="E2EFD9" w:themeFill="accent6" w:themeFillTint="33"/>
            <w:noWrap/>
            <w:hideMark/>
          </w:tcPr>
          <w:p w14:paraId="6DC43BDC" w14:textId="77777777" w:rsidR="00927FF7" w:rsidRPr="00350EE0" w:rsidRDefault="00927FF7">
            <w:pPr>
              <w:pStyle w:val="Tabele"/>
              <w:jc w:val="right"/>
              <w:rPr>
                <w:color w:val="auto"/>
                <w:szCs w:val="16"/>
                <w:lang w:eastAsia="pl-PL"/>
              </w:rPr>
            </w:pPr>
            <w:r w:rsidRPr="00350EE0">
              <w:rPr>
                <w:rFonts w:cs="Arial"/>
                <w:color w:val="auto"/>
                <w:szCs w:val="16"/>
              </w:rPr>
              <w:t>121</w:t>
            </w:r>
          </w:p>
        </w:tc>
        <w:tc>
          <w:tcPr>
            <w:tcW w:w="815" w:type="dxa"/>
            <w:shd w:val="clear" w:color="auto" w:fill="E2EFD9" w:themeFill="accent6" w:themeFillTint="33"/>
            <w:noWrap/>
            <w:hideMark/>
          </w:tcPr>
          <w:p w14:paraId="1C395E23" w14:textId="77777777" w:rsidR="00927FF7" w:rsidRPr="00350EE0" w:rsidRDefault="00927FF7">
            <w:pPr>
              <w:pStyle w:val="Tabele"/>
              <w:jc w:val="right"/>
              <w:rPr>
                <w:color w:val="auto"/>
                <w:szCs w:val="16"/>
                <w:lang w:eastAsia="pl-PL"/>
              </w:rPr>
            </w:pPr>
            <w:r w:rsidRPr="00350EE0">
              <w:rPr>
                <w:rFonts w:cs="Arial"/>
                <w:color w:val="auto"/>
                <w:szCs w:val="16"/>
              </w:rPr>
              <w:t>1 108</w:t>
            </w:r>
          </w:p>
        </w:tc>
        <w:tc>
          <w:tcPr>
            <w:tcW w:w="815" w:type="dxa"/>
            <w:shd w:val="clear" w:color="auto" w:fill="E2EFD9" w:themeFill="accent6" w:themeFillTint="33"/>
            <w:noWrap/>
            <w:hideMark/>
          </w:tcPr>
          <w:p w14:paraId="5FDD17E4" w14:textId="77777777" w:rsidR="00927FF7" w:rsidRPr="00350EE0" w:rsidRDefault="00927FF7">
            <w:pPr>
              <w:pStyle w:val="Tabele"/>
              <w:jc w:val="right"/>
              <w:rPr>
                <w:color w:val="auto"/>
                <w:szCs w:val="16"/>
                <w:lang w:eastAsia="pl-PL"/>
              </w:rPr>
            </w:pPr>
            <w:r w:rsidRPr="00350EE0">
              <w:rPr>
                <w:rFonts w:cs="Arial"/>
                <w:color w:val="auto"/>
                <w:szCs w:val="16"/>
              </w:rPr>
              <w:t>4 886</w:t>
            </w:r>
          </w:p>
        </w:tc>
        <w:tc>
          <w:tcPr>
            <w:tcW w:w="815" w:type="dxa"/>
            <w:shd w:val="clear" w:color="auto" w:fill="E2EFD9" w:themeFill="accent6" w:themeFillTint="33"/>
            <w:noWrap/>
            <w:hideMark/>
          </w:tcPr>
          <w:p w14:paraId="3FEA61FE" w14:textId="77777777" w:rsidR="00927FF7" w:rsidRPr="00350EE0" w:rsidRDefault="00927FF7">
            <w:pPr>
              <w:pStyle w:val="Tabele"/>
              <w:jc w:val="right"/>
              <w:rPr>
                <w:color w:val="auto"/>
                <w:szCs w:val="16"/>
                <w:lang w:eastAsia="pl-PL"/>
              </w:rPr>
            </w:pPr>
            <w:r w:rsidRPr="00927FF7">
              <w:rPr>
                <w:rFonts w:cs="Arial"/>
                <w:color w:val="auto"/>
                <w:szCs w:val="16"/>
              </w:rPr>
              <w:t>6 499</w:t>
            </w:r>
          </w:p>
        </w:tc>
        <w:tc>
          <w:tcPr>
            <w:tcW w:w="815" w:type="dxa"/>
            <w:noWrap/>
            <w:hideMark/>
          </w:tcPr>
          <w:p w14:paraId="1DBE10C9" w14:textId="77777777" w:rsidR="00927FF7" w:rsidRPr="00350EE0" w:rsidRDefault="00927FF7">
            <w:pPr>
              <w:pStyle w:val="Tabele"/>
              <w:jc w:val="right"/>
              <w:rPr>
                <w:color w:val="auto"/>
                <w:szCs w:val="16"/>
                <w:lang w:eastAsia="pl-PL"/>
              </w:rPr>
            </w:pPr>
            <w:r w:rsidRPr="00350EE0">
              <w:rPr>
                <w:rFonts w:cs="Arial"/>
                <w:color w:val="auto"/>
                <w:szCs w:val="16"/>
              </w:rPr>
              <w:t>11 315</w:t>
            </w:r>
          </w:p>
        </w:tc>
        <w:tc>
          <w:tcPr>
            <w:tcW w:w="815" w:type="dxa"/>
            <w:noWrap/>
            <w:hideMark/>
          </w:tcPr>
          <w:p w14:paraId="1F96BBC0" w14:textId="77777777" w:rsidR="00927FF7" w:rsidRPr="00350EE0" w:rsidRDefault="00927FF7">
            <w:pPr>
              <w:pStyle w:val="Tabele"/>
              <w:jc w:val="right"/>
              <w:rPr>
                <w:color w:val="auto"/>
                <w:szCs w:val="16"/>
                <w:lang w:eastAsia="pl-PL"/>
              </w:rPr>
            </w:pPr>
            <w:r w:rsidRPr="00350EE0">
              <w:rPr>
                <w:rFonts w:cs="Arial"/>
                <w:color w:val="auto"/>
                <w:szCs w:val="16"/>
              </w:rPr>
              <w:t>16 647</w:t>
            </w:r>
          </w:p>
        </w:tc>
        <w:tc>
          <w:tcPr>
            <w:tcW w:w="815" w:type="dxa"/>
            <w:noWrap/>
            <w:hideMark/>
          </w:tcPr>
          <w:p w14:paraId="74AD6839" w14:textId="77777777" w:rsidR="00927FF7" w:rsidRPr="00350EE0" w:rsidRDefault="00927FF7">
            <w:pPr>
              <w:pStyle w:val="Tabele"/>
              <w:jc w:val="right"/>
              <w:rPr>
                <w:color w:val="auto"/>
                <w:szCs w:val="16"/>
                <w:lang w:eastAsia="pl-PL"/>
              </w:rPr>
            </w:pPr>
            <w:r w:rsidRPr="00350EE0">
              <w:rPr>
                <w:rFonts w:cs="Arial"/>
                <w:color w:val="auto"/>
                <w:szCs w:val="16"/>
              </w:rPr>
              <w:t>26 411</w:t>
            </w:r>
          </w:p>
        </w:tc>
        <w:tc>
          <w:tcPr>
            <w:tcW w:w="815" w:type="dxa"/>
            <w:hideMark/>
          </w:tcPr>
          <w:p w14:paraId="3B844ABE" w14:textId="77777777" w:rsidR="00927FF7" w:rsidRPr="00350EE0" w:rsidRDefault="00927FF7">
            <w:pPr>
              <w:pStyle w:val="Tabele"/>
              <w:jc w:val="right"/>
              <w:rPr>
                <w:color w:val="auto"/>
                <w:szCs w:val="16"/>
                <w:lang w:eastAsia="pl-PL"/>
              </w:rPr>
            </w:pPr>
            <w:r w:rsidRPr="00350EE0">
              <w:rPr>
                <w:rFonts w:cs="Arial"/>
                <w:color w:val="auto"/>
                <w:szCs w:val="16"/>
              </w:rPr>
              <w:t>34 585</w:t>
            </w:r>
          </w:p>
        </w:tc>
      </w:tr>
      <w:tr w:rsidR="002160B8" w:rsidRPr="00EB1298" w14:paraId="33FEA4CB" w14:textId="77777777" w:rsidTr="0092305B">
        <w:trPr>
          <w:trHeight w:val="227"/>
        </w:trPr>
        <w:tc>
          <w:tcPr>
            <w:tcW w:w="2547" w:type="dxa"/>
            <w:noWrap/>
            <w:hideMark/>
          </w:tcPr>
          <w:p w14:paraId="5274AB1B" w14:textId="77777777" w:rsidR="002160B8" w:rsidRPr="00350EE0" w:rsidRDefault="002160B8" w:rsidP="002160B8">
            <w:pPr>
              <w:pStyle w:val="Tabele"/>
              <w:rPr>
                <w:color w:val="auto"/>
                <w:szCs w:val="16"/>
                <w:lang w:eastAsia="pl-PL"/>
              </w:rPr>
            </w:pPr>
            <w:r w:rsidRPr="00350EE0">
              <w:rPr>
                <w:rFonts w:cs="Arial"/>
                <w:color w:val="auto"/>
                <w:szCs w:val="16"/>
              </w:rPr>
              <w:t>EL_Wiatrowe na morzu</w:t>
            </w:r>
          </w:p>
        </w:tc>
        <w:tc>
          <w:tcPr>
            <w:tcW w:w="815" w:type="dxa"/>
            <w:shd w:val="clear" w:color="auto" w:fill="E2EFD9" w:themeFill="accent6" w:themeFillTint="33"/>
            <w:noWrap/>
            <w:hideMark/>
          </w:tcPr>
          <w:p w14:paraId="60D504A5" w14:textId="77777777" w:rsidR="002160B8" w:rsidRPr="00350EE0" w:rsidRDefault="002160B8" w:rsidP="002160B8">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672025F9" w14:textId="77777777" w:rsidR="002160B8" w:rsidRPr="00350EE0" w:rsidRDefault="002160B8" w:rsidP="002160B8">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575DC135" w14:textId="77777777" w:rsidR="002160B8" w:rsidRPr="00350EE0" w:rsidRDefault="002160B8" w:rsidP="002160B8">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42CA02D8" w14:textId="77777777" w:rsidR="002160B8" w:rsidRPr="00350EE0" w:rsidRDefault="002160B8" w:rsidP="002160B8">
            <w:pPr>
              <w:pStyle w:val="Tabele"/>
              <w:jc w:val="right"/>
              <w:rPr>
                <w:color w:val="auto"/>
                <w:szCs w:val="16"/>
                <w:lang w:eastAsia="pl-PL"/>
              </w:rPr>
            </w:pPr>
            <w:r w:rsidRPr="00927FF7">
              <w:rPr>
                <w:rFonts w:cs="Arial"/>
                <w:color w:val="auto"/>
                <w:szCs w:val="16"/>
              </w:rPr>
              <w:t>0</w:t>
            </w:r>
          </w:p>
        </w:tc>
        <w:tc>
          <w:tcPr>
            <w:tcW w:w="815" w:type="dxa"/>
            <w:noWrap/>
            <w:hideMark/>
          </w:tcPr>
          <w:p w14:paraId="5ADBE438" w14:textId="2685F61C" w:rsidR="002160B8" w:rsidRPr="00350EE0" w:rsidRDefault="002160B8" w:rsidP="002160B8">
            <w:pPr>
              <w:pStyle w:val="Tabele"/>
              <w:jc w:val="right"/>
              <w:rPr>
                <w:color w:val="auto"/>
                <w:szCs w:val="16"/>
                <w:lang w:eastAsia="pl-PL"/>
              </w:rPr>
            </w:pPr>
            <w:r w:rsidRPr="00350EE0">
              <w:rPr>
                <w:rFonts w:cs="Arial"/>
                <w:color w:val="auto"/>
                <w:szCs w:val="16"/>
              </w:rPr>
              <w:t>0</w:t>
            </w:r>
          </w:p>
        </w:tc>
        <w:tc>
          <w:tcPr>
            <w:tcW w:w="815" w:type="dxa"/>
            <w:noWrap/>
            <w:hideMark/>
          </w:tcPr>
          <w:p w14:paraId="40CF2AAF" w14:textId="00CEB999" w:rsidR="002160B8" w:rsidRPr="00350EE0" w:rsidRDefault="002160B8" w:rsidP="002160B8">
            <w:pPr>
              <w:pStyle w:val="Tabele"/>
              <w:jc w:val="right"/>
              <w:rPr>
                <w:color w:val="auto"/>
                <w:szCs w:val="16"/>
                <w:lang w:eastAsia="pl-PL"/>
              </w:rPr>
            </w:pPr>
            <w:r w:rsidRPr="00350EE0">
              <w:rPr>
                <w:rFonts w:cs="Arial"/>
                <w:color w:val="auto"/>
                <w:szCs w:val="16"/>
              </w:rPr>
              <w:t>5 873</w:t>
            </w:r>
          </w:p>
        </w:tc>
        <w:tc>
          <w:tcPr>
            <w:tcW w:w="815" w:type="dxa"/>
            <w:noWrap/>
            <w:hideMark/>
          </w:tcPr>
          <w:p w14:paraId="66A55C74" w14:textId="338509EF" w:rsidR="002160B8" w:rsidRPr="00350EE0" w:rsidRDefault="002160B8" w:rsidP="002160B8">
            <w:pPr>
              <w:pStyle w:val="Tabele"/>
              <w:jc w:val="right"/>
              <w:rPr>
                <w:color w:val="auto"/>
                <w:szCs w:val="16"/>
                <w:lang w:eastAsia="pl-PL"/>
              </w:rPr>
            </w:pPr>
            <w:r w:rsidRPr="00350EE0">
              <w:rPr>
                <w:rFonts w:cs="Arial"/>
                <w:color w:val="auto"/>
                <w:szCs w:val="16"/>
              </w:rPr>
              <w:t>13 633</w:t>
            </w:r>
          </w:p>
        </w:tc>
        <w:tc>
          <w:tcPr>
            <w:tcW w:w="815" w:type="dxa"/>
            <w:hideMark/>
          </w:tcPr>
          <w:p w14:paraId="70D8C905" w14:textId="77777777" w:rsidR="002160B8" w:rsidRPr="00350EE0" w:rsidRDefault="002160B8" w:rsidP="002160B8">
            <w:pPr>
              <w:pStyle w:val="Tabele"/>
              <w:jc w:val="right"/>
              <w:rPr>
                <w:color w:val="auto"/>
                <w:szCs w:val="16"/>
                <w:lang w:eastAsia="pl-PL"/>
              </w:rPr>
            </w:pPr>
            <w:r w:rsidRPr="00350EE0">
              <w:rPr>
                <w:rFonts w:cs="Arial"/>
                <w:color w:val="auto"/>
                <w:szCs w:val="16"/>
              </w:rPr>
              <w:t>18 033</w:t>
            </w:r>
          </w:p>
        </w:tc>
      </w:tr>
      <w:tr w:rsidR="00927FF7" w:rsidRPr="00EB1298" w14:paraId="6F118502" w14:textId="77777777" w:rsidTr="0092305B">
        <w:trPr>
          <w:trHeight w:val="227"/>
        </w:trPr>
        <w:tc>
          <w:tcPr>
            <w:tcW w:w="2547" w:type="dxa"/>
            <w:noWrap/>
            <w:hideMark/>
          </w:tcPr>
          <w:p w14:paraId="4B04DB3C" w14:textId="77777777" w:rsidR="00927FF7" w:rsidRPr="00350EE0" w:rsidRDefault="00927FF7">
            <w:pPr>
              <w:pStyle w:val="Tabele"/>
              <w:rPr>
                <w:color w:val="auto"/>
                <w:szCs w:val="16"/>
                <w:lang w:eastAsia="pl-PL"/>
              </w:rPr>
            </w:pPr>
            <w:r w:rsidRPr="00350EE0">
              <w:rPr>
                <w:rFonts w:cs="Arial"/>
                <w:color w:val="auto"/>
                <w:szCs w:val="16"/>
              </w:rPr>
              <w:t>EL_Geotermalne</w:t>
            </w:r>
          </w:p>
        </w:tc>
        <w:tc>
          <w:tcPr>
            <w:tcW w:w="815" w:type="dxa"/>
            <w:shd w:val="clear" w:color="auto" w:fill="E2EFD9" w:themeFill="accent6" w:themeFillTint="33"/>
            <w:noWrap/>
            <w:hideMark/>
          </w:tcPr>
          <w:p w14:paraId="145B5E52"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103E3B3F"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3E738FFE"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7267CE46" w14:textId="77777777" w:rsidR="00927FF7" w:rsidRPr="00350EE0" w:rsidRDefault="00927FF7">
            <w:pPr>
              <w:pStyle w:val="Tabele"/>
              <w:jc w:val="right"/>
              <w:rPr>
                <w:color w:val="auto"/>
                <w:szCs w:val="16"/>
                <w:lang w:eastAsia="pl-PL"/>
              </w:rPr>
            </w:pPr>
            <w:r w:rsidRPr="00927FF7">
              <w:rPr>
                <w:rFonts w:cs="Arial"/>
                <w:color w:val="auto"/>
                <w:szCs w:val="16"/>
              </w:rPr>
              <w:t>0</w:t>
            </w:r>
          </w:p>
        </w:tc>
        <w:tc>
          <w:tcPr>
            <w:tcW w:w="815" w:type="dxa"/>
            <w:noWrap/>
            <w:hideMark/>
          </w:tcPr>
          <w:p w14:paraId="13614CD1"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noWrap/>
            <w:hideMark/>
          </w:tcPr>
          <w:p w14:paraId="16CCAB4B"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noWrap/>
            <w:hideMark/>
          </w:tcPr>
          <w:p w14:paraId="44D42D05"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hideMark/>
          </w:tcPr>
          <w:p w14:paraId="1ACFEB51" w14:textId="77777777" w:rsidR="00927FF7" w:rsidRPr="00350EE0" w:rsidRDefault="00927FF7">
            <w:pPr>
              <w:pStyle w:val="Tabele"/>
              <w:jc w:val="right"/>
              <w:rPr>
                <w:color w:val="auto"/>
                <w:szCs w:val="16"/>
                <w:lang w:eastAsia="pl-PL"/>
              </w:rPr>
            </w:pPr>
            <w:r w:rsidRPr="00350EE0">
              <w:rPr>
                <w:rFonts w:cs="Arial"/>
                <w:color w:val="auto"/>
                <w:szCs w:val="16"/>
              </w:rPr>
              <w:t>0</w:t>
            </w:r>
          </w:p>
        </w:tc>
      </w:tr>
      <w:tr w:rsidR="00927FF7" w:rsidRPr="00EB1298" w14:paraId="6370EF79" w14:textId="77777777" w:rsidTr="0092305B">
        <w:trPr>
          <w:trHeight w:val="227"/>
        </w:trPr>
        <w:tc>
          <w:tcPr>
            <w:tcW w:w="2547" w:type="dxa"/>
            <w:noWrap/>
            <w:hideMark/>
          </w:tcPr>
          <w:p w14:paraId="0E288FB2" w14:textId="77777777" w:rsidR="00927FF7" w:rsidRPr="00350EE0" w:rsidRDefault="00927FF7">
            <w:pPr>
              <w:pStyle w:val="Tabele"/>
              <w:rPr>
                <w:color w:val="auto"/>
                <w:szCs w:val="16"/>
                <w:lang w:eastAsia="pl-PL"/>
              </w:rPr>
            </w:pPr>
            <w:r w:rsidRPr="00350EE0">
              <w:rPr>
                <w:rFonts w:cs="Arial"/>
                <w:color w:val="auto"/>
                <w:szCs w:val="16"/>
              </w:rPr>
              <w:t>Fotowoltaika</w:t>
            </w:r>
          </w:p>
        </w:tc>
        <w:tc>
          <w:tcPr>
            <w:tcW w:w="815" w:type="dxa"/>
            <w:shd w:val="clear" w:color="auto" w:fill="E2EFD9" w:themeFill="accent6" w:themeFillTint="33"/>
            <w:noWrap/>
            <w:hideMark/>
          </w:tcPr>
          <w:p w14:paraId="451D5DC8"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12A38B64"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2727249E" w14:textId="77777777" w:rsidR="00927FF7" w:rsidRPr="00350EE0" w:rsidRDefault="00927FF7">
            <w:pPr>
              <w:pStyle w:val="Tabele"/>
              <w:jc w:val="right"/>
              <w:rPr>
                <w:color w:val="auto"/>
                <w:szCs w:val="16"/>
                <w:lang w:eastAsia="pl-PL"/>
              </w:rPr>
            </w:pPr>
            <w:r w:rsidRPr="00350EE0">
              <w:rPr>
                <w:rFonts w:cs="Arial"/>
                <w:color w:val="auto"/>
                <w:szCs w:val="16"/>
              </w:rPr>
              <w:t>108</w:t>
            </w:r>
          </w:p>
        </w:tc>
        <w:tc>
          <w:tcPr>
            <w:tcW w:w="815" w:type="dxa"/>
            <w:shd w:val="clear" w:color="auto" w:fill="E2EFD9" w:themeFill="accent6" w:themeFillTint="33"/>
            <w:noWrap/>
            <w:hideMark/>
          </w:tcPr>
          <w:p w14:paraId="23B47819" w14:textId="77777777" w:rsidR="00927FF7" w:rsidRPr="00350EE0" w:rsidRDefault="00927FF7">
            <w:pPr>
              <w:pStyle w:val="Tabele"/>
              <w:jc w:val="right"/>
              <w:rPr>
                <w:color w:val="auto"/>
                <w:szCs w:val="16"/>
                <w:lang w:eastAsia="pl-PL"/>
              </w:rPr>
            </w:pPr>
            <w:r w:rsidRPr="00927FF7">
              <w:rPr>
                <w:rFonts w:cs="Arial"/>
                <w:color w:val="auto"/>
                <w:szCs w:val="16"/>
              </w:rPr>
              <w:t>3 960</w:t>
            </w:r>
          </w:p>
        </w:tc>
        <w:tc>
          <w:tcPr>
            <w:tcW w:w="815" w:type="dxa"/>
            <w:noWrap/>
            <w:hideMark/>
          </w:tcPr>
          <w:p w14:paraId="5D70217C" w14:textId="77777777" w:rsidR="00927FF7" w:rsidRPr="00350EE0" w:rsidRDefault="00927FF7">
            <w:pPr>
              <w:pStyle w:val="Tabele"/>
              <w:jc w:val="right"/>
              <w:rPr>
                <w:color w:val="auto"/>
                <w:szCs w:val="16"/>
                <w:lang w:eastAsia="pl-PL"/>
              </w:rPr>
            </w:pPr>
            <w:r w:rsidRPr="00350EE0">
              <w:rPr>
                <w:rFonts w:cs="Arial"/>
                <w:color w:val="auto"/>
                <w:szCs w:val="16"/>
              </w:rPr>
              <w:t>22 497</w:t>
            </w:r>
          </w:p>
        </w:tc>
        <w:tc>
          <w:tcPr>
            <w:tcW w:w="815" w:type="dxa"/>
            <w:noWrap/>
            <w:hideMark/>
          </w:tcPr>
          <w:p w14:paraId="31C17A0C" w14:textId="77777777" w:rsidR="00927FF7" w:rsidRPr="00350EE0" w:rsidRDefault="00927FF7">
            <w:pPr>
              <w:pStyle w:val="Tabele"/>
              <w:jc w:val="right"/>
              <w:rPr>
                <w:color w:val="auto"/>
                <w:szCs w:val="16"/>
                <w:lang w:eastAsia="pl-PL"/>
              </w:rPr>
            </w:pPr>
            <w:r w:rsidRPr="00350EE0">
              <w:rPr>
                <w:rFonts w:cs="Arial"/>
                <w:color w:val="auto"/>
                <w:szCs w:val="16"/>
              </w:rPr>
              <w:t>31 747</w:t>
            </w:r>
          </w:p>
        </w:tc>
        <w:tc>
          <w:tcPr>
            <w:tcW w:w="815" w:type="dxa"/>
            <w:noWrap/>
            <w:hideMark/>
          </w:tcPr>
          <w:p w14:paraId="6673FCB1" w14:textId="77777777" w:rsidR="00927FF7" w:rsidRPr="00350EE0" w:rsidRDefault="00927FF7">
            <w:pPr>
              <w:pStyle w:val="Tabele"/>
              <w:jc w:val="right"/>
              <w:rPr>
                <w:color w:val="auto"/>
                <w:szCs w:val="16"/>
                <w:lang w:eastAsia="pl-PL"/>
              </w:rPr>
            </w:pPr>
            <w:r w:rsidRPr="00350EE0">
              <w:rPr>
                <w:rFonts w:cs="Arial"/>
                <w:color w:val="auto"/>
                <w:szCs w:val="16"/>
              </w:rPr>
              <w:t>41 372</w:t>
            </w:r>
          </w:p>
        </w:tc>
        <w:tc>
          <w:tcPr>
            <w:tcW w:w="815" w:type="dxa"/>
            <w:hideMark/>
          </w:tcPr>
          <w:p w14:paraId="0AB20671" w14:textId="77777777" w:rsidR="00927FF7" w:rsidRPr="00350EE0" w:rsidRDefault="00927FF7">
            <w:pPr>
              <w:pStyle w:val="Tabele"/>
              <w:jc w:val="right"/>
              <w:rPr>
                <w:color w:val="auto"/>
                <w:szCs w:val="16"/>
                <w:lang w:eastAsia="pl-PL"/>
              </w:rPr>
            </w:pPr>
            <w:r w:rsidRPr="00350EE0">
              <w:rPr>
                <w:rFonts w:cs="Arial"/>
                <w:color w:val="auto"/>
                <w:szCs w:val="16"/>
              </w:rPr>
              <w:t>51 214</w:t>
            </w:r>
          </w:p>
        </w:tc>
      </w:tr>
      <w:tr w:rsidR="00927FF7" w:rsidRPr="00EB1298" w14:paraId="72F3849F" w14:textId="77777777" w:rsidTr="0092305B">
        <w:trPr>
          <w:trHeight w:val="227"/>
        </w:trPr>
        <w:tc>
          <w:tcPr>
            <w:tcW w:w="2547" w:type="dxa"/>
            <w:noWrap/>
            <w:hideMark/>
          </w:tcPr>
          <w:p w14:paraId="7E9FDE9A" w14:textId="3BB9B240" w:rsidR="00927FF7" w:rsidRPr="00350EE0" w:rsidRDefault="00927FF7">
            <w:pPr>
              <w:pStyle w:val="Tabele"/>
              <w:rPr>
                <w:color w:val="auto"/>
                <w:szCs w:val="16"/>
                <w:lang w:eastAsia="pl-PL"/>
              </w:rPr>
            </w:pPr>
            <w:r w:rsidRPr="00350EE0">
              <w:rPr>
                <w:rFonts w:cs="Arial"/>
                <w:color w:val="auto"/>
                <w:szCs w:val="16"/>
              </w:rPr>
              <w:t>Turbiny szcz._</w:t>
            </w:r>
            <w:r w:rsidR="00AF54BE" w:rsidRPr="00AF54BE">
              <w:rPr>
                <w:rFonts w:cs="Arial"/>
                <w:color w:val="auto"/>
                <w:szCs w:val="16"/>
              </w:rPr>
              <w:t>Paliwa gaz. kopalne i odn.</w:t>
            </w:r>
          </w:p>
        </w:tc>
        <w:tc>
          <w:tcPr>
            <w:tcW w:w="815" w:type="dxa"/>
            <w:shd w:val="clear" w:color="auto" w:fill="E2EFD9" w:themeFill="accent6" w:themeFillTint="33"/>
            <w:noWrap/>
            <w:hideMark/>
          </w:tcPr>
          <w:p w14:paraId="562BBE7E"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6737CE0C"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62E8A03D"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115823FF" w14:textId="77777777" w:rsidR="00927FF7" w:rsidRPr="00350EE0" w:rsidRDefault="00927FF7">
            <w:pPr>
              <w:pStyle w:val="Tabele"/>
              <w:jc w:val="right"/>
              <w:rPr>
                <w:color w:val="auto"/>
                <w:szCs w:val="16"/>
                <w:lang w:eastAsia="pl-PL"/>
              </w:rPr>
            </w:pPr>
            <w:r w:rsidRPr="00927FF7">
              <w:rPr>
                <w:rFonts w:cs="Arial"/>
                <w:color w:val="auto"/>
                <w:szCs w:val="16"/>
              </w:rPr>
              <w:t>0</w:t>
            </w:r>
          </w:p>
        </w:tc>
        <w:tc>
          <w:tcPr>
            <w:tcW w:w="815" w:type="dxa"/>
            <w:noWrap/>
            <w:hideMark/>
          </w:tcPr>
          <w:p w14:paraId="7D69AD53"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noWrap/>
            <w:hideMark/>
          </w:tcPr>
          <w:p w14:paraId="5A2B3220"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noWrap/>
            <w:hideMark/>
          </w:tcPr>
          <w:p w14:paraId="462EE1E5" w14:textId="77777777" w:rsidR="00927FF7" w:rsidRPr="00350EE0" w:rsidRDefault="00927FF7">
            <w:pPr>
              <w:pStyle w:val="Tabele"/>
              <w:jc w:val="right"/>
              <w:rPr>
                <w:color w:val="auto"/>
                <w:szCs w:val="16"/>
                <w:lang w:eastAsia="pl-PL"/>
              </w:rPr>
            </w:pPr>
            <w:r w:rsidRPr="00350EE0">
              <w:rPr>
                <w:rFonts w:cs="Arial"/>
                <w:color w:val="auto"/>
                <w:szCs w:val="16"/>
              </w:rPr>
              <w:t>1 522</w:t>
            </w:r>
          </w:p>
        </w:tc>
        <w:tc>
          <w:tcPr>
            <w:tcW w:w="815" w:type="dxa"/>
            <w:hideMark/>
          </w:tcPr>
          <w:p w14:paraId="0F9CFA17" w14:textId="77777777" w:rsidR="00927FF7" w:rsidRPr="00350EE0" w:rsidRDefault="00927FF7">
            <w:pPr>
              <w:pStyle w:val="Tabele"/>
              <w:jc w:val="right"/>
              <w:rPr>
                <w:color w:val="auto"/>
                <w:szCs w:val="16"/>
                <w:lang w:eastAsia="pl-PL"/>
              </w:rPr>
            </w:pPr>
            <w:r w:rsidRPr="00350EE0">
              <w:rPr>
                <w:rFonts w:cs="Arial"/>
                <w:color w:val="auto"/>
                <w:szCs w:val="16"/>
              </w:rPr>
              <w:t>6 983</w:t>
            </w:r>
          </w:p>
        </w:tc>
      </w:tr>
      <w:tr w:rsidR="00927FF7" w:rsidRPr="00EB1298" w14:paraId="6891D78C" w14:textId="77777777" w:rsidTr="0092305B">
        <w:trPr>
          <w:trHeight w:val="227"/>
        </w:trPr>
        <w:tc>
          <w:tcPr>
            <w:tcW w:w="2547" w:type="dxa"/>
            <w:noWrap/>
            <w:hideMark/>
          </w:tcPr>
          <w:p w14:paraId="0333B529" w14:textId="77777777" w:rsidR="00927FF7" w:rsidRPr="00350EE0" w:rsidRDefault="00927FF7">
            <w:pPr>
              <w:pStyle w:val="Tabele"/>
              <w:rPr>
                <w:color w:val="auto"/>
                <w:szCs w:val="16"/>
                <w:lang w:eastAsia="pl-PL"/>
              </w:rPr>
            </w:pPr>
            <w:r w:rsidRPr="00350EE0">
              <w:rPr>
                <w:rFonts w:cs="Arial"/>
                <w:color w:val="auto"/>
                <w:szCs w:val="16"/>
              </w:rPr>
              <w:t>Magazyny energii</w:t>
            </w:r>
          </w:p>
        </w:tc>
        <w:tc>
          <w:tcPr>
            <w:tcW w:w="815" w:type="dxa"/>
            <w:shd w:val="clear" w:color="auto" w:fill="E2EFD9" w:themeFill="accent6" w:themeFillTint="33"/>
            <w:noWrap/>
            <w:hideMark/>
          </w:tcPr>
          <w:p w14:paraId="71B9A0DC"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795D1640"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032B8F9D"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hideMark/>
          </w:tcPr>
          <w:p w14:paraId="39311EFA" w14:textId="77777777" w:rsidR="00927FF7" w:rsidRPr="00350EE0" w:rsidRDefault="00927FF7">
            <w:pPr>
              <w:pStyle w:val="Tabele"/>
              <w:jc w:val="right"/>
              <w:rPr>
                <w:color w:val="auto"/>
                <w:szCs w:val="16"/>
                <w:lang w:eastAsia="pl-PL"/>
              </w:rPr>
            </w:pPr>
            <w:r w:rsidRPr="00927FF7">
              <w:rPr>
                <w:rFonts w:cs="Arial"/>
                <w:color w:val="auto"/>
                <w:szCs w:val="16"/>
              </w:rPr>
              <w:t>0</w:t>
            </w:r>
          </w:p>
        </w:tc>
        <w:tc>
          <w:tcPr>
            <w:tcW w:w="815" w:type="dxa"/>
            <w:noWrap/>
            <w:hideMark/>
          </w:tcPr>
          <w:p w14:paraId="2C7E255B" w14:textId="77777777" w:rsidR="00927FF7" w:rsidRPr="00350EE0" w:rsidRDefault="00927FF7">
            <w:pPr>
              <w:pStyle w:val="Tabele"/>
              <w:jc w:val="right"/>
              <w:rPr>
                <w:color w:val="auto"/>
                <w:szCs w:val="16"/>
                <w:lang w:eastAsia="pl-PL"/>
              </w:rPr>
            </w:pPr>
            <w:r w:rsidRPr="00350EE0">
              <w:rPr>
                <w:rFonts w:cs="Arial"/>
                <w:color w:val="auto"/>
                <w:szCs w:val="16"/>
              </w:rPr>
              <w:t>483</w:t>
            </w:r>
          </w:p>
        </w:tc>
        <w:tc>
          <w:tcPr>
            <w:tcW w:w="815" w:type="dxa"/>
            <w:noWrap/>
            <w:hideMark/>
          </w:tcPr>
          <w:p w14:paraId="7E6BD7F1" w14:textId="47B66BEF" w:rsidR="00927FF7" w:rsidRPr="00350EE0" w:rsidRDefault="00927FF7">
            <w:pPr>
              <w:pStyle w:val="Tabele"/>
              <w:jc w:val="right"/>
              <w:rPr>
                <w:color w:val="auto"/>
                <w:szCs w:val="16"/>
                <w:lang w:eastAsia="pl-PL"/>
              </w:rPr>
            </w:pPr>
            <w:r w:rsidRPr="00350EE0">
              <w:rPr>
                <w:rFonts w:cs="Arial"/>
                <w:color w:val="auto"/>
                <w:szCs w:val="16"/>
              </w:rPr>
              <w:t>2</w:t>
            </w:r>
            <w:r w:rsidR="00E10C2F">
              <w:rPr>
                <w:rFonts w:cs="Arial"/>
                <w:color w:val="auto"/>
                <w:szCs w:val="16"/>
              </w:rPr>
              <w:t> </w:t>
            </w:r>
            <w:r w:rsidRPr="00350EE0">
              <w:rPr>
                <w:rFonts w:cs="Arial"/>
                <w:color w:val="auto"/>
                <w:szCs w:val="16"/>
              </w:rPr>
              <w:t>750</w:t>
            </w:r>
            <w:r w:rsidR="00E10C2F">
              <w:rPr>
                <w:rFonts w:cs="Arial"/>
                <w:color w:val="auto"/>
                <w:szCs w:val="16"/>
              </w:rPr>
              <w:t>*</w:t>
            </w:r>
          </w:p>
        </w:tc>
        <w:tc>
          <w:tcPr>
            <w:tcW w:w="815" w:type="dxa"/>
            <w:noWrap/>
            <w:hideMark/>
          </w:tcPr>
          <w:p w14:paraId="0A48281F" w14:textId="0D4157A7" w:rsidR="00927FF7" w:rsidRPr="00350EE0" w:rsidRDefault="00927FF7">
            <w:pPr>
              <w:pStyle w:val="Tabele"/>
              <w:jc w:val="right"/>
              <w:rPr>
                <w:color w:val="auto"/>
                <w:szCs w:val="16"/>
                <w:lang w:eastAsia="pl-PL"/>
              </w:rPr>
            </w:pPr>
            <w:r w:rsidRPr="00350EE0">
              <w:rPr>
                <w:rFonts w:cs="Arial"/>
                <w:color w:val="auto"/>
                <w:szCs w:val="16"/>
              </w:rPr>
              <w:t>6</w:t>
            </w:r>
            <w:r w:rsidR="00E10C2F">
              <w:rPr>
                <w:rFonts w:cs="Arial"/>
                <w:color w:val="auto"/>
                <w:szCs w:val="16"/>
              </w:rPr>
              <w:t> </w:t>
            </w:r>
            <w:r w:rsidRPr="00350EE0">
              <w:rPr>
                <w:rFonts w:cs="Arial"/>
                <w:color w:val="auto"/>
                <w:szCs w:val="16"/>
              </w:rPr>
              <w:t>753</w:t>
            </w:r>
            <w:r w:rsidR="00E10C2F">
              <w:rPr>
                <w:rFonts w:cs="Arial"/>
                <w:color w:val="auto"/>
                <w:szCs w:val="16"/>
              </w:rPr>
              <w:t>*</w:t>
            </w:r>
          </w:p>
        </w:tc>
        <w:tc>
          <w:tcPr>
            <w:tcW w:w="815" w:type="dxa"/>
            <w:hideMark/>
          </w:tcPr>
          <w:p w14:paraId="0D37F293" w14:textId="66C54F3B" w:rsidR="00927FF7" w:rsidRPr="00350EE0" w:rsidRDefault="00927FF7">
            <w:pPr>
              <w:pStyle w:val="Tabele"/>
              <w:jc w:val="right"/>
              <w:rPr>
                <w:color w:val="auto"/>
                <w:szCs w:val="16"/>
                <w:lang w:eastAsia="pl-PL"/>
              </w:rPr>
            </w:pPr>
            <w:r w:rsidRPr="00350EE0">
              <w:rPr>
                <w:rFonts w:cs="Arial"/>
                <w:color w:val="auto"/>
                <w:szCs w:val="16"/>
              </w:rPr>
              <w:t>8</w:t>
            </w:r>
            <w:r w:rsidR="00E10C2F">
              <w:rPr>
                <w:rFonts w:cs="Arial"/>
                <w:color w:val="auto"/>
                <w:szCs w:val="16"/>
              </w:rPr>
              <w:t> </w:t>
            </w:r>
            <w:r w:rsidRPr="00350EE0">
              <w:rPr>
                <w:rFonts w:cs="Arial"/>
                <w:color w:val="auto"/>
                <w:szCs w:val="16"/>
              </w:rPr>
              <w:t>500</w:t>
            </w:r>
            <w:r w:rsidR="00E10C2F">
              <w:rPr>
                <w:rFonts w:cs="Arial"/>
                <w:color w:val="auto"/>
                <w:szCs w:val="16"/>
              </w:rPr>
              <w:t>*</w:t>
            </w:r>
          </w:p>
        </w:tc>
      </w:tr>
      <w:tr w:rsidR="00927FF7" w:rsidRPr="00EB1298" w14:paraId="3EDC6DEA" w14:textId="77777777" w:rsidTr="0092305B">
        <w:trPr>
          <w:trHeight w:val="227"/>
        </w:trPr>
        <w:tc>
          <w:tcPr>
            <w:tcW w:w="2547" w:type="dxa"/>
            <w:noWrap/>
          </w:tcPr>
          <w:p w14:paraId="3E070DD2" w14:textId="77777777" w:rsidR="00927FF7" w:rsidRPr="00350EE0" w:rsidRDefault="00927FF7">
            <w:pPr>
              <w:pStyle w:val="Tabele"/>
              <w:rPr>
                <w:color w:val="auto"/>
                <w:szCs w:val="16"/>
                <w:lang w:eastAsia="pl-PL"/>
              </w:rPr>
            </w:pPr>
            <w:r w:rsidRPr="00350EE0">
              <w:rPr>
                <w:rFonts w:cs="Arial"/>
                <w:color w:val="auto"/>
                <w:szCs w:val="16"/>
              </w:rPr>
              <w:t>DSR/import mocy</w:t>
            </w:r>
          </w:p>
        </w:tc>
        <w:tc>
          <w:tcPr>
            <w:tcW w:w="815" w:type="dxa"/>
            <w:shd w:val="clear" w:color="auto" w:fill="E2EFD9" w:themeFill="accent6" w:themeFillTint="33"/>
            <w:noWrap/>
          </w:tcPr>
          <w:p w14:paraId="2FAA03B6"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tcPr>
          <w:p w14:paraId="285D2F77" w14:textId="77777777" w:rsidR="00927FF7" w:rsidRPr="00350EE0" w:rsidRDefault="00927FF7">
            <w:pPr>
              <w:pStyle w:val="Tabele"/>
              <w:jc w:val="right"/>
              <w:rPr>
                <w:color w:val="auto"/>
                <w:szCs w:val="16"/>
                <w:lang w:eastAsia="pl-PL"/>
              </w:rPr>
            </w:pPr>
            <w:r w:rsidRPr="00350EE0">
              <w:rPr>
                <w:rFonts w:cs="Arial"/>
                <w:color w:val="auto"/>
                <w:szCs w:val="16"/>
              </w:rPr>
              <w:t>0</w:t>
            </w:r>
          </w:p>
        </w:tc>
        <w:tc>
          <w:tcPr>
            <w:tcW w:w="815" w:type="dxa"/>
            <w:shd w:val="clear" w:color="auto" w:fill="E2EFD9" w:themeFill="accent6" w:themeFillTint="33"/>
            <w:noWrap/>
          </w:tcPr>
          <w:p w14:paraId="19F2B39C" w14:textId="77777777" w:rsidR="00927FF7" w:rsidRPr="00350EE0" w:rsidRDefault="00927FF7">
            <w:pPr>
              <w:pStyle w:val="Tabele"/>
              <w:jc w:val="right"/>
              <w:rPr>
                <w:color w:val="auto"/>
                <w:szCs w:val="16"/>
                <w:lang w:eastAsia="pl-PL"/>
              </w:rPr>
            </w:pPr>
            <w:r w:rsidRPr="00350EE0">
              <w:rPr>
                <w:rFonts w:cs="Arial"/>
                <w:color w:val="auto"/>
                <w:szCs w:val="16"/>
              </w:rPr>
              <w:t>150</w:t>
            </w:r>
          </w:p>
        </w:tc>
        <w:tc>
          <w:tcPr>
            <w:tcW w:w="815" w:type="dxa"/>
            <w:shd w:val="clear" w:color="auto" w:fill="E2EFD9" w:themeFill="accent6" w:themeFillTint="33"/>
            <w:noWrap/>
          </w:tcPr>
          <w:p w14:paraId="0EE1372D" w14:textId="77777777" w:rsidR="00927FF7" w:rsidRPr="00350EE0" w:rsidRDefault="00927FF7">
            <w:pPr>
              <w:pStyle w:val="Tabele"/>
              <w:jc w:val="right"/>
              <w:rPr>
                <w:color w:val="auto"/>
                <w:szCs w:val="16"/>
                <w:lang w:eastAsia="pl-PL"/>
              </w:rPr>
            </w:pPr>
            <w:r w:rsidRPr="00927FF7">
              <w:rPr>
                <w:rFonts w:cs="Arial"/>
                <w:color w:val="auto"/>
                <w:szCs w:val="16"/>
              </w:rPr>
              <w:t>615</w:t>
            </w:r>
          </w:p>
        </w:tc>
        <w:tc>
          <w:tcPr>
            <w:tcW w:w="815" w:type="dxa"/>
            <w:noWrap/>
          </w:tcPr>
          <w:p w14:paraId="710E621B" w14:textId="77777777" w:rsidR="00927FF7" w:rsidRPr="00350EE0" w:rsidRDefault="00927FF7">
            <w:pPr>
              <w:pStyle w:val="Tabele"/>
              <w:jc w:val="right"/>
              <w:rPr>
                <w:color w:val="auto"/>
                <w:szCs w:val="16"/>
                <w:lang w:eastAsia="pl-PL"/>
              </w:rPr>
            </w:pPr>
            <w:r w:rsidRPr="00350EE0">
              <w:rPr>
                <w:rFonts w:cs="Arial"/>
                <w:color w:val="auto"/>
                <w:szCs w:val="16"/>
              </w:rPr>
              <w:t>1 908</w:t>
            </w:r>
          </w:p>
        </w:tc>
        <w:tc>
          <w:tcPr>
            <w:tcW w:w="815" w:type="dxa"/>
            <w:noWrap/>
          </w:tcPr>
          <w:p w14:paraId="4FD69ED1" w14:textId="77777777" w:rsidR="00927FF7" w:rsidRPr="00350EE0" w:rsidRDefault="00927FF7">
            <w:pPr>
              <w:pStyle w:val="Tabele"/>
              <w:jc w:val="right"/>
              <w:rPr>
                <w:color w:val="auto"/>
                <w:szCs w:val="16"/>
                <w:lang w:eastAsia="pl-PL"/>
              </w:rPr>
            </w:pPr>
            <w:r w:rsidRPr="00350EE0">
              <w:rPr>
                <w:rFonts w:cs="Arial"/>
                <w:color w:val="auto"/>
                <w:szCs w:val="16"/>
              </w:rPr>
              <w:t>2 810</w:t>
            </w:r>
          </w:p>
        </w:tc>
        <w:tc>
          <w:tcPr>
            <w:tcW w:w="815" w:type="dxa"/>
            <w:noWrap/>
          </w:tcPr>
          <w:p w14:paraId="77979F40" w14:textId="77777777" w:rsidR="00927FF7" w:rsidRPr="00350EE0" w:rsidRDefault="00927FF7">
            <w:pPr>
              <w:pStyle w:val="Tabele"/>
              <w:jc w:val="right"/>
              <w:rPr>
                <w:color w:val="auto"/>
                <w:szCs w:val="16"/>
                <w:lang w:eastAsia="pl-PL"/>
              </w:rPr>
            </w:pPr>
            <w:r w:rsidRPr="00350EE0">
              <w:rPr>
                <w:rFonts w:cs="Arial"/>
                <w:color w:val="auto"/>
                <w:szCs w:val="16"/>
              </w:rPr>
              <w:t>3 265</w:t>
            </w:r>
          </w:p>
        </w:tc>
        <w:tc>
          <w:tcPr>
            <w:tcW w:w="815" w:type="dxa"/>
          </w:tcPr>
          <w:p w14:paraId="0EC5469A" w14:textId="77777777" w:rsidR="00927FF7" w:rsidRPr="00350EE0" w:rsidRDefault="00927FF7">
            <w:pPr>
              <w:pStyle w:val="Tabele"/>
              <w:jc w:val="right"/>
              <w:rPr>
                <w:color w:val="auto"/>
                <w:szCs w:val="16"/>
                <w:lang w:eastAsia="pl-PL"/>
              </w:rPr>
            </w:pPr>
            <w:r w:rsidRPr="00350EE0">
              <w:rPr>
                <w:rFonts w:cs="Arial"/>
                <w:color w:val="auto"/>
                <w:szCs w:val="16"/>
              </w:rPr>
              <w:t>3 625</w:t>
            </w:r>
          </w:p>
        </w:tc>
      </w:tr>
      <w:tr w:rsidR="00927FF7" w:rsidRPr="00714E54" w14:paraId="2A45403D" w14:textId="77777777" w:rsidTr="0092305B">
        <w:trPr>
          <w:trHeight w:val="227"/>
        </w:trPr>
        <w:tc>
          <w:tcPr>
            <w:tcW w:w="2547" w:type="dxa"/>
            <w:noWrap/>
            <w:hideMark/>
          </w:tcPr>
          <w:p w14:paraId="29718306" w14:textId="77777777" w:rsidR="00927FF7" w:rsidRPr="00350EE0" w:rsidRDefault="00927FF7">
            <w:pPr>
              <w:pStyle w:val="Tabele"/>
              <w:rPr>
                <w:b/>
                <w:color w:val="auto"/>
                <w:szCs w:val="16"/>
                <w:lang w:eastAsia="pl-PL"/>
              </w:rPr>
            </w:pPr>
            <w:r w:rsidRPr="00350EE0">
              <w:rPr>
                <w:rFonts w:cs="Arial"/>
                <w:b/>
                <w:color w:val="auto"/>
                <w:szCs w:val="16"/>
              </w:rPr>
              <w:t>Razem</w:t>
            </w:r>
          </w:p>
        </w:tc>
        <w:tc>
          <w:tcPr>
            <w:tcW w:w="815" w:type="dxa"/>
            <w:shd w:val="clear" w:color="auto" w:fill="E2EFD9" w:themeFill="accent6" w:themeFillTint="33"/>
            <w:noWrap/>
            <w:hideMark/>
          </w:tcPr>
          <w:p w14:paraId="02BC4EEE" w14:textId="77777777" w:rsidR="00927FF7" w:rsidRPr="00350EE0" w:rsidRDefault="00927FF7">
            <w:pPr>
              <w:pStyle w:val="Tabele"/>
              <w:jc w:val="right"/>
              <w:rPr>
                <w:b/>
                <w:color w:val="auto"/>
                <w:szCs w:val="16"/>
                <w:lang w:eastAsia="pl-PL"/>
              </w:rPr>
            </w:pPr>
            <w:r w:rsidRPr="00350EE0">
              <w:rPr>
                <w:rFonts w:cs="Arial"/>
                <w:b/>
                <w:color w:val="auto"/>
                <w:szCs w:val="16"/>
              </w:rPr>
              <w:t>32 526</w:t>
            </w:r>
          </w:p>
        </w:tc>
        <w:tc>
          <w:tcPr>
            <w:tcW w:w="815" w:type="dxa"/>
            <w:shd w:val="clear" w:color="auto" w:fill="E2EFD9" w:themeFill="accent6" w:themeFillTint="33"/>
            <w:noWrap/>
            <w:hideMark/>
          </w:tcPr>
          <w:p w14:paraId="0D2CBA75" w14:textId="77777777" w:rsidR="00927FF7" w:rsidRPr="00350EE0" w:rsidRDefault="00927FF7">
            <w:pPr>
              <w:pStyle w:val="Tabele"/>
              <w:jc w:val="right"/>
              <w:rPr>
                <w:b/>
                <w:color w:val="auto"/>
                <w:szCs w:val="16"/>
                <w:lang w:eastAsia="pl-PL"/>
              </w:rPr>
            </w:pPr>
            <w:r w:rsidRPr="00350EE0">
              <w:rPr>
                <w:rFonts w:cs="Arial"/>
                <w:b/>
                <w:color w:val="auto"/>
                <w:szCs w:val="16"/>
              </w:rPr>
              <w:t>33 594</w:t>
            </w:r>
          </w:p>
        </w:tc>
        <w:tc>
          <w:tcPr>
            <w:tcW w:w="815" w:type="dxa"/>
            <w:shd w:val="clear" w:color="auto" w:fill="E2EFD9" w:themeFill="accent6" w:themeFillTint="33"/>
            <w:noWrap/>
            <w:hideMark/>
          </w:tcPr>
          <w:p w14:paraId="07F9E49D" w14:textId="77777777" w:rsidR="00927FF7" w:rsidRPr="00350EE0" w:rsidRDefault="00927FF7">
            <w:pPr>
              <w:pStyle w:val="Tabele"/>
              <w:jc w:val="right"/>
              <w:rPr>
                <w:b/>
                <w:color w:val="auto"/>
                <w:szCs w:val="16"/>
                <w:lang w:eastAsia="pl-PL"/>
              </w:rPr>
            </w:pPr>
            <w:r w:rsidRPr="00350EE0">
              <w:rPr>
                <w:rFonts w:cs="Arial"/>
                <w:b/>
                <w:color w:val="auto"/>
                <w:szCs w:val="16"/>
              </w:rPr>
              <w:t>38 302</w:t>
            </w:r>
          </w:p>
        </w:tc>
        <w:tc>
          <w:tcPr>
            <w:tcW w:w="815" w:type="dxa"/>
            <w:shd w:val="clear" w:color="auto" w:fill="E2EFD9" w:themeFill="accent6" w:themeFillTint="33"/>
            <w:noWrap/>
            <w:hideMark/>
          </w:tcPr>
          <w:p w14:paraId="18C417CC" w14:textId="77777777" w:rsidR="00927FF7" w:rsidRPr="00350EE0" w:rsidRDefault="00927FF7">
            <w:pPr>
              <w:pStyle w:val="Tabele"/>
              <w:jc w:val="right"/>
              <w:rPr>
                <w:b/>
                <w:color w:val="auto"/>
                <w:szCs w:val="16"/>
                <w:lang w:eastAsia="pl-PL"/>
              </w:rPr>
            </w:pPr>
            <w:r w:rsidRPr="00927FF7">
              <w:rPr>
                <w:rFonts w:cs="Arial"/>
                <w:b/>
                <w:bCs/>
                <w:color w:val="auto"/>
                <w:szCs w:val="16"/>
              </w:rPr>
              <w:t>47 733</w:t>
            </w:r>
          </w:p>
        </w:tc>
        <w:tc>
          <w:tcPr>
            <w:tcW w:w="815" w:type="dxa"/>
            <w:noWrap/>
            <w:hideMark/>
          </w:tcPr>
          <w:p w14:paraId="35D19D3E" w14:textId="77777777" w:rsidR="00927FF7" w:rsidRPr="00350EE0" w:rsidRDefault="00927FF7">
            <w:pPr>
              <w:pStyle w:val="Tabele"/>
              <w:jc w:val="right"/>
              <w:rPr>
                <w:b/>
                <w:color w:val="auto"/>
                <w:szCs w:val="16"/>
                <w:lang w:eastAsia="pl-PL"/>
              </w:rPr>
            </w:pPr>
            <w:r w:rsidRPr="00350EE0">
              <w:rPr>
                <w:rFonts w:cs="Arial"/>
                <w:b/>
                <w:color w:val="auto"/>
                <w:szCs w:val="16"/>
              </w:rPr>
              <w:t>74 633</w:t>
            </w:r>
          </w:p>
        </w:tc>
        <w:tc>
          <w:tcPr>
            <w:tcW w:w="815" w:type="dxa"/>
            <w:noWrap/>
            <w:hideMark/>
          </w:tcPr>
          <w:p w14:paraId="458A25F2" w14:textId="77777777" w:rsidR="00927FF7" w:rsidRPr="00350EE0" w:rsidRDefault="00927FF7">
            <w:pPr>
              <w:pStyle w:val="Tabele"/>
              <w:jc w:val="right"/>
              <w:rPr>
                <w:b/>
                <w:color w:val="auto"/>
                <w:szCs w:val="16"/>
                <w:lang w:eastAsia="pl-PL"/>
              </w:rPr>
            </w:pPr>
            <w:r w:rsidRPr="00350EE0">
              <w:rPr>
                <w:rFonts w:cs="Arial"/>
                <w:b/>
                <w:color w:val="auto"/>
                <w:szCs w:val="16"/>
              </w:rPr>
              <w:t>96 597</w:t>
            </w:r>
          </w:p>
        </w:tc>
        <w:tc>
          <w:tcPr>
            <w:tcW w:w="815" w:type="dxa"/>
            <w:noWrap/>
            <w:hideMark/>
          </w:tcPr>
          <w:p w14:paraId="5FDE8742" w14:textId="77777777" w:rsidR="00927FF7" w:rsidRPr="00350EE0" w:rsidRDefault="00927FF7">
            <w:pPr>
              <w:pStyle w:val="Tabele"/>
              <w:jc w:val="right"/>
              <w:rPr>
                <w:b/>
                <w:color w:val="auto"/>
                <w:szCs w:val="16"/>
                <w:lang w:eastAsia="pl-PL"/>
              </w:rPr>
            </w:pPr>
            <w:r w:rsidRPr="00350EE0">
              <w:rPr>
                <w:rFonts w:cs="Arial"/>
                <w:b/>
                <w:color w:val="auto"/>
                <w:szCs w:val="16"/>
              </w:rPr>
              <w:t>126 374</w:t>
            </w:r>
          </w:p>
        </w:tc>
        <w:tc>
          <w:tcPr>
            <w:tcW w:w="815" w:type="dxa"/>
            <w:noWrap/>
            <w:hideMark/>
          </w:tcPr>
          <w:p w14:paraId="76F7E0B7" w14:textId="77777777" w:rsidR="00927FF7" w:rsidRPr="00350EE0" w:rsidRDefault="00927FF7">
            <w:pPr>
              <w:pStyle w:val="Tabele"/>
              <w:jc w:val="right"/>
              <w:rPr>
                <w:b/>
                <w:color w:val="auto"/>
                <w:szCs w:val="16"/>
                <w:lang w:eastAsia="pl-PL"/>
              </w:rPr>
            </w:pPr>
            <w:r w:rsidRPr="00350EE0">
              <w:rPr>
                <w:rFonts w:cs="Arial"/>
                <w:b/>
                <w:color w:val="auto"/>
                <w:szCs w:val="16"/>
              </w:rPr>
              <w:t>155 766</w:t>
            </w:r>
          </w:p>
        </w:tc>
      </w:tr>
    </w:tbl>
    <w:p w14:paraId="4E586CEF" w14:textId="448B71AF" w:rsidR="003B4DD2" w:rsidRPr="00497A99" w:rsidRDefault="003B4DD2" w:rsidP="003B4DD2">
      <w:pPr>
        <w:tabs>
          <w:tab w:val="left" w:pos="0"/>
        </w:tabs>
        <w:rPr>
          <w:i/>
          <w:iCs/>
          <w:sz w:val="16"/>
          <w:szCs w:val="16"/>
        </w:rPr>
      </w:pPr>
      <w:r w:rsidRPr="00497A99">
        <w:rPr>
          <w:sz w:val="16"/>
          <w:szCs w:val="16"/>
        </w:rPr>
        <w:t>*</w:t>
      </w:r>
      <w:r w:rsidRPr="00497A99">
        <w:rPr>
          <w:i/>
          <w:iCs/>
          <w:sz w:val="16"/>
          <w:szCs w:val="16"/>
        </w:rPr>
        <w:t xml:space="preserve"> </w:t>
      </w:r>
      <w:r>
        <w:rPr>
          <w:i/>
          <w:iCs/>
          <w:sz w:val="16"/>
          <w:szCs w:val="16"/>
        </w:rPr>
        <w:t xml:space="preserve">W pracach prognostycznych do </w:t>
      </w:r>
      <w:r w:rsidR="00A824BC">
        <w:rPr>
          <w:i/>
          <w:iCs/>
          <w:sz w:val="16"/>
          <w:szCs w:val="16"/>
        </w:rPr>
        <w:t xml:space="preserve">niniejszego scenariusza </w:t>
      </w:r>
      <w:r>
        <w:rPr>
          <w:i/>
          <w:iCs/>
          <w:sz w:val="16"/>
          <w:szCs w:val="16"/>
        </w:rPr>
        <w:t xml:space="preserve">odnotowano niepewność co do tempa przyrostu mocy w elektrowniach szczytowo-pompowych oraz magazynach elektrochemicznych, w szczególności </w:t>
      </w:r>
      <w:r w:rsidR="001723AD">
        <w:rPr>
          <w:i/>
          <w:iCs/>
          <w:sz w:val="16"/>
          <w:szCs w:val="16"/>
        </w:rPr>
        <w:t>do 2030 r</w:t>
      </w:r>
      <w:r>
        <w:rPr>
          <w:i/>
          <w:iCs/>
          <w:sz w:val="16"/>
          <w:szCs w:val="16"/>
        </w:rPr>
        <w:t xml:space="preserve">. Do kompleksowych analiz przyjęto </w:t>
      </w:r>
      <w:r w:rsidRPr="00093AB0">
        <w:rPr>
          <w:i/>
          <w:iCs/>
          <w:sz w:val="16"/>
          <w:szCs w:val="16"/>
        </w:rPr>
        <w:t>ostrożnościowe podejście</w:t>
      </w:r>
      <w:r>
        <w:rPr>
          <w:i/>
          <w:iCs/>
          <w:sz w:val="16"/>
          <w:szCs w:val="16"/>
        </w:rPr>
        <w:t xml:space="preserve">. Przyjmuje się możliwość wyższego przyrostu mocy </w:t>
      </w:r>
      <w:r w:rsidRPr="00C95464">
        <w:rPr>
          <w:i/>
          <w:iCs/>
          <w:sz w:val="16"/>
          <w:szCs w:val="16"/>
        </w:rPr>
        <w:t xml:space="preserve">zainstalowanej w magazynach </w:t>
      </w:r>
      <w:r>
        <w:rPr>
          <w:i/>
          <w:iCs/>
          <w:sz w:val="16"/>
          <w:szCs w:val="16"/>
        </w:rPr>
        <w:t xml:space="preserve">energii, np. na bazie </w:t>
      </w:r>
      <w:r w:rsidRPr="00C95464">
        <w:rPr>
          <w:i/>
          <w:iCs/>
          <w:sz w:val="16"/>
          <w:szCs w:val="16"/>
        </w:rPr>
        <w:t>zawartych umów mocowych (</w:t>
      </w:r>
      <w:r>
        <w:rPr>
          <w:i/>
          <w:iCs/>
          <w:sz w:val="16"/>
          <w:szCs w:val="16"/>
        </w:rPr>
        <w:t xml:space="preserve">wg stanu na I poł. 2025 r. </w:t>
      </w:r>
      <w:r w:rsidRPr="00C95464">
        <w:rPr>
          <w:i/>
          <w:iCs/>
          <w:sz w:val="16"/>
          <w:szCs w:val="16"/>
        </w:rPr>
        <w:t xml:space="preserve">wielkość zakontraktowanej mocy osiągalnej </w:t>
      </w:r>
      <w:r>
        <w:rPr>
          <w:i/>
          <w:iCs/>
          <w:sz w:val="16"/>
          <w:szCs w:val="16"/>
        </w:rPr>
        <w:t xml:space="preserve">w magazynach </w:t>
      </w:r>
      <w:r w:rsidRPr="00C95464">
        <w:rPr>
          <w:i/>
          <w:iCs/>
          <w:sz w:val="16"/>
          <w:szCs w:val="16"/>
        </w:rPr>
        <w:t xml:space="preserve">do roku 2029 </w:t>
      </w:r>
      <w:r>
        <w:rPr>
          <w:i/>
          <w:iCs/>
          <w:sz w:val="16"/>
          <w:szCs w:val="16"/>
        </w:rPr>
        <w:t>wynosiła</w:t>
      </w:r>
      <w:r w:rsidRPr="00C95464">
        <w:rPr>
          <w:i/>
          <w:iCs/>
          <w:sz w:val="16"/>
          <w:szCs w:val="16"/>
        </w:rPr>
        <w:t xml:space="preserve"> ok. 6</w:t>
      </w:r>
      <w:r>
        <w:rPr>
          <w:i/>
          <w:iCs/>
          <w:sz w:val="16"/>
          <w:szCs w:val="16"/>
        </w:rPr>
        <w:t xml:space="preserve"> </w:t>
      </w:r>
      <w:r w:rsidRPr="00C95464">
        <w:rPr>
          <w:i/>
          <w:iCs/>
          <w:sz w:val="16"/>
          <w:szCs w:val="16"/>
        </w:rPr>
        <w:t>GW).</w:t>
      </w:r>
      <w:r>
        <w:rPr>
          <w:i/>
          <w:iCs/>
          <w:sz w:val="16"/>
          <w:szCs w:val="16"/>
        </w:rPr>
        <w:t xml:space="preserve"> </w:t>
      </w:r>
    </w:p>
    <w:p w14:paraId="1F98B540" w14:textId="77777777" w:rsidR="00D76493" w:rsidRDefault="00D76493" w:rsidP="00927FF7">
      <w:pPr>
        <w:sectPr w:rsidR="00D76493">
          <w:headerReference w:type="even" r:id="rId42"/>
          <w:headerReference w:type="default" r:id="rId43"/>
          <w:headerReference w:type="first" r:id="rId44"/>
          <w:footerReference w:type="first" r:id="rId45"/>
          <w:pgSz w:w="11906" w:h="16838"/>
          <w:pgMar w:top="1417" w:right="1417" w:bottom="1417" w:left="1417" w:header="708" w:footer="708" w:gutter="0"/>
          <w:cols w:space="708"/>
          <w:docGrid w:linePitch="360"/>
        </w:sectPr>
      </w:pPr>
    </w:p>
    <w:p w14:paraId="12E87CA4" w14:textId="6EFB40ED" w:rsidR="001679D1" w:rsidRDefault="008A3BA0" w:rsidP="00AC2C9A">
      <w:pPr>
        <w:pStyle w:val="Legenda"/>
        <w:rPr>
          <w:noProof/>
        </w:rPr>
      </w:pPr>
      <w:r>
        <w:rPr>
          <w:noProof/>
        </w:rPr>
        <w:drawing>
          <wp:inline distT="0" distB="0" distL="0" distR="0" wp14:anchorId="37F6B5C4" wp14:editId="157448EE">
            <wp:extent cx="8823325" cy="4856672"/>
            <wp:effectExtent l="0" t="0" r="0" b="1270"/>
            <wp:docPr id="1632252435" name="Wykres 1">
              <a:extLst xmlns:a="http://schemas.openxmlformats.org/drawingml/2006/main">
                <a:ext uri="{FF2B5EF4-FFF2-40B4-BE49-F238E27FC236}">
                  <a16:creationId xmlns:a16="http://schemas.microsoft.com/office/drawing/2014/main" id="{C0D4F9D7-D4B1-4A50-853B-150A70EAB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004D6DE4" w:rsidDel="00A92943">
        <w:rPr>
          <w:noProof/>
        </w:rPr>
        <w:t xml:space="preserve"> </w:t>
      </w:r>
    </w:p>
    <w:p w14:paraId="47C7EE33" w14:textId="52F6828F" w:rsidR="006B1FB0" w:rsidRDefault="00AC2C9A" w:rsidP="00AC2C9A">
      <w:pPr>
        <w:pStyle w:val="Legenda"/>
      </w:pPr>
      <w:bookmarkStart w:id="503" w:name="_Ref201150305"/>
      <w:bookmarkStart w:id="504" w:name="_Toc202967053"/>
      <w:r>
        <w:t xml:space="preserve">Rysunek </w:t>
      </w:r>
      <w:bookmarkEnd w:id="503"/>
      <w:r>
        <w:rPr>
          <w:noProof/>
        </w:rPr>
        <w:fldChar w:fldCharType="begin"/>
      </w:r>
      <w:r>
        <w:rPr>
          <w:noProof/>
        </w:rPr>
        <w:instrText xml:space="preserve"> STYLEREF 1 \s </w:instrText>
      </w:r>
      <w:r>
        <w:rPr>
          <w:noProof/>
        </w:rPr>
        <w:fldChar w:fldCharType="separate"/>
      </w:r>
      <w:r w:rsidR="00F27D6F">
        <w:rPr>
          <w:noProof/>
        </w:rPr>
        <w:t>3</w:t>
      </w:r>
      <w:r>
        <w:rPr>
          <w:noProof/>
        </w:rPr>
        <w:fldChar w:fldCharType="end"/>
      </w:r>
      <w:r>
        <w:t>.</w:t>
      </w:r>
      <w:r>
        <w:rPr>
          <w:noProof/>
        </w:rPr>
        <w:fldChar w:fldCharType="begin"/>
      </w:r>
      <w:r>
        <w:rPr>
          <w:noProof/>
        </w:rPr>
        <w:instrText xml:space="preserve"> SEQ Rysunek \* ARABIC \s 1 </w:instrText>
      </w:r>
      <w:r>
        <w:rPr>
          <w:noProof/>
        </w:rPr>
        <w:fldChar w:fldCharType="separate"/>
      </w:r>
      <w:r w:rsidR="00F27D6F">
        <w:rPr>
          <w:noProof/>
        </w:rPr>
        <w:t>6</w:t>
      </w:r>
      <w:r>
        <w:rPr>
          <w:noProof/>
        </w:rPr>
        <w:fldChar w:fldCharType="end"/>
      </w:r>
      <w:r>
        <w:t xml:space="preserve">. </w:t>
      </w:r>
      <w:r w:rsidRPr="003B6C9B">
        <w:t xml:space="preserve">Moc osiągalna źródeł wytwarzania energii elektrycznej wg technologii (scenariusz </w:t>
      </w:r>
      <w:r>
        <w:t>WAM</w:t>
      </w:r>
      <w:r w:rsidRPr="003B6C9B">
        <w:t>)</w:t>
      </w:r>
      <w:bookmarkEnd w:id="504"/>
      <w:r w:rsidR="00E70AD8">
        <w:t xml:space="preserve"> </w:t>
      </w:r>
    </w:p>
    <w:p w14:paraId="32CE8509" w14:textId="2231622B" w:rsidR="00AC2C9A" w:rsidRPr="003B6C9B" w:rsidRDefault="00E70AD8" w:rsidP="001679D1">
      <w:pPr>
        <w:pStyle w:val="Legenda"/>
        <w:spacing w:before="120" w:after="0"/>
      </w:pPr>
      <w:r>
        <w:t xml:space="preserve">EL </w:t>
      </w:r>
      <w:r w:rsidR="006B1FB0">
        <w:t>–</w:t>
      </w:r>
      <w:r>
        <w:t xml:space="preserve"> elektrowni</w:t>
      </w:r>
      <w:r w:rsidR="00C872DA">
        <w:t>e</w:t>
      </w:r>
      <w:r w:rsidR="006B1FB0">
        <w:t>, EC – elektrociepłowni</w:t>
      </w:r>
      <w:r w:rsidR="00C872DA">
        <w:t>e</w:t>
      </w:r>
    </w:p>
    <w:p w14:paraId="4FDB3119" w14:textId="7B199383" w:rsidR="009A5682" w:rsidRDefault="009A5682" w:rsidP="001679D1">
      <w:pPr>
        <w:pStyle w:val="Legenda"/>
        <w:spacing w:before="120" w:after="0"/>
      </w:pPr>
      <w:r>
        <w:t xml:space="preserve">Źródło: </w:t>
      </w:r>
      <w:r w:rsidRPr="00CE7B26">
        <w:t>Opracowanie własne ARE S.A.</w:t>
      </w:r>
    </w:p>
    <w:p w14:paraId="060C9D0B" w14:textId="77777777" w:rsidR="00D76493" w:rsidRDefault="00D76493" w:rsidP="00927FF7">
      <w:pPr>
        <w:sectPr w:rsidR="00D76493" w:rsidSect="00D76493">
          <w:pgSz w:w="16838" w:h="11906" w:orient="landscape"/>
          <w:pgMar w:top="1417" w:right="1417" w:bottom="1417" w:left="1417" w:header="708" w:footer="708" w:gutter="0"/>
          <w:cols w:space="708"/>
          <w:docGrid w:linePitch="360"/>
        </w:sectPr>
      </w:pPr>
    </w:p>
    <w:p w14:paraId="01538191" w14:textId="788FA15C" w:rsidR="00D67123" w:rsidRDefault="00D67123" w:rsidP="00D67123">
      <w:bookmarkStart w:id="505" w:name="_Toc171587337"/>
      <w:bookmarkStart w:id="506" w:name="_Toc174710911"/>
      <w:r w:rsidRPr="008034A9">
        <w:t>Poziom mocy węglowych</w:t>
      </w:r>
      <w:r>
        <w:t xml:space="preserve"> w </w:t>
      </w:r>
      <w:r w:rsidRPr="008034A9">
        <w:t>KSE będzie spadał</w:t>
      </w:r>
      <w:r>
        <w:t xml:space="preserve"> z </w:t>
      </w:r>
      <w:r w:rsidRPr="008034A9">
        <w:t>przyczyn technicznych</w:t>
      </w:r>
      <w:r>
        <w:t xml:space="preserve"> i </w:t>
      </w:r>
      <w:r w:rsidRPr="008034A9">
        <w:t>ekonomicznych,</w:t>
      </w:r>
      <w:r>
        <w:t xml:space="preserve"> w </w:t>
      </w:r>
      <w:r w:rsidRPr="008034A9">
        <w:t>tym ze</w:t>
      </w:r>
      <w:r w:rsidR="00FF6426">
        <w:t> </w:t>
      </w:r>
      <w:r w:rsidRPr="008034A9">
        <w:t>względu na wyeksploatowanie jednostek wytwórczych, niespełnianie wymogów dotyczących generowanych emisji zanieczyszczeń</w:t>
      </w:r>
      <w:r>
        <w:t xml:space="preserve"> i </w:t>
      </w:r>
      <w:r w:rsidRPr="008034A9">
        <w:t>potrzebę dekarbonizacji sektora.</w:t>
      </w:r>
      <w:r>
        <w:t xml:space="preserve"> W </w:t>
      </w:r>
      <w:r w:rsidRPr="008034A9">
        <w:t>najbliższych latach moce węglowe będą niezbędne</w:t>
      </w:r>
      <w:r>
        <w:t xml:space="preserve"> w </w:t>
      </w:r>
      <w:r w:rsidRPr="008034A9">
        <w:t>systemie dla zagwarantowania pewności dostaw energii elektrycznej do odbiorców</w:t>
      </w:r>
      <w:r>
        <w:t xml:space="preserve"> w </w:t>
      </w:r>
      <w:r w:rsidRPr="008034A9">
        <w:t xml:space="preserve">sytuacji dużego wzrostu mocy </w:t>
      </w:r>
      <w:r>
        <w:t>osiągalnej w </w:t>
      </w:r>
      <w:r w:rsidRPr="008034A9">
        <w:t xml:space="preserve">technologiach zeroemisyjnych, lecz zależnych od warunków atmosferycznych. </w:t>
      </w:r>
      <w:r w:rsidR="002F750E" w:rsidRPr="00E241B1">
        <w:t xml:space="preserve">Potencjalnym </w:t>
      </w:r>
      <w:r w:rsidR="002F750E" w:rsidRPr="00E26C1E">
        <w:t>wsparciem mogą być innowacyjne rozwiązania, takie jak konwersja istniejących bloków węglowych na gazowe. Proces ten może trwać krócej, w porównaniu do budowy nowych jednostek, choć możliwość takiej konwersji wymaga potwierdzenia w konkretnych przypadkach</w:t>
      </w:r>
      <w:r w:rsidR="001B189B" w:rsidRPr="00E26C1E">
        <w:t>.</w:t>
      </w:r>
    </w:p>
    <w:p w14:paraId="5B680D8E" w14:textId="5DAE2B1D" w:rsidR="00D67123" w:rsidRDefault="00D67123" w:rsidP="00D67123">
      <w:r w:rsidRPr="00893BE6">
        <w:t>Harmonogram wycofań jednostek opalanych węglem brunatnym oraz brak opłacalności inwestowania</w:t>
      </w:r>
      <w:r>
        <w:t xml:space="preserve"> w </w:t>
      </w:r>
      <w:r w:rsidRPr="00893BE6">
        <w:t>nowe moce wytwórcze powoduje, że po 2030</w:t>
      </w:r>
      <w:r>
        <w:t> r.</w:t>
      </w:r>
      <w:r w:rsidRPr="00893BE6">
        <w:t xml:space="preserve"> następuje dynamiczny proces zmniejszania mocy zainstalowanej</w:t>
      </w:r>
      <w:r>
        <w:t xml:space="preserve"> w </w:t>
      </w:r>
      <w:r w:rsidRPr="00893BE6">
        <w:t>tej technologii</w:t>
      </w:r>
      <w:r>
        <w:t xml:space="preserve"> w </w:t>
      </w:r>
      <w:r w:rsidRPr="00893BE6">
        <w:t xml:space="preserve">KSE, co jednocześnie przekłada się na znaczący spadek produkcji energii elektrycznej ze źródeł </w:t>
      </w:r>
      <w:r>
        <w:t>bazujących na tym paliwie, opisany w poprzednim podrozdziale</w:t>
      </w:r>
      <w:r w:rsidRPr="00893BE6">
        <w:t>.</w:t>
      </w:r>
      <w:r>
        <w:t xml:space="preserve"> Wyraźny jest także spadek wskaźników wykorzystania mocy zainstalowanej w jednostkach na węglu brunatnym. Jak wiadomo koszty stałe w tego rodzaju jednostkach są wyższe (dochodzą koszty utrzymania kopalni odkrywkowych) niż w jednostkach na węgiel kamienny, stąd ich rola jako jednostek szczytowych powinna być ograniczana</w:t>
      </w:r>
      <w:r w:rsidDel="00C26B6F">
        <w:t>.</w:t>
      </w:r>
    </w:p>
    <w:p w14:paraId="40F30251" w14:textId="4A33CB66" w:rsidR="00C1582B" w:rsidRDefault="00C1582B">
      <w:pPr>
        <w:jc w:val="left"/>
      </w:pPr>
      <w:r>
        <w:br w:type="page"/>
      </w:r>
    </w:p>
    <w:p w14:paraId="04960CE3" w14:textId="77777777" w:rsidR="005C4144" w:rsidRPr="00DC1A13" w:rsidRDefault="005C4144" w:rsidP="00797A1F">
      <w:pPr>
        <w:pStyle w:val="Nagwek1"/>
      </w:pPr>
      <w:bookmarkStart w:id="507" w:name="_Toc202966904"/>
      <w:r>
        <w:t>Wymiar „wewnętrzny rynek energii”</w:t>
      </w:r>
      <w:bookmarkEnd w:id="505"/>
      <w:bookmarkEnd w:id="506"/>
      <w:bookmarkEnd w:id="507"/>
    </w:p>
    <w:p w14:paraId="70E68F31" w14:textId="2A88DEBE" w:rsidR="005C4144" w:rsidRPr="00DC1A13" w:rsidRDefault="005C4144" w:rsidP="00200ADD">
      <w:pPr>
        <w:pStyle w:val="Nagwek2"/>
      </w:pPr>
      <w:bookmarkStart w:id="508" w:name="_Toc161333897"/>
      <w:bookmarkStart w:id="509" w:name="_Toc161333898"/>
      <w:bookmarkStart w:id="510" w:name="_Toc161333899"/>
      <w:bookmarkStart w:id="511" w:name="_Toc161333900"/>
      <w:bookmarkStart w:id="512" w:name="_Toc161333901"/>
      <w:bookmarkStart w:id="513" w:name="_Toc171587339"/>
      <w:bookmarkStart w:id="514" w:name="_Toc174710913"/>
      <w:bookmarkStart w:id="515" w:name="_Toc202966905"/>
      <w:bookmarkEnd w:id="508"/>
      <w:bookmarkEnd w:id="509"/>
      <w:bookmarkEnd w:id="510"/>
      <w:bookmarkEnd w:id="511"/>
      <w:bookmarkEnd w:id="512"/>
      <w:r>
        <w:t>Rynek energii elektrycznej i </w:t>
      </w:r>
      <w:r w:rsidR="00460DC5">
        <w:t>paliw</w:t>
      </w:r>
      <w:r>
        <w:t>, ceny energii</w:t>
      </w:r>
      <w:bookmarkEnd w:id="513"/>
      <w:bookmarkEnd w:id="514"/>
      <w:bookmarkEnd w:id="515"/>
    </w:p>
    <w:p w14:paraId="58104156" w14:textId="50C68D8F" w:rsidR="005C4144" w:rsidRDefault="005C4144" w:rsidP="005C4144">
      <w:r w:rsidRPr="003852EE">
        <w:t>Szczegółowy opis rynku energii elektrycznej i gazu ziemnego oraz ceny energii zostały zamieszczon</w:t>
      </w:r>
      <w:r>
        <w:t>e w </w:t>
      </w:r>
      <w:r w:rsidR="000C5ADD">
        <w:t>załączniku 2,</w:t>
      </w:r>
      <w:r w:rsidR="000C5ADD" w:rsidRPr="003852EE">
        <w:t xml:space="preserve"> </w:t>
      </w:r>
      <w:r w:rsidRPr="003852EE">
        <w:t>dotyczącym scenariusza WEM sekcji „Wewnętrzny rynek energii”</w:t>
      </w:r>
      <w:r w:rsidR="004D4D11">
        <w:t xml:space="preserve">, dlatego numeracja kolejnych podrozdziałów </w:t>
      </w:r>
      <w:r w:rsidR="004408C5">
        <w:t>równi się od tej występującej w załączniku 2</w:t>
      </w:r>
      <w:r w:rsidRPr="003852EE">
        <w:t>.</w:t>
      </w:r>
    </w:p>
    <w:p w14:paraId="02A767DF" w14:textId="370EBE56" w:rsidR="005C4144" w:rsidRDefault="00674DB8" w:rsidP="00591652">
      <w:pPr>
        <w:pStyle w:val="Nagwek3"/>
      </w:pPr>
      <w:bookmarkStart w:id="516" w:name="_Toc202966906"/>
      <w:r>
        <w:t>K</w:t>
      </w:r>
      <w:r w:rsidR="005C4144">
        <w:t>oszty wytwarzania energii elektrycznej i</w:t>
      </w:r>
      <w:r w:rsidR="00B10B28">
        <w:t> </w:t>
      </w:r>
      <w:r w:rsidR="005C4144">
        <w:t>wodoru</w:t>
      </w:r>
      <w:bookmarkEnd w:id="516"/>
    </w:p>
    <w:p w14:paraId="1CB480B2" w14:textId="77777777" w:rsidR="00BC53EC" w:rsidRDefault="00BC53EC" w:rsidP="00BC53EC">
      <w:bookmarkStart w:id="517" w:name="_Toc161916674"/>
      <w:bookmarkStart w:id="518" w:name="_Toc171587214"/>
      <w:bookmarkStart w:id="519" w:name="_Toc174710998"/>
      <w:r>
        <w:t>Poniżej zaprezentowano uśrednione, jednostkowe koszty wytwarzania energii elektrycznej i wodoru dla scenariusza WAM. Kosztów tych nie należy utożsamiać z cenami na rynku hurtowym, ponieważ nie uwzględniają one szeregu czynników, które wpływają na kształtowanie się cen na rynkach energetycznych, m.in. gry rynkowej, wymiany transgranicznej, systemów wsparcia poszczególnych technologii czy funkcjonowania rynku mocy. Koszty te służą jedynie do oceny porównawczej analizowanych scenariuszy i należy je rozpatrywać w ścisłym powiązaniu z przyjętymi założeniami.</w:t>
      </w:r>
    </w:p>
    <w:p w14:paraId="534DC1A0" w14:textId="3C6F9CE3" w:rsidR="00156F14" w:rsidRDefault="005C4144" w:rsidP="00156F14">
      <w:pPr>
        <w:pStyle w:val="Legenda"/>
        <w:keepNext/>
      </w:pPr>
      <w:bookmarkStart w:id="520" w:name="_Ref197351388"/>
      <w:bookmarkStart w:id="521" w:name="_Toc202967002"/>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4</w:t>
      </w:r>
      <w:r w:rsidR="00653D9A">
        <w:rPr>
          <w:noProof/>
        </w:rPr>
        <w:fldChar w:fldCharType="end"/>
      </w:r>
      <w:bookmarkEnd w:id="517"/>
      <w:bookmarkEnd w:id="518"/>
      <w:bookmarkEnd w:id="519"/>
      <w:r w:rsidR="00AF00A4">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w:t>
      </w:r>
      <w:r w:rsidR="00653D9A">
        <w:rPr>
          <w:noProof/>
        </w:rPr>
        <w:fldChar w:fldCharType="end"/>
      </w:r>
      <w:bookmarkEnd w:id="520"/>
      <w:r w:rsidR="00AF00A4">
        <w:t>.</w:t>
      </w:r>
      <w:r>
        <w:t xml:space="preserve"> </w:t>
      </w:r>
      <w:r w:rsidR="00156F14">
        <w:t>Jednostkowe koszty wytwarzania energii elektrycznej [EUR’202</w:t>
      </w:r>
      <w:r w:rsidR="0051792F">
        <w:t>4</w:t>
      </w:r>
      <w:r w:rsidR="00156F14">
        <w:t>/MWh] – scenariusz WAM</w:t>
      </w:r>
      <w:bookmarkEnd w:id="521"/>
    </w:p>
    <w:tbl>
      <w:tblPr>
        <w:tblStyle w:val="KPEiK"/>
        <w:tblW w:w="5000" w:type="pct"/>
        <w:tblLook w:val="0620" w:firstRow="1" w:lastRow="0" w:firstColumn="0" w:lastColumn="0" w:noHBand="1" w:noVBand="1"/>
      </w:tblPr>
      <w:tblGrid>
        <w:gridCol w:w="1248"/>
        <w:gridCol w:w="1296"/>
        <w:gridCol w:w="1247"/>
        <w:gridCol w:w="1247"/>
        <w:gridCol w:w="1247"/>
        <w:gridCol w:w="1247"/>
        <w:gridCol w:w="1530"/>
      </w:tblGrid>
      <w:tr w:rsidR="00156F14" w:rsidRPr="00155E92" w14:paraId="795F2799" w14:textId="77777777">
        <w:trPr>
          <w:cnfStyle w:val="100000000000" w:firstRow="1" w:lastRow="0" w:firstColumn="0" w:lastColumn="0" w:oddVBand="0" w:evenVBand="0" w:oddHBand="0" w:evenHBand="0" w:firstRowFirstColumn="0" w:firstRowLastColumn="0" w:lastRowFirstColumn="0" w:lastRowLastColumn="0"/>
          <w:trHeight w:val="227"/>
          <w:tblHeader/>
        </w:trPr>
        <w:tc>
          <w:tcPr>
            <w:tcW w:w="1248" w:type="dxa"/>
            <w:noWrap/>
            <w:hideMark/>
          </w:tcPr>
          <w:p w14:paraId="690A0A5D" w14:textId="77777777" w:rsidR="00156F14" w:rsidRPr="00155E92" w:rsidRDefault="00156F14">
            <w:pPr>
              <w:pStyle w:val="Tabele"/>
              <w:jc w:val="center"/>
              <w:rPr>
                <w:bCs/>
                <w:lang w:eastAsia="pl-PL"/>
              </w:rPr>
            </w:pPr>
            <w:r>
              <w:rPr>
                <w:bCs/>
                <w:lang w:eastAsia="pl-PL"/>
              </w:rPr>
              <w:t>R</w:t>
            </w:r>
            <w:r w:rsidRPr="00155E92">
              <w:rPr>
                <w:bCs/>
                <w:lang w:eastAsia="pl-PL"/>
              </w:rPr>
              <w:t>ok</w:t>
            </w:r>
          </w:p>
        </w:tc>
        <w:tc>
          <w:tcPr>
            <w:tcW w:w="1296" w:type="dxa"/>
            <w:hideMark/>
          </w:tcPr>
          <w:p w14:paraId="413C7990" w14:textId="77777777" w:rsidR="00156F14" w:rsidRPr="00155E92" w:rsidRDefault="00156F14">
            <w:pPr>
              <w:pStyle w:val="Tabele"/>
              <w:jc w:val="center"/>
              <w:rPr>
                <w:bCs/>
                <w:lang w:eastAsia="pl-PL"/>
              </w:rPr>
            </w:pPr>
            <w:r w:rsidRPr="00155E92">
              <w:rPr>
                <w:bCs/>
                <w:lang w:eastAsia="pl-PL"/>
              </w:rPr>
              <w:t>Koszt kapitałowy</w:t>
            </w:r>
          </w:p>
        </w:tc>
        <w:tc>
          <w:tcPr>
            <w:tcW w:w="1247" w:type="dxa"/>
            <w:hideMark/>
          </w:tcPr>
          <w:p w14:paraId="481052BE" w14:textId="77777777" w:rsidR="00156F14" w:rsidRPr="00155E92" w:rsidRDefault="00156F14">
            <w:pPr>
              <w:pStyle w:val="Tabele"/>
              <w:jc w:val="center"/>
              <w:rPr>
                <w:bCs/>
                <w:lang w:eastAsia="pl-PL"/>
              </w:rPr>
            </w:pPr>
            <w:r w:rsidRPr="00155E92">
              <w:rPr>
                <w:bCs/>
                <w:lang w:eastAsia="pl-PL"/>
              </w:rPr>
              <w:t>Koszt stały O&amp;M</w:t>
            </w:r>
          </w:p>
        </w:tc>
        <w:tc>
          <w:tcPr>
            <w:tcW w:w="1247" w:type="dxa"/>
            <w:hideMark/>
          </w:tcPr>
          <w:p w14:paraId="35431D2A" w14:textId="77777777" w:rsidR="00156F14" w:rsidRPr="00155E92" w:rsidRDefault="00156F14">
            <w:pPr>
              <w:pStyle w:val="Tabele"/>
              <w:jc w:val="center"/>
              <w:rPr>
                <w:bCs/>
                <w:lang w:eastAsia="pl-PL"/>
              </w:rPr>
            </w:pPr>
            <w:r w:rsidRPr="00155E92">
              <w:rPr>
                <w:bCs/>
                <w:lang w:eastAsia="pl-PL"/>
              </w:rPr>
              <w:t>Koszt zmienny O&amp;M</w:t>
            </w:r>
          </w:p>
        </w:tc>
        <w:tc>
          <w:tcPr>
            <w:tcW w:w="1247" w:type="dxa"/>
            <w:hideMark/>
          </w:tcPr>
          <w:p w14:paraId="6AC29B70" w14:textId="77777777" w:rsidR="00156F14" w:rsidRPr="00155E92" w:rsidRDefault="00156F14">
            <w:pPr>
              <w:pStyle w:val="Tabele"/>
              <w:jc w:val="center"/>
              <w:rPr>
                <w:bCs/>
                <w:lang w:eastAsia="pl-PL"/>
              </w:rPr>
            </w:pPr>
            <w:r w:rsidRPr="00155E92">
              <w:rPr>
                <w:bCs/>
                <w:lang w:eastAsia="pl-PL"/>
              </w:rPr>
              <w:t>Koszt paliwa</w:t>
            </w:r>
          </w:p>
        </w:tc>
        <w:tc>
          <w:tcPr>
            <w:tcW w:w="1247" w:type="dxa"/>
            <w:hideMark/>
          </w:tcPr>
          <w:p w14:paraId="46D206F5" w14:textId="77777777" w:rsidR="00156F14" w:rsidRPr="00155E92" w:rsidRDefault="00156F14">
            <w:pPr>
              <w:pStyle w:val="Tabele"/>
              <w:jc w:val="center"/>
              <w:rPr>
                <w:bCs/>
                <w:lang w:eastAsia="pl-PL"/>
              </w:rPr>
            </w:pPr>
            <w:r w:rsidRPr="00155E92">
              <w:rPr>
                <w:bCs/>
                <w:lang w:eastAsia="pl-PL"/>
              </w:rPr>
              <w:t>Koszt emisji CO</w:t>
            </w:r>
            <w:r w:rsidRPr="00155E92">
              <w:rPr>
                <w:bCs/>
                <w:vertAlign w:val="subscript"/>
                <w:lang w:eastAsia="pl-PL"/>
              </w:rPr>
              <w:t>2</w:t>
            </w:r>
          </w:p>
        </w:tc>
        <w:tc>
          <w:tcPr>
            <w:tcW w:w="1530" w:type="dxa"/>
            <w:hideMark/>
          </w:tcPr>
          <w:p w14:paraId="0261B4BB" w14:textId="77777777" w:rsidR="00156F14" w:rsidRPr="00155E92" w:rsidRDefault="00156F14">
            <w:pPr>
              <w:pStyle w:val="Tabele"/>
              <w:jc w:val="center"/>
              <w:rPr>
                <w:bCs/>
                <w:lang w:eastAsia="pl-PL"/>
              </w:rPr>
            </w:pPr>
            <w:r w:rsidRPr="00155E92">
              <w:rPr>
                <w:bCs/>
                <w:lang w:eastAsia="pl-PL"/>
              </w:rPr>
              <w:t>Koszt wytwarzania e.e.</w:t>
            </w:r>
          </w:p>
        </w:tc>
      </w:tr>
      <w:tr w:rsidR="0051792F" w:rsidRPr="00814760" w14:paraId="7DCB6FBC" w14:textId="77777777">
        <w:trPr>
          <w:trHeight w:val="227"/>
        </w:trPr>
        <w:tc>
          <w:tcPr>
            <w:tcW w:w="1248" w:type="dxa"/>
            <w:shd w:val="clear" w:color="auto" w:fill="C5E0B3"/>
            <w:noWrap/>
            <w:hideMark/>
          </w:tcPr>
          <w:p w14:paraId="527F053B" w14:textId="77777777" w:rsidR="0051792F" w:rsidRPr="00814760" w:rsidRDefault="0051792F" w:rsidP="0051792F">
            <w:pPr>
              <w:pStyle w:val="Tabele"/>
              <w:rPr>
                <w:color w:val="000000"/>
                <w:lang w:eastAsia="pl-PL"/>
              </w:rPr>
            </w:pPr>
            <w:r w:rsidRPr="00814760">
              <w:rPr>
                <w:color w:val="000000"/>
                <w:lang w:eastAsia="pl-PL"/>
              </w:rPr>
              <w:t>2020</w:t>
            </w:r>
          </w:p>
        </w:tc>
        <w:tc>
          <w:tcPr>
            <w:tcW w:w="1296" w:type="dxa"/>
            <w:shd w:val="clear" w:color="auto" w:fill="C5E0B3"/>
            <w:noWrap/>
            <w:hideMark/>
          </w:tcPr>
          <w:p w14:paraId="6DF88185" w14:textId="08A91E06" w:rsidR="0051792F" w:rsidRPr="00814760" w:rsidRDefault="0051792F" w:rsidP="0051792F">
            <w:pPr>
              <w:pStyle w:val="Tabele"/>
              <w:jc w:val="right"/>
              <w:rPr>
                <w:color w:val="000000"/>
                <w:lang w:eastAsia="pl-PL"/>
              </w:rPr>
            </w:pPr>
            <w:r>
              <w:rPr>
                <w:rFonts w:cs="Arial"/>
                <w:color w:val="000000"/>
                <w:szCs w:val="16"/>
              </w:rPr>
              <w:t>22,3</w:t>
            </w:r>
          </w:p>
        </w:tc>
        <w:tc>
          <w:tcPr>
            <w:tcW w:w="1247" w:type="dxa"/>
            <w:shd w:val="clear" w:color="auto" w:fill="C5E0B3"/>
            <w:noWrap/>
            <w:hideMark/>
          </w:tcPr>
          <w:p w14:paraId="718DCA64" w14:textId="7F9E0BF9" w:rsidR="0051792F" w:rsidRPr="00814760" w:rsidRDefault="0051792F" w:rsidP="0051792F">
            <w:pPr>
              <w:pStyle w:val="Tabele"/>
              <w:jc w:val="right"/>
              <w:rPr>
                <w:color w:val="000000"/>
                <w:lang w:eastAsia="pl-PL"/>
              </w:rPr>
            </w:pPr>
            <w:r>
              <w:rPr>
                <w:rFonts w:cs="Arial"/>
                <w:color w:val="000000"/>
                <w:szCs w:val="16"/>
              </w:rPr>
              <w:t>16,7</w:t>
            </w:r>
          </w:p>
        </w:tc>
        <w:tc>
          <w:tcPr>
            <w:tcW w:w="1247" w:type="dxa"/>
            <w:shd w:val="clear" w:color="auto" w:fill="C5E0B3"/>
            <w:noWrap/>
            <w:hideMark/>
          </w:tcPr>
          <w:p w14:paraId="679A60ED" w14:textId="0A2C9C06" w:rsidR="0051792F" w:rsidRPr="00814760" w:rsidRDefault="0051792F" w:rsidP="0051792F">
            <w:pPr>
              <w:pStyle w:val="Tabele"/>
              <w:jc w:val="right"/>
              <w:rPr>
                <w:color w:val="000000"/>
                <w:lang w:eastAsia="pl-PL"/>
              </w:rPr>
            </w:pPr>
            <w:r>
              <w:rPr>
                <w:rFonts w:cs="Arial"/>
                <w:color w:val="000000"/>
                <w:szCs w:val="16"/>
              </w:rPr>
              <w:t>4,4</w:t>
            </w:r>
          </w:p>
        </w:tc>
        <w:tc>
          <w:tcPr>
            <w:tcW w:w="1247" w:type="dxa"/>
            <w:shd w:val="clear" w:color="auto" w:fill="C5E0B3"/>
            <w:noWrap/>
            <w:hideMark/>
          </w:tcPr>
          <w:p w14:paraId="28855504" w14:textId="4643B594" w:rsidR="0051792F" w:rsidRPr="00814760" w:rsidRDefault="0051792F" w:rsidP="0051792F">
            <w:pPr>
              <w:pStyle w:val="Tabele"/>
              <w:jc w:val="right"/>
              <w:rPr>
                <w:color w:val="000000"/>
                <w:lang w:eastAsia="pl-PL"/>
              </w:rPr>
            </w:pPr>
            <w:r>
              <w:rPr>
                <w:rFonts w:cs="Arial"/>
                <w:color w:val="000000"/>
                <w:szCs w:val="16"/>
              </w:rPr>
              <w:t>26,3</w:t>
            </w:r>
          </w:p>
        </w:tc>
        <w:tc>
          <w:tcPr>
            <w:tcW w:w="1247" w:type="dxa"/>
            <w:shd w:val="clear" w:color="auto" w:fill="C5E0B3"/>
            <w:noWrap/>
            <w:hideMark/>
          </w:tcPr>
          <w:p w14:paraId="1E1B4A08" w14:textId="5E5B20D7" w:rsidR="0051792F" w:rsidRPr="00814760" w:rsidRDefault="0051792F" w:rsidP="0051792F">
            <w:pPr>
              <w:pStyle w:val="Tabele"/>
              <w:jc w:val="right"/>
              <w:rPr>
                <w:color w:val="000000"/>
                <w:lang w:eastAsia="pl-PL"/>
              </w:rPr>
            </w:pPr>
            <w:r>
              <w:rPr>
                <w:rFonts w:cs="Arial"/>
                <w:color w:val="000000"/>
                <w:szCs w:val="16"/>
              </w:rPr>
              <w:t>22,2</w:t>
            </w:r>
          </w:p>
        </w:tc>
        <w:tc>
          <w:tcPr>
            <w:tcW w:w="1530" w:type="dxa"/>
            <w:shd w:val="clear" w:color="auto" w:fill="C5E0B3"/>
            <w:noWrap/>
            <w:hideMark/>
          </w:tcPr>
          <w:p w14:paraId="17F3C4A3" w14:textId="67C69CA3" w:rsidR="0051792F" w:rsidRPr="00EF5D24" w:rsidRDefault="0051792F" w:rsidP="0051792F">
            <w:pPr>
              <w:pStyle w:val="Tabele"/>
              <w:jc w:val="right"/>
              <w:rPr>
                <w:b/>
                <w:bCs/>
                <w:color w:val="000000"/>
                <w:lang w:eastAsia="pl-PL"/>
              </w:rPr>
            </w:pPr>
            <w:r>
              <w:rPr>
                <w:b/>
                <w:bCs/>
                <w:color w:val="000000"/>
                <w:szCs w:val="16"/>
              </w:rPr>
              <w:t>92,1</w:t>
            </w:r>
          </w:p>
        </w:tc>
      </w:tr>
      <w:tr w:rsidR="0051792F" w:rsidRPr="00814760" w14:paraId="35654E42" w14:textId="77777777">
        <w:trPr>
          <w:trHeight w:val="227"/>
        </w:trPr>
        <w:tc>
          <w:tcPr>
            <w:tcW w:w="1248" w:type="dxa"/>
            <w:noWrap/>
            <w:hideMark/>
          </w:tcPr>
          <w:p w14:paraId="008A8D4A" w14:textId="77777777" w:rsidR="0051792F" w:rsidRPr="00814760" w:rsidRDefault="0051792F" w:rsidP="0051792F">
            <w:pPr>
              <w:pStyle w:val="Tabele"/>
              <w:rPr>
                <w:color w:val="000000"/>
                <w:lang w:eastAsia="pl-PL"/>
              </w:rPr>
            </w:pPr>
            <w:r w:rsidRPr="00814760">
              <w:rPr>
                <w:color w:val="000000"/>
                <w:lang w:eastAsia="pl-PL"/>
              </w:rPr>
              <w:t>2025</w:t>
            </w:r>
          </w:p>
        </w:tc>
        <w:tc>
          <w:tcPr>
            <w:tcW w:w="1296" w:type="dxa"/>
            <w:noWrap/>
            <w:hideMark/>
          </w:tcPr>
          <w:p w14:paraId="5E5B0B73" w14:textId="00852EA8" w:rsidR="0051792F" w:rsidRPr="00814760" w:rsidRDefault="0051792F" w:rsidP="0051792F">
            <w:pPr>
              <w:pStyle w:val="Tabele"/>
              <w:jc w:val="right"/>
              <w:rPr>
                <w:color w:val="000000"/>
                <w:lang w:eastAsia="pl-PL"/>
              </w:rPr>
            </w:pPr>
            <w:r>
              <w:rPr>
                <w:rFonts w:cs="Arial"/>
                <w:color w:val="000000"/>
                <w:szCs w:val="16"/>
              </w:rPr>
              <w:t>30,3</w:t>
            </w:r>
          </w:p>
        </w:tc>
        <w:tc>
          <w:tcPr>
            <w:tcW w:w="1247" w:type="dxa"/>
            <w:noWrap/>
            <w:hideMark/>
          </w:tcPr>
          <w:p w14:paraId="65D32420" w14:textId="27056FBE" w:rsidR="0051792F" w:rsidRPr="00814760" w:rsidRDefault="0051792F" w:rsidP="0051792F">
            <w:pPr>
              <w:pStyle w:val="Tabele"/>
              <w:jc w:val="right"/>
              <w:rPr>
                <w:color w:val="000000"/>
                <w:lang w:eastAsia="pl-PL"/>
              </w:rPr>
            </w:pPr>
            <w:r>
              <w:rPr>
                <w:rFonts w:cs="Arial"/>
                <w:color w:val="000000"/>
                <w:szCs w:val="16"/>
              </w:rPr>
              <w:t>18,5</w:t>
            </w:r>
          </w:p>
        </w:tc>
        <w:tc>
          <w:tcPr>
            <w:tcW w:w="1247" w:type="dxa"/>
            <w:noWrap/>
            <w:hideMark/>
          </w:tcPr>
          <w:p w14:paraId="701DD3C3" w14:textId="1105C2DF" w:rsidR="0051792F" w:rsidRPr="00814760" w:rsidRDefault="0051792F" w:rsidP="0051792F">
            <w:pPr>
              <w:pStyle w:val="Tabele"/>
              <w:jc w:val="right"/>
              <w:rPr>
                <w:color w:val="000000"/>
                <w:lang w:eastAsia="pl-PL"/>
              </w:rPr>
            </w:pPr>
            <w:r>
              <w:rPr>
                <w:rFonts w:cs="Arial"/>
                <w:color w:val="000000"/>
                <w:szCs w:val="16"/>
              </w:rPr>
              <w:t>2,8</w:t>
            </w:r>
          </w:p>
        </w:tc>
        <w:tc>
          <w:tcPr>
            <w:tcW w:w="1247" w:type="dxa"/>
            <w:noWrap/>
            <w:hideMark/>
          </w:tcPr>
          <w:p w14:paraId="4351CE82" w14:textId="312EBCD6" w:rsidR="0051792F" w:rsidRPr="00814760" w:rsidRDefault="0051792F" w:rsidP="0051792F">
            <w:pPr>
              <w:pStyle w:val="Tabele"/>
              <w:jc w:val="right"/>
              <w:rPr>
                <w:color w:val="000000"/>
                <w:lang w:eastAsia="pl-PL"/>
              </w:rPr>
            </w:pPr>
            <w:r>
              <w:rPr>
                <w:rFonts w:cs="Arial"/>
                <w:color w:val="000000"/>
                <w:szCs w:val="16"/>
              </w:rPr>
              <w:t>43,2</w:t>
            </w:r>
          </w:p>
        </w:tc>
        <w:tc>
          <w:tcPr>
            <w:tcW w:w="1247" w:type="dxa"/>
            <w:noWrap/>
            <w:hideMark/>
          </w:tcPr>
          <w:p w14:paraId="346C3602" w14:textId="04129C10" w:rsidR="0051792F" w:rsidRPr="00814760" w:rsidRDefault="0051792F" w:rsidP="0051792F">
            <w:pPr>
              <w:pStyle w:val="Tabele"/>
              <w:jc w:val="right"/>
              <w:rPr>
                <w:color w:val="000000"/>
                <w:lang w:eastAsia="pl-PL"/>
              </w:rPr>
            </w:pPr>
            <w:r>
              <w:rPr>
                <w:rFonts w:cs="Arial"/>
                <w:color w:val="000000"/>
                <w:szCs w:val="16"/>
              </w:rPr>
              <w:t>65,2</w:t>
            </w:r>
          </w:p>
        </w:tc>
        <w:tc>
          <w:tcPr>
            <w:tcW w:w="1530" w:type="dxa"/>
            <w:noWrap/>
            <w:hideMark/>
          </w:tcPr>
          <w:p w14:paraId="3660A9F8" w14:textId="037C7DC1" w:rsidR="0051792F" w:rsidRPr="00EF5D24" w:rsidRDefault="0051792F" w:rsidP="0051792F">
            <w:pPr>
              <w:pStyle w:val="Tabele"/>
              <w:jc w:val="right"/>
              <w:rPr>
                <w:b/>
                <w:bCs/>
                <w:color w:val="000000"/>
                <w:lang w:eastAsia="pl-PL"/>
              </w:rPr>
            </w:pPr>
            <w:r>
              <w:rPr>
                <w:rFonts w:cs="Arial"/>
                <w:b/>
                <w:bCs/>
                <w:color w:val="000000"/>
                <w:szCs w:val="16"/>
              </w:rPr>
              <w:t>159,8</w:t>
            </w:r>
          </w:p>
        </w:tc>
      </w:tr>
      <w:tr w:rsidR="0051792F" w:rsidRPr="00814760" w14:paraId="1E42DAB5" w14:textId="77777777">
        <w:trPr>
          <w:trHeight w:val="227"/>
        </w:trPr>
        <w:tc>
          <w:tcPr>
            <w:tcW w:w="1248" w:type="dxa"/>
            <w:noWrap/>
            <w:hideMark/>
          </w:tcPr>
          <w:p w14:paraId="0A78188A" w14:textId="77777777" w:rsidR="0051792F" w:rsidRPr="00814760" w:rsidRDefault="0051792F" w:rsidP="0051792F">
            <w:pPr>
              <w:pStyle w:val="Tabele"/>
              <w:rPr>
                <w:color w:val="000000"/>
                <w:lang w:eastAsia="pl-PL"/>
              </w:rPr>
            </w:pPr>
            <w:r w:rsidRPr="00814760">
              <w:rPr>
                <w:color w:val="000000"/>
                <w:lang w:eastAsia="pl-PL"/>
              </w:rPr>
              <w:t>2030</w:t>
            </w:r>
          </w:p>
        </w:tc>
        <w:tc>
          <w:tcPr>
            <w:tcW w:w="1296" w:type="dxa"/>
            <w:noWrap/>
            <w:hideMark/>
          </w:tcPr>
          <w:p w14:paraId="3C522273" w14:textId="0E4541A5" w:rsidR="0051792F" w:rsidRPr="00814760" w:rsidRDefault="0051792F" w:rsidP="0051792F">
            <w:pPr>
              <w:pStyle w:val="Tabele"/>
              <w:jc w:val="right"/>
              <w:rPr>
                <w:color w:val="000000"/>
                <w:lang w:eastAsia="pl-PL"/>
              </w:rPr>
            </w:pPr>
            <w:r>
              <w:rPr>
                <w:rFonts w:cs="Arial"/>
                <w:color w:val="000000"/>
                <w:szCs w:val="16"/>
              </w:rPr>
              <w:t>48,3</w:t>
            </w:r>
          </w:p>
        </w:tc>
        <w:tc>
          <w:tcPr>
            <w:tcW w:w="1247" w:type="dxa"/>
            <w:noWrap/>
            <w:hideMark/>
          </w:tcPr>
          <w:p w14:paraId="36007816" w14:textId="59A82365" w:rsidR="0051792F" w:rsidRPr="00814760" w:rsidRDefault="0051792F" w:rsidP="0051792F">
            <w:pPr>
              <w:pStyle w:val="Tabele"/>
              <w:jc w:val="right"/>
              <w:rPr>
                <w:color w:val="000000"/>
                <w:lang w:eastAsia="pl-PL"/>
              </w:rPr>
            </w:pPr>
            <w:r>
              <w:rPr>
                <w:rFonts w:cs="Arial"/>
                <w:color w:val="000000"/>
                <w:szCs w:val="16"/>
              </w:rPr>
              <w:t>21,1</w:t>
            </w:r>
          </w:p>
        </w:tc>
        <w:tc>
          <w:tcPr>
            <w:tcW w:w="1247" w:type="dxa"/>
            <w:noWrap/>
            <w:hideMark/>
          </w:tcPr>
          <w:p w14:paraId="4B0BA375" w14:textId="43796CF2" w:rsidR="0051792F" w:rsidRPr="00814760" w:rsidRDefault="0051792F" w:rsidP="0051792F">
            <w:pPr>
              <w:pStyle w:val="Tabele"/>
              <w:jc w:val="right"/>
              <w:rPr>
                <w:color w:val="000000"/>
                <w:lang w:eastAsia="pl-PL"/>
              </w:rPr>
            </w:pPr>
            <w:r>
              <w:rPr>
                <w:rFonts w:cs="Arial"/>
                <w:color w:val="000000"/>
                <w:szCs w:val="16"/>
              </w:rPr>
              <w:t>2,3</w:t>
            </w:r>
          </w:p>
        </w:tc>
        <w:tc>
          <w:tcPr>
            <w:tcW w:w="1247" w:type="dxa"/>
            <w:noWrap/>
            <w:hideMark/>
          </w:tcPr>
          <w:p w14:paraId="188A9394" w14:textId="767E5405" w:rsidR="0051792F" w:rsidRPr="00814760" w:rsidRDefault="0051792F" w:rsidP="0051792F">
            <w:pPr>
              <w:pStyle w:val="Tabele"/>
              <w:jc w:val="right"/>
              <w:rPr>
                <w:color w:val="000000"/>
                <w:lang w:eastAsia="pl-PL"/>
              </w:rPr>
            </w:pPr>
            <w:r>
              <w:rPr>
                <w:rFonts w:cs="Arial"/>
                <w:color w:val="000000"/>
                <w:szCs w:val="16"/>
              </w:rPr>
              <w:t>30,7</w:t>
            </w:r>
          </w:p>
        </w:tc>
        <w:tc>
          <w:tcPr>
            <w:tcW w:w="1247" w:type="dxa"/>
            <w:noWrap/>
            <w:hideMark/>
          </w:tcPr>
          <w:p w14:paraId="174C409A" w14:textId="706D4042" w:rsidR="0051792F" w:rsidRPr="00814760" w:rsidRDefault="0051792F" w:rsidP="0051792F">
            <w:pPr>
              <w:pStyle w:val="Tabele"/>
              <w:jc w:val="right"/>
              <w:rPr>
                <w:color w:val="000000"/>
                <w:lang w:eastAsia="pl-PL"/>
              </w:rPr>
            </w:pPr>
            <w:r>
              <w:rPr>
                <w:rFonts w:cs="Arial"/>
                <w:color w:val="000000"/>
                <w:szCs w:val="16"/>
              </w:rPr>
              <w:t>39,1</w:t>
            </w:r>
          </w:p>
        </w:tc>
        <w:tc>
          <w:tcPr>
            <w:tcW w:w="1530" w:type="dxa"/>
            <w:noWrap/>
            <w:hideMark/>
          </w:tcPr>
          <w:p w14:paraId="63571162" w14:textId="01CE9DE1" w:rsidR="0051792F" w:rsidRPr="00EF5D24" w:rsidRDefault="0051792F" w:rsidP="0051792F">
            <w:pPr>
              <w:pStyle w:val="Tabele"/>
              <w:jc w:val="right"/>
              <w:rPr>
                <w:b/>
                <w:bCs/>
                <w:color w:val="000000"/>
                <w:lang w:eastAsia="pl-PL"/>
              </w:rPr>
            </w:pPr>
            <w:r>
              <w:rPr>
                <w:rFonts w:cs="Arial"/>
                <w:b/>
                <w:bCs/>
                <w:color w:val="000000"/>
                <w:szCs w:val="16"/>
              </w:rPr>
              <w:t>141,7</w:t>
            </w:r>
          </w:p>
        </w:tc>
      </w:tr>
      <w:tr w:rsidR="0051792F" w:rsidRPr="00814760" w14:paraId="6F2C5F95" w14:textId="77777777">
        <w:trPr>
          <w:trHeight w:val="227"/>
        </w:trPr>
        <w:tc>
          <w:tcPr>
            <w:tcW w:w="1248" w:type="dxa"/>
            <w:noWrap/>
            <w:hideMark/>
          </w:tcPr>
          <w:p w14:paraId="05CD2022" w14:textId="77777777" w:rsidR="0051792F" w:rsidRPr="00814760" w:rsidRDefault="0051792F" w:rsidP="0051792F">
            <w:pPr>
              <w:pStyle w:val="Tabele"/>
              <w:rPr>
                <w:color w:val="000000"/>
                <w:lang w:eastAsia="pl-PL"/>
              </w:rPr>
            </w:pPr>
            <w:r w:rsidRPr="00814760">
              <w:rPr>
                <w:color w:val="000000"/>
                <w:lang w:eastAsia="pl-PL"/>
              </w:rPr>
              <w:t>2035</w:t>
            </w:r>
          </w:p>
        </w:tc>
        <w:tc>
          <w:tcPr>
            <w:tcW w:w="1296" w:type="dxa"/>
            <w:noWrap/>
            <w:hideMark/>
          </w:tcPr>
          <w:p w14:paraId="29566BAE" w14:textId="76F353C8" w:rsidR="0051792F" w:rsidRPr="00814760" w:rsidRDefault="0051792F" w:rsidP="0051792F">
            <w:pPr>
              <w:pStyle w:val="Tabele"/>
              <w:jc w:val="right"/>
              <w:rPr>
                <w:color w:val="000000"/>
                <w:lang w:eastAsia="pl-PL"/>
              </w:rPr>
            </w:pPr>
            <w:r>
              <w:rPr>
                <w:rFonts w:cs="Arial"/>
                <w:color w:val="000000"/>
                <w:szCs w:val="16"/>
              </w:rPr>
              <w:t>62,7</w:t>
            </w:r>
          </w:p>
        </w:tc>
        <w:tc>
          <w:tcPr>
            <w:tcW w:w="1247" w:type="dxa"/>
            <w:noWrap/>
            <w:hideMark/>
          </w:tcPr>
          <w:p w14:paraId="736DB5F1" w14:textId="4F2CA0D8" w:rsidR="0051792F" w:rsidRPr="00814760" w:rsidRDefault="0051792F" w:rsidP="0051792F">
            <w:pPr>
              <w:pStyle w:val="Tabele"/>
              <w:jc w:val="right"/>
              <w:rPr>
                <w:color w:val="000000"/>
                <w:lang w:eastAsia="pl-PL"/>
              </w:rPr>
            </w:pPr>
            <w:r>
              <w:rPr>
                <w:rFonts w:cs="Arial"/>
                <w:color w:val="000000"/>
                <w:szCs w:val="16"/>
              </w:rPr>
              <w:t>23,4</w:t>
            </w:r>
          </w:p>
        </w:tc>
        <w:tc>
          <w:tcPr>
            <w:tcW w:w="1247" w:type="dxa"/>
            <w:noWrap/>
            <w:hideMark/>
          </w:tcPr>
          <w:p w14:paraId="52E9E68B" w14:textId="2C982507" w:rsidR="0051792F" w:rsidRPr="00814760" w:rsidRDefault="0051792F" w:rsidP="0051792F">
            <w:pPr>
              <w:pStyle w:val="Tabele"/>
              <w:jc w:val="right"/>
              <w:rPr>
                <w:color w:val="000000"/>
                <w:lang w:eastAsia="pl-PL"/>
              </w:rPr>
            </w:pPr>
            <w:r>
              <w:rPr>
                <w:rFonts w:cs="Arial"/>
                <w:color w:val="000000"/>
                <w:szCs w:val="16"/>
              </w:rPr>
              <w:t>1,2</w:t>
            </w:r>
          </w:p>
        </w:tc>
        <w:tc>
          <w:tcPr>
            <w:tcW w:w="1247" w:type="dxa"/>
            <w:noWrap/>
            <w:hideMark/>
          </w:tcPr>
          <w:p w14:paraId="723E5668" w14:textId="70432595" w:rsidR="0051792F" w:rsidRPr="00814760" w:rsidRDefault="0051792F" w:rsidP="0051792F">
            <w:pPr>
              <w:pStyle w:val="Tabele"/>
              <w:jc w:val="right"/>
              <w:rPr>
                <w:color w:val="000000"/>
                <w:lang w:eastAsia="pl-PL"/>
              </w:rPr>
            </w:pPr>
            <w:r>
              <w:rPr>
                <w:rFonts w:cs="Arial"/>
                <w:color w:val="000000"/>
                <w:szCs w:val="16"/>
              </w:rPr>
              <w:t>18,8</w:t>
            </w:r>
          </w:p>
        </w:tc>
        <w:tc>
          <w:tcPr>
            <w:tcW w:w="1247" w:type="dxa"/>
            <w:noWrap/>
            <w:hideMark/>
          </w:tcPr>
          <w:p w14:paraId="5C85D3E8" w14:textId="05D7F1FE" w:rsidR="0051792F" w:rsidRPr="00814760" w:rsidRDefault="0051792F" w:rsidP="0051792F">
            <w:pPr>
              <w:pStyle w:val="Tabele"/>
              <w:jc w:val="right"/>
              <w:rPr>
                <w:color w:val="000000"/>
                <w:lang w:eastAsia="pl-PL"/>
              </w:rPr>
            </w:pPr>
            <w:r>
              <w:rPr>
                <w:rFonts w:cs="Arial"/>
                <w:color w:val="000000"/>
                <w:szCs w:val="16"/>
              </w:rPr>
              <w:t>18,2</w:t>
            </w:r>
          </w:p>
        </w:tc>
        <w:tc>
          <w:tcPr>
            <w:tcW w:w="1530" w:type="dxa"/>
            <w:noWrap/>
            <w:hideMark/>
          </w:tcPr>
          <w:p w14:paraId="151F5C80" w14:textId="5A756B5B" w:rsidR="0051792F" w:rsidRPr="00EF5D24" w:rsidRDefault="0051792F" w:rsidP="0051792F">
            <w:pPr>
              <w:pStyle w:val="Tabele"/>
              <w:jc w:val="right"/>
              <w:rPr>
                <w:b/>
                <w:bCs/>
                <w:color w:val="000000"/>
                <w:lang w:eastAsia="pl-PL"/>
              </w:rPr>
            </w:pPr>
            <w:r>
              <w:rPr>
                <w:rFonts w:cs="Arial"/>
                <w:b/>
                <w:bCs/>
                <w:color w:val="000000"/>
                <w:szCs w:val="16"/>
              </w:rPr>
              <w:t>124,4</w:t>
            </w:r>
          </w:p>
        </w:tc>
      </w:tr>
      <w:tr w:rsidR="0051792F" w:rsidRPr="00814760" w14:paraId="74F8714B" w14:textId="77777777">
        <w:trPr>
          <w:trHeight w:val="227"/>
        </w:trPr>
        <w:tc>
          <w:tcPr>
            <w:tcW w:w="1248" w:type="dxa"/>
            <w:noWrap/>
            <w:hideMark/>
          </w:tcPr>
          <w:p w14:paraId="145BC31B" w14:textId="77777777" w:rsidR="0051792F" w:rsidRPr="00814760" w:rsidRDefault="0051792F" w:rsidP="0051792F">
            <w:pPr>
              <w:pStyle w:val="Tabele"/>
              <w:rPr>
                <w:color w:val="000000"/>
                <w:lang w:eastAsia="pl-PL"/>
              </w:rPr>
            </w:pPr>
            <w:r w:rsidRPr="00814760">
              <w:rPr>
                <w:color w:val="000000"/>
                <w:lang w:eastAsia="pl-PL"/>
              </w:rPr>
              <w:t>2040</w:t>
            </w:r>
          </w:p>
        </w:tc>
        <w:tc>
          <w:tcPr>
            <w:tcW w:w="1296" w:type="dxa"/>
            <w:noWrap/>
            <w:hideMark/>
          </w:tcPr>
          <w:p w14:paraId="1F588C8C" w14:textId="714BCB59" w:rsidR="0051792F" w:rsidRPr="00814760" w:rsidRDefault="0051792F" w:rsidP="0051792F">
            <w:pPr>
              <w:pStyle w:val="Tabele"/>
              <w:jc w:val="right"/>
              <w:rPr>
                <w:color w:val="000000"/>
                <w:lang w:eastAsia="pl-PL"/>
              </w:rPr>
            </w:pPr>
            <w:r>
              <w:rPr>
                <w:rFonts w:cs="Arial"/>
                <w:color w:val="000000"/>
                <w:szCs w:val="16"/>
              </w:rPr>
              <w:t>63,5</w:t>
            </w:r>
          </w:p>
        </w:tc>
        <w:tc>
          <w:tcPr>
            <w:tcW w:w="1247" w:type="dxa"/>
            <w:noWrap/>
            <w:hideMark/>
          </w:tcPr>
          <w:p w14:paraId="23149101" w14:textId="39316D74" w:rsidR="0051792F" w:rsidRPr="00814760" w:rsidRDefault="0051792F" w:rsidP="0051792F">
            <w:pPr>
              <w:pStyle w:val="Tabele"/>
              <w:jc w:val="right"/>
              <w:rPr>
                <w:color w:val="000000"/>
                <w:lang w:eastAsia="pl-PL"/>
              </w:rPr>
            </w:pPr>
            <w:r>
              <w:rPr>
                <w:rFonts w:cs="Arial"/>
                <w:color w:val="000000"/>
                <w:szCs w:val="16"/>
              </w:rPr>
              <w:t>21,7</w:t>
            </w:r>
          </w:p>
        </w:tc>
        <w:tc>
          <w:tcPr>
            <w:tcW w:w="1247" w:type="dxa"/>
            <w:noWrap/>
            <w:hideMark/>
          </w:tcPr>
          <w:p w14:paraId="670BAB67" w14:textId="28F2A179" w:rsidR="0051792F" w:rsidRPr="00814760" w:rsidRDefault="0051792F" w:rsidP="0051792F">
            <w:pPr>
              <w:pStyle w:val="Tabele"/>
              <w:jc w:val="right"/>
              <w:rPr>
                <w:color w:val="000000"/>
                <w:lang w:eastAsia="pl-PL"/>
              </w:rPr>
            </w:pPr>
            <w:r>
              <w:rPr>
                <w:rFonts w:cs="Arial"/>
                <w:color w:val="000000"/>
                <w:szCs w:val="16"/>
              </w:rPr>
              <w:t>1,0</w:t>
            </w:r>
          </w:p>
        </w:tc>
        <w:tc>
          <w:tcPr>
            <w:tcW w:w="1247" w:type="dxa"/>
            <w:noWrap/>
            <w:hideMark/>
          </w:tcPr>
          <w:p w14:paraId="45BB78AB" w14:textId="70071596" w:rsidR="0051792F" w:rsidRPr="00814760" w:rsidRDefault="0051792F" w:rsidP="0051792F">
            <w:pPr>
              <w:pStyle w:val="Tabele"/>
              <w:jc w:val="right"/>
              <w:rPr>
                <w:color w:val="000000"/>
                <w:lang w:eastAsia="pl-PL"/>
              </w:rPr>
            </w:pPr>
            <w:r>
              <w:rPr>
                <w:rFonts w:cs="Arial"/>
                <w:color w:val="000000"/>
                <w:szCs w:val="16"/>
              </w:rPr>
              <w:t>16,4</w:t>
            </w:r>
          </w:p>
        </w:tc>
        <w:tc>
          <w:tcPr>
            <w:tcW w:w="1247" w:type="dxa"/>
            <w:noWrap/>
            <w:hideMark/>
          </w:tcPr>
          <w:p w14:paraId="44110153" w14:textId="1642CCE5" w:rsidR="0051792F" w:rsidRPr="00814760" w:rsidRDefault="0051792F" w:rsidP="0051792F">
            <w:pPr>
              <w:pStyle w:val="Tabele"/>
              <w:jc w:val="right"/>
              <w:rPr>
                <w:color w:val="000000"/>
                <w:lang w:eastAsia="pl-PL"/>
              </w:rPr>
            </w:pPr>
            <w:r>
              <w:rPr>
                <w:rFonts w:cs="Arial"/>
                <w:color w:val="000000"/>
                <w:szCs w:val="16"/>
              </w:rPr>
              <w:t>7,8</w:t>
            </w:r>
          </w:p>
        </w:tc>
        <w:tc>
          <w:tcPr>
            <w:tcW w:w="1530" w:type="dxa"/>
            <w:noWrap/>
            <w:hideMark/>
          </w:tcPr>
          <w:p w14:paraId="5B6CB8BF" w14:textId="792280C6" w:rsidR="0051792F" w:rsidRPr="00EF5D24" w:rsidRDefault="0051792F" w:rsidP="0051792F">
            <w:pPr>
              <w:pStyle w:val="Tabele"/>
              <w:jc w:val="right"/>
              <w:rPr>
                <w:b/>
                <w:bCs/>
                <w:color w:val="000000"/>
                <w:lang w:eastAsia="pl-PL"/>
              </w:rPr>
            </w:pPr>
            <w:r>
              <w:rPr>
                <w:rFonts w:cs="Arial"/>
                <w:b/>
                <w:bCs/>
                <w:color w:val="000000"/>
                <w:szCs w:val="16"/>
              </w:rPr>
              <w:t>110,3</w:t>
            </w:r>
          </w:p>
        </w:tc>
      </w:tr>
    </w:tbl>
    <w:p w14:paraId="243413FF" w14:textId="40D9BF1C" w:rsidR="005C4144" w:rsidRPr="00155E92" w:rsidRDefault="005C4144" w:rsidP="00BC5667">
      <w:pPr>
        <w:pStyle w:val="Legenda"/>
      </w:pPr>
      <w:r w:rsidRPr="00155E92">
        <w:t>Źródło: opracowanie własne ARE S.A.</w:t>
      </w:r>
    </w:p>
    <w:p w14:paraId="471DE386" w14:textId="614E08C4" w:rsidR="00FA7DDE" w:rsidRPr="008C5F3F" w:rsidRDefault="00FA7DDE" w:rsidP="00FA7DDE">
      <w:bookmarkStart w:id="522" w:name="_Toc161916675"/>
      <w:bookmarkStart w:id="523" w:name="_Toc171587215"/>
      <w:bookmarkStart w:id="524" w:name="_Toc174710999"/>
      <w:r>
        <w:t>Koszty wytwarzania zostały wygenerowane w modelu MESSAGE, który uwzględnia cały łańcuch wytwarzania energii elektrycznej na podstawie kosztów wytwarzania energii elektrycznej oraz kosztów elektrolizerów wykorzystywanych do przemiany energii elekt</w:t>
      </w:r>
      <w:r w:rsidR="00487FD5">
        <w:t>r</w:t>
      </w:r>
      <w:r>
        <w:t>ycznej w wodór.</w:t>
      </w:r>
    </w:p>
    <w:p w14:paraId="59357A31" w14:textId="28AC3318" w:rsidR="005C4144" w:rsidRDefault="005C4144" w:rsidP="005C4144">
      <w:pPr>
        <w:pStyle w:val="Legenda"/>
        <w:keepNext/>
      </w:pPr>
      <w:bookmarkStart w:id="525" w:name="_Toc202967003"/>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4</w:t>
      </w:r>
      <w:r w:rsidR="00653D9A">
        <w:rPr>
          <w:noProof/>
        </w:rPr>
        <w:fldChar w:fldCharType="end"/>
      </w:r>
      <w:r w:rsidR="00AF00A4">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w:t>
      </w:r>
      <w:r w:rsidR="00653D9A">
        <w:rPr>
          <w:noProof/>
        </w:rPr>
        <w:fldChar w:fldCharType="end"/>
      </w:r>
      <w:r w:rsidR="00AF00A4">
        <w:t>.</w:t>
      </w:r>
      <w:r>
        <w:t xml:space="preserve"> Jednostkowe koszty </w:t>
      </w:r>
      <w:r w:rsidR="0000552E">
        <w:t>wytwarzania wodoru</w:t>
      </w:r>
      <w:r w:rsidR="00AE07FB">
        <w:t xml:space="preserve"> </w:t>
      </w:r>
      <w:r w:rsidR="00B27014">
        <w:t>w procesie elektrolizy</w:t>
      </w:r>
      <w:r>
        <w:t xml:space="preserve"> [EUR’202</w:t>
      </w:r>
      <w:r w:rsidR="00466AB6">
        <w:t>4</w:t>
      </w:r>
      <w:r>
        <w:t>/kg] – scenariusz WAM</w:t>
      </w:r>
      <w:bookmarkEnd w:id="522"/>
      <w:bookmarkEnd w:id="523"/>
      <w:bookmarkEnd w:id="524"/>
      <w:bookmarkEnd w:id="525"/>
    </w:p>
    <w:tbl>
      <w:tblPr>
        <w:tblStyle w:val="KPEiK"/>
        <w:tblW w:w="5000" w:type="pct"/>
        <w:tblLook w:val="04A0" w:firstRow="1" w:lastRow="0" w:firstColumn="1" w:lastColumn="0" w:noHBand="0" w:noVBand="1"/>
      </w:tblPr>
      <w:tblGrid>
        <w:gridCol w:w="3986"/>
        <w:gridCol w:w="1269"/>
        <w:gridCol w:w="1269"/>
        <w:gridCol w:w="1269"/>
        <w:gridCol w:w="1269"/>
      </w:tblGrid>
      <w:tr w:rsidR="009D2BCD" w:rsidRPr="009D2BCD" w14:paraId="297D65AC" w14:textId="77777777" w:rsidTr="00466AB6">
        <w:trPr>
          <w:cnfStyle w:val="100000000000" w:firstRow="1" w:lastRow="0" w:firstColumn="0" w:lastColumn="0" w:oddVBand="0" w:evenVBand="0" w:oddHBand="0" w:evenHBand="0" w:firstRowFirstColumn="0" w:firstRowLastColumn="0" w:lastRowFirstColumn="0" w:lastRowLastColumn="0"/>
          <w:trHeight w:val="227"/>
        </w:trPr>
        <w:tc>
          <w:tcPr>
            <w:tcW w:w="3986" w:type="dxa"/>
            <w:noWrap/>
          </w:tcPr>
          <w:p w14:paraId="739D812A" w14:textId="77777777" w:rsidR="009D2BCD" w:rsidRPr="000D7627" w:rsidRDefault="009D2BCD">
            <w:pPr>
              <w:pStyle w:val="Tabele"/>
              <w:jc w:val="center"/>
              <w:rPr>
                <w:lang w:eastAsia="pl-PL"/>
              </w:rPr>
            </w:pPr>
          </w:p>
        </w:tc>
        <w:tc>
          <w:tcPr>
            <w:tcW w:w="1269" w:type="dxa"/>
            <w:noWrap/>
            <w:hideMark/>
          </w:tcPr>
          <w:p w14:paraId="7C712084" w14:textId="77777777" w:rsidR="009D2BCD" w:rsidRPr="000D7627" w:rsidRDefault="009D2BCD">
            <w:pPr>
              <w:pStyle w:val="Tabele"/>
              <w:jc w:val="center"/>
              <w:rPr>
                <w:lang w:eastAsia="pl-PL"/>
              </w:rPr>
            </w:pPr>
            <w:r w:rsidRPr="000D7627">
              <w:rPr>
                <w:lang w:eastAsia="pl-PL"/>
              </w:rPr>
              <w:t>2025</w:t>
            </w:r>
          </w:p>
        </w:tc>
        <w:tc>
          <w:tcPr>
            <w:tcW w:w="1269" w:type="dxa"/>
            <w:noWrap/>
            <w:hideMark/>
          </w:tcPr>
          <w:p w14:paraId="1AF95653" w14:textId="77777777" w:rsidR="009D2BCD" w:rsidRPr="000D7627" w:rsidRDefault="009D2BCD">
            <w:pPr>
              <w:pStyle w:val="Tabele"/>
              <w:jc w:val="center"/>
              <w:rPr>
                <w:lang w:eastAsia="pl-PL"/>
              </w:rPr>
            </w:pPr>
            <w:r w:rsidRPr="000D7627">
              <w:rPr>
                <w:lang w:eastAsia="pl-PL"/>
              </w:rPr>
              <w:t>2030</w:t>
            </w:r>
          </w:p>
        </w:tc>
        <w:tc>
          <w:tcPr>
            <w:tcW w:w="1269" w:type="dxa"/>
            <w:noWrap/>
            <w:hideMark/>
          </w:tcPr>
          <w:p w14:paraId="6A71770E" w14:textId="77777777" w:rsidR="009D2BCD" w:rsidRPr="000D7627" w:rsidRDefault="009D2BCD">
            <w:pPr>
              <w:pStyle w:val="Tabele"/>
              <w:jc w:val="center"/>
              <w:rPr>
                <w:lang w:eastAsia="pl-PL"/>
              </w:rPr>
            </w:pPr>
            <w:r w:rsidRPr="000D7627">
              <w:rPr>
                <w:lang w:eastAsia="pl-PL"/>
              </w:rPr>
              <w:t>2035</w:t>
            </w:r>
          </w:p>
        </w:tc>
        <w:tc>
          <w:tcPr>
            <w:tcW w:w="1269" w:type="dxa"/>
            <w:noWrap/>
            <w:hideMark/>
          </w:tcPr>
          <w:p w14:paraId="1DF14A2D" w14:textId="77777777" w:rsidR="009D2BCD" w:rsidRPr="000D7627" w:rsidRDefault="009D2BCD">
            <w:pPr>
              <w:pStyle w:val="Tabele"/>
              <w:jc w:val="center"/>
              <w:rPr>
                <w:lang w:eastAsia="pl-PL"/>
              </w:rPr>
            </w:pPr>
            <w:r w:rsidRPr="000D7627">
              <w:rPr>
                <w:lang w:eastAsia="pl-PL"/>
              </w:rPr>
              <w:t>2040</w:t>
            </w:r>
          </w:p>
        </w:tc>
      </w:tr>
      <w:tr w:rsidR="00466AB6" w:rsidRPr="009D2BCD" w14:paraId="45F53E5D" w14:textId="77777777" w:rsidTr="00466AB6">
        <w:trPr>
          <w:trHeight w:val="227"/>
        </w:trPr>
        <w:tc>
          <w:tcPr>
            <w:tcW w:w="3986" w:type="dxa"/>
            <w:hideMark/>
          </w:tcPr>
          <w:p w14:paraId="4AB2524C" w14:textId="77777777" w:rsidR="00466AB6" w:rsidRPr="009D2BCD" w:rsidRDefault="00466AB6" w:rsidP="00466AB6">
            <w:pPr>
              <w:pStyle w:val="Tabele"/>
              <w:rPr>
                <w:color w:val="auto"/>
                <w:lang w:eastAsia="pl-PL"/>
              </w:rPr>
            </w:pPr>
            <w:r w:rsidRPr="009D2BCD">
              <w:rPr>
                <w:color w:val="auto"/>
                <w:lang w:eastAsia="pl-PL"/>
              </w:rPr>
              <w:t>Koszt wytwarzania H</w:t>
            </w:r>
            <w:r w:rsidRPr="009D2BCD">
              <w:rPr>
                <w:color w:val="auto"/>
                <w:vertAlign w:val="subscript"/>
                <w:lang w:eastAsia="pl-PL"/>
              </w:rPr>
              <w:t>2</w:t>
            </w:r>
          </w:p>
        </w:tc>
        <w:tc>
          <w:tcPr>
            <w:tcW w:w="1269" w:type="dxa"/>
            <w:noWrap/>
            <w:hideMark/>
          </w:tcPr>
          <w:p w14:paraId="360C0D25" w14:textId="32A0CE74" w:rsidR="00466AB6" w:rsidRPr="00466AB6" w:rsidRDefault="00466AB6" w:rsidP="00466AB6">
            <w:pPr>
              <w:pStyle w:val="Tabele"/>
              <w:jc w:val="right"/>
              <w:rPr>
                <w:color w:val="auto"/>
                <w:lang w:eastAsia="pl-PL"/>
              </w:rPr>
            </w:pPr>
            <w:r w:rsidRPr="00466AB6">
              <w:rPr>
                <w:rFonts w:cs="Arial"/>
                <w:color w:val="auto"/>
                <w:szCs w:val="16"/>
              </w:rPr>
              <w:t>8,2</w:t>
            </w:r>
          </w:p>
        </w:tc>
        <w:tc>
          <w:tcPr>
            <w:tcW w:w="1269" w:type="dxa"/>
            <w:noWrap/>
            <w:hideMark/>
          </w:tcPr>
          <w:p w14:paraId="07610EA0" w14:textId="1A8CEFC6" w:rsidR="00466AB6" w:rsidRPr="00466AB6" w:rsidRDefault="00466AB6" w:rsidP="00466AB6">
            <w:pPr>
              <w:pStyle w:val="Tabele"/>
              <w:jc w:val="right"/>
              <w:rPr>
                <w:color w:val="auto"/>
                <w:lang w:eastAsia="pl-PL"/>
              </w:rPr>
            </w:pPr>
            <w:r w:rsidRPr="00466AB6">
              <w:rPr>
                <w:rFonts w:cs="Arial"/>
                <w:color w:val="auto"/>
                <w:szCs w:val="16"/>
              </w:rPr>
              <w:t>6,8</w:t>
            </w:r>
          </w:p>
        </w:tc>
        <w:tc>
          <w:tcPr>
            <w:tcW w:w="1269" w:type="dxa"/>
            <w:noWrap/>
            <w:hideMark/>
          </w:tcPr>
          <w:p w14:paraId="317ABCDC" w14:textId="7CC36E46" w:rsidR="00466AB6" w:rsidRPr="00466AB6" w:rsidRDefault="00466AB6" w:rsidP="00466AB6">
            <w:pPr>
              <w:pStyle w:val="Tabele"/>
              <w:jc w:val="right"/>
              <w:rPr>
                <w:color w:val="auto"/>
                <w:lang w:eastAsia="pl-PL"/>
              </w:rPr>
            </w:pPr>
            <w:r w:rsidRPr="00466AB6">
              <w:rPr>
                <w:rFonts w:cs="Arial"/>
                <w:color w:val="auto"/>
                <w:szCs w:val="16"/>
              </w:rPr>
              <w:t>5,3</w:t>
            </w:r>
          </w:p>
        </w:tc>
        <w:tc>
          <w:tcPr>
            <w:tcW w:w="1269" w:type="dxa"/>
            <w:noWrap/>
            <w:hideMark/>
          </w:tcPr>
          <w:p w14:paraId="4CAC0842" w14:textId="3D8FAEDC" w:rsidR="00466AB6" w:rsidRPr="00466AB6" w:rsidRDefault="00466AB6" w:rsidP="00466AB6">
            <w:pPr>
              <w:pStyle w:val="Tabele"/>
              <w:jc w:val="right"/>
              <w:rPr>
                <w:color w:val="auto"/>
                <w:lang w:eastAsia="pl-PL"/>
              </w:rPr>
            </w:pPr>
            <w:r w:rsidRPr="00466AB6">
              <w:rPr>
                <w:rFonts w:cs="Arial"/>
                <w:color w:val="auto"/>
                <w:szCs w:val="16"/>
              </w:rPr>
              <w:t>4,0</w:t>
            </w:r>
          </w:p>
        </w:tc>
      </w:tr>
    </w:tbl>
    <w:p w14:paraId="0A1DBA1E" w14:textId="5D6B102F" w:rsidR="005C4144" w:rsidRPr="009E6303" w:rsidRDefault="005C4144" w:rsidP="00422A26">
      <w:pPr>
        <w:pStyle w:val="Legenda"/>
        <w:keepNext/>
      </w:pPr>
      <w:r>
        <w:t>Źródło: opracowanie własne ARE S.A.</w:t>
      </w:r>
    </w:p>
    <w:p w14:paraId="3179B551" w14:textId="28F60406" w:rsidR="005C4144" w:rsidRPr="00627461" w:rsidRDefault="005C4144" w:rsidP="00B10B28">
      <w:pPr>
        <w:pStyle w:val="Nagwek3"/>
      </w:pPr>
      <w:bookmarkStart w:id="526" w:name="_Toc202966907"/>
      <w:r w:rsidRPr="00627461">
        <w:t>Ceny energii elektrycznej w podziale na sektory</w:t>
      </w:r>
      <w:bookmarkEnd w:id="526"/>
    </w:p>
    <w:p w14:paraId="0CE9D32A" w14:textId="77777777" w:rsidR="00DC30A5" w:rsidRDefault="00DC30A5" w:rsidP="00DC30A5">
      <w:r w:rsidRPr="00AE6371">
        <w:t xml:space="preserve">Projekcje cen </w:t>
      </w:r>
      <w:r>
        <w:t xml:space="preserve">energii elektrycznej </w:t>
      </w:r>
      <w:r w:rsidRPr="00AE6371">
        <w:t xml:space="preserve">dla odbiorców końcowych powstały na bazie uśrednionych kosztów </w:t>
      </w:r>
      <w:r>
        <w:t>wytwarzania energii elektrycznej</w:t>
      </w:r>
      <w:r w:rsidRPr="00AE6371">
        <w:t xml:space="preserve"> </w:t>
      </w:r>
      <w:r>
        <w:t>zaprezentowanych w poprzednim podpunkcie</w:t>
      </w:r>
      <w:r w:rsidRPr="00AE6371">
        <w:t>.</w:t>
      </w:r>
      <w:r>
        <w:t xml:space="preserve"> Poza kosztami wytwarzania (obejmującymi koszty inwestycyjne, koszty stałe, zmienne i środowiskowe), uwzględnione zostały również</w:t>
      </w:r>
      <w:r w:rsidRPr="00AE6371">
        <w:t xml:space="preserve"> </w:t>
      </w:r>
      <w:r>
        <w:t xml:space="preserve">koszty związane z koniecznością utrzymania odpowiednich rezerw mocy i elastyczności systemu, a także opłaty przesyłowe i dystrybucyjne (w których ważnym komponentem są koszty inwestycji w rozwój i modernizację infrastruktury sieciowej) oraz stosowany obecnie sposób opodatkowania. </w:t>
      </w:r>
    </w:p>
    <w:p w14:paraId="6C20027B" w14:textId="6D8334FF" w:rsidR="008944BC" w:rsidRDefault="00D37229" w:rsidP="008944BC">
      <w:r>
        <w:fldChar w:fldCharType="begin"/>
      </w:r>
      <w:r>
        <w:instrText xml:space="preserve"> REF _Ref195777211 \h </w:instrText>
      </w:r>
      <w:r>
        <w:fldChar w:fldCharType="separate"/>
      </w:r>
      <w:r w:rsidR="00F27D6F" w:rsidRPr="00E935D0">
        <w:t xml:space="preserve">Tabela </w:t>
      </w:r>
      <w:r w:rsidR="00F27D6F">
        <w:rPr>
          <w:noProof/>
        </w:rPr>
        <w:t>4</w:t>
      </w:r>
      <w:r w:rsidR="00F27D6F">
        <w:t>.</w:t>
      </w:r>
      <w:r w:rsidR="00F27D6F">
        <w:rPr>
          <w:noProof/>
        </w:rPr>
        <w:t>3</w:t>
      </w:r>
      <w:r>
        <w:fldChar w:fldCharType="end"/>
      </w:r>
      <w:r w:rsidR="005C4144" w:rsidRPr="00D23056">
        <w:t xml:space="preserve"> </w:t>
      </w:r>
      <w:r w:rsidR="008944BC" w:rsidRPr="00D23056">
        <w:t>przedstawia projekcje cen</w:t>
      </w:r>
      <w:r w:rsidR="008944BC">
        <w:t xml:space="preserve"> energii elektrycznej dla trzech grup</w:t>
      </w:r>
      <w:r w:rsidR="008944BC" w:rsidRPr="00D23056">
        <w:t xml:space="preserve"> odbiorców koń</w:t>
      </w:r>
      <w:r w:rsidR="008944BC">
        <w:t xml:space="preserve">cowych – gospodarstw domowych, </w:t>
      </w:r>
      <w:r w:rsidR="008944BC" w:rsidRPr="00D23056">
        <w:t>przemysłu</w:t>
      </w:r>
      <w:r w:rsidR="008944BC">
        <w:t xml:space="preserve"> i usług</w:t>
      </w:r>
      <w:r w:rsidR="008944BC" w:rsidRPr="00D23056">
        <w:t xml:space="preserve">. Zaprezentowane ceny są cenami uśrednionymi, zawierającymi podatki (w obliczeniach przyjęto wysokość akcyzy na poziomie 0,02 PLN/kWh w cenach bieżących oraz podatku VAT na poziomie 23% w całym horyzoncie prognozy). </w:t>
      </w:r>
      <w:r w:rsidR="008944BC">
        <w:t xml:space="preserve">Ceny </w:t>
      </w:r>
      <w:r w:rsidR="008944BC" w:rsidRPr="00AE6371">
        <w:t xml:space="preserve">energii elektrycznej dla </w:t>
      </w:r>
      <w:r w:rsidR="008944BC" w:rsidRPr="0052009D">
        <w:t xml:space="preserve">odbiorców przemysłowych </w:t>
      </w:r>
      <w:r w:rsidR="008944BC">
        <w:t xml:space="preserve">nie zawierają podatku VAT, ponieważ jest on </w:t>
      </w:r>
      <w:r w:rsidR="008944BC" w:rsidRPr="0052009D">
        <w:t>refundowany przez Skarb Państw</w:t>
      </w:r>
      <w:r w:rsidR="008944BC">
        <w:t>a.</w:t>
      </w:r>
    </w:p>
    <w:p w14:paraId="230C2956" w14:textId="4CA0C5A9" w:rsidR="008944BC" w:rsidRPr="00D23056" w:rsidRDefault="008944BC" w:rsidP="008944BC">
      <w:r w:rsidRPr="00D23056">
        <w:t xml:space="preserve">Zgodnie z uzyskanymi wynikami przewiduje się stopniowy </w:t>
      </w:r>
      <w:r>
        <w:t>spadek</w:t>
      </w:r>
      <w:r w:rsidRPr="00D23056">
        <w:t xml:space="preserve"> cen energii elektrycznej w</w:t>
      </w:r>
      <w:r w:rsidR="00C7033C">
        <w:t> </w:t>
      </w:r>
      <w:r w:rsidRPr="00D23056">
        <w:t xml:space="preserve">rozpatrywanych grupach odbiorców końcowych. Głównym czynnikiem determinującym prognozowany </w:t>
      </w:r>
      <w:r>
        <w:t>spadek</w:t>
      </w:r>
      <w:r w:rsidRPr="00D23056">
        <w:t xml:space="preserve"> są </w:t>
      </w:r>
      <w:r>
        <w:t xml:space="preserve">prognozowane spadki uśrednionych kosztów wytwarzania w systemie zaprezentowane w tabeli </w:t>
      </w:r>
      <w:r w:rsidR="00C93202">
        <w:t>(</w:t>
      </w:r>
      <w:r w:rsidR="002E4188">
        <w:fldChar w:fldCharType="begin"/>
      </w:r>
      <w:r w:rsidR="002E4188">
        <w:instrText xml:space="preserve"> REF _Ref197351388 \h </w:instrText>
      </w:r>
      <w:r w:rsidR="002E4188">
        <w:fldChar w:fldCharType="separate"/>
      </w:r>
      <w:r w:rsidR="00F27D6F">
        <w:t xml:space="preserve">Tabela </w:t>
      </w:r>
      <w:r w:rsidR="00F27D6F">
        <w:rPr>
          <w:noProof/>
        </w:rPr>
        <w:t>4</w:t>
      </w:r>
      <w:r w:rsidR="00F27D6F">
        <w:t>.</w:t>
      </w:r>
      <w:r w:rsidR="00F27D6F">
        <w:rPr>
          <w:noProof/>
        </w:rPr>
        <w:t>1</w:t>
      </w:r>
      <w:r w:rsidR="002E4188">
        <w:fldChar w:fldCharType="end"/>
      </w:r>
      <w:r>
        <w:t xml:space="preserve">), osiągnięte głównie </w:t>
      </w:r>
      <w:r w:rsidRPr="00F745B9">
        <w:t>za sprawą szybkiego zwiększania udziału OZE w miksie energetycznym oraz zwiększanie się udziału odbiorców działających w ramach lokalnych spółdzielni energetycznych(przemysł/strefy ekonomiczne/in</w:t>
      </w:r>
      <w:r>
        <w:t>ne</w:t>
      </w:r>
      <w:r w:rsidRPr="00F745B9">
        <w:t>).</w:t>
      </w:r>
      <w:r w:rsidR="00A058F6">
        <w:t xml:space="preserve"> </w:t>
      </w:r>
    </w:p>
    <w:p w14:paraId="727A8277" w14:textId="379D3B8D" w:rsidR="00E9009F" w:rsidRPr="00E935D0" w:rsidRDefault="005C4144" w:rsidP="00E9009F">
      <w:pPr>
        <w:pStyle w:val="Legenda"/>
        <w:rPr>
          <w:bCs/>
        </w:rPr>
      </w:pPr>
      <w:bookmarkStart w:id="527" w:name="_Ref195777211"/>
      <w:bookmarkStart w:id="528" w:name="_Toc202967004"/>
      <w:r w:rsidRPr="00E935D0">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4</w:t>
      </w:r>
      <w:r w:rsidR="00653D9A">
        <w:rPr>
          <w:noProof/>
        </w:rPr>
        <w:fldChar w:fldCharType="end"/>
      </w:r>
      <w:r w:rsidR="00AF00A4">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3</w:t>
      </w:r>
      <w:r w:rsidR="00653D9A">
        <w:rPr>
          <w:noProof/>
        </w:rPr>
        <w:fldChar w:fldCharType="end"/>
      </w:r>
      <w:bookmarkEnd w:id="527"/>
      <w:r w:rsidR="00AF00A4">
        <w:t>.</w:t>
      </w:r>
      <w:r w:rsidRPr="00E935D0">
        <w:t xml:space="preserve"> </w:t>
      </w:r>
      <w:r w:rsidR="00E9009F" w:rsidRPr="00E935D0">
        <w:t>Ceny energii elektrycznej z podziałem na sekto</w:t>
      </w:r>
      <w:r w:rsidR="00E9009F">
        <w:t>r [EUR'202</w:t>
      </w:r>
      <w:r w:rsidR="00E37509">
        <w:t>4</w:t>
      </w:r>
      <w:r w:rsidR="00E9009F">
        <w:t>/kWh] – scenariusz WA</w:t>
      </w:r>
      <w:r w:rsidR="00E9009F" w:rsidRPr="00E935D0">
        <w:t>M</w:t>
      </w:r>
      <w:bookmarkEnd w:id="528"/>
    </w:p>
    <w:tbl>
      <w:tblPr>
        <w:tblStyle w:val="KPEiK"/>
        <w:tblW w:w="5132" w:type="pct"/>
        <w:tblInd w:w="-147" w:type="dxa"/>
        <w:tblLayout w:type="fixed"/>
        <w:tblLook w:val="04A0" w:firstRow="1" w:lastRow="0" w:firstColumn="1" w:lastColumn="0" w:noHBand="0" w:noVBand="1"/>
      </w:tblPr>
      <w:tblGrid>
        <w:gridCol w:w="1135"/>
        <w:gridCol w:w="660"/>
        <w:gridCol w:w="661"/>
        <w:gridCol w:w="661"/>
        <w:gridCol w:w="661"/>
        <w:gridCol w:w="660"/>
        <w:gridCol w:w="661"/>
        <w:gridCol w:w="661"/>
        <w:gridCol w:w="661"/>
        <w:gridCol w:w="940"/>
        <w:gridCol w:w="1034"/>
        <w:gridCol w:w="906"/>
      </w:tblGrid>
      <w:tr w:rsidR="00784407" w:rsidRPr="00D92702" w14:paraId="3FE5626A" w14:textId="76DCB8B0" w:rsidTr="00C63C21">
        <w:trPr>
          <w:cnfStyle w:val="100000000000" w:firstRow="1" w:lastRow="0" w:firstColumn="0" w:lastColumn="0" w:oddVBand="0" w:evenVBand="0" w:oddHBand="0" w:evenHBand="0" w:firstRowFirstColumn="0" w:firstRowLastColumn="0" w:lastRowFirstColumn="0" w:lastRowLastColumn="0"/>
          <w:trHeight w:val="368"/>
          <w:tblHeader/>
        </w:trPr>
        <w:tc>
          <w:tcPr>
            <w:tcW w:w="1135" w:type="dxa"/>
            <w:noWrap/>
            <w:hideMark/>
          </w:tcPr>
          <w:p w14:paraId="60EC1606" w14:textId="77777777" w:rsidR="004C58DA" w:rsidRPr="00D92702" w:rsidRDefault="004C58DA">
            <w:pPr>
              <w:pStyle w:val="Tabele"/>
              <w:jc w:val="center"/>
            </w:pPr>
          </w:p>
        </w:tc>
        <w:tc>
          <w:tcPr>
            <w:tcW w:w="660" w:type="dxa"/>
            <w:hideMark/>
          </w:tcPr>
          <w:p w14:paraId="5C15DBB0" w14:textId="77777777" w:rsidR="004C58DA" w:rsidRPr="00D92702" w:rsidRDefault="004C58DA">
            <w:pPr>
              <w:pStyle w:val="Tabele"/>
              <w:jc w:val="center"/>
            </w:pPr>
            <w:r w:rsidRPr="00D92702">
              <w:t>2005</w:t>
            </w:r>
          </w:p>
        </w:tc>
        <w:tc>
          <w:tcPr>
            <w:tcW w:w="661" w:type="dxa"/>
            <w:hideMark/>
          </w:tcPr>
          <w:p w14:paraId="4D99E446" w14:textId="77777777" w:rsidR="004C58DA" w:rsidRPr="00D92702" w:rsidRDefault="004C58DA">
            <w:pPr>
              <w:pStyle w:val="Tabele"/>
              <w:jc w:val="center"/>
            </w:pPr>
            <w:r w:rsidRPr="00D92702">
              <w:t>2010</w:t>
            </w:r>
          </w:p>
        </w:tc>
        <w:tc>
          <w:tcPr>
            <w:tcW w:w="661" w:type="dxa"/>
            <w:hideMark/>
          </w:tcPr>
          <w:p w14:paraId="23D73C81" w14:textId="77777777" w:rsidR="004C58DA" w:rsidRPr="00D92702" w:rsidRDefault="004C58DA">
            <w:pPr>
              <w:pStyle w:val="Tabele"/>
              <w:jc w:val="center"/>
            </w:pPr>
            <w:r w:rsidRPr="00D92702">
              <w:t>2015</w:t>
            </w:r>
          </w:p>
        </w:tc>
        <w:tc>
          <w:tcPr>
            <w:tcW w:w="661" w:type="dxa"/>
            <w:hideMark/>
          </w:tcPr>
          <w:p w14:paraId="1338E9FF" w14:textId="77777777" w:rsidR="004C58DA" w:rsidRPr="00D92702" w:rsidRDefault="004C58DA">
            <w:pPr>
              <w:pStyle w:val="Tabele"/>
              <w:jc w:val="center"/>
            </w:pPr>
            <w:r w:rsidRPr="00D92702">
              <w:t>2020</w:t>
            </w:r>
          </w:p>
        </w:tc>
        <w:tc>
          <w:tcPr>
            <w:tcW w:w="660" w:type="dxa"/>
            <w:hideMark/>
          </w:tcPr>
          <w:p w14:paraId="097599E8" w14:textId="77777777" w:rsidR="004C58DA" w:rsidRPr="00D92702" w:rsidRDefault="004C58DA">
            <w:pPr>
              <w:pStyle w:val="Tabele"/>
              <w:jc w:val="center"/>
            </w:pPr>
            <w:r w:rsidRPr="00D92702">
              <w:t>2025</w:t>
            </w:r>
          </w:p>
        </w:tc>
        <w:tc>
          <w:tcPr>
            <w:tcW w:w="661" w:type="dxa"/>
            <w:hideMark/>
          </w:tcPr>
          <w:p w14:paraId="7F9E0A95" w14:textId="77777777" w:rsidR="004C58DA" w:rsidRPr="00D92702" w:rsidRDefault="004C58DA">
            <w:pPr>
              <w:pStyle w:val="Tabele"/>
              <w:jc w:val="center"/>
            </w:pPr>
            <w:r w:rsidRPr="00D92702">
              <w:t>2030</w:t>
            </w:r>
          </w:p>
        </w:tc>
        <w:tc>
          <w:tcPr>
            <w:tcW w:w="661" w:type="dxa"/>
            <w:hideMark/>
          </w:tcPr>
          <w:p w14:paraId="6D08E3E5" w14:textId="77777777" w:rsidR="004C58DA" w:rsidRPr="00D92702" w:rsidRDefault="004C58DA">
            <w:pPr>
              <w:pStyle w:val="Tabele"/>
              <w:jc w:val="center"/>
            </w:pPr>
            <w:r w:rsidRPr="00D92702">
              <w:t>2035</w:t>
            </w:r>
          </w:p>
        </w:tc>
        <w:tc>
          <w:tcPr>
            <w:tcW w:w="661" w:type="dxa"/>
            <w:tcBorders>
              <w:right w:val="double" w:sz="4" w:space="0" w:color="auto"/>
            </w:tcBorders>
          </w:tcPr>
          <w:p w14:paraId="091BCC72" w14:textId="77777777" w:rsidR="004C58DA" w:rsidRPr="00D92702" w:rsidRDefault="004C58DA">
            <w:pPr>
              <w:pStyle w:val="Tabele"/>
              <w:jc w:val="center"/>
            </w:pPr>
            <w:r w:rsidRPr="00D92702">
              <w:t>2040</w:t>
            </w:r>
          </w:p>
        </w:tc>
        <w:tc>
          <w:tcPr>
            <w:tcW w:w="940" w:type="dxa"/>
            <w:tcBorders>
              <w:left w:val="double" w:sz="4" w:space="0" w:color="auto"/>
            </w:tcBorders>
          </w:tcPr>
          <w:p w14:paraId="6CFA8A64" w14:textId="24DFF574" w:rsidR="004C58DA" w:rsidRPr="00D92702" w:rsidRDefault="004D3E61">
            <w:pPr>
              <w:pStyle w:val="Tabele"/>
              <w:jc w:val="center"/>
            </w:pPr>
            <w:r>
              <w:t>2030/2025</w:t>
            </w:r>
          </w:p>
        </w:tc>
        <w:tc>
          <w:tcPr>
            <w:tcW w:w="1034" w:type="dxa"/>
          </w:tcPr>
          <w:p w14:paraId="7016A796" w14:textId="3419E40C" w:rsidR="004C58DA" w:rsidRPr="00D92702" w:rsidRDefault="00635399">
            <w:pPr>
              <w:pStyle w:val="Tabele"/>
              <w:jc w:val="center"/>
            </w:pPr>
            <w:r>
              <w:t>2035/2025</w:t>
            </w:r>
          </w:p>
        </w:tc>
        <w:tc>
          <w:tcPr>
            <w:tcW w:w="906" w:type="dxa"/>
          </w:tcPr>
          <w:p w14:paraId="0CA620C4" w14:textId="1A3FEFF9" w:rsidR="004C58DA" w:rsidRPr="00D92702" w:rsidRDefault="00635399">
            <w:pPr>
              <w:pStyle w:val="Tabele"/>
              <w:jc w:val="center"/>
            </w:pPr>
            <w:r>
              <w:t>2040/2025</w:t>
            </w:r>
          </w:p>
        </w:tc>
      </w:tr>
      <w:tr w:rsidR="008503D1" w:rsidRPr="00D92702" w14:paraId="7660322A" w14:textId="50391EEE" w:rsidTr="00C63C21">
        <w:trPr>
          <w:trHeight w:val="368"/>
        </w:trPr>
        <w:tc>
          <w:tcPr>
            <w:tcW w:w="1135" w:type="dxa"/>
            <w:hideMark/>
          </w:tcPr>
          <w:p w14:paraId="5DFD4A48" w14:textId="77777777" w:rsidR="008503D1" w:rsidRPr="007E0396" w:rsidRDefault="008503D1" w:rsidP="008503D1">
            <w:pPr>
              <w:pStyle w:val="Tabele"/>
              <w:rPr>
                <w:color w:val="auto"/>
              </w:rPr>
            </w:pPr>
            <w:r w:rsidRPr="007E0396">
              <w:rPr>
                <w:color w:val="auto"/>
              </w:rPr>
              <w:t>Gospodarstwa domowe</w:t>
            </w:r>
          </w:p>
        </w:tc>
        <w:tc>
          <w:tcPr>
            <w:tcW w:w="660" w:type="dxa"/>
            <w:shd w:val="clear" w:color="auto" w:fill="C5E0B3"/>
            <w:noWrap/>
          </w:tcPr>
          <w:p w14:paraId="59179AD3" w14:textId="4E3C90FB" w:rsidR="008503D1" w:rsidRPr="00CA1965" w:rsidRDefault="008503D1" w:rsidP="008503D1">
            <w:pPr>
              <w:pStyle w:val="Tabele"/>
              <w:jc w:val="right"/>
              <w:rPr>
                <w:color w:val="auto"/>
                <w:szCs w:val="16"/>
              </w:rPr>
            </w:pPr>
            <w:r w:rsidRPr="00CA1965">
              <w:rPr>
                <w:color w:val="000000"/>
                <w:szCs w:val="16"/>
              </w:rPr>
              <w:t>0,144</w:t>
            </w:r>
          </w:p>
        </w:tc>
        <w:tc>
          <w:tcPr>
            <w:tcW w:w="661" w:type="dxa"/>
            <w:shd w:val="clear" w:color="auto" w:fill="C5E0B3"/>
            <w:noWrap/>
          </w:tcPr>
          <w:p w14:paraId="799B755A" w14:textId="0FFDCAEE" w:rsidR="008503D1" w:rsidRPr="00CA1965" w:rsidRDefault="008503D1" w:rsidP="008503D1">
            <w:pPr>
              <w:pStyle w:val="Tabele"/>
              <w:jc w:val="right"/>
              <w:rPr>
                <w:color w:val="auto"/>
                <w:szCs w:val="16"/>
              </w:rPr>
            </w:pPr>
            <w:r w:rsidRPr="00CA1965">
              <w:rPr>
                <w:color w:val="000000"/>
                <w:szCs w:val="16"/>
              </w:rPr>
              <w:t>0,182</w:t>
            </w:r>
          </w:p>
        </w:tc>
        <w:tc>
          <w:tcPr>
            <w:tcW w:w="661" w:type="dxa"/>
            <w:shd w:val="clear" w:color="auto" w:fill="C5E0B3"/>
            <w:noWrap/>
          </w:tcPr>
          <w:p w14:paraId="5BF202B1" w14:textId="4C9FC43B" w:rsidR="008503D1" w:rsidRPr="00CA1965" w:rsidRDefault="008503D1" w:rsidP="008503D1">
            <w:pPr>
              <w:pStyle w:val="Tabele"/>
              <w:jc w:val="right"/>
              <w:rPr>
                <w:color w:val="auto"/>
                <w:szCs w:val="16"/>
              </w:rPr>
            </w:pPr>
            <w:r w:rsidRPr="00CA1965">
              <w:rPr>
                <w:color w:val="000000"/>
                <w:szCs w:val="16"/>
              </w:rPr>
              <w:t>0,190</w:t>
            </w:r>
          </w:p>
        </w:tc>
        <w:tc>
          <w:tcPr>
            <w:tcW w:w="661" w:type="dxa"/>
            <w:shd w:val="clear" w:color="auto" w:fill="C5E0B3"/>
            <w:noWrap/>
          </w:tcPr>
          <w:p w14:paraId="6E5E2A06" w14:textId="0160F741" w:rsidR="008503D1" w:rsidRPr="00CA1965" w:rsidRDefault="008503D1" w:rsidP="008503D1">
            <w:pPr>
              <w:pStyle w:val="Tabele"/>
              <w:jc w:val="right"/>
              <w:rPr>
                <w:color w:val="auto"/>
                <w:szCs w:val="16"/>
              </w:rPr>
            </w:pPr>
            <w:r w:rsidRPr="00CA1965">
              <w:rPr>
                <w:color w:val="000000"/>
                <w:szCs w:val="16"/>
              </w:rPr>
              <w:t>0,179</w:t>
            </w:r>
          </w:p>
        </w:tc>
        <w:tc>
          <w:tcPr>
            <w:tcW w:w="660" w:type="dxa"/>
            <w:noWrap/>
          </w:tcPr>
          <w:p w14:paraId="2D7F0D56" w14:textId="4D53B498" w:rsidR="008503D1" w:rsidRPr="00CA1965" w:rsidRDefault="008503D1" w:rsidP="008503D1">
            <w:pPr>
              <w:pStyle w:val="Tabele"/>
              <w:jc w:val="right"/>
              <w:rPr>
                <w:color w:val="auto"/>
                <w:szCs w:val="16"/>
              </w:rPr>
            </w:pPr>
            <w:r w:rsidRPr="00CA1965">
              <w:rPr>
                <w:rFonts w:cs="Arial"/>
                <w:color w:val="000000"/>
                <w:szCs w:val="16"/>
              </w:rPr>
              <w:t>0,273</w:t>
            </w:r>
            <w:r w:rsidR="00E5254C">
              <w:rPr>
                <w:rFonts w:cs="Arial"/>
                <w:color w:val="000000"/>
                <w:szCs w:val="16"/>
              </w:rPr>
              <w:t>*</w:t>
            </w:r>
          </w:p>
        </w:tc>
        <w:tc>
          <w:tcPr>
            <w:tcW w:w="661" w:type="dxa"/>
            <w:noWrap/>
          </w:tcPr>
          <w:p w14:paraId="7E2F581B" w14:textId="234B6283" w:rsidR="008503D1" w:rsidRPr="00CA1965" w:rsidRDefault="008503D1" w:rsidP="008503D1">
            <w:pPr>
              <w:pStyle w:val="Tabele"/>
              <w:jc w:val="right"/>
              <w:rPr>
                <w:color w:val="auto"/>
                <w:szCs w:val="16"/>
              </w:rPr>
            </w:pPr>
            <w:r w:rsidRPr="00CA1965">
              <w:rPr>
                <w:rFonts w:cs="Arial"/>
                <w:color w:val="000000"/>
                <w:szCs w:val="16"/>
              </w:rPr>
              <w:t>0,261</w:t>
            </w:r>
          </w:p>
        </w:tc>
        <w:tc>
          <w:tcPr>
            <w:tcW w:w="661" w:type="dxa"/>
            <w:noWrap/>
          </w:tcPr>
          <w:p w14:paraId="79540907" w14:textId="42853C57" w:rsidR="008503D1" w:rsidRPr="00CA1965" w:rsidRDefault="008503D1" w:rsidP="008503D1">
            <w:pPr>
              <w:pStyle w:val="Tabele"/>
              <w:jc w:val="right"/>
              <w:rPr>
                <w:color w:val="auto"/>
                <w:szCs w:val="16"/>
              </w:rPr>
            </w:pPr>
            <w:r w:rsidRPr="00CA1965">
              <w:rPr>
                <w:rFonts w:cs="Arial"/>
                <w:color w:val="000000"/>
                <w:szCs w:val="16"/>
              </w:rPr>
              <w:t>0,225</w:t>
            </w:r>
          </w:p>
        </w:tc>
        <w:tc>
          <w:tcPr>
            <w:tcW w:w="661" w:type="dxa"/>
            <w:tcBorders>
              <w:right w:val="double" w:sz="4" w:space="0" w:color="auto"/>
            </w:tcBorders>
          </w:tcPr>
          <w:p w14:paraId="27EB5040" w14:textId="29476142" w:rsidR="008503D1" w:rsidRPr="00CA1965" w:rsidRDefault="008503D1" w:rsidP="008503D1">
            <w:pPr>
              <w:pStyle w:val="Tabele"/>
              <w:jc w:val="right"/>
              <w:rPr>
                <w:color w:val="auto"/>
                <w:szCs w:val="16"/>
              </w:rPr>
            </w:pPr>
            <w:r w:rsidRPr="00CA1965">
              <w:rPr>
                <w:rFonts w:cs="Arial"/>
                <w:color w:val="000000"/>
                <w:szCs w:val="16"/>
              </w:rPr>
              <w:t>0,192</w:t>
            </w:r>
          </w:p>
        </w:tc>
        <w:tc>
          <w:tcPr>
            <w:tcW w:w="940" w:type="dxa"/>
            <w:tcBorders>
              <w:left w:val="double" w:sz="4" w:space="0" w:color="auto"/>
            </w:tcBorders>
          </w:tcPr>
          <w:p w14:paraId="71D2AB6A" w14:textId="497BDFC2" w:rsidR="008503D1" w:rsidRPr="00CA1965" w:rsidRDefault="008503D1" w:rsidP="008503D1">
            <w:pPr>
              <w:pStyle w:val="Tabele"/>
              <w:jc w:val="right"/>
              <w:rPr>
                <w:rFonts w:cs="Arial"/>
                <w:b/>
                <w:bCs/>
                <w:color w:val="auto"/>
                <w:szCs w:val="16"/>
              </w:rPr>
            </w:pPr>
            <w:r w:rsidRPr="00CA1965">
              <w:rPr>
                <w:rFonts w:cs="Arial"/>
                <w:b/>
                <w:bCs/>
                <w:color w:val="auto"/>
                <w:szCs w:val="16"/>
              </w:rPr>
              <w:t>-4,41%</w:t>
            </w:r>
          </w:p>
        </w:tc>
        <w:tc>
          <w:tcPr>
            <w:tcW w:w="1034" w:type="dxa"/>
          </w:tcPr>
          <w:p w14:paraId="171E64EB" w14:textId="394C4795" w:rsidR="008503D1" w:rsidRPr="00CA1965" w:rsidRDefault="008503D1" w:rsidP="008503D1">
            <w:pPr>
              <w:pStyle w:val="Tabele"/>
              <w:jc w:val="right"/>
              <w:rPr>
                <w:rFonts w:cs="Arial"/>
                <w:b/>
                <w:bCs/>
                <w:color w:val="auto"/>
                <w:szCs w:val="16"/>
              </w:rPr>
            </w:pPr>
            <w:r w:rsidRPr="00CA1965">
              <w:rPr>
                <w:rFonts w:cs="Arial"/>
                <w:b/>
                <w:bCs/>
                <w:color w:val="auto"/>
                <w:szCs w:val="16"/>
              </w:rPr>
              <w:t>-17,62%</w:t>
            </w:r>
          </w:p>
        </w:tc>
        <w:tc>
          <w:tcPr>
            <w:tcW w:w="906" w:type="dxa"/>
          </w:tcPr>
          <w:p w14:paraId="3A64752A" w14:textId="736C70FE" w:rsidR="008503D1" w:rsidRPr="00CA1965" w:rsidRDefault="008503D1" w:rsidP="008503D1">
            <w:pPr>
              <w:pStyle w:val="Tabele"/>
              <w:jc w:val="right"/>
              <w:rPr>
                <w:rFonts w:cs="Arial"/>
                <w:b/>
                <w:bCs/>
                <w:color w:val="auto"/>
                <w:szCs w:val="16"/>
              </w:rPr>
            </w:pPr>
            <w:r w:rsidRPr="00CA1965">
              <w:rPr>
                <w:rFonts w:cs="Arial"/>
                <w:b/>
                <w:bCs/>
                <w:color w:val="auto"/>
                <w:szCs w:val="16"/>
              </w:rPr>
              <w:t>-29,52%</w:t>
            </w:r>
          </w:p>
        </w:tc>
      </w:tr>
      <w:tr w:rsidR="008503D1" w:rsidRPr="00D92702" w14:paraId="08369FB3" w14:textId="04DFE482" w:rsidTr="00C63C21">
        <w:trPr>
          <w:trHeight w:val="368"/>
        </w:trPr>
        <w:tc>
          <w:tcPr>
            <w:tcW w:w="1135" w:type="dxa"/>
            <w:noWrap/>
            <w:hideMark/>
          </w:tcPr>
          <w:p w14:paraId="63716174" w14:textId="77777777" w:rsidR="008503D1" w:rsidRPr="007E0396" w:rsidRDefault="008503D1" w:rsidP="008503D1">
            <w:pPr>
              <w:pStyle w:val="Tabele"/>
              <w:rPr>
                <w:color w:val="auto"/>
              </w:rPr>
            </w:pPr>
            <w:r w:rsidRPr="007E0396">
              <w:rPr>
                <w:color w:val="auto"/>
              </w:rPr>
              <w:t>Przemysł</w:t>
            </w:r>
          </w:p>
        </w:tc>
        <w:tc>
          <w:tcPr>
            <w:tcW w:w="660" w:type="dxa"/>
            <w:shd w:val="clear" w:color="auto" w:fill="C5E0B3"/>
            <w:noWrap/>
          </w:tcPr>
          <w:p w14:paraId="0FB48413" w14:textId="4BA70AB1" w:rsidR="008503D1" w:rsidRPr="00CA1965" w:rsidRDefault="008503D1" w:rsidP="008503D1">
            <w:pPr>
              <w:pStyle w:val="Tabele"/>
              <w:jc w:val="right"/>
              <w:rPr>
                <w:color w:val="auto"/>
                <w:szCs w:val="16"/>
              </w:rPr>
            </w:pPr>
            <w:r w:rsidRPr="00CA1965">
              <w:rPr>
                <w:color w:val="000000"/>
                <w:szCs w:val="16"/>
              </w:rPr>
              <w:t>0,083</w:t>
            </w:r>
          </w:p>
        </w:tc>
        <w:tc>
          <w:tcPr>
            <w:tcW w:w="661" w:type="dxa"/>
            <w:shd w:val="clear" w:color="auto" w:fill="C5E0B3"/>
            <w:noWrap/>
          </w:tcPr>
          <w:p w14:paraId="1B3B73B8" w14:textId="0261EBA3" w:rsidR="008503D1" w:rsidRPr="00CA1965" w:rsidRDefault="008503D1" w:rsidP="008503D1">
            <w:pPr>
              <w:pStyle w:val="Tabele"/>
              <w:jc w:val="right"/>
              <w:rPr>
                <w:color w:val="auto"/>
                <w:szCs w:val="16"/>
              </w:rPr>
            </w:pPr>
            <w:r w:rsidRPr="00CA1965">
              <w:rPr>
                <w:color w:val="000000"/>
                <w:szCs w:val="16"/>
              </w:rPr>
              <w:t>0,126</w:t>
            </w:r>
          </w:p>
        </w:tc>
        <w:tc>
          <w:tcPr>
            <w:tcW w:w="661" w:type="dxa"/>
            <w:shd w:val="clear" w:color="auto" w:fill="C5E0B3"/>
            <w:noWrap/>
          </w:tcPr>
          <w:p w14:paraId="52D310C4" w14:textId="79AD507F" w:rsidR="008503D1" w:rsidRPr="00CA1965" w:rsidRDefault="008503D1" w:rsidP="008503D1">
            <w:pPr>
              <w:pStyle w:val="Tabele"/>
              <w:jc w:val="right"/>
              <w:rPr>
                <w:color w:val="auto"/>
                <w:szCs w:val="16"/>
              </w:rPr>
            </w:pPr>
            <w:r w:rsidRPr="00CA1965">
              <w:rPr>
                <w:color w:val="000000"/>
                <w:szCs w:val="16"/>
              </w:rPr>
              <w:t>0,103</w:t>
            </w:r>
          </w:p>
        </w:tc>
        <w:tc>
          <w:tcPr>
            <w:tcW w:w="661" w:type="dxa"/>
            <w:shd w:val="clear" w:color="auto" w:fill="C5E0B3"/>
            <w:noWrap/>
          </w:tcPr>
          <w:p w14:paraId="06370E84" w14:textId="6369A14E" w:rsidR="008503D1" w:rsidRPr="00CA1965" w:rsidRDefault="008503D1" w:rsidP="008503D1">
            <w:pPr>
              <w:pStyle w:val="Tabele"/>
              <w:jc w:val="right"/>
              <w:rPr>
                <w:color w:val="auto"/>
                <w:szCs w:val="16"/>
              </w:rPr>
            </w:pPr>
            <w:r w:rsidRPr="00CA1965">
              <w:rPr>
                <w:color w:val="000000"/>
                <w:szCs w:val="16"/>
              </w:rPr>
              <w:t>0,113</w:t>
            </w:r>
          </w:p>
        </w:tc>
        <w:tc>
          <w:tcPr>
            <w:tcW w:w="660" w:type="dxa"/>
            <w:noWrap/>
          </w:tcPr>
          <w:p w14:paraId="0934933B" w14:textId="45733F66" w:rsidR="008503D1" w:rsidRPr="00CA1965" w:rsidRDefault="008503D1" w:rsidP="008503D1">
            <w:pPr>
              <w:pStyle w:val="Tabele"/>
              <w:jc w:val="right"/>
              <w:rPr>
                <w:color w:val="auto"/>
                <w:szCs w:val="16"/>
              </w:rPr>
            </w:pPr>
            <w:r w:rsidRPr="00CA1965">
              <w:rPr>
                <w:rFonts w:cs="Arial"/>
                <w:color w:val="000000"/>
                <w:szCs w:val="16"/>
              </w:rPr>
              <w:t>0,192</w:t>
            </w:r>
          </w:p>
        </w:tc>
        <w:tc>
          <w:tcPr>
            <w:tcW w:w="661" w:type="dxa"/>
            <w:noWrap/>
          </w:tcPr>
          <w:p w14:paraId="4100F787" w14:textId="4221F4F4" w:rsidR="008503D1" w:rsidRPr="00CA1965" w:rsidRDefault="008503D1" w:rsidP="008503D1">
            <w:pPr>
              <w:pStyle w:val="Tabele"/>
              <w:jc w:val="right"/>
              <w:rPr>
                <w:color w:val="auto"/>
                <w:szCs w:val="16"/>
              </w:rPr>
            </w:pPr>
            <w:r w:rsidRPr="00CA1965">
              <w:rPr>
                <w:rFonts w:cs="Arial"/>
                <w:color w:val="000000"/>
                <w:szCs w:val="16"/>
              </w:rPr>
              <w:t>0,179</w:t>
            </w:r>
          </w:p>
        </w:tc>
        <w:tc>
          <w:tcPr>
            <w:tcW w:w="661" w:type="dxa"/>
            <w:noWrap/>
          </w:tcPr>
          <w:p w14:paraId="5D24DF9E" w14:textId="5D6D0167" w:rsidR="008503D1" w:rsidRPr="00CA1965" w:rsidRDefault="008503D1" w:rsidP="008503D1">
            <w:pPr>
              <w:pStyle w:val="Tabele"/>
              <w:jc w:val="right"/>
              <w:rPr>
                <w:color w:val="auto"/>
                <w:szCs w:val="16"/>
              </w:rPr>
            </w:pPr>
            <w:r w:rsidRPr="00CA1965">
              <w:rPr>
                <w:rFonts w:cs="Arial"/>
                <w:color w:val="000000"/>
                <w:szCs w:val="16"/>
              </w:rPr>
              <w:t>0,154</w:t>
            </w:r>
          </w:p>
        </w:tc>
        <w:tc>
          <w:tcPr>
            <w:tcW w:w="661" w:type="dxa"/>
            <w:tcBorders>
              <w:right w:val="double" w:sz="4" w:space="0" w:color="auto"/>
            </w:tcBorders>
          </w:tcPr>
          <w:p w14:paraId="6AA3879D" w14:textId="3DE45CDA" w:rsidR="008503D1" w:rsidRPr="00CA1965" w:rsidRDefault="008503D1" w:rsidP="008503D1">
            <w:pPr>
              <w:pStyle w:val="Tabele"/>
              <w:jc w:val="right"/>
              <w:rPr>
                <w:color w:val="auto"/>
                <w:szCs w:val="16"/>
              </w:rPr>
            </w:pPr>
            <w:r w:rsidRPr="00CA1965">
              <w:rPr>
                <w:rFonts w:cs="Arial"/>
                <w:color w:val="000000"/>
                <w:szCs w:val="16"/>
              </w:rPr>
              <w:t>0,131</w:t>
            </w:r>
          </w:p>
        </w:tc>
        <w:tc>
          <w:tcPr>
            <w:tcW w:w="940" w:type="dxa"/>
            <w:tcBorders>
              <w:left w:val="double" w:sz="4" w:space="0" w:color="auto"/>
            </w:tcBorders>
          </w:tcPr>
          <w:p w14:paraId="0443CE18" w14:textId="0F2F07B9" w:rsidR="008503D1" w:rsidRPr="00CA1965" w:rsidRDefault="008503D1" w:rsidP="008503D1">
            <w:pPr>
              <w:pStyle w:val="Tabele"/>
              <w:jc w:val="right"/>
              <w:rPr>
                <w:rFonts w:cs="Arial"/>
                <w:b/>
                <w:bCs/>
                <w:color w:val="auto"/>
                <w:szCs w:val="16"/>
              </w:rPr>
            </w:pPr>
            <w:r w:rsidRPr="00CA1965">
              <w:rPr>
                <w:rFonts w:cs="Arial"/>
                <w:b/>
                <w:bCs/>
                <w:color w:val="auto"/>
                <w:szCs w:val="16"/>
              </w:rPr>
              <w:t>-6,88%</w:t>
            </w:r>
          </w:p>
        </w:tc>
        <w:tc>
          <w:tcPr>
            <w:tcW w:w="1034" w:type="dxa"/>
          </w:tcPr>
          <w:p w14:paraId="1BAD4463" w14:textId="567FC00A" w:rsidR="008503D1" w:rsidRPr="00CA1965" w:rsidRDefault="008503D1" w:rsidP="008503D1">
            <w:pPr>
              <w:pStyle w:val="Tabele"/>
              <w:jc w:val="right"/>
              <w:rPr>
                <w:rFonts w:cs="Arial"/>
                <w:b/>
                <w:bCs/>
                <w:color w:val="auto"/>
                <w:szCs w:val="16"/>
              </w:rPr>
            </w:pPr>
            <w:r w:rsidRPr="00CA1965">
              <w:rPr>
                <w:rFonts w:cs="Arial"/>
                <w:b/>
                <w:bCs/>
                <w:color w:val="auto"/>
                <w:szCs w:val="16"/>
              </w:rPr>
              <w:t>-20,00%</w:t>
            </w:r>
          </w:p>
        </w:tc>
        <w:tc>
          <w:tcPr>
            <w:tcW w:w="906" w:type="dxa"/>
          </w:tcPr>
          <w:p w14:paraId="1C4E0F11" w14:textId="0AA1D3C1" w:rsidR="008503D1" w:rsidRPr="00CA1965" w:rsidRDefault="008503D1" w:rsidP="008503D1">
            <w:pPr>
              <w:pStyle w:val="Tabele"/>
              <w:jc w:val="right"/>
              <w:rPr>
                <w:rFonts w:cs="Arial"/>
                <w:b/>
                <w:bCs/>
                <w:color w:val="auto"/>
                <w:szCs w:val="16"/>
              </w:rPr>
            </w:pPr>
            <w:r w:rsidRPr="00CA1965">
              <w:rPr>
                <w:rFonts w:cs="Arial"/>
                <w:b/>
                <w:bCs/>
                <w:color w:val="auto"/>
                <w:szCs w:val="16"/>
              </w:rPr>
              <w:t>-31,88%</w:t>
            </w:r>
          </w:p>
        </w:tc>
      </w:tr>
      <w:tr w:rsidR="008503D1" w:rsidRPr="00D92702" w14:paraId="74D11DEE" w14:textId="205B9AB9" w:rsidTr="00C63C21">
        <w:trPr>
          <w:trHeight w:val="368"/>
        </w:trPr>
        <w:tc>
          <w:tcPr>
            <w:tcW w:w="1135" w:type="dxa"/>
            <w:noWrap/>
          </w:tcPr>
          <w:p w14:paraId="32994396" w14:textId="77777777" w:rsidR="008503D1" w:rsidRPr="007E0396" w:rsidRDefault="008503D1" w:rsidP="008503D1">
            <w:pPr>
              <w:pStyle w:val="Tabele"/>
              <w:rPr>
                <w:color w:val="auto"/>
              </w:rPr>
            </w:pPr>
            <w:r w:rsidRPr="007E0396">
              <w:rPr>
                <w:color w:val="auto"/>
              </w:rPr>
              <w:t>Usługi</w:t>
            </w:r>
          </w:p>
        </w:tc>
        <w:tc>
          <w:tcPr>
            <w:tcW w:w="660" w:type="dxa"/>
            <w:shd w:val="clear" w:color="auto" w:fill="C5E0B3"/>
            <w:noWrap/>
          </w:tcPr>
          <w:p w14:paraId="3CC295C1" w14:textId="66FF5186" w:rsidR="008503D1" w:rsidRPr="00CA1965" w:rsidRDefault="008503D1" w:rsidP="008503D1">
            <w:pPr>
              <w:pStyle w:val="Tabele"/>
              <w:jc w:val="right"/>
              <w:rPr>
                <w:color w:val="auto"/>
                <w:szCs w:val="16"/>
              </w:rPr>
            </w:pPr>
            <w:r w:rsidRPr="00CA1965">
              <w:rPr>
                <w:color w:val="000000"/>
                <w:szCs w:val="16"/>
              </w:rPr>
              <w:t>b.d.</w:t>
            </w:r>
          </w:p>
        </w:tc>
        <w:tc>
          <w:tcPr>
            <w:tcW w:w="661" w:type="dxa"/>
            <w:shd w:val="clear" w:color="auto" w:fill="C5E0B3"/>
            <w:noWrap/>
          </w:tcPr>
          <w:p w14:paraId="0FF7D2CD" w14:textId="28BCABD0" w:rsidR="008503D1" w:rsidRPr="00CA1965" w:rsidRDefault="008503D1" w:rsidP="008503D1">
            <w:pPr>
              <w:pStyle w:val="Tabele"/>
              <w:jc w:val="right"/>
              <w:rPr>
                <w:color w:val="auto"/>
                <w:szCs w:val="16"/>
              </w:rPr>
            </w:pPr>
            <w:r w:rsidRPr="00CA1965">
              <w:rPr>
                <w:color w:val="000000"/>
                <w:szCs w:val="16"/>
              </w:rPr>
              <w:t>b.d.</w:t>
            </w:r>
          </w:p>
        </w:tc>
        <w:tc>
          <w:tcPr>
            <w:tcW w:w="661" w:type="dxa"/>
            <w:shd w:val="clear" w:color="auto" w:fill="C5E0B3"/>
            <w:noWrap/>
          </w:tcPr>
          <w:p w14:paraId="315EB31A" w14:textId="5CEBE417" w:rsidR="008503D1" w:rsidRPr="00CA1965" w:rsidRDefault="008503D1" w:rsidP="008503D1">
            <w:pPr>
              <w:pStyle w:val="Tabele"/>
              <w:jc w:val="right"/>
              <w:rPr>
                <w:color w:val="auto"/>
                <w:szCs w:val="16"/>
              </w:rPr>
            </w:pPr>
            <w:r w:rsidRPr="00CA1965">
              <w:rPr>
                <w:color w:val="000000"/>
                <w:szCs w:val="16"/>
              </w:rPr>
              <w:t>0,169</w:t>
            </w:r>
          </w:p>
        </w:tc>
        <w:tc>
          <w:tcPr>
            <w:tcW w:w="661" w:type="dxa"/>
            <w:shd w:val="clear" w:color="auto" w:fill="C5E0B3"/>
            <w:noWrap/>
          </w:tcPr>
          <w:p w14:paraId="1909C1DE" w14:textId="16671218" w:rsidR="008503D1" w:rsidRPr="00CA1965" w:rsidRDefault="008503D1" w:rsidP="008503D1">
            <w:pPr>
              <w:pStyle w:val="Tabele"/>
              <w:jc w:val="right"/>
              <w:rPr>
                <w:color w:val="auto"/>
                <w:szCs w:val="16"/>
              </w:rPr>
            </w:pPr>
            <w:r w:rsidRPr="00CA1965">
              <w:rPr>
                <w:color w:val="000000"/>
                <w:szCs w:val="16"/>
              </w:rPr>
              <w:t>0,155</w:t>
            </w:r>
          </w:p>
        </w:tc>
        <w:tc>
          <w:tcPr>
            <w:tcW w:w="660" w:type="dxa"/>
            <w:noWrap/>
          </w:tcPr>
          <w:p w14:paraId="265F17D3" w14:textId="7A1CFB36" w:rsidR="008503D1" w:rsidRPr="00CA1965" w:rsidRDefault="008503D1" w:rsidP="008503D1">
            <w:pPr>
              <w:pStyle w:val="Tabele"/>
              <w:jc w:val="right"/>
              <w:rPr>
                <w:color w:val="auto"/>
                <w:szCs w:val="16"/>
              </w:rPr>
            </w:pPr>
            <w:r w:rsidRPr="00CA1965">
              <w:rPr>
                <w:rFonts w:cs="Arial"/>
                <w:color w:val="000000"/>
                <w:szCs w:val="16"/>
              </w:rPr>
              <w:t>0,251</w:t>
            </w:r>
          </w:p>
        </w:tc>
        <w:tc>
          <w:tcPr>
            <w:tcW w:w="661" w:type="dxa"/>
            <w:noWrap/>
          </w:tcPr>
          <w:p w14:paraId="2921B9A5" w14:textId="1B8C97DA" w:rsidR="008503D1" w:rsidRPr="00CA1965" w:rsidRDefault="008503D1" w:rsidP="008503D1">
            <w:pPr>
              <w:pStyle w:val="Tabele"/>
              <w:jc w:val="right"/>
              <w:rPr>
                <w:color w:val="auto"/>
                <w:szCs w:val="16"/>
              </w:rPr>
            </w:pPr>
            <w:r w:rsidRPr="00CA1965">
              <w:rPr>
                <w:rFonts w:cs="Arial"/>
                <w:color w:val="000000"/>
                <w:szCs w:val="16"/>
              </w:rPr>
              <w:t>0,240</w:t>
            </w:r>
          </w:p>
        </w:tc>
        <w:tc>
          <w:tcPr>
            <w:tcW w:w="661" w:type="dxa"/>
            <w:noWrap/>
          </w:tcPr>
          <w:p w14:paraId="0DDBA711" w14:textId="4FE005B6" w:rsidR="008503D1" w:rsidRPr="00CA1965" w:rsidRDefault="008503D1" w:rsidP="008503D1">
            <w:pPr>
              <w:pStyle w:val="Tabele"/>
              <w:jc w:val="right"/>
              <w:rPr>
                <w:color w:val="auto"/>
                <w:szCs w:val="16"/>
              </w:rPr>
            </w:pPr>
            <w:r w:rsidRPr="00CA1965">
              <w:rPr>
                <w:rFonts w:cs="Arial"/>
                <w:color w:val="000000"/>
                <w:szCs w:val="16"/>
              </w:rPr>
              <w:t>0,203</w:t>
            </w:r>
          </w:p>
        </w:tc>
        <w:tc>
          <w:tcPr>
            <w:tcW w:w="661" w:type="dxa"/>
            <w:tcBorders>
              <w:right w:val="double" w:sz="4" w:space="0" w:color="auto"/>
            </w:tcBorders>
          </w:tcPr>
          <w:p w14:paraId="3EA4EC86" w14:textId="444129AD" w:rsidR="008503D1" w:rsidRPr="00CA1965" w:rsidRDefault="008503D1" w:rsidP="008503D1">
            <w:pPr>
              <w:pStyle w:val="Tabele"/>
              <w:jc w:val="right"/>
              <w:rPr>
                <w:color w:val="auto"/>
                <w:szCs w:val="16"/>
              </w:rPr>
            </w:pPr>
            <w:r w:rsidRPr="00CA1965">
              <w:rPr>
                <w:rFonts w:cs="Arial"/>
                <w:color w:val="000000"/>
                <w:szCs w:val="16"/>
              </w:rPr>
              <w:t>0,170</w:t>
            </w:r>
          </w:p>
        </w:tc>
        <w:tc>
          <w:tcPr>
            <w:tcW w:w="940" w:type="dxa"/>
            <w:tcBorders>
              <w:left w:val="double" w:sz="4" w:space="0" w:color="auto"/>
            </w:tcBorders>
          </w:tcPr>
          <w:p w14:paraId="55B1AFE3" w14:textId="0057AFE9" w:rsidR="008503D1" w:rsidRPr="00CA1965" w:rsidRDefault="008503D1" w:rsidP="008503D1">
            <w:pPr>
              <w:pStyle w:val="Tabele"/>
              <w:jc w:val="right"/>
              <w:rPr>
                <w:rFonts w:cs="Arial"/>
                <w:b/>
                <w:bCs/>
                <w:color w:val="auto"/>
                <w:szCs w:val="16"/>
              </w:rPr>
            </w:pPr>
            <w:r w:rsidRPr="00CA1965">
              <w:rPr>
                <w:rFonts w:cs="Arial"/>
                <w:b/>
                <w:bCs/>
                <w:color w:val="auto"/>
                <w:szCs w:val="16"/>
              </w:rPr>
              <w:t>-4,31%</w:t>
            </w:r>
          </w:p>
        </w:tc>
        <w:tc>
          <w:tcPr>
            <w:tcW w:w="1034" w:type="dxa"/>
          </w:tcPr>
          <w:p w14:paraId="7D06EED2" w14:textId="1EC644F9" w:rsidR="008503D1" w:rsidRPr="00CA1965" w:rsidRDefault="008503D1" w:rsidP="008503D1">
            <w:pPr>
              <w:pStyle w:val="Tabele"/>
              <w:jc w:val="right"/>
              <w:rPr>
                <w:rFonts w:cs="Arial"/>
                <w:b/>
                <w:bCs/>
                <w:color w:val="auto"/>
                <w:szCs w:val="16"/>
              </w:rPr>
            </w:pPr>
            <w:r w:rsidRPr="00CA1965">
              <w:rPr>
                <w:rFonts w:cs="Arial"/>
                <w:b/>
                <w:bCs/>
                <w:color w:val="auto"/>
                <w:szCs w:val="16"/>
              </w:rPr>
              <w:t>-19,14%</w:t>
            </w:r>
          </w:p>
        </w:tc>
        <w:tc>
          <w:tcPr>
            <w:tcW w:w="906" w:type="dxa"/>
          </w:tcPr>
          <w:p w14:paraId="754B7F46" w14:textId="2FF4CEC1" w:rsidR="008503D1" w:rsidRPr="00CA1965" w:rsidRDefault="008503D1" w:rsidP="008503D1">
            <w:pPr>
              <w:pStyle w:val="Tabele"/>
              <w:jc w:val="right"/>
              <w:rPr>
                <w:rFonts w:cs="Arial"/>
                <w:b/>
                <w:bCs/>
                <w:color w:val="auto"/>
                <w:szCs w:val="16"/>
              </w:rPr>
            </w:pPr>
            <w:r w:rsidRPr="00CA1965">
              <w:rPr>
                <w:rFonts w:cs="Arial"/>
                <w:b/>
                <w:bCs/>
                <w:color w:val="auto"/>
                <w:szCs w:val="16"/>
              </w:rPr>
              <w:t>-32,06%</w:t>
            </w:r>
          </w:p>
        </w:tc>
      </w:tr>
    </w:tbl>
    <w:p w14:paraId="4653667A" w14:textId="64797710" w:rsidR="00E5254C" w:rsidRDefault="00E5254C" w:rsidP="00E5254C">
      <w:pPr>
        <w:pStyle w:val="Legenda"/>
      </w:pPr>
      <w:r>
        <w:t xml:space="preserve">* </w:t>
      </w:r>
      <w:r w:rsidRPr="00E5254C">
        <w:t>nie należy utożsamiać ww. ceny z ceną maksymalną energii elektrycznej obowiązującą na podstawie ustawy z dnia 27</w:t>
      </w:r>
      <w:r>
        <w:t> </w:t>
      </w:r>
      <w:r w:rsidRPr="00E5254C">
        <w:t>listopada 2024 r. o zmianie ustawy o środkach nadzwyczajnych mających na celu ograniczenie wysokości cen energii elektrycznej oraz wsparciu niektórych odbiorców w 2023 roku oraz w 2024 roku oraz niektórych innych ustaw</w:t>
      </w:r>
    </w:p>
    <w:p w14:paraId="712C39EC" w14:textId="28B86DA7" w:rsidR="005C4144" w:rsidRPr="00E058BA" w:rsidRDefault="005C4144" w:rsidP="00E9009F">
      <w:pPr>
        <w:pStyle w:val="Legenda"/>
      </w:pPr>
      <w:r w:rsidRPr="00E058BA">
        <w:t xml:space="preserve">Źródło: </w:t>
      </w:r>
      <w:r>
        <w:t>ARE S.A.</w:t>
      </w:r>
    </w:p>
    <w:p w14:paraId="06FD8EAE" w14:textId="6D8C1EE2" w:rsidR="009510F5" w:rsidRDefault="008B28B3" w:rsidP="009510F5">
      <w:r>
        <w:t>W t</w:t>
      </w:r>
      <w:r w:rsidR="00C93352">
        <w:t>abel</w:t>
      </w:r>
      <w:r>
        <w:t>i</w:t>
      </w:r>
      <w:r w:rsidR="00C93352">
        <w:t xml:space="preserve"> </w:t>
      </w:r>
      <w:r w:rsidR="00C93352" w:rsidRPr="008B28B3">
        <w:rPr>
          <w:szCs w:val="20"/>
        </w:rPr>
        <w:t>poniżej</w:t>
      </w:r>
      <w:r w:rsidRPr="008B28B3">
        <w:rPr>
          <w:szCs w:val="20"/>
        </w:rPr>
        <w:t xml:space="preserve"> (</w:t>
      </w:r>
      <w:r w:rsidR="007F3E38" w:rsidRPr="007F3E38">
        <w:fldChar w:fldCharType="begin"/>
      </w:r>
      <w:r w:rsidR="007F3E38" w:rsidRPr="007F3E38">
        <w:instrText xml:space="preserve"> REF _Ref203481076 \h </w:instrText>
      </w:r>
      <w:r w:rsidR="007F3E38">
        <w:instrText xml:space="preserve"> \* MERGEFORMAT </w:instrText>
      </w:r>
      <w:r w:rsidR="007F3E38" w:rsidRPr="007F3E38">
        <w:fldChar w:fldCharType="separate"/>
      </w:r>
      <w:r w:rsidR="007F3E38" w:rsidRPr="007F3E38">
        <w:t>Tabela 4.4</w:t>
      </w:r>
      <w:r w:rsidR="007F3E38" w:rsidRPr="007F3E38">
        <w:fldChar w:fldCharType="end"/>
      </w:r>
      <w:r w:rsidR="007F3E38" w:rsidRPr="007F3E38">
        <w:fldChar w:fldCharType="begin"/>
      </w:r>
      <w:r w:rsidR="007F3E38" w:rsidRPr="007F3E38">
        <w:instrText xml:space="preserve"> REF _Ref203481076 \h  \* MERGEFORMAT </w:instrText>
      </w:r>
      <w:r w:rsidR="007F3E38" w:rsidRPr="007F3E38">
        <w:fldChar w:fldCharType="separate"/>
      </w:r>
      <w:r w:rsidR="007F3E38" w:rsidRPr="007F3E38">
        <w:fldChar w:fldCharType="end"/>
      </w:r>
      <w:r w:rsidRPr="007F3E38">
        <w:t>)</w:t>
      </w:r>
      <w:r w:rsidR="00C93352" w:rsidRPr="007F3E38">
        <w:t xml:space="preserve"> </w:t>
      </w:r>
      <w:r w:rsidR="0091185F" w:rsidRPr="008B28B3">
        <w:rPr>
          <w:szCs w:val="20"/>
        </w:rPr>
        <w:t>zaprezentowano</w:t>
      </w:r>
      <w:r w:rsidR="00C93352" w:rsidRPr="008B28B3">
        <w:t xml:space="preserve"> </w:t>
      </w:r>
      <w:r w:rsidR="00141398">
        <w:t>porównanie</w:t>
      </w:r>
      <w:r w:rsidR="00AB69DE">
        <w:t xml:space="preserve"> prognozowanego spadku ce</w:t>
      </w:r>
      <w:r w:rsidR="00BD4501">
        <w:t xml:space="preserve">n energii elektrycznej </w:t>
      </w:r>
      <w:r w:rsidR="00F61FBC">
        <w:t xml:space="preserve">dla poszczególnych grup </w:t>
      </w:r>
      <w:r w:rsidR="00123E4D">
        <w:t>odbiorców</w:t>
      </w:r>
      <w:r w:rsidR="00212ED4">
        <w:t xml:space="preserve"> końcowych</w:t>
      </w:r>
      <w:r w:rsidR="008E2AE9">
        <w:t xml:space="preserve"> w scenariuszach WAM i WEM.</w:t>
      </w:r>
    </w:p>
    <w:p w14:paraId="16562A62" w14:textId="77777777" w:rsidR="004976A7" w:rsidRDefault="004976A7">
      <w:pPr>
        <w:jc w:val="left"/>
        <w:rPr>
          <w:i/>
          <w:iCs/>
          <w:color w:val="44546A" w:themeColor="text2"/>
          <w:sz w:val="18"/>
          <w:szCs w:val="18"/>
        </w:rPr>
      </w:pPr>
      <w:bookmarkStart w:id="529" w:name="_Ref197516934"/>
    </w:p>
    <w:p w14:paraId="436E9406" w14:textId="6F19C874" w:rsidR="009413CD" w:rsidRPr="006D5555" w:rsidRDefault="009413CD" w:rsidP="00A41F90">
      <w:pPr>
        <w:jc w:val="left"/>
        <w:rPr>
          <w:i/>
          <w:iCs/>
          <w:color w:val="44546A" w:themeColor="text2"/>
          <w:sz w:val="18"/>
          <w:szCs w:val="18"/>
        </w:rPr>
      </w:pPr>
      <w:bookmarkStart w:id="530" w:name="_Ref203481076"/>
      <w:bookmarkStart w:id="531" w:name="_Toc202967005"/>
      <w:r w:rsidRPr="006D5555">
        <w:rPr>
          <w:i/>
          <w:iCs/>
          <w:color w:val="44546A" w:themeColor="text2"/>
          <w:sz w:val="18"/>
          <w:szCs w:val="18"/>
        </w:rPr>
        <w:t xml:space="preserve">Tabela </w:t>
      </w:r>
      <w:r w:rsidRPr="006D5555">
        <w:rPr>
          <w:i/>
          <w:iCs/>
          <w:noProof/>
          <w:color w:val="44546A" w:themeColor="text2"/>
          <w:sz w:val="18"/>
          <w:szCs w:val="18"/>
        </w:rPr>
        <w:fldChar w:fldCharType="begin"/>
      </w:r>
      <w:r w:rsidRPr="006D5555">
        <w:rPr>
          <w:i/>
          <w:iCs/>
          <w:noProof/>
          <w:color w:val="44546A" w:themeColor="text2"/>
          <w:sz w:val="18"/>
          <w:szCs w:val="18"/>
        </w:rPr>
        <w:instrText xml:space="preserve"> STYLEREF 1 \s </w:instrText>
      </w:r>
      <w:r w:rsidRPr="006D5555">
        <w:rPr>
          <w:i/>
          <w:iCs/>
          <w:noProof/>
          <w:color w:val="44546A" w:themeColor="text2"/>
          <w:sz w:val="18"/>
          <w:szCs w:val="18"/>
        </w:rPr>
        <w:fldChar w:fldCharType="separate"/>
      </w:r>
      <w:r w:rsidR="00F27D6F">
        <w:rPr>
          <w:i/>
          <w:iCs/>
          <w:noProof/>
          <w:color w:val="44546A" w:themeColor="text2"/>
          <w:sz w:val="18"/>
          <w:szCs w:val="18"/>
        </w:rPr>
        <w:t>4</w:t>
      </w:r>
      <w:r w:rsidRPr="006D5555">
        <w:rPr>
          <w:i/>
          <w:iCs/>
          <w:noProof/>
          <w:color w:val="44546A" w:themeColor="text2"/>
          <w:sz w:val="18"/>
          <w:szCs w:val="18"/>
        </w:rPr>
        <w:fldChar w:fldCharType="end"/>
      </w:r>
      <w:r w:rsidRPr="006D5555">
        <w:rPr>
          <w:i/>
          <w:iCs/>
          <w:color w:val="44546A" w:themeColor="text2"/>
          <w:sz w:val="18"/>
          <w:szCs w:val="18"/>
        </w:rPr>
        <w:t>.</w:t>
      </w:r>
      <w:r w:rsidRPr="006D5555">
        <w:rPr>
          <w:i/>
          <w:iCs/>
          <w:noProof/>
          <w:color w:val="44546A" w:themeColor="text2"/>
          <w:sz w:val="18"/>
          <w:szCs w:val="18"/>
        </w:rPr>
        <w:fldChar w:fldCharType="begin"/>
      </w:r>
      <w:r w:rsidRPr="006D5555">
        <w:rPr>
          <w:i/>
          <w:iCs/>
          <w:noProof/>
          <w:color w:val="44546A" w:themeColor="text2"/>
          <w:sz w:val="18"/>
          <w:szCs w:val="18"/>
        </w:rPr>
        <w:instrText xml:space="preserve"> SEQ Tabela \* ARABIC \s 1 </w:instrText>
      </w:r>
      <w:r w:rsidRPr="006D5555">
        <w:rPr>
          <w:i/>
          <w:iCs/>
          <w:noProof/>
          <w:color w:val="44546A" w:themeColor="text2"/>
          <w:sz w:val="18"/>
          <w:szCs w:val="18"/>
        </w:rPr>
        <w:fldChar w:fldCharType="separate"/>
      </w:r>
      <w:r w:rsidR="00F27D6F">
        <w:rPr>
          <w:i/>
          <w:iCs/>
          <w:noProof/>
          <w:color w:val="44546A" w:themeColor="text2"/>
          <w:sz w:val="18"/>
          <w:szCs w:val="18"/>
        </w:rPr>
        <w:t>4</w:t>
      </w:r>
      <w:r w:rsidRPr="006D5555">
        <w:rPr>
          <w:i/>
          <w:iCs/>
          <w:noProof/>
          <w:color w:val="44546A" w:themeColor="text2"/>
          <w:sz w:val="18"/>
          <w:szCs w:val="18"/>
        </w:rPr>
        <w:fldChar w:fldCharType="end"/>
      </w:r>
      <w:bookmarkEnd w:id="529"/>
      <w:bookmarkEnd w:id="530"/>
      <w:r w:rsidRPr="006D5555">
        <w:rPr>
          <w:i/>
          <w:iCs/>
          <w:color w:val="44546A" w:themeColor="text2"/>
          <w:sz w:val="18"/>
          <w:szCs w:val="18"/>
        </w:rPr>
        <w:t xml:space="preserve">. </w:t>
      </w:r>
      <w:r w:rsidR="007700B7">
        <w:rPr>
          <w:i/>
          <w:iCs/>
          <w:color w:val="44546A" w:themeColor="text2"/>
          <w:sz w:val="18"/>
          <w:szCs w:val="18"/>
        </w:rPr>
        <w:t>S</w:t>
      </w:r>
      <w:r w:rsidR="006D5555">
        <w:rPr>
          <w:i/>
          <w:iCs/>
          <w:color w:val="44546A" w:themeColor="text2"/>
          <w:sz w:val="18"/>
          <w:szCs w:val="18"/>
        </w:rPr>
        <w:t>pad</w:t>
      </w:r>
      <w:r w:rsidR="007700B7">
        <w:rPr>
          <w:i/>
          <w:iCs/>
          <w:color w:val="44546A" w:themeColor="text2"/>
          <w:sz w:val="18"/>
          <w:szCs w:val="18"/>
        </w:rPr>
        <w:t>ek</w:t>
      </w:r>
      <w:r w:rsidR="006D5555">
        <w:rPr>
          <w:i/>
          <w:iCs/>
          <w:color w:val="44546A" w:themeColor="text2"/>
          <w:sz w:val="18"/>
          <w:szCs w:val="18"/>
        </w:rPr>
        <w:t xml:space="preserve"> cen energii</w:t>
      </w:r>
      <w:r w:rsidR="003A017C">
        <w:rPr>
          <w:i/>
          <w:iCs/>
          <w:color w:val="44546A" w:themeColor="text2"/>
          <w:sz w:val="18"/>
          <w:szCs w:val="18"/>
        </w:rPr>
        <w:t xml:space="preserve"> </w:t>
      </w:r>
      <w:r w:rsidR="00B90941">
        <w:rPr>
          <w:i/>
          <w:iCs/>
          <w:color w:val="44546A" w:themeColor="text2"/>
          <w:sz w:val="18"/>
          <w:szCs w:val="18"/>
        </w:rPr>
        <w:t xml:space="preserve">elektrycznej dla odbiorców końcowych </w:t>
      </w:r>
      <w:r w:rsidR="007700B7">
        <w:rPr>
          <w:i/>
          <w:iCs/>
          <w:color w:val="44546A" w:themeColor="text2"/>
          <w:sz w:val="18"/>
          <w:szCs w:val="18"/>
        </w:rPr>
        <w:t>-</w:t>
      </w:r>
      <w:r w:rsidR="003A017C">
        <w:rPr>
          <w:i/>
          <w:iCs/>
          <w:color w:val="44546A" w:themeColor="text2"/>
          <w:sz w:val="18"/>
          <w:szCs w:val="18"/>
        </w:rPr>
        <w:t xml:space="preserve"> scenariusz WAM i WEM</w:t>
      </w:r>
      <w:bookmarkEnd w:id="531"/>
    </w:p>
    <w:tbl>
      <w:tblPr>
        <w:tblStyle w:val="KPEiK"/>
        <w:tblW w:w="5000" w:type="pct"/>
        <w:tblInd w:w="-5" w:type="dxa"/>
        <w:tblLayout w:type="fixed"/>
        <w:tblLook w:val="04A0" w:firstRow="1" w:lastRow="0" w:firstColumn="1" w:lastColumn="0" w:noHBand="0" w:noVBand="1"/>
      </w:tblPr>
      <w:tblGrid>
        <w:gridCol w:w="1984"/>
        <w:gridCol w:w="1354"/>
        <w:gridCol w:w="1317"/>
        <w:gridCol w:w="1103"/>
        <w:gridCol w:w="1099"/>
        <w:gridCol w:w="1099"/>
        <w:gridCol w:w="1106"/>
      </w:tblGrid>
      <w:tr w:rsidR="00487E0F" w:rsidRPr="00D92702" w14:paraId="21429520" w14:textId="77777777" w:rsidTr="00492281">
        <w:trPr>
          <w:cnfStyle w:val="100000000000" w:firstRow="1" w:lastRow="0" w:firstColumn="0" w:lastColumn="0" w:oddVBand="0" w:evenVBand="0" w:oddHBand="0" w:evenHBand="0" w:firstRowFirstColumn="0" w:firstRowLastColumn="0" w:lastRowFirstColumn="0" w:lastRowLastColumn="0"/>
          <w:trHeight w:val="157"/>
          <w:tblHeader/>
        </w:trPr>
        <w:tc>
          <w:tcPr>
            <w:tcW w:w="2029" w:type="dxa"/>
            <w:vMerge w:val="restart"/>
            <w:noWrap/>
          </w:tcPr>
          <w:p w14:paraId="3E60E808" w14:textId="77777777" w:rsidR="00487E0F" w:rsidRPr="00D92702" w:rsidRDefault="00487E0F">
            <w:pPr>
              <w:pStyle w:val="Tabele"/>
              <w:jc w:val="center"/>
            </w:pPr>
          </w:p>
        </w:tc>
        <w:tc>
          <w:tcPr>
            <w:tcW w:w="3854" w:type="dxa"/>
            <w:gridSpan w:val="3"/>
          </w:tcPr>
          <w:p w14:paraId="1525E748" w14:textId="1D0E065D" w:rsidR="00487E0F" w:rsidRPr="00D92702" w:rsidRDefault="00487E0F">
            <w:pPr>
              <w:pStyle w:val="Tabele"/>
              <w:jc w:val="center"/>
            </w:pPr>
            <w:r>
              <w:t>WAM</w:t>
            </w:r>
          </w:p>
        </w:tc>
        <w:tc>
          <w:tcPr>
            <w:tcW w:w="3373" w:type="dxa"/>
            <w:gridSpan w:val="3"/>
          </w:tcPr>
          <w:p w14:paraId="4A2C5195" w14:textId="76B6CCD6" w:rsidR="00487E0F" w:rsidRPr="00D92702" w:rsidRDefault="00487E0F">
            <w:pPr>
              <w:pStyle w:val="Tabele"/>
              <w:jc w:val="center"/>
            </w:pPr>
            <w:r>
              <w:t>WEM</w:t>
            </w:r>
          </w:p>
        </w:tc>
      </w:tr>
      <w:tr w:rsidR="00487E0F" w:rsidRPr="00D92702" w14:paraId="5AB0DE3B" w14:textId="3794408A" w:rsidTr="00492281">
        <w:trPr>
          <w:cnfStyle w:val="100000000000" w:firstRow="1" w:lastRow="0" w:firstColumn="0" w:lastColumn="0" w:oddVBand="0" w:evenVBand="0" w:oddHBand="0" w:evenHBand="0" w:firstRowFirstColumn="0" w:firstRowLastColumn="0" w:lastRowFirstColumn="0" w:lastRowLastColumn="0"/>
          <w:trHeight w:val="151"/>
          <w:tblHeader/>
        </w:trPr>
        <w:tc>
          <w:tcPr>
            <w:tcW w:w="2029" w:type="dxa"/>
            <w:vMerge/>
            <w:noWrap/>
            <w:hideMark/>
          </w:tcPr>
          <w:p w14:paraId="1347750E" w14:textId="77777777" w:rsidR="00487E0F" w:rsidRPr="00D92702" w:rsidRDefault="00487E0F" w:rsidP="00487E0F">
            <w:pPr>
              <w:pStyle w:val="Tabele"/>
              <w:jc w:val="center"/>
            </w:pPr>
          </w:p>
        </w:tc>
        <w:tc>
          <w:tcPr>
            <w:tcW w:w="1383" w:type="dxa"/>
            <w:hideMark/>
          </w:tcPr>
          <w:p w14:paraId="376258F4" w14:textId="0398B26A" w:rsidR="00487E0F" w:rsidRPr="00D92702" w:rsidRDefault="00487E0F" w:rsidP="00487E0F">
            <w:pPr>
              <w:pStyle w:val="Tabele"/>
              <w:jc w:val="center"/>
            </w:pPr>
            <w:r w:rsidRPr="00D92702">
              <w:t>20</w:t>
            </w:r>
            <w:r>
              <w:t>30</w:t>
            </w:r>
          </w:p>
        </w:tc>
        <w:tc>
          <w:tcPr>
            <w:tcW w:w="1345" w:type="dxa"/>
            <w:hideMark/>
          </w:tcPr>
          <w:p w14:paraId="52FB4B53" w14:textId="631B8178" w:rsidR="00487E0F" w:rsidRPr="00D92702" w:rsidRDefault="00487E0F" w:rsidP="00487E0F">
            <w:pPr>
              <w:pStyle w:val="Tabele"/>
              <w:jc w:val="center"/>
            </w:pPr>
            <w:r w:rsidRPr="00D92702">
              <w:t>20</w:t>
            </w:r>
            <w:r>
              <w:t>35</w:t>
            </w:r>
          </w:p>
        </w:tc>
        <w:tc>
          <w:tcPr>
            <w:tcW w:w="1126" w:type="dxa"/>
            <w:hideMark/>
          </w:tcPr>
          <w:p w14:paraId="0D85A252" w14:textId="55F4970F" w:rsidR="00487E0F" w:rsidRPr="00D92702" w:rsidRDefault="00487E0F" w:rsidP="00487E0F">
            <w:pPr>
              <w:pStyle w:val="Tabele"/>
              <w:jc w:val="center"/>
            </w:pPr>
            <w:r w:rsidRPr="00D92702">
              <w:t>20</w:t>
            </w:r>
            <w:r>
              <w:t>40</w:t>
            </w:r>
          </w:p>
        </w:tc>
        <w:tc>
          <w:tcPr>
            <w:tcW w:w="1122" w:type="dxa"/>
          </w:tcPr>
          <w:p w14:paraId="61A9C70B" w14:textId="4D98700B" w:rsidR="00487E0F" w:rsidRPr="00D92702" w:rsidRDefault="00487E0F" w:rsidP="00487E0F">
            <w:pPr>
              <w:pStyle w:val="Tabele"/>
              <w:jc w:val="center"/>
            </w:pPr>
            <w:r w:rsidRPr="00D92702">
              <w:t>20</w:t>
            </w:r>
            <w:r>
              <w:t>30</w:t>
            </w:r>
          </w:p>
        </w:tc>
        <w:tc>
          <w:tcPr>
            <w:tcW w:w="1122" w:type="dxa"/>
          </w:tcPr>
          <w:p w14:paraId="3C3D3DA2" w14:textId="6C0F251E" w:rsidR="00487E0F" w:rsidRPr="00D92702" w:rsidRDefault="00487E0F" w:rsidP="00487E0F">
            <w:pPr>
              <w:pStyle w:val="Tabele"/>
              <w:jc w:val="center"/>
            </w:pPr>
            <w:r w:rsidRPr="00D92702">
              <w:t>20</w:t>
            </w:r>
            <w:r>
              <w:t>35</w:t>
            </w:r>
          </w:p>
        </w:tc>
        <w:tc>
          <w:tcPr>
            <w:tcW w:w="1128" w:type="dxa"/>
          </w:tcPr>
          <w:p w14:paraId="4D7CAD72" w14:textId="1C0FE8E9" w:rsidR="00487E0F" w:rsidRPr="00D92702" w:rsidRDefault="00487E0F" w:rsidP="00487E0F">
            <w:pPr>
              <w:pStyle w:val="Tabele"/>
              <w:jc w:val="center"/>
            </w:pPr>
            <w:r w:rsidRPr="00D92702">
              <w:t>20</w:t>
            </w:r>
            <w:r>
              <w:t>40</w:t>
            </w:r>
          </w:p>
        </w:tc>
      </w:tr>
      <w:tr w:rsidR="00487E0F" w:rsidRPr="007E0396" w14:paraId="12877D43" w14:textId="448BC3AF" w:rsidTr="00492281">
        <w:trPr>
          <w:trHeight w:val="254"/>
        </w:trPr>
        <w:tc>
          <w:tcPr>
            <w:tcW w:w="2029" w:type="dxa"/>
            <w:hideMark/>
          </w:tcPr>
          <w:p w14:paraId="4E4A7159" w14:textId="77777777" w:rsidR="00487E0F" w:rsidRPr="007E0396" w:rsidRDefault="00487E0F" w:rsidP="00487E0F">
            <w:pPr>
              <w:pStyle w:val="Tabele"/>
              <w:rPr>
                <w:color w:val="auto"/>
              </w:rPr>
            </w:pPr>
            <w:r w:rsidRPr="007E0396">
              <w:rPr>
                <w:color w:val="auto"/>
              </w:rPr>
              <w:t>Gospodarstwa domowe</w:t>
            </w:r>
          </w:p>
        </w:tc>
        <w:tc>
          <w:tcPr>
            <w:tcW w:w="1383" w:type="dxa"/>
            <w:shd w:val="clear" w:color="auto" w:fill="C5E0B3"/>
            <w:noWrap/>
          </w:tcPr>
          <w:p w14:paraId="18EB3D19" w14:textId="483B3007" w:rsidR="00487E0F" w:rsidRPr="004976A7" w:rsidRDefault="00EA1A5E" w:rsidP="00487E0F">
            <w:pPr>
              <w:pStyle w:val="Tabele"/>
              <w:jc w:val="right"/>
              <w:rPr>
                <w:color w:val="auto"/>
              </w:rPr>
            </w:pPr>
            <w:r w:rsidRPr="004976A7">
              <w:rPr>
                <w:color w:val="auto"/>
              </w:rPr>
              <w:t>4%</w:t>
            </w:r>
          </w:p>
        </w:tc>
        <w:tc>
          <w:tcPr>
            <w:tcW w:w="1345" w:type="dxa"/>
            <w:shd w:val="clear" w:color="auto" w:fill="C5E0B3"/>
            <w:noWrap/>
          </w:tcPr>
          <w:p w14:paraId="1393B2CA" w14:textId="3705A1B9" w:rsidR="00487E0F" w:rsidRPr="004976A7" w:rsidRDefault="00EA1A5E" w:rsidP="00487E0F">
            <w:pPr>
              <w:pStyle w:val="Tabele"/>
              <w:jc w:val="right"/>
              <w:rPr>
                <w:color w:val="auto"/>
              </w:rPr>
            </w:pPr>
            <w:r w:rsidRPr="004976A7">
              <w:rPr>
                <w:color w:val="auto"/>
              </w:rPr>
              <w:t>18%</w:t>
            </w:r>
          </w:p>
        </w:tc>
        <w:tc>
          <w:tcPr>
            <w:tcW w:w="1126" w:type="dxa"/>
            <w:shd w:val="clear" w:color="auto" w:fill="C5E0B3"/>
            <w:noWrap/>
          </w:tcPr>
          <w:p w14:paraId="243EA688" w14:textId="28A16BF6" w:rsidR="00487E0F" w:rsidRPr="004976A7" w:rsidRDefault="00F86B00" w:rsidP="00487E0F">
            <w:pPr>
              <w:pStyle w:val="Tabele"/>
              <w:jc w:val="right"/>
              <w:rPr>
                <w:color w:val="auto"/>
              </w:rPr>
            </w:pPr>
            <w:r w:rsidRPr="004976A7">
              <w:rPr>
                <w:color w:val="auto"/>
              </w:rPr>
              <w:t>30%</w:t>
            </w:r>
          </w:p>
        </w:tc>
        <w:tc>
          <w:tcPr>
            <w:tcW w:w="1122" w:type="dxa"/>
            <w:shd w:val="clear" w:color="auto" w:fill="C5E0B3"/>
          </w:tcPr>
          <w:p w14:paraId="603D0716" w14:textId="446332D9" w:rsidR="00487E0F" w:rsidRPr="004976A7" w:rsidRDefault="00783350" w:rsidP="00487E0F">
            <w:pPr>
              <w:pStyle w:val="Tabele"/>
              <w:jc w:val="right"/>
              <w:rPr>
                <w:rFonts w:cs="Arial"/>
                <w:color w:val="auto"/>
                <w:szCs w:val="16"/>
              </w:rPr>
            </w:pPr>
            <w:r w:rsidRPr="004976A7">
              <w:rPr>
                <w:rFonts w:cs="Arial"/>
                <w:color w:val="auto"/>
                <w:szCs w:val="16"/>
              </w:rPr>
              <w:t>3%</w:t>
            </w:r>
          </w:p>
        </w:tc>
        <w:tc>
          <w:tcPr>
            <w:tcW w:w="1122" w:type="dxa"/>
            <w:shd w:val="clear" w:color="auto" w:fill="C5E0B3"/>
          </w:tcPr>
          <w:p w14:paraId="0985C379" w14:textId="4A4D7CED" w:rsidR="00487E0F" w:rsidRPr="004976A7" w:rsidRDefault="00783350" w:rsidP="00487E0F">
            <w:pPr>
              <w:pStyle w:val="Tabele"/>
              <w:jc w:val="right"/>
              <w:rPr>
                <w:rFonts w:cs="Arial"/>
                <w:color w:val="auto"/>
                <w:szCs w:val="16"/>
              </w:rPr>
            </w:pPr>
            <w:r w:rsidRPr="004976A7">
              <w:rPr>
                <w:rFonts w:cs="Arial"/>
                <w:color w:val="auto"/>
                <w:szCs w:val="16"/>
              </w:rPr>
              <w:t>6%</w:t>
            </w:r>
          </w:p>
        </w:tc>
        <w:tc>
          <w:tcPr>
            <w:tcW w:w="1128" w:type="dxa"/>
            <w:shd w:val="clear" w:color="auto" w:fill="C5E0B3"/>
          </w:tcPr>
          <w:p w14:paraId="40DEEF5C" w14:textId="1629173C" w:rsidR="00487E0F" w:rsidRPr="004976A7" w:rsidRDefault="00783350" w:rsidP="00487E0F">
            <w:pPr>
              <w:pStyle w:val="Tabele"/>
              <w:jc w:val="right"/>
              <w:rPr>
                <w:rFonts w:cs="Arial"/>
                <w:color w:val="auto"/>
                <w:szCs w:val="16"/>
              </w:rPr>
            </w:pPr>
            <w:r w:rsidRPr="004976A7">
              <w:rPr>
                <w:rFonts w:cs="Arial"/>
                <w:color w:val="auto"/>
                <w:szCs w:val="16"/>
              </w:rPr>
              <w:t>7%</w:t>
            </w:r>
          </w:p>
        </w:tc>
      </w:tr>
      <w:tr w:rsidR="00487E0F" w:rsidRPr="007E0396" w14:paraId="03CEE131" w14:textId="48B54D0E" w:rsidTr="00492281">
        <w:trPr>
          <w:trHeight w:val="254"/>
        </w:trPr>
        <w:tc>
          <w:tcPr>
            <w:tcW w:w="2029" w:type="dxa"/>
            <w:noWrap/>
            <w:hideMark/>
          </w:tcPr>
          <w:p w14:paraId="72DD1C3F" w14:textId="77777777" w:rsidR="00487E0F" w:rsidRPr="007E0396" w:rsidRDefault="00487E0F" w:rsidP="00487E0F">
            <w:pPr>
              <w:pStyle w:val="Tabele"/>
              <w:rPr>
                <w:color w:val="auto"/>
              </w:rPr>
            </w:pPr>
            <w:r w:rsidRPr="007E0396">
              <w:rPr>
                <w:color w:val="auto"/>
              </w:rPr>
              <w:t>Przemysł</w:t>
            </w:r>
          </w:p>
        </w:tc>
        <w:tc>
          <w:tcPr>
            <w:tcW w:w="1383" w:type="dxa"/>
            <w:shd w:val="clear" w:color="auto" w:fill="C5E0B3"/>
            <w:noWrap/>
          </w:tcPr>
          <w:p w14:paraId="2791A3D6" w14:textId="379A4D24" w:rsidR="00487E0F" w:rsidRPr="004976A7" w:rsidRDefault="00F86B00" w:rsidP="00487E0F">
            <w:pPr>
              <w:pStyle w:val="Tabele"/>
              <w:jc w:val="right"/>
              <w:rPr>
                <w:color w:val="auto"/>
              </w:rPr>
            </w:pPr>
            <w:r w:rsidRPr="004976A7">
              <w:rPr>
                <w:color w:val="auto"/>
              </w:rPr>
              <w:t>7%</w:t>
            </w:r>
          </w:p>
        </w:tc>
        <w:tc>
          <w:tcPr>
            <w:tcW w:w="1345" w:type="dxa"/>
            <w:shd w:val="clear" w:color="auto" w:fill="C5E0B3"/>
            <w:noWrap/>
          </w:tcPr>
          <w:p w14:paraId="19470177" w14:textId="19024C29" w:rsidR="00487E0F" w:rsidRPr="004976A7" w:rsidRDefault="00F86B00" w:rsidP="00487E0F">
            <w:pPr>
              <w:pStyle w:val="Tabele"/>
              <w:jc w:val="right"/>
              <w:rPr>
                <w:color w:val="auto"/>
              </w:rPr>
            </w:pPr>
            <w:r w:rsidRPr="004976A7">
              <w:rPr>
                <w:color w:val="auto"/>
              </w:rPr>
              <w:t>20%</w:t>
            </w:r>
          </w:p>
        </w:tc>
        <w:tc>
          <w:tcPr>
            <w:tcW w:w="1126" w:type="dxa"/>
            <w:shd w:val="clear" w:color="auto" w:fill="C5E0B3"/>
            <w:noWrap/>
          </w:tcPr>
          <w:p w14:paraId="540FF8F6" w14:textId="41758C1D" w:rsidR="00487E0F" w:rsidRPr="004976A7" w:rsidRDefault="00C742C5" w:rsidP="00487E0F">
            <w:pPr>
              <w:pStyle w:val="Tabele"/>
              <w:jc w:val="right"/>
              <w:rPr>
                <w:color w:val="auto"/>
              </w:rPr>
            </w:pPr>
            <w:r w:rsidRPr="004976A7">
              <w:rPr>
                <w:color w:val="auto"/>
              </w:rPr>
              <w:t>32%</w:t>
            </w:r>
          </w:p>
        </w:tc>
        <w:tc>
          <w:tcPr>
            <w:tcW w:w="1122" w:type="dxa"/>
            <w:shd w:val="clear" w:color="auto" w:fill="C5E0B3"/>
          </w:tcPr>
          <w:p w14:paraId="0A8624D1" w14:textId="0187AEDE" w:rsidR="00487E0F" w:rsidRPr="004976A7" w:rsidRDefault="006C7003" w:rsidP="00487E0F">
            <w:pPr>
              <w:pStyle w:val="Tabele"/>
              <w:jc w:val="right"/>
              <w:rPr>
                <w:rFonts w:cs="Arial"/>
                <w:color w:val="auto"/>
                <w:szCs w:val="16"/>
              </w:rPr>
            </w:pPr>
            <w:r w:rsidRPr="004976A7">
              <w:rPr>
                <w:rFonts w:cs="Arial"/>
                <w:color w:val="auto"/>
                <w:szCs w:val="16"/>
              </w:rPr>
              <w:t>4%</w:t>
            </w:r>
          </w:p>
        </w:tc>
        <w:tc>
          <w:tcPr>
            <w:tcW w:w="1122" w:type="dxa"/>
            <w:shd w:val="clear" w:color="auto" w:fill="C5E0B3"/>
          </w:tcPr>
          <w:p w14:paraId="3F7714C1" w14:textId="62E8F0F3" w:rsidR="00487E0F" w:rsidRPr="004976A7" w:rsidRDefault="006C7003" w:rsidP="00487E0F">
            <w:pPr>
              <w:pStyle w:val="Tabele"/>
              <w:jc w:val="right"/>
              <w:rPr>
                <w:rFonts w:cs="Arial"/>
                <w:color w:val="auto"/>
                <w:szCs w:val="16"/>
              </w:rPr>
            </w:pPr>
            <w:r w:rsidRPr="004976A7">
              <w:rPr>
                <w:rFonts w:cs="Arial"/>
                <w:color w:val="auto"/>
                <w:szCs w:val="16"/>
              </w:rPr>
              <w:t>8%</w:t>
            </w:r>
          </w:p>
        </w:tc>
        <w:tc>
          <w:tcPr>
            <w:tcW w:w="1128" w:type="dxa"/>
            <w:shd w:val="clear" w:color="auto" w:fill="C5E0B3"/>
          </w:tcPr>
          <w:p w14:paraId="6E59DB97" w14:textId="49951756" w:rsidR="00487E0F" w:rsidRPr="004976A7" w:rsidRDefault="006C7003" w:rsidP="00487E0F">
            <w:pPr>
              <w:pStyle w:val="Tabele"/>
              <w:jc w:val="right"/>
              <w:rPr>
                <w:rFonts w:cs="Arial"/>
                <w:color w:val="auto"/>
                <w:szCs w:val="16"/>
              </w:rPr>
            </w:pPr>
            <w:r w:rsidRPr="004976A7">
              <w:rPr>
                <w:rFonts w:cs="Arial"/>
                <w:color w:val="auto"/>
                <w:szCs w:val="16"/>
              </w:rPr>
              <w:t>10%</w:t>
            </w:r>
          </w:p>
        </w:tc>
      </w:tr>
      <w:tr w:rsidR="00487E0F" w:rsidRPr="007E0396" w14:paraId="6EE16E9D" w14:textId="7F9AB306" w:rsidTr="00492281">
        <w:trPr>
          <w:trHeight w:val="254"/>
        </w:trPr>
        <w:tc>
          <w:tcPr>
            <w:tcW w:w="2029" w:type="dxa"/>
            <w:noWrap/>
          </w:tcPr>
          <w:p w14:paraId="32A1D6E4" w14:textId="77777777" w:rsidR="00487E0F" w:rsidRPr="007E0396" w:rsidRDefault="00487E0F" w:rsidP="00487E0F">
            <w:pPr>
              <w:pStyle w:val="Tabele"/>
              <w:rPr>
                <w:color w:val="auto"/>
              </w:rPr>
            </w:pPr>
            <w:r w:rsidRPr="007E0396">
              <w:rPr>
                <w:color w:val="auto"/>
              </w:rPr>
              <w:t>Usługi</w:t>
            </w:r>
          </w:p>
        </w:tc>
        <w:tc>
          <w:tcPr>
            <w:tcW w:w="1383" w:type="dxa"/>
            <w:shd w:val="clear" w:color="auto" w:fill="C5E0B3"/>
            <w:noWrap/>
          </w:tcPr>
          <w:p w14:paraId="05BDA440" w14:textId="6A953F13" w:rsidR="00487E0F" w:rsidRPr="004976A7" w:rsidRDefault="00C742C5" w:rsidP="00487E0F">
            <w:pPr>
              <w:pStyle w:val="Tabele"/>
              <w:jc w:val="right"/>
              <w:rPr>
                <w:color w:val="auto"/>
              </w:rPr>
            </w:pPr>
            <w:r w:rsidRPr="004976A7">
              <w:rPr>
                <w:color w:val="auto"/>
              </w:rPr>
              <w:t>4%</w:t>
            </w:r>
          </w:p>
        </w:tc>
        <w:tc>
          <w:tcPr>
            <w:tcW w:w="1345" w:type="dxa"/>
            <w:shd w:val="clear" w:color="auto" w:fill="C5E0B3"/>
            <w:noWrap/>
          </w:tcPr>
          <w:p w14:paraId="5752E04C" w14:textId="5F642DA3" w:rsidR="00487E0F" w:rsidRPr="004976A7" w:rsidRDefault="00C742C5" w:rsidP="00487E0F">
            <w:pPr>
              <w:pStyle w:val="Tabele"/>
              <w:jc w:val="right"/>
              <w:rPr>
                <w:color w:val="auto"/>
              </w:rPr>
            </w:pPr>
            <w:r w:rsidRPr="004976A7">
              <w:rPr>
                <w:color w:val="auto"/>
              </w:rPr>
              <w:t>19%</w:t>
            </w:r>
          </w:p>
        </w:tc>
        <w:tc>
          <w:tcPr>
            <w:tcW w:w="1126" w:type="dxa"/>
            <w:shd w:val="clear" w:color="auto" w:fill="C5E0B3"/>
            <w:noWrap/>
          </w:tcPr>
          <w:p w14:paraId="2173B487" w14:textId="50E3AE1B" w:rsidR="00487E0F" w:rsidRPr="004976A7" w:rsidRDefault="00C742C5" w:rsidP="00487E0F">
            <w:pPr>
              <w:pStyle w:val="Tabele"/>
              <w:jc w:val="right"/>
              <w:rPr>
                <w:color w:val="auto"/>
              </w:rPr>
            </w:pPr>
            <w:r w:rsidRPr="004976A7">
              <w:rPr>
                <w:color w:val="auto"/>
              </w:rPr>
              <w:t>32%</w:t>
            </w:r>
          </w:p>
        </w:tc>
        <w:tc>
          <w:tcPr>
            <w:tcW w:w="1122" w:type="dxa"/>
            <w:shd w:val="clear" w:color="auto" w:fill="C5E0B3"/>
          </w:tcPr>
          <w:p w14:paraId="73FE18A8" w14:textId="2C26B5ED" w:rsidR="00487E0F" w:rsidRPr="004976A7" w:rsidRDefault="000A086B" w:rsidP="00487E0F">
            <w:pPr>
              <w:pStyle w:val="Tabele"/>
              <w:jc w:val="right"/>
              <w:rPr>
                <w:rFonts w:cs="Arial"/>
                <w:color w:val="auto"/>
                <w:szCs w:val="16"/>
              </w:rPr>
            </w:pPr>
            <w:r w:rsidRPr="004976A7">
              <w:rPr>
                <w:rFonts w:cs="Arial"/>
                <w:color w:val="auto"/>
                <w:szCs w:val="16"/>
              </w:rPr>
              <w:t>4%</w:t>
            </w:r>
          </w:p>
        </w:tc>
        <w:tc>
          <w:tcPr>
            <w:tcW w:w="1122" w:type="dxa"/>
            <w:shd w:val="clear" w:color="auto" w:fill="C5E0B3"/>
          </w:tcPr>
          <w:p w14:paraId="7C43E817" w14:textId="7DECF483" w:rsidR="00487E0F" w:rsidRPr="004976A7" w:rsidRDefault="000A086B" w:rsidP="00487E0F">
            <w:pPr>
              <w:pStyle w:val="Tabele"/>
              <w:jc w:val="right"/>
              <w:rPr>
                <w:rFonts w:cs="Arial"/>
                <w:color w:val="auto"/>
                <w:szCs w:val="16"/>
              </w:rPr>
            </w:pPr>
            <w:r w:rsidRPr="004976A7">
              <w:rPr>
                <w:rFonts w:cs="Arial"/>
                <w:color w:val="auto"/>
                <w:szCs w:val="16"/>
              </w:rPr>
              <w:t>6%</w:t>
            </w:r>
          </w:p>
        </w:tc>
        <w:tc>
          <w:tcPr>
            <w:tcW w:w="1128" w:type="dxa"/>
            <w:shd w:val="clear" w:color="auto" w:fill="C5E0B3"/>
          </w:tcPr>
          <w:p w14:paraId="6CD2DFBE" w14:textId="37338240" w:rsidR="00487E0F" w:rsidRPr="004976A7" w:rsidRDefault="000A086B" w:rsidP="00487E0F">
            <w:pPr>
              <w:pStyle w:val="Tabele"/>
              <w:jc w:val="right"/>
              <w:rPr>
                <w:rFonts w:cs="Arial"/>
                <w:color w:val="auto"/>
                <w:szCs w:val="16"/>
              </w:rPr>
            </w:pPr>
            <w:r w:rsidRPr="004976A7">
              <w:rPr>
                <w:rFonts w:cs="Arial"/>
                <w:color w:val="auto"/>
                <w:szCs w:val="16"/>
              </w:rPr>
              <w:t>8%</w:t>
            </w:r>
          </w:p>
        </w:tc>
      </w:tr>
    </w:tbl>
    <w:p w14:paraId="48B6FFAE" w14:textId="495D8950" w:rsidR="005C4144" w:rsidRPr="004209BA" w:rsidRDefault="005C4144" w:rsidP="00B10B28">
      <w:pPr>
        <w:pStyle w:val="Nagwek3"/>
      </w:pPr>
      <w:bookmarkStart w:id="532" w:name="_Toc197666297"/>
      <w:bookmarkStart w:id="533" w:name="_Toc197959520"/>
      <w:bookmarkStart w:id="534" w:name="_Toc197959602"/>
      <w:bookmarkStart w:id="535" w:name="_Toc202966908"/>
      <w:bookmarkEnd w:id="532"/>
      <w:bookmarkEnd w:id="533"/>
      <w:bookmarkEnd w:id="534"/>
      <w:r w:rsidRPr="008F1BFB">
        <w:t>Krajowe ceny detaliczne paliw</w:t>
      </w:r>
      <w:bookmarkEnd w:id="535"/>
    </w:p>
    <w:p w14:paraId="26FE9C83" w14:textId="6A26E4DC" w:rsidR="00E43152" w:rsidRDefault="00E43152" w:rsidP="00E43152">
      <w:pPr>
        <w:rPr>
          <w:i/>
          <w:iCs/>
        </w:rPr>
      </w:pPr>
      <w:bookmarkStart w:id="536" w:name="_Ref156974398"/>
      <w:bookmarkStart w:id="537" w:name="_Toc161916677"/>
      <w:bookmarkStart w:id="538" w:name="_Toc171587217"/>
      <w:bookmarkStart w:id="539" w:name="_Toc174711001"/>
      <w:r w:rsidRPr="00CA2BF4">
        <w:t xml:space="preserve">W symulacjach modelowych rozróżniano ceny paliw dla </w:t>
      </w:r>
      <w:r>
        <w:t xml:space="preserve">przemysłu, </w:t>
      </w:r>
      <w:r w:rsidRPr="00CA2BF4">
        <w:t>energetyki</w:t>
      </w:r>
      <w:r>
        <w:t xml:space="preserve"> i</w:t>
      </w:r>
      <w:r w:rsidRPr="00CA2BF4">
        <w:t xml:space="preserve"> gospodarstw domowych </w:t>
      </w:r>
      <w:r>
        <w:t>zgodnie z podziałem obowiązującym w statystyce Międzynarodowej Agencji Energii</w:t>
      </w:r>
      <w:r>
        <w:rPr>
          <w:rStyle w:val="Odwoanieprzypisudolnego"/>
        </w:rPr>
        <w:footnoteReference w:id="28"/>
      </w:r>
      <w:r w:rsidRPr="00CA2BF4">
        <w:t>. Projekcje cen gazu ziemnego, węgla i produktów ropopochodnych bazują na trendach światowych cen nośników energii, przyjętych w formie założeń do analizy</w:t>
      </w:r>
      <w:r w:rsidRPr="00CD16F3">
        <w:t>.</w:t>
      </w:r>
      <w:r>
        <w:t xml:space="preserve"> Przyjęto niezmienny w czasie sposób i poziom opodatkowania. Zaprezentowane projekcje nie można traktować jako prognozy przyszłości, a jedynie szacunkowe wartości powiązane z przyjętymi założeniami dla scenariusza WAM.</w:t>
      </w:r>
    </w:p>
    <w:p w14:paraId="7A2A83C5" w14:textId="513108FB" w:rsidR="008A13F7" w:rsidRDefault="008A13F7" w:rsidP="008A13F7">
      <w:pPr>
        <w:pStyle w:val="Legenda"/>
        <w:keepNext/>
      </w:pPr>
      <w:bookmarkStart w:id="540" w:name="_Toc202967006"/>
      <w:bookmarkEnd w:id="536"/>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4</w:t>
      </w:r>
      <w:r w:rsidR="00653D9A">
        <w:rPr>
          <w:noProof/>
        </w:rPr>
        <w:fldChar w:fldCharType="end"/>
      </w:r>
      <w:r w:rsidR="00F5646F">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5</w:t>
      </w:r>
      <w:r w:rsidR="00653D9A">
        <w:rPr>
          <w:noProof/>
        </w:rPr>
        <w:fldChar w:fldCharType="end"/>
      </w:r>
      <w:r w:rsidR="00AF00A4">
        <w:t>.</w:t>
      </w:r>
      <w:r w:rsidR="005C4144" w:rsidRPr="00C0037B">
        <w:t xml:space="preserve"> </w:t>
      </w:r>
      <w:r w:rsidRPr="00C0037B">
        <w:t xml:space="preserve">Krajowe ceny detaliczne </w:t>
      </w:r>
      <w:r>
        <w:t>paliw – gaz ziemny [EUR’202</w:t>
      </w:r>
      <w:r w:rsidR="0039244E">
        <w:t>4</w:t>
      </w:r>
      <w:r>
        <w:t>/ktoe] scenariusz WA</w:t>
      </w:r>
      <w:r w:rsidRPr="00C0037B">
        <w:t>M</w:t>
      </w:r>
      <w:bookmarkEnd w:id="537"/>
      <w:bookmarkEnd w:id="538"/>
      <w:bookmarkEnd w:id="539"/>
      <w:bookmarkEnd w:id="540"/>
    </w:p>
    <w:tbl>
      <w:tblPr>
        <w:tblStyle w:val="KPEiK"/>
        <w:tblW w:w="5345" w:type="pct"/>
        <w:tblLook w:val="04A0" w:firstRow="1" w:lastRow="0" w:firstColumn="1" w:lastColumn="0" w:noHBand="0" w:noVBand="1"/>
      </w:tblPr>
      <w:tblGrid>
        <w:gridCol w:w="789"/>
        <w:gridCol w:w="1188"/>
        <w:gridCol w:w="954"/>
        <w:gridCol w:w="1111"/>
        <w:gridCol w:w="1430"/>
        <w:gridCol w:w="1430"/>
        <w:gridCol w:w="1352"/>
        <w:gridCol w:w="1434"/>
      </w:tblGrid>
      <w:tr w:rsidR="00632F3C" w:rsidRPr="00D92702" w14:paraId="4C803BE3" w14:textId="77777777" w:rsidTr="00492281">
        <w:trPr>
          <w:cnfStyle w:val="100000000000" w:firstRow="1" w:lastRow="0" w:firstColumn="0" w:lastColumn="0" w:oddVBand="0" w:evenVBand="0" w:oddHBand="0" w:evenHBand="0" w:firstRowFirstColumn="0" w:firstRowLastColumn="0" w:lastRowFirstColumn="0" w:lastRowLastColumn="0"/>
          <w:trHeight w:val="245"/>
          <w:tblHeader/>
        </w:trPr>
        <w:tc>
          <w:tcPr>
            <w:tcW w:w="789" w:type="dxa"/>
            <w:vMerge w:val="restart"/>
            <w:noWrap/>
            <w:hideMark/>
          </w:tcPr>
          <w:p w14:paraId="3464888C" w14:textId="77777777" w:rsidR="00632F3C" w:rsidRPr="00D92702" w:rsidRDefault="00632F3C">
            <w:pPr>
              <w:pStyle w:val="Tabele"/>
              <w:jc w:val="center"/>
            </w:pPr>
            <w:r w:rsidRPr="00D92702">
              <w:t>Rok</w:t>
            </w:r>
          </w:p>
        </w:tc>
        <w:tc>
          <w:tcPr>
            <w:tcW w:w="8899" w:type="dxa"/>
            <w:gridSpan w:val="7"/>
            <w:noWrap/>
            <w:hideMark/>
          </w:tcPr>
          <w:p w14:paraId="0FD72A58" w14:textId="3741151D" w:rsidR="00632F3C" w:rsidRPr="00D92702" w:rsidRDefault="00632F3C">
            <w:pPr>
              <w:pStyle w:val="Tabele"/>
              <w:jc w:val="center"/>
            </w:pPr>
            <w:r w:rsidRPr="00D92702">
              <w:t>Gaz ziemny [EUR'202</w:t>
            </w:r>
            <w:r w:rsidR="0039244E">
              <w:t>4</w:t>
            </w:r>
            <w:r w:rsidRPr="00D92702">
              <w:t>/ktoe]</w:t>
            </w:r>
          </w:p>
        </w:tc>
      </w:tr>
      <w:tr w:rsidR="00632F3C" w:rsidRPr="00D92702" w14:paraId="16FE2F1E" w14:textId="77777777" w:rsidTr="0039244E">
        <w:trPr>
          <w:cnfStyle w:val="100000000000" w:firstRow="1" w:lastRow="0" w:firstColumn="0" w:lastColumn="0" w:oddVBand="0" w:evenVBand="0" w:oddHBand="0" w:evenHBand="0" w:firstRowFirstColumn="0" w:firstRowLastColumn="0" w:lastRowFirstColumn="0" w:lastRowLastColumn="0"/>
          <w:trHeight w:val="245"/>
          <w:tblHeader/>
        </w:trPr>
        <w:tc>
          <w:tcPr>
            <w:tcW w:w="789" w:type="dxa"/>
            <w:vMerge/>
            <w:hideMark/>
          </w:tcPr>
          <w:p w14:paraId="6E86415A" w14:textId="77777777" w:rsidR="00632F3C" w:rsidRPr="00D92702" w:rsidRDefault="00632F3C">
            <w:pPr>
              <w:pStyle w:val="Tabele"/>
              <w:jc w:val="center"/>
            </w:pPr>
          </w:p>
        </w:tc>
        <w:tc>
          <w:tcPr>
            <w:tcW w:w="1188" w:type="dxa"/>
            <w:hideMark/>
          </w:tcPr>
          <w:p w14:paraId="2F85FF99" w14:textId="77777777" w:rsidR="00632F3C" w:rsidRPr="00D92702" w:rsidRDefault="00632F3C">
            <w:pPr>
              <w:pStyle w:val="Tabele"/>
              <w:jc w:val="center"/>
            </w:pPr>
            <w:r w:rsidRPr="00D92702">
              <w:t>Przemysł (Cena ogółem)</w:t>
            </w:r>
          </w:p>
        </w:tc>
        <w:tc>
          <w:tcPr>
            <w:tcW w:w="954" w:type="dxa"/>
            <w:hideMark/>
          </w:tcPr>
          <w:p w14:paraId="42AB6B9F" w14:textId="77777777" w:rsidR="00632F3C" w:rsidRPr="00D92702" w:rsidRDefault="00632F3C">
            <w:pPr>
              <w:pStyle w:val="Tabele"/>
              <w:jc w:val="center"/>
            </w:pPr>
            <w:r w:rsidRPr="00D92702">
              <w:t>Przemysł (Akcyza)</w:t>
            </w:r>
          </w:p>
        </w:tc>
        <w:tc>
          <w:tcPr>
            <w:tcW w:w="1111" w:type="dxa"/>
            <w:hideMark/>
          </w:tcPr>
          <w:p w14:paraId="454C80D6" w14:textId="77777777" w:rsidR="00632F3C" w:rsidRPr="00D92702" w:rsidRDefault="00632F3C">
            <w:pPr>
              <w:pStyle w:val="Tabele"/>
              <w:jc w:val="center"/>
            </w:pPr>
            <w:r w:rsidRPr="00D92702">
              <w:t>Przemysł</w:t>
            </w:r>
          </w:p>
          <w:p w14:paraId="22F775EC" w14:textId="77777777" w:rsidR="00632F3C" w:rsidRPr="00D92702" w:rsidRDefault="00632F3C">
            <w:pPr>
              <w:pStyle w:val="Tabele"/>
              <w:jc w:val="center"/>
            </w:pPr>
            <w:r w:rsidRPr="00D92702">
              <w:t>(VAT)</w:t>
            </w:r>
          </w:p>
        </w:tc>
        <w:tc>
          <w:tcPr>
            <w:tcW w:w="1430" w:type="dxa"/>
            <w:hideMark/>
          </w:tcPr>
          <w:p w14:paraId="0A73B2F5" w14:textId="77777777" w:rsidR="00632F3C" w:rsidRPr="00D92702" w:rsidRDefault="00632F3C">
            <w:pPr>
              <w:pStyle w:val="Tabele"/>
              <w:jc w:val="center"/>
            </w:pPr>
            <w:r w:rsidRPr="00D92702">
              <w:t>Energetyka</w:t>
            </w:r>
          </w:p>
          <w:p w14:paraId="13A51AC7" w14:textId="77777777" w:rsidR="00632F3C" w:rsidRPr="00D92702" w:rsidRDefault="00632F3C">
            <w:pPr>
              <w:pStyle w:val="Tabele"/>
              <w:jc w:val="center"/>
            </w:pPr>
            <w:r w:rsidRPr="00D92702">
              <w:t>(Cena ogółem)</w:t>
            </w:r>
          </w:p>
        </w:tc>
        <w:tc>
          <w:tcPr>
            <w:tcW w:w="1430" w:type="dxa"/>
            <w:hideMark/>
          </w:tcPr>
          <w:p w14:paraId="4000F97E" w14:textId="77777777" w:rsidR="00632F3C" w:rsidRPr="00D92702" w:rsidRDefault="00632F3C">
            <w:pPr>
              <w:pStyle w:val="Tabele"/>
              <w:jc w:val="center"/>
            </w:pPr>
            <w:r w:rsidRPr="00D92702">
              <w:t>Gospodarstwa domowe (Cena ogółem)</w:t>
            </w:r>
          </w:p>
        </w:tc>
        <w:tc>
          <w:tcPr>
            <w:tcW w:w="1352" w:type="dxa"/>
            <w:hideMark/>
          </w:tcPr>
          <w:p w14:paraId="00702F45" w14:textId="77777777" w:rsidR="00632F3C" w:rsidRPr="00D92702" w:rsidRDefault="00632F3C">
            <w:pPr>
              <w:pStyle w:val="Tabele"/>
              <w:jc w:val="center"/>
            </w:pPr>
            <w:r w:rsidRPr="00D92702">
              <w:t>Gospodarstwa domowe (Akcyza)</w:t>
            </w:r>
          </w:p>
        </w:tc>
        <w:tc>
          <w:tcPr>
            <w:tcW w:w="1434" w:type="dxa"/>
            <w:hideMark/>
          </w:tcPr>
          <w:p w14:paraId="6AD20B08" w14:textId="77777777" w:rsidR="00632F3C" w:rsidRPr="00D92702" w:rsidRDefault="00632F3C">
            <w:pPr>
              <w:pStyle w:val="Tabele"/>
              <w:jc w:val="center"/>
            </w:pPr>
            <w:r w:rsidRPr="00D92702">
              <w:t>Gospodarstwa domowe (VAT)</w:t>
            </w:r>
          </w:p>
        </w:tc>
      </w:tr>
      <w:tr w:rsidR="0039244E" w:rsidRPr="00D92702" w14:paraId="74189BFE" w14:textId="77777777" w:rsidTr="0039244E">
        <w:trPr>
          <w:trHeight w:val="245"/>
        </w:trPr>
        <w:tc>
          <w:tcPr>
            <w:tcW w:w="789" w:type="dxa"/>
            <w:shd w:val="clear" w:color="auto" w:fill="C5E0B3"/>
            <w:noWrap/>
            <w:hideMark/>
          </w:tcPr>
          <w:p w14:paraId="30623EA2" w14:textId="77777777" w:rsidR="0039244E" w:rsidRPr="003B7C7E" w:rsidRDefault="0039244E" w:rsidP="0039244E">
            <w:pPr>
              <w:pStyle w:val="Tabele"/>
              <w:rPr>
                <w:szCs w:val="16"/>
              </w:rPr>
            </w:pPr>
            <w:r w:rsidRPr="003B7C7E">
              <w:rPr>
                <w:rFonts w:cs="Arial"/>
                <w:b/>
                <w:bCs/>
                <w:color w:val="000000"/>
                <w:szCs w:val="16"/>
              </w:rPr>
              <w:t>2005</w:t>
            </w:r>
          </w:p>
        </w:tc>
        <w:tc>
          <w:tcPr>
            <w:tcW w:w="1188" w:type="dxa"/>
            <w:shd w:val="clear" w:color="auto" w:fill="C5E0B3"/>
            <w:noWrap/>
            <w:hideMark/>
          </w:tcPr>
          <w:p w14:paraId="44099130" w14:textId="3C28D324" w:rsidR="0039244E" w:rsidRPr="003B7C7E" w:rsidRDefault="0039244E" w:rsidP="0039244E">
            <w:pPr>
              <w:pStyle w:val="Tabele"/>
              <w:jc w:val="right"/>
              <w:rPr>
                <w:szCs w:val="16"/>
              </w:rPr>
            </w:pPr>
            <w:r>
              <w:rPr>
                <w:rFonts w:cs="Arial"/>
                <w:color w:val="000000"/>
                <w:szCs w:val="16"/>
              </w:rPr>
              <w:t>267 160</w:t>
            </w:r>
          </w:p>
        </w:tc>
        <w:tc>
          <w:tcPr>
            <w:tcW w:w="954" w:type="dxa"/>
            <w:shd w:val="clear" w:color="auto" w:fill="C5E0B3"/>
            <w:noWrap/>
            <w:hideMark/>
          </w:tcPr>
          <w:p w14:paraId="3E13AB17" w14:textId="723B2127" w:rsidR="0039244E" w:rsidRPr="003B7C7E" w:rsidRDefault="0039244E" w:rsidP="0039244E">
            <w:pPr>
              <w:pStyle w:val="Tabele"/>
              <w:jc w:val="right"/>
              <w:rPr>
                <w:szCs w:val="16"/>
              </w:rPr>
            </w:pPr>
            <w:r>
              <w:rPr>
                <w:rFonts w:cs="Arial"/>
                <w:color w:val="000000"/>
                <w:szCs w:val="16"/>
              </w:rPr>
              <w:t>0</w:t>
            </w:r>
          </w:p>
        </w:tc>
        <w:tc>
          <w:tcPr>
            <w:tcW w:w="1111" w:type="dxa"/>
            <w:shd w:val="clear" w:color="auto" w:fill="C5E0B3"/>
            <w:noWrap/>
            <w:hideMark/>
          </w:tcPr>
          <w:p w14:paraId="1397643B" w14:textId="33351630" w:rsidR="0039244E" w:rsidRPr="003B7C7E" w:rsidRDefault="0039244E" w:rsidP="0039244E">
            <w:pPr>
              <w:pStyle w:val="Tabele"/>
              <w:jc w:val="right"/>
              <w:rPr>
                <w:szCs w:val="16"/>
              </w:rPr>
            </w:pPr>
            <w:r>
              <w:rPr>
                <w:rFonts w:cs="Arial"/>
                <w:color w:val="000000"/>
                <w:szCs w:val="16"/>
              </w:rPr>
              <w:t>0</w:t>
            </w:r>
          </w:p>
        </w:tc>
        <w:tc>
          <w:tcPr>
            <w:tcW w:w="1430" w:type="dxa"/>
            <w:shd w:val="clear" w:color="auto" w:fill="C5E0B3"/>
            <w:noWrap/>
            <w:hideMark/>
          </w:tcPr>
          <w:p w14:paraId="31ECDADD" w14:textId="3B2FD77E" w:rsidR="0039244E" w:rsidRPr="003B7C7E" w:rsidRDefault="0039244E" w:rsidP="0039244E">
            <w:pPr>
              <w:pStyle w:val="Tabele"/>
              <w:jc w:val="right"/>
              <w:rPr>
                <w:szCs w:val="16"/>
              </w:rPr>
            </w:pPr>
            <w:r>
              <w:rPr>
                <w:rFonts w:cs="Arial"/>
                <w:color w:val="000000"/>
                <w:szCs w:val="16"/>
              </w:rPr>
              <w:t>220 524</w:t>
            </w:r>
          </w:p>
        </w:tc>
        <w:tc>
          <w:tcPr>
            <w:tcW w:w="1430" w:type="dxa"/>
            <w:shd w:val="clear" w:color="auto" w:fill="C5E0B3"/>
            <w:noWrap/>
            <w:hideMark/>
          </w:tcPr>
          <w:p w14:paraId="6695294C" w14:textId="5BF216A6" w:rsidR="0039244E" w:rsidRPr="003B7C7E" w:rsidRDefault="0039244E" w:rsidP="0039244E">
            <w:pPr>
              <w:pStyle w:val="Tabele"/>
              <w:jc w:val="right"/>
              <w:rPr>
                <w:szCs w:val="16"/>
              </w:rPr>
            </w:pPr>
            <w:r>
              <w:rPr>
                <w:rFonts w:cs="Arial"/>
                <w:color w:val="000000"/>
                <w:szCs w:val="16"/>
              </w:rPr>
              <w:t>527 059</w:t>
            </w:r>
          </w:p>
        </w:tc>
        <w:tc>
          <w:tcPr>
            <w:tcW w:w="1352" w:type="dxa"/>
            <w:shd w:val="clear" w:color="auto" w:fill="C5E0B3"/>
            <w:noWrap/>
            <w:hideMark/>
          </w:tcPr>
          <w:p w14:paraId="035E40B9" w14:textId="69B3B295" w:rsidR="0039244E" w:rsidRPr="003B7C7E" w:rsidRDefault="0039244E" w:rsidP="0039244E">
            <w:pPr>
              <w:pStyle w:val="Tabele"/>
              <w:jc w:val="right"/>
              <w:rPr>
                <w:szCs w:val="16"/>
              </w:rPr>
            </w:pPr>
            <w:r>
              <w:rPr>
                <w:rFonts w:cs="Arial"/>
                <w:color w:val="000000"/>
                <w:szCs w:val="16"/>
              </w:rPr>
              <w:t>0</w:t>
            </w:r>
          </w:p>
        </w:tc>
        <w:tc>
          <w:tcPr>
            <w:tcW w:w="1434" w:type="dxa"/>
            <w:shd w:val="clear" w:color="auto" w:fill="C5E0B3"/>
            <w:noWrap/>
            <w:hideMark/>
          </w:tcPr>
          <w:p w14:paraId="51E5B333" w14:textId="27EE4255" w:rsidR="0039244E" w:rsidRPr="003B7C7E" w:rsidRDefault="0039244E" w:rsidP="0039244E">
            <w:pPr>
              <w:pStyle w:val="Tabele"/>
              <w:jc w:val="right"/>
              <w:rPr>
                <w:szCs w:val="16"/>
              </w:rPr>
            </w:pPr>
            <w:r>
              <w:rPr>
                <w:rFonts w:cs="Arial"/>
                <w:color w:val="000000"/>
                <w:szCs w:val="16"/>
              </w:rPr>
              <w:t>94 932</w:t>
            </w:r>
          </w:p>
        </w:tc>
      </w:tr>
      <w:tr w:rsidR="0039244E" w:rsidRPr="00D92702" w14:paraId="7272EA0A" w14:textId="77777777" w:rsidTr="0039244E">
        <w:trPr>
          <w:trHeight w:val="245"/>
        </w:trPr>
        <w:tc>
          <w:tcPr>
            <w:tcW w:w="789" w:type="dxa"/>
            <w:shd w:val="clear" w:color="auto" w:fill="C5E0B3"/>
            <w:noWrap/>
            <w:hideMark/>
          </w:tcPr>
          <w:p w14:paraId="6F2551C3" w14:textId="77777777" w:rsidR="0039244E" w:rsidRPr="003B7C7E" w:rsidRDefault="0039244E" w:rsidP="0039244E">
            <w:pPr>
              <w:pStyle w:val="Tabele"/>
              <w:rPr>
                <w:szCs w:val="16"/>
              </w:rPr>
            </w:pPr>
            <w:r w:rsidRPr="003B7C7E">
              <w:rPr>
                <w:rFonts w:cs="Arial"/>
                <w:b/>
                <w:bCs/>
                <w:color w:val="000000"/>
                <w:szCs w:val="16"/>
              </w:rPr>
              <w:t>2010</w:t>
            </w:r>
          </w:p>
        </w:tc>
        <w:tc>
          <w:tcPr>
            <w:tcW w:w="1188" w:type="dxa"/>
            <w:shd w:val="clear" w:color="auto" w:fill="C5E0B3"/>
            <w:noWrap/>
            <w:hideMark/>
          </w:tcPr>
          <w:p w14:paraId="05BE94AA" w14:textId="3E9AB37B" w:rsidR="0039244E" w:rsidRPr="003B7C7E" w:rsidRDefault="0039244E" w:rsidP="0039244E">
            <w:pPr>
              <w:pStyle w:val="Tabele"/>
              <w:jc w:val="right"/>
              <w:rPr>
                <w:szCs w:val="16"/>
              </w:rPr>
            </w:pPr>
            <w:r>
              <w:rPr>
                <w:rFonts w:cs="Arial"/>
                <w:color w:val="000000"/>
                <w:szCs w:val="16"/>
              </w:rPr>
              <w:t>477 663</w:t>
            </w:r>
          </w:p>
        </w:tc>
        <w:tc>
          <w:tcPr>
            <w:tcW w:w="954" w:type="dxa"/>
            <w:shd w:val="clear" w:color="auto" w:fill="C5E0B3"/>
            <w:noWrap/>
            <w:hideMark/>
          </w:tcPr>
          <w:p w14:paraId="7B59E3BE" w14:textId="058F1090" w:rsidR="0039244E" w:rsidRPr="003B7C7E" w:rsidRDefault="0039244E" w:rsidP="0039244E">
            <w:pPr>
              <w:pStyle w:val="Tabele"/>
              <w:jc w:val="right"/>
              <w:rPr>
                <w:szCs w:val="16"/>
              </w:rPr>
            </w:pPr>
            <w:r>
              <w:rPr>
                <w:rFonts w:cs="Arial"/>
                <w:color w:val="000000"/>
                <w:szCs w:val="16"/>
              </w:rPr>
              <w:t>0</w:t>
            </w:r>
          </w:p>
        </w:tc>
        <w:tc>
          <w:tcPr>
            <w:tcW w:w="1111" w:type="dxa"/>
            <w:shd w:val="clear" w:color="auto" w:fill="C5E0B3"/>
            <w:noWrap/>
            <w:hideMark/>
          </w:tcPr>
          <w:p w14:paraId="4282F3BF" w14:textId="777AC701" w:rsidR="0039244E" w:rsidRPr="003B7C7E" w:rsidRDefault="0039244E" w:rsidP="0039244E">
            <w:pPr>
              <w:pStyle w:val="Tabele"/>
              <w:jc w:val="right"/>
              <w:rPr>
                <w:szCs w:val="16"/>
              </w:rPr>
            </w:pPr>
            <w:r>
              <w:rPr>
                <w:rFonts w:cs="Arial"/>
                <w:color w:val="000000"/>
                <w:szCs w:val="16"/>
              </w:rPr>
              <w:t>0</w:t>
            </w:r>
          </w:p>
        </w:tc>
        <w:tc>
          <w:tcPr>
            <w:tcW w:w="1430" w:type="dxa"/>
            <w:shd w:val="clear" w:color="auto" w:fill="C5E0B3"/>
            <w:noWrap/>
            <w:hideMark/>
          </w:tcPr>
          <w:p w14:paraId="34CDCCD1" w14:textId="4C5DC1C6" w:rsidR="0039244E" w:rsidRPr="003B7C7E" w:rsidRDefault="0039244E" w:rsidP="0039244E">
            <w:pPr>
              <w:pStyle w:val="Tabele"/>
              <w:jc w:val="right"/>
              <w:rPr>
                <w:szCs w:val="16"/>
              </w:rPr>
            </w:pPr>
            <w:r>
              <w:rPr>
                <w:rFonts w:cs="Arial"/>
                <w:color w:val="000000"/>
                <w:szCs w:val="16"/>
              </w:rPr>
              <w:t>306 445</w:t>
            </w:r>
          </w:p>
        </w:tc>
        <w:tc>
          <w:tcPr>
            <w:tcW w:w="1430" w:type="dxa"/>
            <w:shd w:val="clear" w:color="auto" w:fill="C5E0B3"/>
            <w:noWrap/>
            <w:hideMark/>
          </w:tcPr>
          <w:p w14:paraId="56372D04" w14:textId="73A5660F" w:rsidR="0039244E" w:rsidRPr="003B7C7E" w:rsidRDefault="0039244E" w:rsidP="0039244E">
            <w:pPr>
              <w:pStyle w:val="Tabele"/>
              <w:jc w:val="right"/>
              <w:rPr>
                <w:szCs w:val="16"/>
              </w:rPr>
            </w:pPr>
            <w:r>
              <w:rPr>
                <w:rFonts w:cs="Arial"/>
                <w:color w:val="000000"/>
                <w:szCs w:val="16"/>
              </w:rPr>
              <w:t>811 841</w:t>
            </w:r>
          </w:p>
        </w:tc>
        <w:tc>
          <w:tcPr>
            <w:tcW w:w="1352" w:type="dxa"/>
            <w:shd w:val="clear" w:color="auto" w:fill="C5E0B3"/>
            <w:noWrap/>
            <w:hideMark/>
          </w:tcPr>
          <w:p w14:paraId="1DC6CA0C" w14:textId="3215E0CE" w:rsidR="0039244E" w:rsidRPr="003B7C7E" w:rsidRDefault="0039244E" w:rsidP="0039244E">
            <w:pPr>
              <w:pStyle w:val="Tabele"/>
              <w:jc w:val="right"/>
              <w:rPr>
                <w:szCs w:val="16"/>
              </w:rPr>
            </w:pPr>
            <w:r>
              <w:rPr>
                <w:rFonts w:cs="Arial"/>
                <w:color w:val="000000"/>
                <w:szCs w:val="16"/>
              </w:rPr>
              <w:t>0</w:t>
            </w:r>
          </w:p>
        </w:tc>
        <w:tc>
          <w:tcPr>
            <w:tcW w:w="1434" w:type="dxa"/>
            <w:shd w:val="clear" w:color="auto" w:fill="C5E0B3"/>
            <w:noWrap/>
            <w:hideMark/>
          </w:tcPr>
          <w:p w14:paraId="6E41EECC" w14:textId="0D843D73" w:rsidR="0039244E" w:rsidRPr="003B7C7E" w:rsidRDefault="0039244E" w:rsidP="0039244E">
            <w:pPr>
              <w:pStyle w:val="Tabele"/>
              <w:jc w:val="right"/>
              <w:rPr>
                <w:szCs w:val="16"/>
              </w:rPr>
            </w:pPr>
            <w:r>
              <w:rPr>
                <w:rFonts w:cs="Arial"/>
                <w:color w:val="000000"/>
                <w:szCs w:val="16"/>
              </w:rPr>
              <w:t>146 284</w:t>
            </w:r>
          </w:p>
        </w:tc>
      </w:tr>
      <w:tr w:rsidR="0039244E" w:rsidRPr="00D92702" w14:paraId="113C8623" w14:textId="77777777" w:rsidTr="0039244E">
        <w:trPr>
          <w:trHeight w:val="245"/>
        </w:trPr>
        <w:tc>
          <w:tcPr>
            <w:tcW w:w="789" w:type="dxa"/>
            <w:shd w:val="clear" w:color="auto" w:fill="C5E0B3"/>
            <w:noWrap/>
            <w:hideMark/>
          </w:tcPr>
          <w:p w14:paraId="3D896B0F" w14:textId="77777777" w:rsidR="0039244E" w:rsidRPr="003B7C7E" w:rsidRDefault="0039244E" w:rsidP="0039244E">
            <w:pPr>
              <w:pStyle w:val="Tabele"/>
              <w:rPr>
                <w:szCs w:val="16"/>
              </w:rPr>
            </w:pPr>
            <w:r w:rsidRPr="003B7C7E">
              <w:rPr>
                <w:rFonts w:cs="Arial"/>
                <w:b/>
                <w:bCs/>
                <w:color w:val="000000"/>
                <w:szCs w:val="16"/>
              </w:rPr>
              <w:t>2015</w:t>
            </w:r>
          </w:p>
        </w:tc>
        <w:tc>
          <w:tcPr>
            <w:tcW w:w="1188" w:type="dxa"/>
            <w:shd w:val="clear" w:color="auto" w:fill="C5E0B3"/>
            <w:noWrap/>
            <w:hideMark/>
          </w:tcPr>
          <w:p w14:paraId="5BDCE7CD" w14:textId="292791F3" w:rsidR="0039244E" w:rsidRPr="003B7C7E" w:rsidRDefault="0039244E" w:rsidP="0039244E">
            <w:pPr>
              <w:pStyle w:val="Tabele"/>
              <w:jc w:val="right"/>
              <w:rPr>
                <w:szCs w:val="16"/>
              </w:rPr>
            </w:pPr>
            <w:r>
              <w:rPr>
                <w:rFonts w:cs="Arial"/>
                <w:color w:val="000000"/>
                <w:szCs w:val="16"/>
              </w:rPr>
              <w:t>427 878</w:t>
            </w:r>
          </w:p>
        </w:tc>
        <w:tc>
          <w:tcPr>
            <w:tcW w:w="954" w:type="dxa"/>
            <w:shd w:val="clear" w:color="auto" w:fill="C5E0B3"/>
            <w:noWrap/>
            <w:hideMark/>
          </w:tcPr>
          <w:p w14:paraId="44B59D02" w14:textId="7CF12E53" w:rsidR="0039244E" w:rsidRPr="003B7C7E" w:rsidRDefault="0039244E" w:rsidP="0039244E">
            <w:pPr>
              <w:pStyle w:val="Tabele"/>
              <w:jc w:val="right"/>
              <w:rPr>
                <w:szCs w:val="16"/>
              </w:rPr>
            </w:pPr>
            <w:r>
              <w:rPr>
                <w:rFonts w:cs="Arial"/>
                <w:color w:val="000000"/>
                <w:szCs w:val="16"/>
              </w:rPr>
              <w:t>3 565</w:t>
            </w:r>
          </w:p>
        </w:tc>
        <w:tc>
          <w:tcPr>
            <w:tcW w:w="1111" w:type="dxa"/>
            <w:shd w:val="clear" w:color="auto" w:fill="C5E0B3"/>
            <w:noWrap/>
            <w:hideMark/>
          </w:tcPr>
          <w:p w14:paraId="06552109" w14:textId="315A24B1" w:rsidR="0039244E" w:rsidRPr="003B7C7E" w:rsidRDefault="0039244E" w:rsidP="0039244E">
            <w:pPr>
              <w:pStyle w:val="Tabele"/>
              <w:jc w:val="right"/>
              <w:rPr>
                <w:szCs w:val="16"/>
              </w:rPr>
            </w:pPr>
            <w:r>
              <w:rPr>
                <w:rFonts w:cs="Arial"/>
                <w:color w:val="000000"/>
                <w:szCs w:val="16"/>
              </w:rPr>
              <w:t>0</w:t>
            </w:r>
          </w:p>
        </w:tc>
        <w:tc>
          <w:tcPr>
            <w:tcW w:w="1430" w:type="dxa"/>
            <w:shd w:val="clear" w:color="auto" w:fill="C5E0B3"/>
            <w:noWrap/>
            <w:hideMark/>
          </w:tcPr>
          <w:p w14:paraId="0AE0F871" w14:textId="75096824" w:rsidR="0039244E" w:rsidRPr="003B7C7E" w:rsidRDefault="0039244E" w:rsidP="0039244E">
            <w:pPr>
              <w:pStyle w:val="Tabele"/>
              <w:jc w:val="right"/>
              <w:rPr>
                <w:szCs w:val="16"/>
              </w:rPr>
            </w:pPr>
            <w:r>
              <w:rPr>
                <w:rFonts w:cs="Arial"/>
                <w:color w:val="000000"/>
                <w:szCs w:val="16"/>
              </w:rPr>
              <w:t>300 040</w:t>
            </w:r>
          </w:p>
        </w:tc>
        <w:tc>
          <w:tcPr>
            <w:tcW w:w="1430" w:type="dxa"/>
            <w:shd w:val="clear" w:color="auto" w:fill="C5E0B3"/>
            <w:noWrap/>
            <w:hideMark/>
          </w:tcPr>
          <w:p w14:paraId="73A7B3EE" w14:textId="182BA949" w:rsidR="0039244E" w:rsidRPr="003B7C7E" w:rsidRDefault="0039244E" w:rsidP="0039244E">
            <w:pPr>
              <w:pStyle w:val="Tabele"/>
              <w:jc w:val="right"/>
              <w:rPr>
                <w:szCs w:val="16"/>
              </w:rPr>
            </w:pPr>
            <w:r>
              <w:rPr>
                <w:rFonts w:cs="Arial"/>
                <w:color w:val="000000"/>
                <w:szCs w:val="16"/>
              </w:rPr>
              <w:t>801 323</w:t>
            </w:r>
          </w:p>
        </w:tc>
        <w:tc>
          <w:tcPr>
            <w:tcW w:w="1352" w:type="dxa"/>
            <w:shd w:val="clear" w:color="auto" w:fill="C5E0B3"/>
            <w:noWrap/>
            <w:hideMark/>
          </w:tcPr>
          <w:p w14:paraId="03AEAA19" w14:textId="434701F4" w:rsidR="0039244E" w:rsidRPr="003B7C7E" w:rsidRDefault="0039244E" w:rsidP="0039244E">
            <w:pPr>
              <w:pStyle w:val="Tabele"/>
              <w:jc w:val="right"/>
              <w:rPr>
                <w:szCs w:val="16"/>
              </w:rPr>
            </w:pPr>
            <w:r>
              <w:rPr>
                <w:rFonts w:cs="Arial"/>
                <w:color w:val="000000"/>
                <w:szCs w:val="16"/>
              </w:rPr>
              <w:t>0</w:t>
            </w:r>
          </w:p>
        </w:tc>
        <w:tc>
          <w:tcPr>
            <w:tcW w:w="1434" w:type="dxa"/>
            <w:shd w:val="clear" w:color="auto" w:fill="C5E0B3"/>
            <w:noWrap/>
            <w:hideMark/>
          </w:tcPr>
          <w:p w14:paraId="5EC045A4" w14:textId="4FAA6716" w:rsidR="0039244E" w:rsidRPr="003B7C7E" w:rsidRDefault="0039244E" w:rsidP="0039244E">
            <w:pPr>
              <w:pStyle w:val="Tabele"/>
              <w:jc w:val="right"/>
              <w:rPr>
                <w:szCs w:val="16"/>
              </w:rPr>
            </w:pPr>
            <w:r>
              <w:rPr>
                <w:rFonts w:cs="Arial"/>
                <w:color w:val="000000"/>
                <w:szCs w:val="16"/>
              </w:rPr>
              <w:t>150 435</w:t>
            </w:r>
          </w:p>
        </w:tc>
      </w:tr>
      <w:tr w:rsidR="0039244E" w:rsidRPr="00D92702" w14:paraId="6CD13E47" w14:textId="77777777" w:rsidTr="0039244E">
        <w:trPr>
          <w:trHeight w:val="245"/>
        </w:trPr>
        <w:tc>
          <w:tcPr>
            <w:tcW w:w="789" w:type="dxa"/>
            <w:shd w:val="clear" w:color="auto" w:fill="C5E0B3"/>
            <w:noWrap/>
            <w:hideMark/>
          </w:tcPr>
          <w:p w14:paraId="59F2B339" w14:textId="77777777" w:rsidR="0039244E" w:rsidRPr="003B7C7E" w:rsidRDefault="0039244E" w:rsidP="0039244E">
            <w:pPr>
              <w:pStyle w:val="Tabele"/>
              <w:rPr>
                <w:szCs w:val="16"/>
              </w:rPr>
            </w:pPr>
            <w:r w:rsidRPr="003B7C7E">
              <w:rPr>
                <w:rFonts w:cs="Arial"/>
                <w:b/>
                <w:bCs/>
                <w:color w:val="000000"/>
                <w:szCs w:val="16"/>
              </w:rPr>
              <w:t>2020</w:t>
            </w:r>
          </w:p>
        </w:tc>
        <w:tc>
          <w:tcPr>
            <w:tcW w:w="1188" w:type="dxa"/>
            <w:shd w:val="clear" w:color="auto" w:fill="C5E0B3"/>
            <w:noWrap/>
            <w:hideMark/>
          </w:tcPr>
          <w:p w14:paraId="4ED268A0" w14:textId="0BEA8FB3" w:rsidR="0039244E" w:rsidRPr="003B7C7E" w:rsidRDefault="0039244E" w:rsidP="0039244E">
            <w:pPr>
              <w:pStyle w:val="Tabele"/>
              <w:jc w:val="right"/>
              <w:rPr>
                <w:szCs w:val="16"/>
              </w:rPr>
            </w:pPr>
            <w:r>
              <w:rPr>
                <w:rFonts w:cs="Arial"/>
                <w:color w:val="000000"/>
                <w:szCs w:val="16"/>
              </w:rPr>
              <w:t>255 433</w:t>
            </w:r>
          </w:p>
        </w:tc>
        <w:tc>
          <w:tcPr>
            <w:tcW w:w="954" w:type="dxa"/>
            <w:shd w:val="clear" w:color="auto" w:fill="C5E0B3"/>
            <w:noWrap/>
            <w:hideMark/>
          </w:tcPr>
          <w:p w14:paraId="79049092" w14:textId="0BD595CB" w:rsidR="0039244E" w:rsidRPr="003B7C7E" w:rsidRDefault="0039244E" w:rsidP="0039244E">
            <w:pPr>
              <w:pStyle w:val="Tabele"/>
              <w:jc w:val="right"/>
              <w:rPr>
                <w:szCs w:val="16"/>
              </w:rPr>
            </w:pPr>
            <w:r>
              <w:rPr>
                <w:rFonts w:cs="Arial"/>
                <w:color w:val="000000"/>
                <w:szCs w:val="16"/>
              </w:rPr>
              <w:t>3 200</w:t>
            </w:r>
          </w:p>
        </w:tc>
        <w:tc>
          <w:tcPr>
            <w:tcW w:w="1111" w:type="dxa"/>
            <w:shd w:val="clear" w:color="auto" w:fill="C5E0B3"/>
            <w:noWrap/>
            <w:hideMark/>
          </w:tcPr>
          <w:p w14:paraId="3F2B380F" w14:textId="03DEC9F6" w:rsidR="0039244E" w:rsidRPr="003B7C7E" w:rsidRDefault="0039244E" w:rsidP="0039244E">
            <w:pPr>
              <w:pStyle w:val="Tabele"/>
              <w:jc w:val="right"/>
              <w:rPr>
                <w:szCs w:val="16"/>
              </w:rPr>
            </w:pPr>
            <w:r>
              <w:rPr>
                <w:rFonts w:cs="Arial"/>
                <w:color w:val="000000"/>
                <w:szCs w:val="16"/>
              </w:rPr>
              <w:t>0</w:t>
            </w:r>
          </w:p>
        </w:tc>
        <w:tc>
          <w:tcPr>
            <w:tcW w:w="1430" w:type="dxa"/>
            <w:shd w:val="clear" w:color="auto" w:fill="C5E0B3"/>
            <w:noWrap/>
            <w:hideMark/>
          </w:tcPr>
          <w:p w14:paraId="78127D93" w14:textId="54691F6C" w:rsidR="0039244E" w:rsidRPr="003B7C7E" w:rsidRDefault="0039244E" w:rsidP="0039244E">
            <w:pPr>
              <w:pStyle w:val="Tabele"/>
              <w:jc w:val="right"/>
              <w:rPr>
                <w:szCs w:val="16"/>
              </w:rPr>
            </w:pPr>
            <w:r>
              <w:rPr>
                <w:rFonts w:cs="Arial"/>
                <w:color w:val="000000"/>
                <w:szCs w:val="16"/>
              </w:rPr>
              <w:t>201 053</w:t>
            </w:r>
          </w:p>
        </w:tc>
        <w:tc>
          <w:tcPr>
            <w:tcW w:w="1430" w:type="dxa"/>
            <w:shd w:val="clear" w:color="auto" w:fill="C5E0B3"/>
            <w:noWrap/>
            <w:hideMark/>
          </w:tcPr>
          <w:p w14:paraId="78686058" w14:textId="48EDD499" w:rsidR="0039244E" w:rsidRPr="003B7C7E" w:rsidRDefault="0039244E" w:rsidP="0039244E">
            <w:pPr>
              <w:pStyle w:val="Tabele"/>
              <w:jc w:val="right"/>
              <w:rPr>
                <w:szCs w:val="16"/>
              </w:rPr>
            </w:pPr>
            <w:r>
              <w:rPr>
                <w:rFonts w:cs="Arial"/>
                <w:color w:val="000000"/>
                <w:szCs w:val="16"/>
              </w:rPr>
              <w:t>737 294</w:t>
            </w:r>
          </w:p>
        </w:tc>
        <w:tc>
          <w:tcPr>
            <w:tcW w:w="1352" w:type="dxa"/>
            <w:shd w:val="clear" w:color="auto" w:fill="C5E0B3"/>
            <w:noWrap/>
            <w:hideMark/>
          </w:tcPr>
          <w:p w14:paraId="5744F831" w14:textId="4B391C28" w:rsidR="0039244E" w:rsidRPr="003B7C7E" w:rsidRDefault="0039244E" w:rsidP="0039244E">
            <w:pPr>
              <w:pStyle w:val="Tabele"/>
              <w:jc w:val="right"/>
              <w:rPr>
                <w:szCs w:val="16"/>
              </w:rPr>
            </w:pPr>
            <w:r>
              <w:rPr>
                <w:rFonts w:cs="Arial"/>
                <w:color w:val="000000"/>
                <w:szCs w:val="16"/>
              </w:rPr>
              <w:t>0</w:t>
            </w:r>
          </w:p>
        </w:tc>
        <w:tc>
          <w:tcPr>
            <w:tcW w:w="1434" w:type="dxa"/>
            <w:shd w:val="clear" w:color="auto" w:fill="C5E0B3"/>
            <w:noWrap/>
            <w:hideMark/>
          </w:tcPr>
          <w:p w14:paraId="0BF2631E" w14:textId="59CBAA97" w:rsidR="0039244E" w:rsidRPr="003B7C7E" w:rsidRDefault="0039244E" w:rsidP="0039244E">
            <w:pPr>
              <w:pStyle w:val="Tabele"/>
              <w:jc w:val="right"/>
              <w:rPr>
                <w:szCs w:val="16"/>
              </w:rPr>
            </w:pPr>
            <w:r>
              <w:rPr>
                <w:rFonts w:cs="Arial"/>
                <w:color w:val="000000"/>
                <w:szCs w:val="16"/>
              </w:rPr>
              <w:t>137 868</w:t>
            </w:r>
          </w:p>
        </w:tc>
      </w:tr>
      <w:tr w:rsidR="0039244E" w:rsidRPr="00D92702" w14:paraId="0F8C0E31" w14:textId="77777777" w:rsidTr="0039244E">
        <w:trPr>
          <w:trHeight w:val="245"/>
        </w:trPr>
        <w:tc>
          <w:tcPr>
            <w:tcW w:w="789" w:type="dxa"/>
            <w:noWrap/>
            <w:hideMark/>
          </w:tcPr>
          <w:p w14:paraId="324F1577" w14:textId="77777777" w:rsidR="0039244E" w:rsidRPr="003B7C7E" w:rsidRDefault="0039244E" w:rsidP="0039244E">
            <w:pPr>
              <w:pStyle w:val="Tabele"/>
              <w:rPr>
                <w:szCs w:val="16"/>
              </w:rPr>
            </w:pPr>
            <w:r w:rsidRPr="003B7C7E">
              <w:rPr>
                <w:rFonts w:cs="Arial"/>
                <w:b/>
                <w:bCs/>
                <w:color w:val="000000"/>
                <w:szCs w:val="16"/>
              </w:rPr>
              <w:t>2025</w:t>
            </w:r>
          </w:p>
        </w:tc>
        <w:tc>
          <w:tcPr>
            <w:tcW w:w="1188" w:type="dxa"/>
            <w:noWrap/>
            <w:hideMark/>
          </w:tcPr>
          <w:p w14:paraId="1EF750D2" w14:textId="6E662C46" w:rsidR="0039244E" w:rsidRPr="003B7C7E" w:rsidRDefault="0039244E" w:rsidP="0039244E">
            <w:pPr>
              <w:pStyle w:val="Tabele"/>
              <w:jc w:val="right"/>
              <w:rPr>
                <w:szCs w:val="16"/>
              </w:rPr>
            </w:pPr>
            <w:r>
              <w:rPr>
                <w:rFonts w:cs="Arial"/>
                <w:color w:val="000000"/>
                <w:szCs w:val="16"/>
              </w:rPr>
              <w:t>495 538</w:t>
            </w:r>
          </w:p>
        </w:tc>
        <w:tc>
          <w:tcPr>
            <w:tcW w:w="954" w:type="dxa"/>
            <w:noWrap/>
            <w:hideMark/>
          </w:tcPr>
          <w:p w14:paraId="10E452EC" w14:textId="5DA5A7FB" w:rsidR="0039244E" w:rsidRPr="003B7C7E" w:rsidRDefault="0039244E" w:rsidP="0039244E">
            <w:pPr>
              <w:pStyle w:val="Tabele"/>
              <w:jc w:val="right"/>
              <w:rPr>
                <w:szCs w:val="16"/>
              </w:rPr>
            </w:pPr>
            <w:r>
              <w:rPr>
                <w:rFonts w:cs="Arial"/>
                <w:color w:val="000000"/>
                <w:szCs w:val="16"/>
              </w:rPr>
              <w:t>3 200</w:t>
            </w:r>
          </w:p>
        </w:tc>
        <w:tc>
          <w:tcPr>
            <w:tcW w:w="1111" w:type="dxa"/>
            <w:noWrap/>
            <w:hideMark/>
          </w:tcPr>
          <w:p w14:paraId="224DD7EA" w14:textId="66E3AC4A" w:rsidR="0039244E" w:rsidRPr="003B7C7E" w:rsidRDefault="0039244E" w:rsidP="0039244E">
            <w:pPr>
              <w:pStyle w:val="Tabele"/>
              <w:jc w:val="right"/>
              <w:rPr>
                <w:szCs w:val="16"/>
              </w:rPr>
            </w:pPr>
            <w:r>
              <w:rPr>
                <w:rFonts w:cs="Arial"/>
                <w:color w:val="000000"/>
                <w:szCs w:val="16"/>
              </w:rPr>
              <w:t>0</w:t>
            </w:r>
          </w:p>
        </w:tc>
        <w:tc>
          <w:tcPr>
            <w:tcW w:w="1430" w:type="dxa"/>
            <w:noWrap/>
            <w:hideMark/>
          </w:tcPr>
          <w:p w14:paraId="1F60FDFB" w14:textId="35580E70" w:rsidR="0039244E" w:rsidRPr="003B7C7E" w:rsidRDefault="0039244E" w:rsidP="0039244E">
            <w:pPr>
              <w:pStyle w:val="Tabele"/>
              <w:jc w:val="right"/>
              <w:rPr>
                <w:szCs w:val="16"/>
              </w:rPr>
            </w:pPr>
            <w:r>
              <w:rPr>
                <w:rFonts w:cs="Arial"/>
                <w:color w:val="000000"/>
                <w:szCs w:val="16"/>
              </w:rPr>
              <w:t>392 440</w:t>
            </w:r>
          </w:p>
        </w:tc>
        <w:tc>
          <w:tcPr>
            <w:tcW w:w="1430" w:type="dxa"/>
            <w:noWrap/>
            <w:hideMark/>
          </w:tcPr>
          <w:p w14:paraId="66FC5515" w14:textId="2F9B198A" w:rsidR="0039244E" w:rsidRPr="003B7C7E" w:rsidRDefault="0039244E" w:rsidP="0039244E">
            <w:pPr>
              <w:pStyle w:val="Tabele"/>
              <w:jc w:val="right"/>
              <w:rPr>
                <w:szCs w:val="16"/>
              </w:rPr>
            </w:pPr>
            <w:r>
              <w:rPr>
                <w:rFonts w:cs="Arial"/>
                <w:color w:val="000000"/>
                <w:szCs w:val="16"/>
              </w:rPr>
              <w:t>784 077</w:t>
            </w:r>
          </w:p>
        </w:tc>
        <w:tc>
          <w:tcPr>
            <w:tcW w:w="1352" w:type="dxa"/>
            <w:noWrap/>
            <w:hideMark/>
          </w:tcPr>
          <w:p w14:paraId="7958EABB" w14:textId="7586DD97" w:rsidR="0039244E" w:rsidRPr="003B7C7E" w:rsidRDefault="0039244E" w:rsidP="0039244E">
            <w:pPr>
              <w:pStyle w:val="Tabele"/>
              <w:jc w:val="right"/>
              <w:rPr>
                <w:szCs w:val="16"/>
              </w:rPr>
            </w:pPr>
            <w:r>
              <w:rPr>
                <w:rFonts w:cs="Arial"/>
                <w:color w:val="000000"/>
                <w:szCs w:val="16"/>
              </w:rPr>
              <w:t>0</w:t>
            </w:r>
          </w:p>
        </w:tc>
        <w:tc>
          <w:tcPr>
            <w:tcW w:w="1434" w:type="dxa"/>
            <w:noWrap/>
            <w:hideMark/>
          </w:tcPr>
          <w:p w14:paraId="6331FB8C" w14:textId="7894B9FE" w:rsidR="0039244E" w:rsidRPr="003B7C7E" w:rsidRDefault="0039244E" w:rsidP="0039244E">
            <w:pPr>
              <w:pStyle w:val="Tabele"/>
              <w:jc w:val="right"/>
              <w:rPr>
                <w:szCs w:val="16"/>
              </w:rPr>
            </w:pPr>
            <w:r>
              <w:rPr>
                <w:rFonts w:cs="Arial"/>
                <w:color w:val="000000"/>
                <w:szCs w:val="16"/>
              </w:rPr>
              <w:t>146 616</w:t>
            </w:r>
          </w:p>
        </w:tc>
      </w:tr>
      <w:tr w:rsidR="0039244E" w:rsidRPr="00D92702" w14:paraId="4DD33DA3" w14:textId="77777777" w:rsidTr="0039244E">
        <w:trPr>
          <w:trHeight w:val="245"/>
        </w:trPr>
        <w:tc>
          <w:tcPr>
            <w:tcW w:w="789" w:type="dxa"/>
            <w:noWrap/>
            <w:hideMark/>
          </w:tcPr>
          <w:p w14:paraId="0B092999" w14:textId="77777777" w:rsidR="0039244E" w:rsidRPr="003B7C7E" w:rsidRDefault="0039244E" w:rsidP="0039244E">
            <w:pPr>
              <w:pStyle w:val="Tabele"/>
              <w:rPr>
                <w:szCs w:val="16"/>
              </w:rPr>
            </w:pPr>
            <w:r w:rsidRPr="003B7C7E">
              <w:rPr>
                <w:rFonts w:cs="Arial"/>
                <w:b/>
                <w:bCs/>
                <w:color w:val="000000"/>
                <w:szCs w:val="16"/>
              </w:rPr>
              <w:t>2030</w:t>
            </w:r>
          </w:p>
        </w:tc>
        <w:tc>
          <w:tcPr>
            <w:tcW w:w="1188" w:type="dxa"/>
            <w:noWrap/>
            <w:hideMark/>
          </w:tcPr>
          <w:p w14:paraId="798D841B" w14:textId="0DEDF31B" w:rsidR="0039244E" w:rsidRPr="003B7C7E" w:rsidRDefault="0039244E" w:rsidP="0039244E">
            <w:pPr>
              <w:pStyle w:val="Tabele"/>
              <w:jc w:val="right"/>
              <w:rPr>
                <w:szCs w:val="16"/>
              </w:rPr>
            </w:pPr>
            <w:r>
              <w:rPr>
                <w:rFonts w:cs="Arial"/>
                <w:color w:val="000000"/>
                <w:szCs w:val="16"/>
              </w:rPr>
              <w:t>424 549</w:t>
            </w:r>
          </w:p>
        </w:tc>
        <w:tc>
          <w:tcPr>
            <w:tcW w:w="954" w:type="dxa"/>
            <w:noWrap/>
            <w:hideMark/>
          </w:tcPr>
          <w:p w14:paraId="4512027C" w14:textId="58E6CBFB" w:rsidR="0039244E" w:rsidRPr="003B7C7E" w:rsidRDefault="0039244E" w:rsidP="0039244E">
            <w:pPr>
              <w:pStyle w:val="Tabele"/>
              <w:jc w:val="right"/>
              <w:rPr>
                <w:szCs w:val="16"/>
              </w:rPr>
            </w:pPr>
            <w:r>
              <w:rPr>
                <w:rFonts w:cs="Arial"/>
                <w:color w:val="000000"/>
                <w:szCs w:val="16"/>
              </w:rPr>
              <w:t>3 200</w:t>
            </w:r>
          </w:p>
        </w:tc>
        <w:tc>
          <w:tcPr>
            <w:tcW w:w="1111" w:type="dxa"/>
            <w:noWrap/>
            <w:hideMark/>
          </w:tcPr>
          <w:p w14:paraId="5EF6207E" w14:textId="1FA2DB8B" w:rsidR="0039244E" w:rsidRPr="003B7C7E" w:rsidRDefault="0039244E" w:rsidP="0039244E">
            <w:pPr>
              <w:pStyle w:val="Tabele"/>
              <w:jc w:val="right"/>
              <w:rPr>
                <w:szCs w:val="16"/>
              </w:rPr>
            </w:pPr>
            <w:r>
              <w:rPr>
                <w:rFonts w:cs="Arial"/>
                <w:color w:val="000000"/>
                <w:szCs w:val="16"/>
              </w:rPr>
              <w:t>0</w:t>
            </w:r>
          </w:p>
        </w:tc>
        <w:tc>
          <w:tcPr>
            <w:tcW w:w="1430" w:type="dxa"/>
            <w:noWrap/>
            <w:hideMark/>
          </w:tcPr>
          <w:p w14:paraId="23496CA0" w14:textId="6C1330CB" w:rsidR="0039244E" w:rsidRPr="003B7C7E" w:rsidRDefault="0039244E" w:rsidP="0039244E">
            <w:pPr>
              <w:pStyle w:val="Tabele"/>
              <w:jc w:val="right"/>
              <w:rPr>
                <w:szCs w:val="16"/>
              </w:rPr>
            </w:pPr>
            <w:r>
              <w:rPr>
                <w:rFonts w:cs="Arial"/>
                <w:color w:val="000000"/>
                <w:szCs w:val="16"/>
              </w:rPr>
              <w:t>335 854</w:t>
            </w:r>
          </w:p>
        </w:tc>
        <w:tc>
          <w:tcPr>
            <w:tcW w:w="1430" w:type="dxa"/>
            <w:noWrap/>
            <w:hideMark/>
          </w:tcPr>
          <w:p w14:paraId="52D8EA59" w14:textId="3F76E0C0" w:rsidR="0039244E" w:rsidRPr="003B7C7E" w:rsidRDefault="0039244E" w:rsidP="0039244E">
            <w:pPr>
              <w:pStyle w:val="Tabele"/>
              <w:jc w:val="right"/>
              <w:rPr>
                <w:szCs w:val="16"/>
              </w:rPr>
            </w:pPr>
            <w:r>
              <w:rPr>
                <w:rFonts w:cs="Arial"/>
                <w:color w:val="000000"/>
                <w:szCs w:val="16"/>
              </w:rPr>
              <w:t>671 022</w:t>
            </w:r>
          </w:p>
        </w:tc>
        <w:tc>
          <w:tcPr>
            <w:tcW w:w="1352" w:type="dxa"/>
            <w:noWrap/>
            <w:hideMark/>
          </w:tcPr>
          <w:p w14:paraId="66A34952" w14:textId="5FD1272C" w:rsidR="0039244E" w:rsidRPr="003B7C7E" w:rsidRDefault="0039244E" w:rsidP="0039244E">
            <w:pPr>
              <w:pStyle w:val="Tabele"/>
              <w:jc w:val="right"/>
              <w:rPr>
                <w:szCs w:val="16"/>
              </w:rPr>
            </w:pPr>
            <w:r>
              <w:rPr>
                <w:rFonts w:cs="Arial"/>
                <w:color w:val="000000"/>
                <w:szCs w:val="16"/>
              </w:rPr>
              <w:t>0</w:t>
            </w:r>
          </w:p>
        </w:tc>
        <w:tc>
          <w:tcPr>
            <w:tcW w:w="1434" w:type="dxa"/>
            <w:noWrap/>
            <w:hideMark/>
          </w:tcPr>
          <w:p w14:paraId="2140CBB2" w14:textId="1263F80F" w:rsidR="0039244E" w:rsidRPr="003B7C7E" w:rsidRDefault="0039244E" w:rsidP="0039244E">
            <w:pPr>
              <w:pStyle w:val="Tabele"/>
              <w:jc w:val="right"/>
              <w:rPr>
                <w:szCs w:val="16"/>
              </w:rPr>
            </w:pPr>
            <w:r>
              <w:rPr>
                <w:rFonts w:cs="Arial"/>
                <w:color w:val="000000"/>
                <w:szCs w:val="16"/>
              </w:rPr>
              <w:t>125 475</w:t>
            </w:r>
          </w:p>
        </w:tc>
      </w:tr>
      <w:tr w:rsidR="0039244E" w:rsidRPr="00D92702" w14:paraId="43FC4EF3" w14:textId="77777777" w:rsidTr="0039244E">
        <w:trPr>
          <w:trHeight w:val="245"/>
        </w:trPr>
        <w:tc>
          <w:tcPr>
            <w:tcW w:w="789" w:type="dxa"/>
            <w:noWrap/>
            <w:hideMark/>
          </w:tcPr>
          <w:p w14:paraId="3BF0651D" w14:textId="77777777" w:rsidR="0039244E" w:rsidRPr="003B7C7E" w:rsidRDefault="0039244E" w:rsidP="0039244E">
            <w:pPr>
              <w:pStyle w:val="Tabele"/>
              <w:rPr>
                <w:szCs w:val="16"/>
              </w:rPr>
            </w:pPr>
            <w:r w:rsidRPr="003B7C7E">
              <w:rPr>
                <w:rFonts w:cs="Arial"/>
                <w:b/>
                <w:bCs/>
                <w:color w:val="000000"/>
                <w:szCs w:val="16"/>
              </w:rPr>
              <w:t>2035</w:t>
            </w:r>
          </w:p>
        </w:tc>
        <w:tc>
          <w:tcPr>
            <w:tcW w:w="1188" w:type="dxa"/>
            <w:noWrap/>
            <w:hideMark/>
          </w:tcPr>
          <w:p w14:paraId="1063EDA5" w14:textId="70AF5A48" w:rsidR="0039244E" w:rsidRPr="003B7C7E" w:rsidRDefault="0039244E" w:rsidP="0039244E">
            <w:pPr>
              <w:pStyle w:val="Tabele"/>
              <w:jc w:val="right"/>
              <w:rPr>
                <w:szCs w:val="16"/>
              </w:rPr>
            </w:pPr>
            <w:r>
              <w:rPr>
                <w:rFonts w:cs="Arial"/>
                <w:color w:val="000000"/>
                <w:szCs w:val="16"/>
              </w:rPr>
              <w:t>424 549</w:t>
            </w:r>
          </w:p>
        </w:tc>
        <w:tc>
          <w:tcPr>
            <w:tcW w:w="954" w:type="dxa"/>
            <w:noWrap/>
            <w:hideMark/>
          </w:tcPr>
          <w:p w14:paraId="64A079D4" w14:textId="0CF5088A" w:rsidR="0039244E" w:rsidRPr="003B7C7E" w:rsidRDefault="0039244E" w:rsidP="0039244E">
            <w:pPr>
              <w:pStyle w:val="Tabele"/>
              <w:jc w:val="right"/>
              <w:rPr>
                <w:szCs w:val="16"/>
              </w:rPr>
            </w:pPr>
            <w:r>
              <w:rPr>
                <w:rFonts w:cs="Arial"/>
                <w:color w:val="000000"/>
                <w:szCs w:val="16"/>
              </w:rPr>
              <w:t>3 200</w:t>
            </w:r>
          </w:p>
        </w:tc>
        <w:tc>
          <w:tcPr>
            <w:tcW w:w="1111" w:type="dxa"/>
            <w:noWrap/>
            <w:hideMark/>
          </w:tcPr>
          <w:p w14:paraId="7B6E9E44" w14:textId="754C1EF9" w:rsidR="0039244E" w:rsidRPr="003B7C7E" w:rsidRDefault="0039244E" w:rsidP="0039244E">
            <w:pPr>
              <w:pStyle w:val="Tabele"/>
              <w:jc w:val="right"/>
              <w:rPr>
                <w:szCs w:val="16"/>
              </w:rPr>
            </w:pPr>
            <w:r>
              <w:rPr>
                <w:rFonts w:cs="Arial"/>
                <w:color w:val="000000"/>
                <w:szCs w:val="16"/>
              </w:rPr>
              <w:t>0</w:t>
            </w:r>
          </w:p>
        </w:tc>
        <w:tc>
          <w:tcPr>
            <w:tcW w:w="1430" w:type="dxa"/>
            <w:noWrap/>
            <w:hideMark/>
          </w:tcPr>
          <w:p w14:paraId="5DBA9841" w14:textId="1D570FD6" w:rsidR="0039244E" w:rsidRPr="003B7C7E" w:rsidRDefault="0039244E" w:rsidP="0039244E">
            <w:pPr>
              <w:pStyle w:val="Tabele"/>
              <w:jc w:val="right"/>
              <w:rPr>
                <w:szCs w:val="16"/>
              </w:rPr>
            </w:pPr>
            <w:r>
              <w:rPr>
                <w:rFonts w:cs="Arial"/>
                <w:color w:val="000000"/>
                <w:szCs w:val="16"/>
              </w:rPr>
              <w:t>335 854</w:t>
            </w:r>
          </w:p>
        </w:tc>
        <w:tc>
          <w:tcPr>
            <w:tcW w:w="1430" w:type="dxa"/>
            <w:noWrap/>
            <w:hideMark/>
          </w:tcPr>
          <w:p w14:paraId="5A6FD1B3" w14:textId="226312BB" w:rsidR="0039244E" w:rsidRPr="003B7C7E" w:rsidRDefault="0039244E" w:rsidP="0039244E">
            <w:pPr>
              <w:pStyle w:val="Tabele"/>
              <w:jc w:val="right"/>
              <w:rPr>
                <w:szCs w:val="16"/>
              </w:rPr>
            </w:pPr>
            <w:r>
              <w:rPr>
                <w:rFonts w:cs="Arial"/>
                <w:color w:val="000000"/>
                <w:szCs w:val="16"/>
              </w:rPr>
              <w:t>671 022</w:t>
            </w:r>
          </w:p>
        </w:tc>
        <w:tc>
          <w:tcPr>
            <w:tcW w:w="1352" w:type="dxa"/>
            <w:noWrap/>
            <w:hideMark/>
          </w:tcPr>
          <w:p w14:paraId="0ECCA2F0" w14:textId="184B2F7B" w:rsidR="0039244E" w:rsidRPr="003B7C7E" w:rsidRDefault="0039244E" w:rsidP="0039244E">
            <w:pPr>
              <w:pStyle w:val="Tabele"/>
              <w:jc w:val="right"/>
              <w:rPr>
                <w:szCs w:val="16"/>
              </w:rPr>
            </w:pPr>
            <w:r>
              <w:rPr>
                <w:rFonts w:cs="Arial"/>
                <w:color w:val="000000"/>
                <w:szCs w:val="16"/>
              </w:rPr>
              <w:t>0</w:t>
            </w:r>
          </w:p>
        </w:tc>
        <w:tc>
          <w:tcPr>
            <w:tcW w:w="1434" w:type="dxa"/>
            <w:noWrap/>
            <w:hideMark/>
          </w:tcPr>
          <w:p w14:paraId="5B937BAC" w14:textId="3BAD461C" w:rsidR="0039244E" w:rsidRPr="003B7C7E" w:rsidRDefault="0039244E" w:rsidP="0039244E">
            <w:pPr>
              <w:pStyle w:val="Tabele"/>
              <w:jc w:val="right"/>
              <w:rPr>
                <w:szCs w:val="16"/>
              </w:rPr>
            </w:pPr>
            <w:r>
              <w:rPr>
                <w:rFonts w:cs="Arial"/>
                <w:color w:val="000000"/>
                <w:szCs w:val="16"/>
              </w:rPr>
              <w:t>125 475</w:t>
            </w:r>
          </w:p>
        </w:tc>
      </w:tr>
      <w:tr w:rsidR="0039244E" w:rsidRPr="00D92702" w14:paraId="6B320890" w14:textId="77777777" w:rsidTr="0039244E">
        <w:trPr>
          <w:trHeight w:val="245"/>
        </w:trPr>
        <w:tc>
          <w:tcPr>
            <w:tcW w:w="789" w:type="dxa"/>
            <w:noWrap/>
            <w:hideMark/>
          </w:tcPr>
          <w:p w14:paraId="416D9579" w14:textId="77777777" w:rsidR="0039244E" w:rsidRPr="003B7C7E" w:rsidRDefault="0039244E" w:rsidP="0039244E">
            <w:pPr>
              <w:pStyle w:val="Tabele"/>
              <w:rPr>
                <w:szCs w:val="16"/>
              </w:rPr>
            </w:pPr>
            <w:r w:rsidRPr="003B7C7E">
              <w:rPr>
                <w:rFonts w:cs="Arial"/>
                <w:b/>
                <w:bCs/>
                <w:color w:val="000000"/>
                <w:szCs w:val="16"/>
              </w:rPr>
              <w:t>2040</w:t>
            </w:r>
          </w:p>
        </w:tc>
        <w:tc>
          <w:tcPr>
            <w:tcW w:w="1188" w:type="dxa"/>
            <w:noWrap/>
            <w:hideMark/>
          </w:tcPr>
          <w:p w14:paraId="240C0A97" w14:textId="76CC98C5" w:rsidR="0039244E" w:rsidRPr="003B7C7E" w:rsidRDefault="0039244E" w:rsidP="0039244E">
            <w:pPr>
              <w:pStyle w:val="Tabele"/>
              <w:jc w:val="right"/>
              <w:rPr>
                <w:szCs w:val="16"/>
              </w:rPr>
            </w:pPr>
            <w:r>
              <w:rPr>
                <w:rFonts w:cs="Arial"/>
                <w:color w:val="000000"/>
                <w:szCs w:val="16"/>
              </w:rPr>
              <w:t>420 487</w:t>
            </w:r>
          </w:p>
        </w:tc>
        <w:tc>
          <w:tcPr>
            <w:tcW w:w="954" w:type="dxa"/>
            <w:noWrap/>
            <w:hideMark/>
          </w:tcPr>
          <w:p w14:paraId="7CFF0F34" w14:textId="05979BE0" w:rsidR="0039244E" w:rsidRPr="003B7C7E" w:rsidRDefault="0039244E" w:rsidP="0039244E">
            <w:pPr>
              <w:pStyle w:val="Tabele"/>
              <w:jc w:val="right"/>
              <w:rPr>
                <w:szCs w:val="16"/>
              </w:rPr>
            </w:pPr>
            <w:r>
              <w:rPr>
                <w:rFonts w:cs="Arial"/>
                <w:color w:val="000000"/>
                <w:szCs w:val="16"/>
              </w:rPr>
              <w:t>3 200</w:t>
            </w:r>
          </w:p>
        </w:tc>
        <w:tc>
          <w:tcPr>
            <w:tcW w:w="1111" w:type="dxa"/>
            <w:noWrap/>
            <w:hideMark/>
          </w:tcPr>
          <w:p w14:paraId="5FF7419D" w14:textId="4E19148D" w:rsidR="0039244E" w:rsidRPr="003B7C7E" w:rsidRDefault="0039244E" w:rsidP="0039244E">
            <w:pPr>
              <w:pStyle w:val="Tabele"/>
              <w:jc w:val="right"/>
              <w:rPr>
                <w:szCs w:val="16"/>
              </w:rPr>
            </w:pPr>
            <w:r>
              <w:rPr>
                <w:rFonts w:cs="Arial"/>
                <w:color w:val="000000"/>
                <w:szCs w:val="16"/>
              </w:rPr>
              <w:t>0</w:t>
            </w:r>
          </w:p>
        </w:tc>
        <w:tc>
          <w:tcPr>
            <w:tcW w:w="1430" w:type="dxa"/>
            <w:noWrap/>
            <w:hideMark/>
          </w:tcPr>
          <w:p w14:paraId="2B9D0A77" w14:textId="423B04B4" w:rsidR="0039244E" w:rsidRPr="003B7C7E" w:rsidRDefault="0039244E" w:rsidP="0039244E">
            <w:pPr>
              <w:pStyle w:val="Tabele"/>
              <w:jc w:val="right"/>
              <w:rPr>
                <w:szCs w:val="16"/>
              </w:rPr>
            </w:pPr>
            <w:r>
              <w:rPr>
                <w:rFonts w:cs="Arial"/>
                <w:color w:val="000000"/>
                <w:szCs w:val="16"/>
              </w:rPr>
              <w:t>332 617</w:t>
            </w:r>
          </w:p>
        </w:tc>
        <w:tc>
          <w:tcPr>
            <w:tcW w:w="1430" w:type="dxa"/>
            <w:noWrap/>
            <w:hideMark/>
          </w:tcPr>
          <w:p w14:paraId="42A73652" w14:textId="6D2436E4" w:rsidR="0039244E" w:rsidRPr="003B7C7E" w:rsidRDefault="0039244E" w:rsidP="0039244E">
            <w:pPr>
              <w:pStyle w:val="Tabele"/>
              <w:jc w:val="right"/>
              <w:rPr>
                <w:szCs w:val="16"/>
              </w:rPr>
            </w:pPr>
            <w:r>
              <w:rPr>
                <w:rFonts w:cs="Arial"/>
                <w:color w:val="000000"/>
                <w:szCs w:val="16"/>
              </w:rPr>
              <w:t>664 553</w:t>
            </w:r>
          </w:p>
        </w:tc>
        <w:tc>
          <w:tcPr>
            <w:tcW w:w="1352" w:type="dxa"/>
            <w:noWrap/>
            <w:hideMark/>
          </w:tcPr>
          <w:p w14:paraId="23DBBF62" w14:textId="32385128" w:rsidR="0039244E" w:rsidRPr="003B7C7E" w:rsidRDefault="0039244E" w:rsidP="0039244E">
            <w:pPr>
              <w:pStyle w:val="Tabele"/>
              <w:jc w:val="right"/>
              <w:rPr>
                <w:szCs w:val="16"/>
              </w:rPr>
            </w:pPr>
            <w:r>
              <w:rPr>
                <w:rFonts w:cs="Arial"/>
                <w:color w:val="000000"/>
                <w:szCs w:val="16"/>
              </w:rPr>
              <w:t>0</w:t>
            </w:r>
          </w:p>
        </w:tc>
        <w:tc>
          <w:tcPr>
            <w:tcW w:w="1434" w:type="dxa"/>
            <w:noWrap/>
            <w:hideMark/>
          </w:tcPr>
          <w:p w14:paraId="4049D30A" w14:textId="2A95A6E3" w:rsidR="0039244E" w:rsidRPr="003B7C7E" w:rsidRDefault="0039244E" w:rsidP="0039244E">
            <w:pPr>
              <w:pStyle w:val="Tabele"/>
              <w:jc w:val="right"/>
              <w:rPr>
                <w:szCs w:val="16"/>
              </w:rPr>
            </w:pPr>
            <w:r>
              <w:rPr>
                <w:rFonts w:cs="Arial"/>
                <w:color w:val="000000"/>
                <w:szCs w:val="16"/>
              </w:rPr>
              <w:t>124 266</w:t>
            </w:r>
          </w:p>
        </w:tc>
      </w:tr>
    </w:tbl>
    <w:p w14:paraId="5084CFAA" w14:textId="1839FF3C" w:rsidR="005C4144" w:rsidRDefault="005C4144" w:rsidP="00632F3C">
      <w:pPr>
        <w:pStyle w:val="Legenda"/>
      </w:pPr>
      <w:r w:rsidRPr="00071224">
        <w:t>Źródło: Opracowanie własne ARE S</w:t>
      </w:r>
      <w:r w:rsidR="00E35E88">
        <w:t>.</w:t>
      </w:r>
      <w:r w:rsidRPr="00071224">
        <w:t>A</w:t>
      </w:r>
      <w:r w:rsidR="00E35E88">
        <w:t>.</w:t>
      </w:r>
      <w:r w:rsidRPr="00071224">
        <w:t>, „Energy prices and taxes</w:t>
      </w:r>
      <w:r>
        <w:t>”, MAE (2023)</w:t>
      </w:r>
    </w:p>
    <w:p w14:paraId="121F9403" w14:textId="49AD1895" w:rsidR="005C4144" w:rsidRDefault="005C4144" w:rsidP="005C4144">
      <w:pPr>
        <w:pStyle w:val="Legenda"/>
        <w:keepNext/>
      </w:pPr>
      <w:bookmarkStart w:id="541" w:name="_Toc161916678"/>
      <w:bookmarkStart w:id="542" w:name="_Toc171587218"/>
      <w:bookmarkStart w:id="543" w:name="_Toc174711002"/>
      <w:bookmarkStart w:id="544" w:name="_Toc202967007"/>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4</w:t>
      </w:r>
      <w:r w:rsidR="00653D9A">
        <w:rPr>
          <w:noProof/>
        </w:rPr>
        <w:fldChar w:fldCharType="end"/>
      </w:r>
      <w:r w:rsidR="00AF00A4">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6</w:t>
      </w:r>
      <w:r w:rsidR="00653D9A">
        <w:rPr>
          <w:noProof/>
        </w:rPr>
        <w:fldChar w:fldCharType="end"/>
      </w:r>
      <w:r w:rsidR="00AF00A4">
        <w:t>.</w:t>
      </w:r>
      <w:r>
        <w:t xml:space="preserve"> </w:t>
      </w:r>
      <w:r w:rsidRPr="00FA0280">
        <w:t xml:space="preserve">Krajowe ceny detaliczne </w:t>
      </w:r>
      <w:r>
        <w:t>paliw – węgiel kamienny energetyczny i koksujący [EUR’202</w:t>
      </w:r>
      <w:r w:rsidR="00DE376F">
        <w:t>4</w:t>
      </w:r>
      <w:r>
        <w:t>/ktoe] scenariusz WA</w:t>
      </w:r>
      <w:r w:rsidRPr="00FA0280">
        <w:t>M</w:t>
      </w:r>
      <w:bookmarkEnd w:id="541"/>
      <w:bookmarkEnd w:id="542"/>
      <w:bookmarkEnd w:id="543"/>
      <w:bookmarkEnd w:id="544"/>
    </w:p>
    <w:tbl>
      <w:tblPr>
        <w:tblStyle w:val="KPEiK"/>
        <w:tblW w:w="5329" w:type="pct"/>
        <w:tblLook w:val="04A0" w:firstRow="1" w:lastRow="0" w:firstColumn="1" w:lastColumn="0" w:noHBand="0" w:noVBand="1"/>
      </w:tblPr>
      <w:tblGrid>
        <w:gridCol w:w="811"/>
        <w:gridCol w:w="1220"/>
        <w:gridCol w:w="1358"/>
        <w:gridCol w:w="1519"/>
        <w:gridCol w:w="1496"/>
        <w:gridCol w:w="1360"/>
        <w:gridCol w:w="1895"/>
      </w:tblGrid>
      <w:tr w:rsidR="009D2BCD" w:rsidRPr="009D2BCD" w14:paraId="354F57A9" w14:textId="77777777" w:rsidTr="00492281">
        <w:trPr>
          <w:cnfStyle w:val="100000000000" w:firstRow="1" w:lastRow="0" w:firstColumn="0" w:lastColumn="0" w:oddVBand="0" w:evenVBand="0" w:oddHBand="0" w:evenHBand="0" w:firstRowFirstColumn="0" w:firstRowLastColumn="0" w:lastRowFirstColumn="0" w:lastRowLastColumn="0"/>
          <w:trHeight w:val="245"/>
          <w:tblHeader/>
        </w:trPr>
        <w:tc>
          <w:tcPr>
            <w:tcW w:w="811" w:type="dxa"/>
            <w:vMerge w:val="restart"/>
            <w:noWrap/>
            <w:hideMark/>
          </w:tcPr>
          <w:p w14:paraId="607DF61A" w14:textId="77777777" w:rsidR="005C4144" w:rsidRPr="00461CE9" w:rsidRDefault="005C4144">
            <w:pPr>
              <w:pStyle w:val="Tabele"/>
              <w:jc w:val="center"/>
              <w:rPr>
                <w:sz w:val="22"/>
                <w:lang w:eastAsia="pl-PL"/>
              </w:rPr>
            </w:pPr>
            <w:r w:rsidRPr="00D4512D">
              <w:rPr>
                <w:lang w:eastAsia="pl-PL"/>
              </w:rPr>
              <w:t>Rok</w:t>
            </w:r>
          </w:p>
        </w:tc>
        <w:tc>
          <w:tcPr>
            <w:tcW w:w="6953" w:type="dxa"/>
            <w:gridSpan w:val="5"/>
            <w:noWrap/>
            <w:hideMark/>
          </w:tcPr>
          <w:p w14:paraId="5B573A6E" w14:textId="706AB644" w:rsidR="005C4144" w:rsidRPr="00461CE9" w:rsidRDefault="005C4144">
            <w:pPr>
              <w:pStyle w:val="Tabele"/>
              <w:jc w:val="center"/>
              <w:rPr>
                <w:rFonts w:cs="Calibri"/>
                <w:lang w:eastAsia="pl-PL"/>
              </w:rPr>
            </w:pPr>
            <w:r w:rsidRPr="00461CE9">
              <w:rPr>
                <w:rFonts w:cs="Calibri"/>
                <w:lang w:eastAsia="pl-PL"/>
              </w:rPr>
              <w:t>Węgiel kamienny energetyczny [</w:t>
            </w:r>
            <w:r w:rsidRPr="00461CE9">
              <w:rPr>
                <w:lang w:eastAsia="pl-PL"/>
              </w:rPr>
              <w:t>EUR'202</w:t>
            </w:r>
            <w:r w:rsidR="00DE376F">
              <w:rPr>
                <w:lang w:eastAsia="pl-PL"/>
              </w:rPr>
              <w:t>4</w:t>
            </w:r>
            <w:r w:rsidRPr="00461CE9">
              <w:rPr>
                <w:lang w:eastAsia="pl-PL"/>
              </w:rPr>
              <w:t>/ktoe]</w:t>
            </w:r>
          </w:p>
        </w:tc>
        <w:tc>
          <w:tcPr>
            <w:tcW w:w="1895" w:type="dxa"/>
            <w:noWrap/>
            <w:hideMark/>
          </w:tcPr>
          <w:p w14:paraId="3C6978E2" w14:textId="02A64C08" w:rsidR="005C4144" w:rsidRPr="00461CE9" w:rsidRDefault="005C4144">
            <w:pPr>
              <w:pStyle w:val="Tabele"/>
              <w:jc w:val="center"/>
              <w:rPr>
                <w:rFonts w:cs="Calibri"/>
                <w:lang w:eastAsia="pl-PL"/>
              </w:rPr>
            </w:pPr>
            <w:r w:rsidRPr="00461CE9">
              <w:rPr>
                <w:rFonts w:cs="Calibri"/>
                <w:lang w:eastAsia="pl-PL"/>
              </w:rPr>
              <w:t>Węgiel koksujący [</w:t>
            </w:r>
            <w:r w:rsidRPr="00461CE9">
              <w:rPr>
                <w:lang w:eastAsia="pl-PL"/>
              </w:rPr>
              <w:t>EUR'202</w:t>
            </w:r>
            <w:r w:rsidR="00DE376F">
              <w:rPr>
                <w:lang w:eastAsia="pl-PL"/>
              </w:rPr>
              <w:t>4</w:t>
            </w:r>
            <w:r w:rsidRPr="00461CE9">
              <w:rPr>
                <w:lang w:eastAsia="pl-PL"/>
              </w:rPr>
              <w:t>/ktoe]</w:t>
            </w:r>
          </w:p>
        </w:tc>
      </w:tr>
      <w:tr w:rsidR="009D2BCD" w:rsidRPr="009D2BCD" w14:paraId="2E29AF8A" w14:textId="77777777" w:rsidTr="00DE376F">
        <w:trPr>
          <w:cnfStyle w:val="100000000000" w:firstRow="1" w:lastRow="0" w:firstColumn="0" w:lastColumn="0" w:oddVBand="0" w:evenVBand="0" w:oddHBand="0" w:evenHBand="0" w:firstRowFirstColumn="0" w:firstRowLastColumn="0" w:lastRowFirstColumn="0" w:lastRowLastColumn="0"/>
          <w:trHeight w:val="245"/>
          <w:tblHeader/>
        </w:trPr>
        <w:tc>
          <w:tcPr>
            <w:tcW w:w="811" w:type="dxa"/>
            <w:vMerge/>
            <w:hideMark/>
          </w:tcPr>
          <w:p w14:paraId="3FE2B4E7" w14:textId="77777777" w:rsidR="005C4144" w:rsidRPr="00461CE9" w:rsidRDefault="005C4144">
            <w:pPr>
              <w:pStyle w:val="Tabele"/>
              <w:jc w:val="center"/>
              <w:rPr>
                <w:sz w:val="22"/>
                <w:lang w:eastAsia="pl-PL"/>
              </w:rPr>
            </w:pPr>
          </w:p>
        </w:tc>
        <w:tc>
          <w:tcPr>
            <w:tcW w:w="1220" w:type="dxa"/>
            <w:hideMark/>
          </w:tcPr>
          <w:p w14:paraId="7742D8D5" w14:textId="77777777" w:rsidR="005C4144" w:rsidRPr="00461CE9" w:rsidRDefault="005C4144">
            <w:pPr>
              <w:pStyle w:val="Tabele"/>
              <w:jc w:val="center"/>
              <w:rPr>
                <w:lang w:eastAsia="pl-PL"/>
              </w:rPr>
            </w:pPr>
            <w:r w:rsidRPr="00461CE9">
              <w:rPr>
                <w:lang w:eastAsia="pl-PL"/>
              </w:rPr>
              <w:t>Przemysł (Cena ogółem)</w:t>
            </w:r>
          </w:p>
        </w:tc>
        <w:tc>
          <w:tcPr>
            <w:tcW w:w="1358" w:type="dxa"/>
            <w:hideMark/>
          </w:tcPr>
          <w:p w14:paraId="5A855831" w14:textId="77777777" w:rsidR="005C4144" w:rsidRPr="00461CE9" w:rsidRDefault="005C4144">
            <w:pPr>
              <w:pStyle w:val="Tabele"/>
              <w:jc w:val="center"/>
              <w:rPr>
                <w:lang w:eastAsia="pl-PL"/>
              </w:rPr>
            </w:pPr>
            <w:r w:rsidRPr="00461CE9">
              <w:rPr>
                <w:lang w:eastAsia="pl-PL"/>
              </w:rPr>
              <w:t>Energetyka (Cena ogółem)</w:t>
            </w:r>
          </w:p>
        </w:tc>
        <w:tc>
          <w:tcPr>
            <w:tcW w:w="1519" w:type="dxa"/>
            <w:hideMark/>
          </w:tcPr>
          <w:p w14:paraId="48953088" w14:textId="77777777" w:rsidR="005C4144" w:rsidRPr="00461CE9" w:rsidRDefault="005C4144">
            <w:pPr>
              <w:pStyle w:val="Tabele"/>
              <w:jc w:val="center"/>
              <w:rPr>
                <w:lang w:eastAsia="pl-PL"/>
              </w:rPr>
            </w:pPr>
            <w:r w:rsidRPr="00461CE9">
              <w:rPr>
                <w:lang w:eastAsia="pl-PL"/>
              </w:rPr>
              <w:t>Gospodarstwa domowe (Cena ogółem)</w:t>
            </w:r>
          </w:p>
        </w:tc>
        <w:tc>
          <w:tcPr>
            <w:tcW w:w="1496" w:type="dxa"/>
            <w:hideMark/>
          </w:tcPr>
          <w:p w14:paraId="1E73BE5B" w14:textId="77777777" w:rsidR="005C4144" w:rsidRPr="00461CE9" w:rsidRDefault="005C4144">
            <w:pPr>
              <w:pStyle w:val="Tabele"/>
              <w:jc w:val="center"/>
              <w:rPr>
                <w:lang w:eastAsia="pl-PL"/>
              </w:rPr>
            </w:pPr>
            <w:r w:rsidRPr="00461CE9">
              <w:rPr>
                <w:lang w:eastAsia="pl-PL"/>
              </w:rPr>
              <w:t>Gospodarstwa domowe (Akcyza)</w:t>
            </w:r>
          </w:p>
        </w:tc>
        <w:tc>
          <w:tcPr>
            <w:tcW w:w="1360" w:type="dxa"/>
            <w:hideMark/>
          </w:tcPr>
          <w:p w14:paraId="595A6094" w14:textId="77777777" w:rsidR="005C4144" w:rsidRPr="00461CE9" w:rsidRDefault="005C4144">
            <w:pPr>
              <w:pStyle w:val="Tabele"/>
              <w:jc w:val="center"/>
              <w:rPr>
                <w:lang w:eastAsia="pl-PL"/>
              </w:rPr>
            </w:pPr>
            <w:r w:rsidRPr="00461CE9">
              <w:rPr>
                <w:lang w:eastAsia="pl-PL"/>
              </w:rPr>
              <w:t>Gospodarstwa domowe (VAT)</w:t>
            </w:r>
          </w:p>
        </w:tc>
        <w:tc>
          <w:tcPr>
            <w:tcW w:w="1895" w:type="dxa"/>
            <w:hideMark/>
          </w:tcPr>
          <w:p w14:paraId="7B37FE74" w14:textId="77777777" w:rsidR="005C4144" w:rsidRPr="00461CE9" w:rsidRDefault="005C4144">
            <w:pPr>
              <w:pStyle w:val="Tabele"/>
              <w:jc w:val="center"/>
              <w:rPr>
                <w:lang w:eastAsia="pl-PL"/>
              </w:rPr>
            </w:pPr>
            <w:r w:rsidRPr="00461CE9">
              <w:rPr>
                <w:lang w:eastAsia="pl-PL"/>
              </w:rPr>
              <w:t>Przemysł (Cena ogółem)</w:t>
            </w:r>
          </w:p>
        </w:tc>
      </w:tr>
      <w:tr w:rsidR="00DE376F" w:rsidRPr="009D2BCD" w14:paraId="2D49EB89" w14:textId="77777777" w:rsidTr="00DE376F">
        <w:trPr>
          <w:trHeight w:val="245"/>
        </w:trPr>
        <w:tc>
          <w:tcPr>
            <w:tcW w:w="811" w:type="dxa"/>
            <w:shd w:val="clear" w:color="auto" w:fill="C5E0B3"/>
            <w:noWrap/>
            <w:hideMark/>
          </w:tcPr>
          <w:p w14:paraId="103FFD4E" w14:textId="77777777" w:rsidR="00DE376F" w:rsidRPr="009D2BCD" w:rsidRDefault="00DE376F" w:rsidP="00DE376F">
            <w:pPr>
              <w:pStyle w:val="Tabele"/>
              <w:rPr>
                <w:b/>
                <w:bCs/>
                <w:color w:val="auto"/>
                <w:lang w:eastAsia="pl-PL"/>
              </w:rPr>
            </w:pPr>
            <w:r w:rsidRPr="009D2BCD">
              <w:rPr>
                <w:b/>
                <w:bCs/>
                <w:color w:val="auto"/>
                <w:lang w:eastAsia="pl-PL"/>
              </w:rPr>
              <w:t>2005</w:t>
            </w:r>
          </w:p>
        </w:tc>
        <w:tc>
          <w:tcPr>
            <w:tcW w:w="1220" w:type="dxa"/>
            <w:shd w:val="clear" w:color="auto" w:fill="C5E0B3"/>
            <w:noWrap/>
            <w:hideMark/>
          </w:tcPr>
          <w:p w14:paraId="01E54759" w14:textId="39EE98CD" w:rsidR="00DE376F" w:rsidRPr="009D2BCD" w:rsidRDefault="00DE376F" w:rsidP="00DE376F">
            <w:pPr>
              <w:pStyle w:val="Tabele"/>
              <w:jc w:val="right"/>
              <w:rPr>
                <w:color w:val="auto"/>
                <w:szCs w:val="16"/>
                <w:lang w:eastAsia="pl-PL"/>
              </w:rPr>
            </w:pPr>
            <w:r>
              <w:rPr>
                <w:color w:val="000000"/>
                <w:szCs w:val="16"/>
              </w:rPr>
              <w:t>121 277</w:t>
            </w:r>
          </w:p>
        </w:tc>
        <w:tc>
          <w:tcPr>
            <w:tcW w:w="1358" w:type="dxa"/>
            <w:shd w:val="clear" w:color="auto" w:fill="C5E0B3"/>
            <w:noWrap/>
            <w:hideMark/>
          </w:tcPr>
          <w:p w14:paraId="53EEC2AD" w14:textId="7B76D89F" w:rsidR="00DE376F" w:rsidRPr="009D2BCD" w:rsidRDefault="00DE376F" w:rsidP="00DE376F">
            <w:pPr>
              <w:pStyle w:val="Tabele"/>
              <w:jc w:val="right"/>
              <w:rPr>
                <w:color w:val="auto"/>
                <w:szCs w:val="16"/>
                <w:lang w:eastAsia="pl-PL"/>
              </w:rPr>
            </w:pPr>
            <w:r>
              <w:rPr>
                <w:color w:val="000000"/>
                <w:szCs w:val="16"/>
              </w:rPr>
              <w:t>110 731</w:t>
            </w:r>
          </w:p>
        </w:tc>
        <w:tc>
          <w:tcPr>
            <w:tcW w:w="1519" w:type="dxa"/>
            <w:shd w:val="clear" w:color="auto" w:fill="C5E0B3"/>
            <w:noWrap/>
            <w:hideMark/>
          </w:tcPr>
          <w:p w14:paraId="09AF3A2D" w14:textId="420892CB" w:rsidR="00DE376F" w:rsidRPr="009D2BCD" w:rsidRDefault="00DE376F" w:rsidP="00DE376F">
            <w:pPr>
              <w:pStyle w:val="Tabele"/>
              <w:jc w:val="right"/>
              <w:rPr>
                <w:color w:val="auto"/>
                <w:szCs w:val="16"/>
                <w:lang w:eastAsia="pl-PL"/>
              </w:rPr>
            </w:pPr>
            <w:r>
              <w:rPr>
                <w:color w:val="000000"/>
                <w:szCs w:val="16"/>
              </w:rPr>
              <w:t>280 372</w:t>
            </w:r>
          </w:p>
        </w:tc>
        <w:tc>
          <w:tcPr>
            <w:tcW w:w="1496" w:type="dxa"/>
            <w:shd w:val="clear" w:color="auto" w:fill="C5E0B3"/>
            <w:noWrap/>
            <w:hideMark/>
          </w:tcPr>
          <w:p w14:paraId="225773DE" w14:textId="01F40FC7" w:rsidR="00DE376F" w:rsidRPr="009D2BCD" w:rsidRDefault="00DE376F" w:rsidP="00DE376F">
            <w:pPr>
              <w:pStyle w:val="Tabele"/>
              <w:jc w:val="right"/>
              <w:rPr>
                <w:color w:val="auto"/>
                <w:szCs w:val="16"/>
                <w:lang w:eastAsia="pl-PL"/>
              </w:rPr>
            </w:pPr>
            <w:r>
              <w:rPr>
                <w:color w:val="000000"/>
                <w:szCs w:val="16"/>
              </w:rPr>
              <w:t>0</w:t>
            </w:r>
          </w:p>
        </w:tc>
        <w:tc>
          <w:tcPr>
            <w:tcW w:w="1360" w:type="dxa"/>
            <w:shd w:val="clear" w:color="auto" w:fill="C5E0B3"/>
            <w:noWrap/>
            <w:hideMark/>
          </w:tcPr>
          <w:p w14:paraId="1004C2E0" w14:textId="333B41AA" w:rsidR="00DE376F" w:rsidRPr="009D2BCD" w:rsidRDefault="00DE376F" w:rsidP="00DE376F">
            <w:pPr>
              <w:pStyle w:val="Tabele"/>
              <w:jc w:val="right"/>
              <w:rPr>
                <w:color w:val="auto"/>
                <w:szCs w:val="16"/>
                <w:lang w:eastAsia="pl-PL"/>
              </w:rPr>
            </w:pPr>
            <w:r>
              <w:rPr>
                <w:color w:val="000000"/>
                <w:szCs w:val="16"/>
              </w:rPr>
              <w:t>50 537</w:t>
            </w:r>
          </w:p>
        </w:tc>
        <w:tc>
          <w:tcPr>
            <w:tcW w:w="1895" w:type="dxa"/>
            <w:shd w:val="clear" w:color="auto" w:fill="C5E0B3"/>
            <w:noWrap/>
            <w:hideMark/>
          </w:tcPr>
          <w:p w14:paraId="21B4B9D5" w14:textId="1BEB0110" w:rsidR="00DE376F" w:rsidRPr="009D2BCD" w:rsidRDefault="00DE376F" w:rsidP="00DE376F">
            <w:pPr>
              <w:pStyle w:val="Tabele"/>
              <w:jc w:val="right"/>
              <w:rPr>
                <w:color w:val="auto"/>
                <w:szCs w:val="16"/>
                <w:lang w:eastAsia="pl-PL"/>
              </w:rPr>
            </w:pPr>
            <w:r>
              <w:rPr>
                <w:color w:val="000000"/>
                <w:szCs w:val="16"/>
              </w:rPr>
              <w:t>194 614</w:t>
            </w:r>
          </w:p>
        </w:tc>
      </w:tr>
      <w:tr w:rsidR="00DE376F" w:rsidRPr="009D2BCD" w14:paraId="4F9824EC" w14:textId="77777777" w:rsidTr="00DE376F">
        <w:trPr>
          <w:trHeight w:val="245"/>
        </w:trPr>
        <w:tc>
          <w:tcPr>
            <w:tcW w:w="811" w:type="dxa"/>
            <w:shd w:val="clear" w:color="auto" w:fill="C5E0B3"/>
            <w:noWrap/>
            <w:hideMark/>
          </w:tcPr>
          <w:p w14:paraId="07DDA15E" w14:textId="77777777" w:rsidR="00DE376F" w:rsidRPr="009D2BCD" w:rsidRDefault="00DE376F" w:rsidP="00DE376F">
            <w:pPr>
              <w:pStyle w:val="Tabele"/>
              <w:rPr>
                <w:b/>
                <w:bCs/>
                <w:color w:val="auto"/>
                <w:lang w:eastAsia="pl-PL"/>
              </w:rPr>
            </w:pPr>
            <w:r w:rsidRPr="009D2BCD">
              <w:rPr>
                <w:b/>
                <w:bCs/>
                <w:color w:val="auto"/>
                <w:lang w:eastAsia="pl-PL"/>
              </w:rPr>
              <w:t>2010</w:t>
            </w:r>
          </w:p>
        </w:tc>
        <w:tc>
          <w:tcPr>
            <w:tcW w:w="1220" w:type="dxa"/>
            <w:shd w:val="clear" w:color="auto" w:fill="C5E0B3"/>
            <w:noWrap/>
            <w:hideMark/>
          </w:tcPr>
          <w:p w14:paraId="5C844845" w14:textId="5AB6E906" w:rsidR="00DE376F" w:rsidRPr="009D2BCD" w:rsidRDefault="00DE376F" w:rsidP="00DE376F">
            <w:pPr>
              <w:pStyle w:val="Tabele"/>
              <w:jc w:val="right"/>
              <w:rPr>
                <w:color w:val="auto"/>
                <w:szCs w:val="16"/>
                <w:lang w:eastAsia="pl-PL"/>
              </w:rPr>
            </w:pPr>
            <w:r>
              <w:rPr>
                <w:color w:val="000000"/>
                <w:szCs w:val="16"/>
              </w:rPr>
              <w:t>185 246</w:t>
            </w:r>
          </w:p>
        </w:tc>
        <w:tc>
          <w:tcPr>
            <w:tcW w:w="1358" w:type="dxa"/>
            <w:shd w:val="clear" w:color="auto" w:fill="C5E0B3"/>
            <w:noWrap/>
            <w:hideMark/>
          </w:tcPr>
          <w:p w14:paraId="59D576F3" w14:textId="13A2D8CD" w:rsidR="00DE376F" w:rsidRPr="009D2BCD" w:rsidRDefault="00DE376F" w:rsidP="00DE376F">
            <w:pPr>
              <w:pStyle w:val="Tabele"/>
              <w:jc w:val="right"/>
              <w:rPr>
                <w:color w:val="auto"/>
                <w:szCs w:val="16"/>
                <w:lang w:eastAsia="pl-PL"/>
              </w:rPr>
            </w:pPr>
            <w:r>
              <w:rPr>
                <w:color w:val="000000"/>
                <w:szCs w:val="16"/>
              </w:rPr>
              <w:t>163 288</w:t>
            </w:r>
          </w:p>
        </w:tc>
        <w:tc>
          <w:tcPr>
            <w:tcW w:w="1519" w:type="dxa"/>
            <w:shd w:val="clear" w:color="auto" w:fill="C5E0B3"/>
            <w:noWrap/>
            <w:hideMark/>
          </w:tcPr>
          <w:p w14:paraId="6D413A17" w14:textId="39D61FCF" w:rsidR="00DE376F" w:rsidRPr="009D2BCD" w:rsidRDefault="00DE376F" w:rsidP="00DE376F">
            <w:pPr>
              <w:pStyle w:val="Tabele"/>
              <w:jc w:val="right"/>
              <w:rPr>
                <w:color w:val="auto"/>
                <w:szCs w:val="16"/>
                <w:lang w:eastAsia="pl-PL"/>
              </w:rPr>
            </w:pPr>
            <w:r>
              <w:rPr>
                <w:color w:val="000000"/>
                <w:szCs w:val="16"/>
              </w:rPr>
              <w:t>377 559</w:t>
            </w:r>
          </w:p>
        </w:tc>
        <w:tc>
          <w:tcPr>
            <w:tcW w:w="1496" w:type="dxa"/>
            <w:shd w:val="clear" w:color="auto" w:fill="C5E0B3"/>
            <w:noWrap/>
            <w:hideMark/>
          </w:tcPr>
          <w:p w14:paraId="7A5E812F" w14:textId="1C9DE55C" w:rsidR="00DE376F" w:rsidRPr="009D2BCD" w:rsidRDefault="00DE376F" w:rsidP="00DE376F">
            <w:pPr>
              <w:pStyle w:val="Tabele"/>
              <w:jc w:val="right"/>
              <w:rPr>
                <w:color w:val="auto"/>
                <w:szCs w:val="16"/>
                <w:lang w:eastAsia="pl-PL"/>
              </w:rPr>
            </w:pPr>
            <w:r>
              <w:rPr>
                <w:color w:val="000000"/>
                <w:szCs w:val="16"/>
              </w:rPr>
              <w:t>0</w:t>
            </w:r>
          </w:p>
        </w:tc>
        <w:tc>
          <w:tcPr>
            <w:tcW w:w="1360" w:type="dxa"/>
            <w:shd w:val="clear" w:color="auto" w:fill="C5E0B3"/>
            <w:noWrap/>
            <w:hideMark/>
          </w:tcPr>
          <w:p w14:paraId="168ED998" w14:textId="47851F1F" w:rsidR="00DE376F" w:rsidRPr="009D2BCD" w:rsidRDefault="00DE376F" w:rsidP="00DE376F">
            <w:pPr>
              <w:pStyle w:val="Tabele"/>
              <w:jc w:val="right"/>
              <w:rPr>
                <w:color w:val="auto"/>
                <w:szCs w:val="16"/>
                <w:lang w:eastAsia="pl-PL"/>
              </w:rPr>
            </w:pPr>
            <w:r>
              <w:rPr>
                <w:color w:val="000000"/>
                <w:szCs w:val="16"/>
              </w:rPr>
              <w:t>68 075</w:t>
            </w:r>
          </w:p>
        </w:tc>
        <w:tc>
          <w:tcPr>
            <w:tcW w:w="1895" w:type="dxa"/>
            <w:shd w:val="clear" w:color="auto" w:fill="C5E0B3"/>
            <w:noWrap/>
            <w:hideMark/>
          </w:tcPr>
          <w:p w14:paraId="013E56E4" w14:textId="1C0F95B4" w:rsidR="00DE376F" w:rsidRPr="009D2BCD" w:rsidRDefault="00DE376F" w:rsidP="00DE376F">
            <w:pPr>
              <w:pStyle w:val="Tabele"/>
              <w:jc w:val="right"/>
              <w:rPr>
                <w:color w:val="auto"/>
                <w:szCs w:val="16"/>
                <w:lang w:eastAsia="pl-PL"/>
              </w:rPr>
            </w:pPr>
            <w:r>
              <w:rPr>
                <w:color w:val="000000"/>
                <w:szCs w:val="16"/>
              </w:rPr>
              <w:t>282 509</w:t>
            </w:r>
          </w:p>
        </w:tc>
      </w:tr>
      <w:tr w:rsidR="00DE376F" w:rsidRPr="009D2BCD" w14:paraId="1ED673DD" w14:textId="77777777" w:rsidTr="00DE376F">
        <w:trPr>
          <w:trHeight w:val="245"/>
        </w:trPr>
        <w:tc>
          <w:tcPr>
            <w:tcW w:w="811" w:type="dxa"/>
            <w:shd w:val="clear" w:color="auto" w:fill="C5E0B3"/>
            <w:noWrap/>
            <w:hideMark/>
          </w:tcPr>
          <w:p w14:paraId="1ACD3F24" w14:textId="77777777" w:rsidR="00DE376F" w:rsidRPr="009D2BCD" w:rsidRDefault="00DE376F" w:rsidP="00DE376F">
            <w:pPr>
              <w:pStyle w:val="Tabele"/>
              <w:rPr>
                <w:b/>
                <w:bCs/>
                <w:color w:val="auto"/>
                <w:lang w:eastAsia="pl-PL"/>
              </w:rPr>
            </w:pPr>
            <w:r w:rsidRPr="009D2BCD">
              <w:rPr>
                <w:b/>
                <w:bCs/>
                <w:color w:val="auto"/>
                <w:lang w:eastAsia="pl-PL"/>
              </w:rPr>
              <w:t>2015</w:t>
            </w:r>
          </w:p>
        </w:tc>
        <w:tc>
          <w:tcPr>
            <w:tcW w:w="1220" w:type="dxa"/>
            <w:shd w:val="clear" w:color="auto" w:fill="C5E0B3"/>
            <w:noWrap/>
            <w:hideMark/>
          </w:tcPr>
          <w:p w14:paraId="4EFBF901" w14:textId="1198C119" w:rsidR="00DE376F" w:rsidRPr="009D2BCD" w:rsidRDefault="00DE376F" w:rsidP="00DE376F">
            <w:pPr>
              <w:pStyle w:val="Tabele"/>
              <w:jc w:val="right"/>
              <w:rPr>
                <w:color w:val="auto"/>
                <w:szCs w:val="16"/>
                <w:lang w:eastAsia="pl-PL"/>
              </w:rPr>
            </w:pPr>
            <w:r>
              <w:rPr>
                <w:color w:val="000000"/>
                <w:szCs w:val="16"/>
              </w:rPr>
              <w:t>148 080</w:t>
            </w:r>
          </w:p>
        </w:tc>
        <w:tc>
          <w:tcPr>
            <w:tcW w:w="1358" w:type="dxa"/>
            <w:shd w:val="clear" w:color="auto" w:fill="C5E0B3"/>
            <w:noWrap/>
            <w:hideMark/>
          </w:tcPr>
          <w:p w14:paraId="338C8CA8" w14:textId="7871273D" w:rsidR="00DE376F" w:rsidRPr="009D2BCD" w:rsidRDefault="00DE376F" w:rsidP="00DE376F">
            <w:pPr>
              <w:pStyle w:val="Tabele"/>
              <w:jc w:val="right"/>
              <w:rPr>
                <w:color w:val="auto"/>
                <w:szCs w:val="16"/>
                <w:lang w:eastAsia="pl-PL"/>
              </w:rPr>
            </w:pPr>
            <w:r>
              <w:rPr>
                <w:color w:val="000000"/>
                <w:szCs w:val="16"/>
              </w:rPr>
              <w:t>133 434</w:t>
            </w:r>
          </w:p>
        </w:tc>
        <w:tc>
          <w:tcPr>
            <w:tcW w:w="1519" w:type="dxa"/>
            <w:shd w:val="clear" w:color="auto" w:fill="C5E0B3"/>
            <w:noWrap/>
            <w:hideMark/>
          </w:tcPr>
          <w:p w14:paraId="31FCD516" w14:textId="6C74534F" w:rsidR="00DE376F" w:rsidRPr="009D2BCD" w:rsidRDefault="00DE376F" w:rsidP="00DE376F">
            <w:pPr>
              <w:pStyle w:val="Tabele"/>
              <w:jc w:val="right"/>
              <w:rPr>
                <w:color w:val="auto"/>
                <w:szCs w:val="16"/>
                <w:lang w:eastAsia="pl-PL"/>
              </w:rPr>
            </w:pPr>
            <w:r>
              <w:rPr>
                <w:color w:val="000000"/>
                <w:szCs w:val="16"/>
              </w:rPr>
              <w:t>400 664</w:t>
            </w:r>
          </w:p>
        </w:tc>
        <w:tc>
          <w:tcPr>
            <w:tcW w:w="1496" w:type="dxa"/>
            <w:shd w:val="clear" w:color="auto" w:fill="C5E0B3"/>
            <w:noWrap/>
            <w:hideMark/>
          </w:tcPr>
          <w:p w14:paraId="4B876E7B" w14:textId="17114A0D" w:rsidR="00DE376F" w:rsidRPr="009D2BCD" w:rsidRDefault="00DE376F" w:rsidP="00DE376F">
            <w:pPr>
              <w:pStyle w:val="Tabele"/>
              <w:jc w:val="right"/>
              <w:rPr>
                <w:color w:val="auto"/>
                <w:szCs w:val="16"/>
                <w:lang w:eastAsia="pl-PL"/>
              </w:rPr>
            </w:pPr>
            <w:r>
              <w:rPr>
                <w:color w:val="000000"/>
                <w:szCs w:val="16"/>
              </w:rPr>
              <w:t>0</w:t>
            </w:r>
          </w:p>
        </w:tc>
        <w:tc>
          <w:tcPr>
            <w:tcW w:w="1360" w:type="dxa"/>
            <w:shd w:val="clear" w:color="auto" w:fill="C5E0B3"/>
            <w:noWrap/>
            <w:hideMark/>
          </w:tcPr>
          <w:p w14:paraId="25A63515" w14:textId="35115DBD" w:rsidR="00DE376F" w:rsidRPr="009D2BCD" w:rsidRDefault="00DE376F" w:rsidP="00DE376F">
            <w:pPr>
              <w:pStyle w:val="Tabele"/>
              <w:jc w:val="right"/>
              <w:rPr>
                <w:color w:val="auto"/>
                <w:szCs w:val="16"/>
                <w:lang w:eastAsia="pl-PL"/>
              </w:rPr>
            </w:pPr>
            <w:r>
              <w:rPr>
                <w:color w:val="000000"/>
                <w:szCs w:val="16"/>
              </w:rPr>
              <w:t>74 927</w:t>
            </w:r>
          </w:p>
        </w:tc>
        <w:tc>
          <w:tcPr>
            <w:tcW w:w="1895" w:type="dxa"/>
            <w:shd w:val="clear" w:color="auto" w:fill="C5E0B3"/>
            <w:noWrap/>
            <w:hideMark/>
          </w:tcPr>
          <w:p w14:paraId="744F3CA5" w14:textId="750D5F7D" w:rsidR="00DE376F" w:rsidRPr="009D2BCD" w:rsidRDefault="00DE376F" w:rsidP="00DE376F">
            <w:pPr>
              <w:pStyle w:val="Tabele"/>
              <w:jc w:val="right"/>
              <w:rPr>
                <w:color w:val="auto"/>
                <w:szCs w:val="16"/>
                <w:lang w:eastAsia="pl-PL"/>
              </w:rPr>
            </w:pPr>
            <w:r>
              <w:rPr>
                <w:color w:val="000000"/>
                <w:szCs w:val="16"/>
              </w:rPr>
              <w:t>174 196</w:t>
            </w:r>
          </w:p>
        </w:tc>
      </w:tr>
      <w:tr w:rsidR="00DE376F" w:rsidRPr="009D2BCD" w14:paraId="0485FFF3" w14:textId="77777777" w:rsidTr="00DE376F">
        <w:trPr>
          <w:trHeight w:val="245"/>
        </w:trPr>
        <w:tc>
          <w:tcPr>
            <w:tcW w:w="811" w:type="dxa"/>
            <w:shd w:val="clear" w:color="auto" w:fill="C5E0B3"/>
            <w:noWrap/>
            <w:hideMark/>
          </w:tcPr>
          <w:p w14:paraId="2427AABF" w14:textId="77777777" w:rsidR="00DE376F" w:rsidRPr="009D2BCD" w:rsidRDefault="00DE376F" w:rsidP="00DE376F">
            <w:pPr>
              <w:pStyle w:val="Tabele"/>
              <w:rPr>
                <w:b/>
                <w:bCs/>
                <w:color w:val="auto"/>
                <w:lang w:eastAsia="pl-PL"/>
              </w:rPr>
            </w:pPr>
            <w:r w:rsidRPr="009D2BCD">
              <w:rPr>
                <w:b/>
                <w:bCs/>
                <w:color w:val="auto"/>
                <w:lang w:eastAsia="pl-PL"/>
              </w:rPr>
              <w:t>2020</w:t>
            </w:r>
          </w:p>
        </w:tc>
        <w:tc>
          <w:tcPr>
            <w:tcW w:w="1220" w:type="dxa"/>
            <w:shd w:val="clear" w:color="auto" w:fill="C5E0B3"/>
            <w:noWrap/>
            <w:hideMark/>
          </w:tcPr>
          <w:p w14:paraId="20CE237A" w14:textId="50B9F9AE" w:rsidR="00DE376F" w:rsidRPr="00AB6D33" w:rsidRDefault="00DE376F" w:rsidP="00DE376F">
            <w:pPr>
              <w:pStyle w:val="Tabele"/>
              <w:jc w:val="right"/>
              <w:rPr>
                <w:color w:val="auto"/>
                <w:szCs w:val="16"/>
                <w:lang w:eastAsia="pl-PL"/>
              </w:rPr>
            </w:pPr>
            <w:r>
              <w:rPr>
                <w:color w:val="000000"/>
                <w:szCs w:val="16"/>
              </w:rPr>
              <w:t>163 263</w:t>
            </w:r>
          </w:p>
        </w:tc>
        <w:tc>
          <w:tcPr>
            <w:tcW w:w="1358" w:type="dxa"/>
            <w:shd w:val="clear" w:color="auto" w:fill="C5E0B3"/>
            <w:noWrap/>
            <w:hideMark/>
          </w:tcPr>
          <w:p w14:paraId="1F33BABE" w14:textId="382E5C62" w:rsidR="00DE376F" w:rsidRPr="00AB6D33" w:rsidRDefault="00DE376F" w:rsidP="00DE376F">
            <w:pPr>
              <w:pStyle w:val="Tabele"/>
              <w:jc w:val="right"/>
              <w:rPr>
                <w:color w:val="auto"/>
                <w:szCs w:val="16"/>
                <w:lang w:eastAsia="pl-PL"/>
              </w:rPr>
            </w:pPr>
            <w:r>
              <w:rPr>
                <w:color w:val="000000"/>
                <w:szCs w:val="16"/>
              </w:rPr>
              <w:t>134 734</w:t>
            </w:r>
          </w:p>
        </w:tc>
        <w:tc>
          <w:tcPr>
            <w:tcW w:w="1519" w:type="dxa"/>
            <w:shd w:val="clear" w:color="auto" w:fill="C5E0B3"/>
            <w:noWrap/>
            <w:hideMark/>
          </w:tcPr>
          <w:p w14:paraId="1E8FC013" w14:textId="0342B330" w:rsidR="00DE376F" w:rsidRPr="00AB6D33" w:rsidRDefault="00DE376F" w:rsidP="00DE376F">
            <w:pPr>
              <w:pStyle w:val="Tabele"/>
              <w:jc w:val="right"/>
              <w:rPr>
                <w:color w:val="auto"/>
                <w:szCs w:val="16"/>
                <w:lang w:eastAsia="pl-PL"/>
              </w:rPr>
            </w:pPr>
            <w:r>
              <w:rPr>
                <w:color w:val="000000"/>
                <w:szCs w:val="16"/>
              </w:rPr>
              <w:t>489 407</w:t>
            </w:r>
          </w:p>
        </w:tc>
        <w:tc>
          <w:tcPr>
            <w:tcW w:w="1496" w:type="dxa"/>
            <w:shd w:val="clear" w:color="auto" w:fill="C5E0B3"/>
            <w:noWrap/>
            <w:hideMark/>
          </w:tcPr>
          <w:p w14:paraId="0BC86376" w14:textId="3CD90370" w:rsidR="00DE376F" w:rsidRPr="00AB6D33" w:rsidRDefault="00DE376F" w:rsidP="00DE376F">
            <w:pPr>
              <w:pStyle w:val="Tabele"/>
              <w:jc w:val="right"/>
              <w:rPr>
                <w:color w:val="auto"/>
                <w:szCs w:val="16"/>
                <w:lang w:eastAsia="pl-PL"/>
              </w:rPr>
            </w:pPr>
            <w:r>
              <w:rPr>
                <w:color w:val="000000"/>
                <w:szCs w:val="16"/>
              </w:rPr>
              <w:t>0</w:t>
            </w:r>
          </w:p>
        </w:tc>
        <w:tc>
          <w:tcPr>
            <w:tcW w:w="1360" w:type="dxa"/>
            <w:shd w:val="clear" w:color="auto" w:fill="C5E0B3"/>
            <w:noWrap/>
            <w:hideMark/>
          </w:tcPr>
          <w:p w14:paraId="219C4F14" w14:textId="13635A8C" w:rsidR="00DE376F" w:rsidRPr="00AB6D33" w:rsidRDefault="00DE376F" w:rsidP="00DE376F">
            <w:pPr>
              <w:pStyle w:val="Tabele"/>
              <w:jc w:val="right"/>
              <w:rPr>
                <w:color w:val="auto"/>
                <w:szCs w:val="16"/>
                <w:lang w:eastAsia="pl-PL"/>
              </w:rPr>
            </w:pPr>
            <w:r>
              <w:rPr>
                <w:color w:val="000000"/>
                <w:szCs w:val="16"/>
              </w:rPr>
              <w:t>91 515</w:t>
            </w:r>
          </w:p>
        </w:tc>
        <w:tc>
          <w:tcPr>
            <w:tcW w:w="1895" w:type="dxa"/>
            <w:shd w:val="clear" w:color="auto" w:fill="C5E0B3"/>
            <w:noWrap/>
            <w:hideMark/>
          </w:tcPr>
          <w:p w14:paraId="0492885D" w14:textId="3229EC0C" w:rsidR="00DE376F" w:rsidRPr="00AB6D33" w:rsidRDefault="00DE376F" w:rsidP="00DE376F">
            <w:pPr>
              <w:pStyle w:val="Tabele"/>
              <w:jc w:val="right"/>
              <w:rPr>
                <w:color w:val="auto"/>
                <w:szCs w:val="16"/>
                <w:lang w:eastAsia="pl-PL"/>
              </w:rPr>
            </w:pPr>
            <w:r>
              <w:rPr>
                <w:color w:val="000000"/>
                <w:szCs w:val="16"/>
              </w:rPr>
              <w:t>178 852</w:t>
            </w:r>
          </w:p>
        </w:tc>
      </w:tr>
      <w:tr w:rsidR="00DE376F" w:rsidRPr="009D2BCD" w14:paraId="085D95D5" w14:textId="77777777" w:rsidTr="00DE376F">
        <w:trPr>
          <w:trHeight w:val="245"/>
        </w:trPr>
        <w:tc>
          <w:tcPr>
            <w:tcW w:w="811" w:type="dxa"/>
            <w:noWrap/>
            <w:hideMark/>
          </w:tcPr>
          <w:p w14:paraId="23B8CE8B" w14:textId="77777777" w:rsidR="00DE376F" w:rsidRPr="009D2BCD" w:rsidRDefault="00DE376F" w:rsidP="00DE376F">
            <w:pPr>
              <w:pStyle w:val="Tabele"/>
              <w:rPr>
                <w:b/>
                <w:bCs/>
                <w:color w:val="auto"/>
                <w:lang w:eastAsia="pl-PL"/>
              </w:rPr>
            </w:pPr>
            <w:r w:rsidRPr="009D2BCD">
              <w:rPr>
                <w:b/>
                <w:bCs/>
                <w:color w:val="auto"/>
                <w:lang w:eastAsia="pl-PL"/>
              </w:rPr>
              <w:t>2025</w:t>
            </w:r>
          </w:p>
        </w:tc>
        <w:tc>
          <w:tcPr>
            <w:tcW w:w="1220" w:type="dxa"/>
            <w:noWrap/>
            <w:hideMark/>
          </w:tcPr>
          <w:p w14:paraId="03D865FE" w14:textId="06704D5C" w:rsidR="00DE376F" w:rsidRPr="00AB6D33" w:rsidRDefault="00DE376F" w:rsidP="00DE376F">
            <w:pPr>
              <w:pStyle w:val="Tabele"/>
              <w:jc w:val="right"/>
              <w:rPr>
                <w:color w:val="auto"/>
                <w:szCs w:val="16"/>
                <w:lang w:eastAsia="pl-PL"/>
              </w:rPr>
            </w:pPr>
            <w:r>
              <w:rPr>
                <w:rFonts w:cs="Arial"/>
                <w:color w:val="000000"/>
                <w:szCs w:val="16"/>
              </w:rPr>
              <w:t>165 807</w:t>
            </w:r>
          </w:p>
        </w:tc>
        <w:tc>
          <w:tcPr>
            <w:tcW w:w="1358" w:type="dxa"/>
            <w:noWrap/>
            <w:hideMark/>
          </w:tcPr>
          <w:p w14:paraId="1FCD7D4B" w14:textId="4A13E30F" w:rsidR="00DE376F" w:rsidRPr="00AB6D33" w:rsidRDefault="00DE376F" w:rsidP="00DE376F">
            <w:pPr>
              <w:pStyle w:val="Tabele"/>
              <w:jc w:val="right"/>
              <w:rPr>
                <w:color w:val="auto"/>
                <w:szCs w:val="16"/>
                <w:lang w:eastAsia="pl-PL"/>
              </w:rPr>
            </w:pPr>
            <w:r>
              <w:rPr>
                <w:rFonts w:cs="Arial"/>
                <w:color w:val="000000"/>
                <w:szCs w:val="16"/>
              </w:rPr>
              <w:t>136 834</w:t>
            </w:r>
          </w:p>
        </w:tc>
        <w:tc>
          <w:tcPr>
            <w:tcW w:w="1519" w:type="dxa"/>
            <w:noWrap/>
            <w:hideMark/>
          </w:tcPr>
          <w:p w14:paraId="294C6CAE" w14:textId="60451229" w:rsidR="00DE376F" w:rsidRPr="00AB6D33" w:rsidRDefault="00DE376F" w:rsidP="00DE376F">
            <w:pPr>
              <w:pStyle w:val="Tabele"/>
              <w:jc w:val="right"/>
              <w:rPr>
                <w:color w:val="auto"/>
                <w:szCs w:val="16"/>
                <w:lang w:eastAsia="pl-PL"/>
              </w:rPr>
            </w:pPr>
            <w:r>
              <w:rPr>
                <w:rFonts w:cs="Arial"/>
                <w:color w:val="000000"/>
                <w:szCs w:val="16"/>
              </w:rPr>
              <w:t>497 034</w:t>
            </w:r>
          </w:p>
        </w:tc>
        <w:tc>
          <w:tcPr>
            <w:tcW w:w="1496" w:type="dxa"/>
            <w:noWrap/>
            <w:hideMark/>
          </w:tcPr>
          <w:p w14:paraId="73F21F28" w14:textId="46C3D4E6" w:rsidR="00DE376F" w:rsidRPr="00AB6D33" w:rsidRDefault="00DE376F" w:rsidP="00DE376F">
            <w:pPr>
              <w:pStyle w:val="Tabele"/>
              <w:jc w:val="right"/>
              <w:rPr>
                <w:color w:val="auto"/>
                <w:szCs w:val="16"/>
                <w:lang w:eastAsia="pl-PL"/>
              </w:rPr>
            </w:pPr>
            <w:r>
              <w:rPr>
                <w:rFonts w:cs="Arial"/>
                <w:color w:val="000000"/>
                <w:szCs w:val="16"/>
              </w:rPr>
              <w:t>0</w:t>
            </w:r>
          </w:p>
        </w:tc>
        <w:tc>
          <w:tcPr>
            <w:tcW w:w="1360" w:type="dxa"/>
            <w:noWrap/>
            <w:hideMark/>
          </w:tcPr>
          <w:p w14:paraId="2AA23A78" w14:textId="4F7E2209" w:rsidR="00DE376F" w:rsidRPr="00AB6D33" w:rsidRDefault="00DE376F" w:rsidP="00DE376F">
            <w:pPr>
              <w:pStyle w:val="Tabele"/>
              <w:jc w:val="right"/>
              <w:rPr>
                <w:color w:val="auto"/>
                <w:szCs w:val="16"/>
                <w:lang w:eastAsia="pl-PL"/>
              </w:rPr>
            </w:pPr>
            <w:r>
              <w:rPr>
                <w:rFonts w:cs="Arial"/>
                <w:color w:val="000000"/>
                <w:szCs w:val="16"/>
              </w:rPr>
              <w:t>92 942</w:t>
            </w:r>
          </w:p>
        </w:tc>
        <w:tc>
          <w:tcPr>
            <w:tcW w:w="1895" w:type="dxa"/>
            <w:noWrap/>
            <w:hideMark/>
          </w:tcPr>
          <w:p w14:paraId="2CA9C7AA" w14:textId="74E51AB3" w:rsidR="00DE376F" w:rsidRPr="00AB6D33" w:rsidRDefault="00DE376F" w:rsidP="00DE376F">
            <w:pPr>
              <w:pStyle w:val="Tabele"/>
              <w:jc w:val="right"/>
              <w:rPr>
                <w:color w:val="auto"/>
                <w:szCs w:val="16"/>
                <w:lang w:eastAsia="pl-PL"/>
              </w:rPr>
            </w:pPr>
            <w:r>
              <w:rPr>
                <w:rFonts w:cs="Arial"/>
                <w:color w:val="000000"/>
                <w:szCs w:val="16"/>
              </w:rPr>
              <w:t>181 638</w:t>
            </w:r>
          </w:p>
        </w:tc>
      </w:tr>
      <w:tr w:rsidR="00DE376F" w:rsidRPr="009D2BCD" w14:paraId="3D1C4B8B" w14:textId="77777777" w:rsidTr="00DE376F">
        <w:trPr>
          <w:trHeight w:val="245"/>
        </w:trPr>
        <w:tc>
          <w:tcPr>
            <w:tcW w:w="811" w:type="dxa"/>
            <w:noWrap/>
            <w:hideMark/>
          </w:tcPr>
          <w:p w14:paraId="0949D463" w14:textId="77777777" w:rsidR="00DE376F" w:rsidRPr="009D2BCD" w:rsidRDefault="00DE376F" w:rsidP="00DE376F">
            <w:pPr>
              <w:pStyle w:val="Tabele"/>
              <w:rPr>
                <w:b/>
                <w:bCs/>
                <w:color w:val="auto"/>
                <w:lang w:eastAsia="pl-PL"/>
              </w:rPr>
            </w:pPr>
            <w:r w:rsidRPr="009D2BCD">
              <w:rPr>
                <w:b/>
                <w:bCs/>
                <w:color w:val="auto"/>
                <w:lang w:eastAsia="pl-PL"/>
              </w:rPr>
              <w:t>2030</w:t>
            </w:r>
          </w:p>
        </w:tc>
        <w:tc>
          <w:tcPr>
            <w:tcW w:w="1220" w:type="dxa"/>
            <w:noWrap/>
            <w:hideMark/>
          </w:tcPr>
          <w:p w14:paraId="7065A2CB" w14:textId="31D092C1" w:rsidR="00DE376F" w:rsidRPr="00AB6D33" w:rsidRDefault="00DE376F" w:rsidP="00DE376F">
            <w:pPr>
              <w:pStyle w:val="Tabele"/>
              <w:jc w:val="right"/>
              <w:rPr>
                <w:color w:val="auto"/>
                <w:szCs w:val="16"/>
                <w:lang w:eastAsia="pl-PL"/>
              </w:rPr>
            </w:pPr>
            <w:r>
              <w:rPr>
                <w:rFonts w:cs="Arial"/>
                <w:color w:val="000000"/>
                <w:szCs w:val="16"/>
              </w:rPr>
              <w:t>165 807</w:t>
            </w:r>
          </w:p>
        </w:tc>
        <w:tc>
          <w:tcPr>
            <w:tcW w:w="1358" w:type="dxa"/>
            <w:noWrap/>
            <w:hideMark/>
          </w:tcPr>
          <w:p w14:paraId="062334DE" w14:textId="30BE911E" w:rsidR="00DE376F" w:rsidRPr="00AB6D33" w:rsidRDefault="00DE376F" w:rsidP="00DE376F">
            <w:pPr>
              <w:pStyle w:val="Tabele"/>
              <w:jc w:val="right"/>
              <w:rPr>
                <w:color w:val="auto"/>
                <w:szCs w:val="16"/>
                <w:lang w:eastAsia="pl-PL"/>
              </w:rPr>
            </w:pPr>
            <w:r>
              <w:rPr>
                <w:rFonts w:cs="Arial"/>
                <w:color w:val="000000"/>
                <w:szCs w:val="16"/>
              </w:rPr>
              <w:t>136 834</w:t>
            </w:r>
          </w:p>
        </w:tc>
        <w:tc>
          <w:tcPr>
            <w:tcW w:w="1519" w:type="dxa"/>
            <w:noWrap/>
            <w:hideMark/>
          </w:tcPr>
          <w:p w14:paraId="0FAFEA84" w14:textId="29AE8FC6" w:rsidR="00DE376F" w:rsidRPr="00AB6D33" w:rsidRDefault="00DE376F" w:rsidP="00DE376F">
            <w:pPr>
              <w:pStyle w:val="Tabele"/>
              <w:jc w:val="right"/>
              <w:rPr>
                <w:color w:val="auto"/>
                <w:szCs w:val="16"/>
                <w:lang w:eastAsia="pl-PL"/>
              </w:rPr>
            </w:pPr>
            <w:r>
              <w:rPr>
                <w:rFonts w:cs="Arial"/>
                <w:color w:val="000000"/>
                <w:szCs w:val="16"/>
              </w:rPr>
              <w:t>497 034</w:t>
            </w:r>
          </w:p>
        </w:tc>
        <w:tc>
          <w:tcPr>
            <w:tcW w:w="1496" w:type="dxa"/>
            <w:noWrap/>
            <w:hideMark/>
          </w:tcPr>
          <w:p w14:paraId="6AC47077" w14:textId="105B7904" w:rsidR="00DE376F" w:rsidRPr="00AB6D33" w:rsidRDefault="00DE376F" w:rsidP="00DE376F">
            <w:pPr>
              <w:pStyle w:val="Tabele"/>
              <w:jc w:val="right"/>
              <w:rPr>
                <w:color w:val="auto"/>
                <w:szCs w:val="16"/>
                <w:lang w:eastAsia="pl-PL"/>
              </w:rPr>
            </w:pPr>
            <w:r>
              <w:rPr>
                <w:rFonts w:cs="Arial"/>
                <w:color w:val="000000"/>
                <w:szCs w:val="16"/>
              </w:rPr>
              <w:t>0</w:t>
            </w:r>
          </w:p>
        </w:tc>
        <w:tc>
          <w:tcPr>
            <w:tcW w:w="1360" w:type="dxa"/>
            <w:noWrap/>
            <w:hideMark/>
          </w:tcPr>
          <w:p w14:paraId="0D1B6D02" w14:textId="0DA54DF5" w:rsidR="00DE376F" w:rsidRPr="00AB6D33" w:rsidRDefault="00DE376F" w:rsidP="00DE376F">
            <w:pPr>
              <w:pStyle w:val="Tabele"/>
              <w:jc w:val="right"/>
              <w:rPr>
                <w:color w:val="auto"/>
                <w:szCs w:val="16"/>
                <w:lang w:eastAsia="pl-PL"/>
              </w:rPr>
            </w:pPr>
            <w:r>
              <w:rPr>
                <w:rFonts w:cs="Arial"/>
                <w:color w:val="000000"/>
                <w:szCs w:val="16"/>
              </w:rPr>
              <w:t>92 942</w:t>
            </w:r>
          </w:p>
        </w:tc>
        <w:tc>
          <w:tcPr>
            <w:tcW w:w="1895" w:type="dxa"/>
            <w:noWrap/>
            <w:hideMark/>
          </w:tcPr>
          <w:p w14:paraId="7031AF3B" w14:textId="0712049B" w:rsidR="00DE376F" w:rsidRPr="00AB6D33" w:rsidRDefault="00DE376F" w:rsidP="00DE376F">
            <w:pPr>
              <w:pStyle w:val="Tabele"/>
              <w:jc w:val="right"/>
              <w:rPr>
                <w:color w:val="auto"/>
                <w:szCs w:val="16"/>
                <w:lang w:eastAsia="pl-PL"/>
              </w:rPr>
            </w:pPr>
            <w:r>
              <w:rPr>
                <w:rFonts w:cs="Arial"/>
                <w:color w:val="000000"/>
                <w:szCs w:val="16"/>
              </w:rPr>
              <w:t>181 638</w:t>
            </w:r>
          </w:p>
        </w:tc>
      </w:tr>
      <w:tr w:rsidR="00DE376F" w:rsidRPr="009D2BCD" w14:paraId="1E168E4C" w14:textId="77777777" w:rsidTr="00DE376F">
        <w:trPr>
          <w:trHeight w:val="245"/>
        </w:trPr>
        <w:tc>
          <w:tcPr>
            <w:tcW w:w="811" w:type="dxa"/>
            <w:noWrap/>
            <w:hideMark/>
          </w:tcPr>
          <w:p w14:paraId="018AD690" w14:textId="77777777" w:rsidR="00DE376F" w:rsidRPr="009D2BCD" w:rsidRDefault="00DE376F" w:rsidP="00DE376F">
            <w:pPr>
              <w:pStyle w:val="Tabele"/>
              <w:rPr>
                <w:b/>
                <w:bCs/>
                <w:color w:val="auto"/>
                <w:lang w:eastAsia="pl-PL"/>
              </w:rPr>
            </w:pPr>
            <w:r w:rsidRPr="009D2BCD">
              <w:rPr>
                <w:b/>
                <w:bCs/>
                <w:color w:val="auto"/>
                <w:lang w:eastAsia="pl-PL"/>
              </w:rPr>
              <w:t>2035</w:t>
            </w:r>
          </w:p>
        </w:tc>
        <w:tc>
          <w:tcPr>
            <w:tcW w:w="1220" w:type="dxa"/>
            <w:noWrap/>
            <w:hideMark/>
          </w:tcPr>
          <w:p w14:paraId="4655F53B" w14:textId="24DDB268" w:rsidR="00DE376F" w:rsidRPr="00AB6D33" w:rsidRDefault="00DE376F" w:rsidP="00DE376F">
            <w:pPr>
              <w:pStyle w:val="Tabele"/>
              <w:jc w:val="right"/>
              <w:rPr>
                <w:color w:val="auto"/>
                <w:szCs w:val="16"/>
                <w:lang w:eastAsia="pl-PL"/>
              </w:rPr>
            </w:pPr>
            <w:r>
              <w:rPr>
                <w:rFonts w:cs="Arial"/>
                <w:color w:val="000000"/>
                <w:szCs w:val="16"/>
              </w:rPr>
              <w:t>165 807</w:t>
            </w:r>
          </w:p>
        </w:tc>
        <w:tc>
          <w:tcPr>
            <w:tcW w:w="1358" w:type="dxa"/>
            <w:noWrap/>
            <w:hideMark/>
          </w:tcPr>
          <w:p w14:paraId="6AADA4A2" w14:textId="15884750" w:rsidR="00DE376F" w:rsidRPr="00AB6D33" w:rsidRDefault="00DE376F" w:rsidP="00DE376F">
            <w:pPr>
              <w:pStyle w:val="Tabele"/>
              <w:jc w:val="right"/>
              <w:rPr>
                <w:color w:val="auto"/>
                <w:szCs w:val="16"/>
                <w:lang w:eastAsia="pl-PL"/>
              </w:rPr>
            </w:pPr>
            <w:r>
              <w:rPr>
                <w:rFonts w:cs="Arial"/>
                <w:color w:val="000000"/>
                <w:szCs w:val="16"/>
              </w:rPr>
              <w:t>136 834</w:t>
            </w:r>
          </w:p>
        </w:tc>
        <w:tc>
          <w:tcPr>
            <w:tcW w:w="1519" w:type="dxa"/>
            <w:noWrap/>
            <w:hideMark/>
          </w:tcPr>
          <w:p w14:paraId="2291DC1B" w14:textId="1C283D59" w:rsidR="00DE376F" w:rsidRPr="00AB6D33" w:rsidRDefault="00DE376F" w:rsidP="00DE376F">
            <w:pPr>
              <w:pStyle w:val="Tabele"/>
              <w:jc w:val="right"/>
              <w:rPr>
                <w:color w:val="auto"/>
                <w:szCs w:val="16"/>
                <w:lang w:eastAsia="pl-PL"/>
              </w:rPr>
            </w:pPr>
            <w:r>
              <w:rPr>
                <w:rFonts w:cs="Arial"/>
                <w:color w:val="000000"/>
                <w:szCs w:val="16"/>
              </w:rPr>
              <w:t>497 034</w:t>
            </w:r>
          </w:p>
        </w:tc>
        <w:tc>
          <w:tcPr>
            <w:tcW w:w="1496" w:type="dxa"/>
            <w:noWrap/>
            <w:hideMark/>
          </w:tcPr>
          <w:p w14:paraId="50B5B7F2" w14:textId="2763C0AC" w:rsidR="00DE376F" w:rsidRPr="00AB6D33" w:rsidRDefault="00DE376F" w:rsidP="00DE376F">
            <w:pPr>
              <w:pStyle w:val="Tabele"/>
              <w:jc w:val="right"/>
              <w:rPr>
                <w:color w:val="auto"/>
                <w:szCs w:val="16"/>
                <w:lang w:eastAsia="pl-PL"/>
              </w:rPr>
            </w:pPr>
            <w:r>
              <w:rPr>
                <w:rFonts w:cs="Arial"/>
                <w:color w:val="000000"/>
                <w:szCs w:val="16"/>
              </w:rPr>
              <w:t>0</w:t>
            </w:r>
          </w:p>
        </w:tc>
        <w:tc>
          <w:tcPr>
            <w:tcW w:w="1360" w:type="dxa"/>
            <w:noWrap/>
            <w:hideMark/>
          </w:tcPr>
          <w:p w14:paraId="665EAB55" w14:textId="0194F423" w:rsidR="00DE376F" w:rsidRPr="00AB6D33" w:rsidRDefault="00DE376F" w:rsidP="00DE376F">
            <w:pPr>
              <w:pStyle w:val="Tabele"/>
              <w:jc w:val="right"/>
              <w:rPr>
                <w:color w:val="auto"/>
                <w:szCs w:val="16"/>
                <w:lang w:eastAsia="pl-PL"/>
              </w:rPr>
            </w:pPr>
            <w:r>
              <w:rPr>
                <w:rFonts w:cs="Arial"/>
                <w:color w:val="000000"/>
                <w:szCs w:val="16"/>
              </w:rPr>
              <w:t>92 942</w:t>
            </w:r>
          </w:p>
        </w:tc>
        <w:tc>
          <w:tcPr>
            <w:tcW w:w="1895" w:type="dxa"/>
            <w:noWrap/>
            <w:hideMark/>
          </w:tcPr>
          <w:p w14:paraId="58DFD5B6" w14:textId="5B521658" w:rsidR="00DE376F" w:rsidRPr="00AB6D33" w:rsidRDefault="00DE376F" w:rsidP="00DE376F">
            <w:pPr>
              <w:pStyle w:val="Tabele"/>
              <w:jc w:val="right"/>
              <w:rPr>
                <w:color w:val="auto"/>
                <w:szCs w:val="16"/>
                <w:lang w:eastAsia="pl-PL"/>
              </w:rPr>
            </w:pPr>
            <w:r>
              <w:rPr>
                <w:rFonts w:cs="Arial"/>
                <w:color w:val="000000"/>
                <w:szCs w:val="16"/>
              </w:rPr>
              <w:t>181 638</w:t>
            </w:r>
          </w:p>
        </w:tc>
      </w:tr>
      <w:tr w:rsidR="00DE376F" w:rsidRPr="009D2BCD" w14:paraId="47C83E64" w14:textId="77777777" w:rsidTr="00DE376F">
        <w:trPr>
          <w:trHeight w:val="245"/>
        </w:trPr>
        <w:tc>
          <w:tcPr>
            <w:tcW w:w="811" w:type="dxa"/>
            <w:noWrap/>
            <w:hideMark/>
          </w:tcPr>
          <w:p w14:paraId="625DB1A7" w14:textId="77777777" w:rsidR="00DE376F" w:rsidRPr="009D2BCD" w:rsidRDefault="00DE376F" w:rsidP="00DE376F">
            <w:pPr>
              <w:pStyle w:val="Tabele"/>
              <w:rPr>
                <w:b/>
                <w:bCs/>
                <w:color w:val="auto"/>
                <w:lang w:eastAsia="pl-PL"/>
              </w:rPr>
            </w:pPr>
            <w:r w:rsidRPr="009D2BCD">
              <w:rPr>
                <w:b/>
                <w:bCs/>
                <w:color w:val="auto"/>
                <w:lang w:eastAsia="pl-PL"/>
              </w:rPr>
              <w:t>2040</w:t>
            </w:r>
          </w:p>
        </w:tc>
        <w:tc>
          <w:tcPr>
            <w:tcW w:w="1220" w:type="dxa"/>
            <w:noWrap/>
            <w:hideMark/>
          </w:tcPr>
          <w:p w14:paraId="3F754EC7" w14:textId="0C573775" w:rsidR="00DE376F" w:rsidRPr="00AB6D33" w:rsidRDefault="00DE376F" w:rsidP="00DE376F">
            <w:pPr>
              <w:pStyle w:val="Tabele"/>
              <w:jc w:val="right"/>
              <w:rPr>
                <w:color w:val="auto"/>
                <w:szCs w:val="16"/>
                <w:lang w:eastAsia="pl-PL"/>
              </w:rPr>
            </w:pPr>
            <w:r>
              <w:rPr>
                <w:rFonts w:cs="Arial"/>
                <w:color w:val="000000"/>
                <w:szCs w:val="16"/>
              </w:rPr>
              <w:t>164 395</w:t>
            </w:r>
          </w:p>
        </w:tc>
        <w:tc>
          <w:tcPr>
            <w:tcW w:w="1358" w:type="dxa"/>
            <w:noWrap/>
            <w:hideMark/>
          </w:tcPr>
          <w:p w14:paraId="125BEC7B" w14:textId="0DA09CE5" w:rsidR="00DE376F" w:rsidRPr="00AB6D33" w:rsidRDefault="00DE376F" w:rsidP="00DE376F">
            <w:pPr>
              <w:pStyle w:val="Tabele"/>
              <w:jc w:val="right"/>
              <w:rPr>
                <w:color w:val="auto"/>
                <w:szCs w:val="16"/>
                <w:lang w:eastAsia="pl-PL"/>
              </w:rPr>
            </w:pPr>
            <w:r>
              <w:rPr>
                <w:rFonts w:cs="Arial"/>
                <w:color w:val="000000"/>
                <w:szCs w:val="16"/>
              </w:rPr>
              <w:t>135 669</w:t>
            </w:r>
          </w:p>
        </w:tc>
        <w:tc>
          <w:tcPr>
            <w:tcW w:w="1519" w:type="dxa"/>
            <w:noWrap/>
            <w:hideMark/>
          </w:tcPr>
          <w:p w14:paraId="6B8BE965" w14:textId="21DF8D5D" w:rsidR="00DE376F" w:rsidRPr="00AB6D33" w:rsidRDefault="00DE376F" w:rsidP="00DE376F">
            <w:pPr>
              <w:pStyle w:val="Tabele"/>
              <w:jc w:val="right"/>
              <w:rPr>
                <w:color w:val="auto"/>
                <w:szCs w:val="16"/>
                <w:lang w:eastAsia="pl-PL"/>
              </w:rPr>
            </w:pPr>
            <w:r>
              <w:rPr>
                <w:rFonts w:cs="Arial"/>
                <w:color w:val="000000"/>
                <w:szCs w:val="16"/>
              </w:rPr>
              <w:t>492 803</w:t>
            </w:r>
          </w:p>
        </w:tc>
        <w:tc>
          <w:tcPr>
            <w:tcW w:w="1496" w:type="dxa"/>
            <w:noWrap/>
            <w:hideMark/>
          </w:tcPr>
          <w:p w14:paraId="7185C92A" w14:textId="3EABC6FA" w:rsidR="00DE376F" w:rsidRPr="00AB6D33" w:rsidRDefault="00DE376F" w:rsidP="00DE376F">
            <w:pPr>
              <w:pStyle w:val="Tabele"/>
              <w:jc w:val="right"/>
              <w:rPr>
                <w:color w:val="auto"/>
                <w:szCs w:val="16"/>
                <w:lang w:eastAsia="pl-PL"/>
              </w:rPr>
            </w:pPr>
            <w:r>
              <w:rPr>
                <w:rFonts w:cs="Arial"/>
                <w:color w:val="000000"/>
                <w:szCs w:val="16"/>
              </w:rPr>
              <w:t>0</w:t>
            </w:r>
          </w:p>
        </w:tc>
        <w:tc>
          <w:tcPr>
            <w:tcW w:w="1360" w:type="dxa"/>
            <w:noWrap/>
            <w:hideMark/>
          </w:tcPr>
          <w:p w14:paraId="34834BAA" w14:textId="35176288" w:rsidR="00DE376F" w:rsidRPr="00AB6D33" w:rsidRDefault="00DE376F" w:rsidP="00DE376F">
            <w:pPr>
              <w:pStyle w:val="Tabele"/>
              <w:jc w:val="right"/>
              <w:rPr>
                <w:color w:val="auto"/>
                <w:szCs w:val="16"/>
                <w:lang w:eastAsia="pl-PL"/>
              </w:rPr>
            </w:pPr>
            <w:r>
              <w:rPr>
                <w:rFonts w:cs="Arial"/>
                <w:color w:val="000000"/>
                <w:szCs w:val="16"/>
              </w:rPr>
              <w:t>92 151</w:t>
            </w:r>
          </w:p>
        </w:tc>
        <w:tc>
          <w:tcPr>
            <w:tcW w:w="1895" w:type="dxa"/>
            <w:noWrap/>
            <w:hideMark/>
          </w:tcPr>
          <w:p w14:paraId="2BFA98E4" w14:textId="750B2A48" w:rsidR="00DE376F" w:rsidRPr="00AB6D33" w:rsidRDefault="00DE376F" w:rsidP="00DE376F">
            <w:pPr>
              <w:pStyle w:val="Tabele"/>
              <w:jc w:val="right"/>
              <w:rPr>
                <w:color w:val="auto"/>
                <w:szCs w:val="16"/>
                <w:lang w:eastAsia="pl-PL"/>
              </w:rPr>
            </w:pPr>
            <w:r>
              <w:rPr>
                <w:rFonts w:cs="Arial"/>
                <w:color w:val="000000"/>
                <w:szCs w:val="16"/>
              </w:rPr>
              <w:t>180 092</w:t>
            </w:r>
          </w:p>
        </w:tc>
      </w:tr>
    </w:tbl>
    <w:p w14:paraId="3ABB4F53" w14:textId="77777777" w:rsidR="005C4144" w:rsidRDefault="005C4144" w:rsidP="004976A7">
      <w:pPr>
        <w:pStyle w:val="Legenda"/>
      </w:pPr>
      <w:r w:rsidRPr="00071224">
        <w:t>Źródło: Opracowanie własne ARE SA, „Energy prices and taxes</w:t>
      </w:r>
      <w:r>
        <w:t>”, MAE (2023)</w:t>
      </w:r>
    </w:p>
    <w:p w14:paraId="3EDEE550" w14:textId="7FD43892" w:rsidR="005C4144" w:rsidRDefault="005C4144" w:rsidP="005C4144">
      <w:pPr>
        <w:pStyle w:val="Legenda"/>
        <w:keepNext/>
      </w:pPr>
      <w:bookmarkStart w:id="545" w:name="_Toc161916679"/>
      <w:bookmarkStart w:id="546" w:name="_Toc171587219"/>
      <w:bookmarkStart w:id="547" w:name="_Toc174711003"/>
      <w:bookmarkStart w:id="548" w:name="_Toc202967008"/>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4</w:t>
      </w:r>
      <w:r w:rsidR="00653D9A">
        <w:rPr>
          <w:noProof/>
        </w:rPr>
        <w:fldChar w:fldCharType="end"/>
      </w:r>
      <w:r w:rsidR="00F5646F">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7</w:t>
      </w:r>
      <w:r w:rsidR="00653D9A">
        <w:rPr>
          <w:noProof/>
        </w:rPr>
        <w:fldChar w:fldCharType="end"/>
      </w:r>
      <w:r>
        <w:t xml:space="preserve">. </w:t>
      </w:r>
      <w:r w:rsidRPr="00857442">
        <w:t xml:space="preserve">Krajowe ceny detaliczne </w:t>
      </w:r>
      <w:r>
        <w:t>paliw – lekki olej opałowy i olej napędowy [EUR’202</w:t>
      </w:r>
      <w:r w:rsidR="00954C5C">
        <w:t>4</w:t>
      </w:r>
      <w:r>
        <w:t>/ktoe] scenariusz WA</w:t>
      </w:r>
      <w:r w:rsidRPr="00857442">
        <w:t>M</w:t>
      </w:r>
      <w:bookmarkEnd w:id="545"/>
      <w:bookmarkEnd w:id="546"/>
      <w:bookmarkEnd w:id="547"/>
      <w:bookmarkEnd w:id="548"/>
    </w:p>
    <w:tbl>
      <w:tblPr>
        <w:tblStyle w:val="KPEiK"/>
        <w:tblW w:w="5341" w:type="pct"/>
        <w:tblLook w:val="04A0" w:firstRow="1" w:lastRow="0" w:firstColumn="1" w:lastColumn="0" w:noHBand="0" w:noVBand="1"/>
      </w:tblPr>
      <w:tblGrid>
        <w:gridCol w:w="620"/>
        <w:gridCol w:w="876"/>
        <w:gridCol w:w="748"/>
        <w:gridCol w:w="868"/>
        <w:gridCol w:w="748"/>
        <w:gridCol w:w="786"/>
        <w:gridCol w:w="858"/>
        <w:gridCol w:w="891"/>
        <w:gridCol w:w="1090"/>
        <w:gridCol w:w="1090"/>
        <w:gridCol w:w="1105"/>
      </w:tblGrid>
      <w:tr w:rsidR="009D2BCD" w:rsidRPr="009D2BCD" w14:paraId="6C613376" w14:textId="77777777" w:rsidTr="00492281">
        <w:trPr>
          <w:cnfStyle w:val="100000000000" w:firstRow="1" w:lastRow="0" w:firstColumn="0" w:lastColumn="0" w:oddVBand="0" w:evenVBand="0" w:oddHBand="0" w:evenHBand="0" w:firstRowFirstColumn="0" w:firstRowLastColumn="0" w:lastRowFirstColumn="0" w:lastRowLastColumn="0"/>
          <w:trHeight w:val="266"/>
          <w:tblHeader/>
        </w:trPr>
        <w:tc>
          <w:tcPr>
            <w:tcW w:w="620" w:type="dxa"/>
            <w:vMerge w:val="restart"/>
            <w:noWrap/>
            <w:hideMark/>
          </w:tcPr>
          <w:p w14:paraId="081016D1" w14:textId="77777777" w:rsidR="005C4144" w:rsidRPr="003B4417" w:rsidRDefault="005C4144">
            <w:pPr>
              <w:pStyle w:val="Tabele"/>
              <w:ind w:left="-193"/>
              <w:jc w:val="center"/>
              <w:rPr>
                <w:sz w:val="14"/>
                <w:szCs w:val="14"/>
              </w:rPr>
            </w:pPr>
            <w:r w:rsidRPr="003B4417">
              <w:rPr>
                <w:sz w:val="14"/>
                <w:szCs w:val="14"/>
              </w:rPr>
              <w:t>Rok</w:t>
            </w:r>
          </w:p>
        </w:tc>
        <w:tc>
          <w:tcPr>
            <w:tcW w:w="4026" w:type="dxa"/>
            <w:gridSpan w:val="5"/>
            <w:noWrap/>
            <w:hideMark/>
          </w:tcPr>
          <w:p w14:paraId="6C4800DA" w14:textId="600809AC" w:rsidR="005C4144" w:rsidRPr="003B4417" w:rsidRDefault="005C4144">
            <w:pPr>
              <w:pStyle w:val="Tabele"/>
              <w:ind w:left="-193"/>
              <w:jc w:val="center"/>
              <w:rPr>
                <w:sz w:val="14"/>
                <w:szCs w:val="14"/>
              </w:rPr>
            </w:pPr>
            <w:r w:rsidRPr="003B4417">
              <w:rPr>
                <w:sz w:val="14"/>
                <w:szCs w:val="14"/>
              </w:rPr>
              <w:t>Lekki olej opałowy [EUR'202</w:t>
            </w:r>
            <w:r w:rsidR="00826F3F">
              <w:rPr>
                <w:sz w:val="14"/>
                <w:szCs w:val="14"/>
              </w:rPr>
              <w:t>4</w:t>
            </w:r>
            <w:r w:rsidRPr="003B4417">
              <w:rPr>
                <w:sz w:val="14"/>
                <w:szCs w:val="14"/>
              </w:rPr>
              <w:t>/ktoe]</w:t>
            </w:r>
          </w:p>
        </w:tc>
        <w:tc>
          <w:tcPr>
            <w:tcW w:w="5034" w:type="dxa"/>
            <w:gridSpan w:val="5"/>
            <w:noWrap/>
            <w:hideMark/>
          </w:tcPr>
          <w:p w14:paraId="21559C7D" w14:textId="7B71604F" w:rsidR="005C4144" w:rsidRPr="003B4417" w:rsidRDefault="005C4144">
            <w:pPr>
              <w:pStyle w:val="Tabele"/>
              <w:ind w:left="-193"/>
              <w:jc w:val="center"/>
              <w:rPr>
                <w:sz w:val="14"/>
                <w:szCs w:val="14"/>
              </w:rPr>
            </w:pPr>
            <w:r w:rsidRPr="003B4417">
              <w:rPr>
                <w:sz w:val="14"/>
                <w:szCs w:val="14"/>
              </w:rPr>
              <w:t>Olej napędowy [EUR'202</w:t>
            </w:r>
            <w:r w:rsidR="00826F3F">
              <w:rPr>
                <w:sz w:val="14"/>
                <w:szCs w:val="14"/>
              </w:rPr>
              <w:t>4</w:t>
            </w:r>
            <w:r w:rsidRPr="003B4417">
              <w:rPr>
                <w:sz w:val="14"/>
                <w:szCs w:val="14"/>
              </w:rPr>
              <w:t>/ktoe]</w:t>
            </w:r>
          </w:p>
        </w:tc>
      </w:tr>
      <w:tr w:rsidR="00296508" w:rsidRPr="009D2BCD" w14:paraId="35C60FDA" w14:textId="77777777" w:rsidTr="00492281">
        <w:trPr>
          <w:cnfStyle w:val="100000000000" w:firstRow="1" w:lastRow="0" w:firstColumn="0" w:lastColumn="0" w:oddVBand="0" w:evenVBand="0" w:oddHBand="0" w:evenHBand="0" w:firstRowFirstColumn="0" w:firstRowLastColumn="0" w:lastRowFirstColumn="0" w:lastRowLastColumn="0"/>
          <w:trHeight w:val="266"/>
          <w:tblHeader/>
        </w:trPr>
        <w:tc>
          <w:tcPr>
            <w:tcW w:w="620" w:type="dxa"/>
            <w:vMerge/>
            <w:hideMark/>
          </w:tcPr>
          <w:p w14:paraId="68001DB7" w14:textId="77777777" w:rsidR="005C4144" w:rsidRPr="003B4417" w:rsidRDefault="005C4144">
            <w:pPr>
              <w:pStyle w:val="Tabele"/>
              <w:ind w:left="-193"/>
              <w:jc w:val="center"/>
              <w:rPr>
                <w:sz w:val="14"/>
                <w:szCs w:val="14"/>
              </w:rPr>
            </w:pPr>
          </w:p>
        </w:tc>
        <w:tc>
          <w:tcPr>
            <w:tcW w:w="876" w:type="dxa"/>
            <w:hideMark/>
          </w:tcPr>
          <w:p w14:paraId="28CE08BA" w14:textId="77777777" w:rsidR="00F20A2B" w:rsidRDefault="005C4144" w:rsidP="006472E7">
            <w:pPr>
              <w:pStyle w:val="Tabele"/>
              <w:ind w:left="-193"/>
              <w:jc w:val="center"/>
              <w:rPr>
                <w:b w:val="0"/>
                <w:sz w:val="14"/>
                <w:szCs w:val="14"/>
              </w:rPr>
            </w:pPr>
            <w:r w:rsidRPr="003B4417">
              <w:rPr>
                <w:sz w:val="14"/>
                <w:szCs w:val="14"/>
              </w:rPr>
              <w:t xml:space="preserve">Przemysł </w:t>
            </w:r>
          </w:p>
          <w:p w14:paraId="6780EC64" w14:textId="1A52C7F1" w:rsidR="005C4144" w:rsidRPr="003B4417" w:rsidRDefault="002A532C">
            <w:pPr>
              <w:pStyle w:val="Tabele"/>
              <w:ind w:left="-193"/>
              <w:jc w:val="center"/>
              <w:rPr>
                <w:sz w:val="14"/>
                <w:szCs w:val="14"/>
              </w:rPr>
            </w:pPr>
            <w:r>
              <w:rPr>
                <w:sz w:val="14"/>
                <w:szCs w:val="14"/>
              </w:rPr>
              <w:t xml:space="preserve">  </w:t>
            </w:r>
            <w:r w:rsidR="00F20A2B">
              <w:rPr>
                <w:sz w:val="14"/>
                <w:szCs w:val="14"/>
              </w:rPr>
              <w:t xml:space="preserve"> </w:t>
            </w:r>
            <w:r w:rsidR="005C4144" w:rsidRPr="003B4417">
              <w:rPr>
                <w:sz w:val="14"/>
                <w:szCs w:val="14"/>
              </w:rPr>
              <w:t>(Cena ogółem)</w:t>
            </w:r>
          </w:p>
        </w:tc>
        <w:tc>
          <w:tcPr>
            <w:tcW w:w="748" w:type="dxa"/>
            <w:hideMark/>
          </w:tcPr>
          <w:p w14:paraId="57F99C48" w14:textId="77777777" w:rsidR="005C4144" w:rsidRPr="003B4417" w:rsidRDefault="005C4144">
            <w:pPr>
              <w:pStyle w:val="Tabele"/>
              <w:ind w:left="-193"/>
              <w:jc w:val="center"/>
              <w:rPr>
                <w:sz w:val="14"/>
                <w:szCs w:val="14"/>
              </w:rPr>
            </w:pPr>
            <w:r w:rsidRPr="003B4417">
              <w:rPr>
                <w:sz w:val="14"/>
                <w:szCs w:val="14"/>
              </w:rPr>
              <w:t>Przemysł (Akcyza)</w:t>
            </w:r>
          </w:p>
        </w:tc>
        <w:tc>
          <w:tcPr>
            <w:tcW w:w="868" w:type="dxa"/>
            <w:hideMark/>
          </w:tcPr>
          <w:p w14:paraId="62D8890C" w14:textId="19DAEC2E" w:rsidR="003B4417" w:rsidRDefault="005C4144" w:rsidP="006472E7">
            <w:pPr>
              <w:pStyle w:val="Tabele"/>
              <w:ind w:left="-193"/>
              <w:jc w:val="center"/>
              <w:rPr>
                <w:b w:val="0"/>
                <w:sz w:val="14"/>
                <w:szCs w:val="14"/>
              </w:rPr>
            </w:pPr>
            <w:r w:rsidRPr="003B4417">
              <w:rPr>
                <w:sz w:val="14"/>
                <w:szCs w:val="14"/>
              </w:rPr>
              <w:t>Gosp.</w:t>
            </w:r>
          </w:p>
          <w:p w14:paraId="7B02087F" w14:textId="7EA3711B" w:rsidR="003B4417" w:rsidRDefault="005C4144" w:rsidP="006472E7">
            <w:pPr>
              <w:pStyle w:val="Tabele"/>
              <w:ind w:left="-193"/>
              <w:jc w:val="center"/>
              <w:rPr>
                <w:b w:val="0"/>
                <w:sz w:val="14"/>
                <w:szCs w:val="14"/>
              </w:rPr>
            </w:pPr>
            <w:r w:rsidRPr="003B4417">
              <w:rPr>
                <w:sz w:val="14"/>
                <w:szCs w:val="14"/>
              </w:rPr>
              <w:t>domowe</w:t>
            </w:r>
          </w:p>
          <w:p w14:paraId="1DED5BD6" w14:textId="3019D5F8" w:rsidR="005C4144" w:rsidRPr="003B4417" w:rsidRDefault="002A532C">
            <w:pPr>
              <w:pStyle w:val="Tabele"/>
              <w:ind w:left="-193"/>
              <w:jc w:val="center"/>
              <w:rPr>
                <w:sz w:val="14"/>
                <w:szCs w:val="14"/>
              </w:rPr>
            </w:pPr>
            <w:r>
              <w:rPr>
                <w:sz w:val="14"/>
                <w:szCs w:val="14"/>
              </w:rPr>
              <w:t xml:space="preserve">  </w:t>
            </w:r>
            <w:r w:rsidR="005C4144" w:rsidRPr="003B4417">
              <w:rPr>
                <w:sz w:val="14"/>
                <w:szCs w:val="14"/>
              </w:rPr>
              <w:t>(Cena ogółem)</w:t>
            </w:r>
          </w:p>
        </w:tc>
        <w:tc>
          <w:tcPr>
            <w:tcW w:w="748" w:type="dxa"/>
            <w:hideMark/>
          </w:tcPr>
          <w:p w14:paraId="35E8E6E0" w14:textId="77777777" w:rsidR="005C4144" w:rsidRPr="003B4417" w:rsidRDefault="005C4144">
            <w:pPr>
              <w:pStyle w:val="Tabele"/>
              <w:ind w:left="-193"/>
              <w:jc w:val="center"/>
              <w:rPr>
                <w:sz w:val="14"/>
                <w:szCs w:val="14"/>
              </w:rPr>
            </w:pPr>
            <w:r w:rsidRPr="003B4417">
              <w:rPr>
                <w:sz w:val="14"/>
                <w:szCs w:val="14"/>
              </w:rPr>
              <w:t>Gospod. domowe (Akcyza)</w:t>
            </w:r>
          </w:p>
        </w:tc>
        <w:tc>
          <w:tcPr>
            <w:tcW w:w="786" w:type="dxa"/>
            <w:hideMark/>
          </w:tcPr>
          <w:p w14:paraId="4900A665" w14:textId="77777777" w:rsidR="00F20A2B" w:rsidRDefault="005C4144" w:rsidP="006472E7">
            <w:pPr>
              <w:pStyle w:val="Tabele"/>
              <w:ind w:left="-193"/>
              <w:jc w:val="center"/>
              <w:rPr>
                <w:b w:val="0"/>
                <w:sz w:val="14"/>
                <w:szCs w:val="14"/>
              </w:rPr>
            </w:pPr>
            <w:r w:rsidRPr="003B4417">
              <w:rPr>
                <w:sz w:val="14"/>
                <w:szCs w:val="14"/>
              </w:rPr>
              <w:t xml:space="preserve">Gosp. </w:t>
            </w:r>
          </w:p>
          <w:p w14:paraId="09BBC00D" w14:textId="77777777" w:rsidR="00F20A2B" w:rsidRDefault="005C4144" w:rsidP="006472E7">
            <w:pPr>
              <w:pStyle w:val="Tabele"/>
              <w:ind w:left="-193"/>
              <w:jc w:val="center"/>
              <w:rPr>
                <w:b w:val="0"/>
                <w:sz w:val="14"/>
                <w:szCs w:val="14"/>
              </w:rPr>
            </w:pPr>
            <w:r w:rsidRPr="003B4417">
              <w:rPr>
                <w:sz w:val="14"/>
                <w:szCs w:val="14"/>
              </w:rPr>
              <w:t xml:space="preserve">domowe </w:t>
            </w:r>
          </w:p>
          <w:p w14:paraId="42EDF9D0" w14:textId="71ACB57F" w:rsidR="005C4144" w:rsidRPr="003B4417" w:rsidRDefault="005C4144">
            <w:pPr>
              <w:pStyle w:val="Tabele"/>
              <w:ind w:left="-193"/>
              <w:jc w:val="center"/>
              <w:rPr>
                <w:sz w:val="14"/>
                <w:szCs w:val="14"/>
              </w:rPr>
            </w:pPr>
            <w:r w:rsidRPr="003B4417">
              <w:rPr>
                <w:sz w:val="14"/>
                <w:szCs w:val="14"/>
              </w:rPr>
              <w:t>(VAT)</w:t>
            </w:r>
          </w:p>
        </w:tc>
        <w:tc>
          <w:tcPr>
            <w:tcW w:w="858" w:type="dxa"/>
            <w:hideMark/>
          </w:tcPr>
          <w:p w14:paraId="7CD4B0EE" w14:textId="298ADFAE" w:rsidR="00F20A2B" w:rsidRDefault="005C4144" w:rsidP="006472E7">
            <w:pPr>
              <w:pStyle w:val="Tabele"/>
              <w:ind w:left="-193"/>
              <w:jc w:val="center"/>
              <w:rPr>
                <w:b w:val="0"/>
                <w:sz w:val="14"/>
                <w:szCs w:val="14"/>
              </w:rPr>
            </w:pPr>
            <w:r w:rsidRPr="003B4417">
              <w:rPr>
                <w:sz w:val="14"/>
                <w:szCs w:val="14"/>
              </w:rPr>
              <w:t>Zastos. komercyjne</w:t>
            </w:r>
            <w:r w:rsidR="002A532C">
              <w:rPr>
                <w:sz w:val="14"/>
                <w:szCs w:val="14"/>
              </w:rPr>
              <w:t xml:space="preserve"> </w:t>
            </w:r>
            <w:r w:rsidR="00F20A2B">
              <w:rPr>
                <w:sz w:val="14"/>
                <w:szCs w:val="14"/>
              </w:rPr>
              <w:t xml:space="preserve"> </w:t>
            </w:r>
          </w:p>
          <w:p w14:paraId="3E95839E" w14:textId="65385BE8" w:rsidR="005C4144" w:rsidRPr="003B4417" w:rsidRDefault="002A532C">
            <w:pPr>
              <w:pStyle w:val="Tabele"/>
              <w:ind w:left="-193"/>
              <w:jc w:val="center"/>
              <w:rPr>
                <w:sz w:val="14"/>
                <w:szCs w:val="14"/>
              </w:rPr>
            </w:pPr>
            <w:r>
              <w:rPr>
                <w:sz w:val="14"/>
                <w:szCs w:val="14"/>
              </w:rPr>
              <w:t xml:space="preserve">  </w:t>
            </w:r>
            <w:r w:rsidR="00F20A2B">
              <w:rPr>
                <w:sz w:val="14"/>
                <w:szCs w:val="14"/>
              </w:rPr>
              <w:t xml:space="preserve"> </w:t>
            </w:r>
            <w:r w:rsidR="005C4144" w:rsidRPr="003B4417">
              <w:rPr>
                <w:sz w:val="14"/>
                <w:szCs w:val="14"/>
              </w:rPr>
              <w:t>(Cena ogółem)</w:t>
            </w:r>
          </w:p>
        </w:tc>
        <w:tc>
          <w:tcPr>
            <w:tcW w:w="891" w:type="dxa"/>
            <w:hideMark/>
          </w:tcPr>
          <w:p w14:paraId="08E72330" w14:textId="77777777" w:rsidR="005C4144" w:rsidRPr="003B4417" w:rsidRDefault="005C4144">
            <w:pPr>
              <w:pStyle w:val="Tabele"/>
              <w:ind w:left="-193"/>
              <w:jc w:val="center"/>
              <w:rPr>
                <w:sz w:val="14"/>
                <w:szCs w:val="14"/>
              </w:rPr>
            </w:pPr>
            <w:r w:rsidRPr="003B4417">
              <w:rPr>
                <w:sz w:val="14"/>
                <w:szCs w:val="14"/>
              </w:rPr>
              <w:t>Zastos. komercyjne (Akcyza)</w:t>
            </w:r>
          </w:p>
        </w:tc>
        <w:tc>
          <w:tcPr>
            <w:tcW w:w="1090" w:type="dxa"/>
            <w:hideMark/>
          </w:tcPr>
          <w:p w14:paraId="263D934C" w14:textId="77777777" w:rsidR="005C4144" w:rsidRPr="003B4417" w:rsidRDefault="005C4144">
            <w:pPr>
              <w:pStyle w:val="Tabele"/>
              <w:ind w:left="-193"/>
              <w:jc w:val="center"/>
              <w:rPr>
                <w:sz w:val="14"/>
                <w:szCs w:val="14"/>
              </w:rPr>
            </w:pPr>
            <w:r w:rsidRPr="003B4417">
              <w:rPr>
                <w:sz w:val="14"/>
                <w:szCs w:val="14"/>
              </w:rPr>
              <w:t>Zastos. niekomercyjne (Cena ogółem)</w:t>
            </w:r>
          </w:p>
        </w:tc>
        <w:tc>
          <w:tcPr>
            <w:tcW w:w="1090" w:type="dxa"/>
            <w:hideMark/>
          </w:tcPr>
          <w:p w14:paraId="2348A08E" w14:textId="77777777" w:rsidR="005C4144" w:rsidRPr="003B4417" w:rsidRDefault="005C4144">
            <w:pPr>
              <w:pStyle w:val="Tabele"/>
              <w:ind w:left="-193"/>
              <w:jc w:val="center"/>
              <w:rPr>
                <w:sz w:val="14"/>
                <w:szCs w:val="14"/>
              </w:rPr>
            </w:pPr>
            <w:r w:rsidRPr="003B4417">
              <w:rPr>
                <w:sz w:val="14"/>
                <w:szCs w:val="14"/>
              </w:rPr>
              <w:t>Zastos. niekomercyjne (Akcyza)</w:t>
            </w:r>
          </w:p>
        </w:tc>
        <w:tc>
          <w:tcPr>
            <w:tcW w:w="1105" w:type="dxa"/>
            <w:hideMark/>
          </w:tcPr>
          <w:p w14:paraId="15A37140" w14:textId="0A5F4079" w:rsidR="00F20A2B" w:rsidRDefault="005C4144" w:rsidP="006472E7">
            <w:pPr>
              <w:pStyle w:val="Tabele"/>
              <w:ind w:left="-193"/>
              <w:jc w:val="center"/>
              <w:rPr>
                <w:b w:val="0"/>
                <w:sz w:val="14"/>
                <w:szCs w:val="14"/>
              </w:rPr>
            </w:pPr>
            <w:r w:rsidRPr="003B4417">
              <w:rPr>
                <w:sz w:val="14"/>
                <w:szCs w:val="14"/>
              </w:rPr>
              <w:t>Zastos. niekomercyjne</w:t>
            </w:r>
            <w:r w:rsidR="002A532C">
              <w:rPr>
                <w:sz w:val="14"/>
                <w:szCs w:val="14"/>
              </w:rPr>
              <w:t xml:space="preserve"> </w:t>
            </w:r>
          </w:p>
          <w:p w14:paraId="3444282D" w14:textId="4447E831" w:rsidR="005C4144" w:rsidRPr="003B4417" w:rsidRDefault="005C4144">
            <w:pPr>
              <w:pStyle w:val="Tabele"/>
              <w:ind w:left="-193"/>
              <w:jc w:val="center"/>
              <w:rPr>
                <w:sz w:val="14"/>
                <w:szCs w:val="14"/>
              </w:rPr>
            </w:pPr>
            <w:r w:rsidRPr="003B4417">
              <w:rPr>
                <w:sz w:val="14"/>
                <w:szCs w:val="14"/>
              </w:rPr>
              <w:t>(VAT)</w:t>
            </w:r>
          </w:p>
        </w:tc>
      </w:tr>
      <w:tr w:rsidR="009F2292" w:rsidRPr="009D2BCD" w14:paraId="4BBED76D" w14:textId="77777777" w:rsidTr="00492281">
        <w:trPr>
          <w:trHeight w:val="266"/>
        </w:trPr>
        <w:tc>
          <w:tcPr>
            <w:tcW w:w="620" w:type="dxa"/>
            <w:shd w:val="clear" w:color="auto" w:fill="C5E0B3"/>
            <w:noWrap/>
            <w:hideMark/>
          </w:tcPr>
          <w:p w14:paraId="0A5AFF4E" w14:textId="77777777" w:rsidR="00063ACE" w:rsidRPr="009D2BCD" w:rsidRDefault="00063ACE" w:rsidP="00063ACE">
            <w:pPr>
              <w:pStyle w:val="Tabele"/>
              <w:ind w:left="-193"/>
              <w:jc w:val="center"/>
              <w:rPr>
                <w:color w:val="auto"/>
                <w:sz w:val="14"/>
                <w:szCs w:val="14"/>
              </w:rPr>
            </w:pPr>
            <w:r w:rsidRPr="009D2BCD">
              <w:rPr>
                <w:color w:val="auto"/>
                <w:sz w:val="14"/>
                <w:szCs w:val="14"/>
              </w:rPr>
              <w:t>2005</w:t>
            </w:r>
          </w:p>
        </w:tc>
        <w:tc>
          <w:tcPr>
            <w:tcW w:w="876" w:type="dxa"/>
            <w:shd w:val="clear" w:color="auto" w:fill="C5E0B3"/>
            <w:noWrap/>
            <w:hideMark/>
          </w:tcPr>
          <w:p w14:paraId="60011665" w14:textId="0B692062" w:rsidR="00063ACE" w:rsidRPr="00063ACE" w:rsidRDefault="00063ACE" w:rsidP="00063ACE">
            <w:pPr>
              <w:pStyle w:val="Tabele"/>
              <w:ind w:left="-193"/>
              <w:jc w:val="right"/>
              <w:rPr>
                <w:color w:val="auto"/>
                <w:sz w:val="14"/>
                <w:szCs w:val="14"/>
              </w:rPr>
            </w:pPr>
            <w:r w:rsidRPr="00063ACE">
              <w:rPr>
                <w:color w:val="auto"/>
                <w:sz w:val="14"/>
                <w:szCs w:val="14"/>
              </w:rPr>
              <w:t>772 048</w:t>
            </w:r>
          </w:p>
        </w:tc>
        <w:tc>
          <w:tcPr>
            <w:tcW w:w="748" w:type="dxa"/>
            <w:shd w:val="clear" w:color="auto" w:fill="C5E0B3"/>
            <w:noWrap/>
            <w:hideMark/>
          </w:tcPr>
          <w:p w14:paraId="24C51056" w14:textId="74C83FFD" w:rsidR="00063ACE" w:rsidRPr="00063ACE" w:rsidRDefault="00063ACE" w:rsidP="00063ACE">
            <w:pPr>
              <w:pStyle w:val="Tabele"/>
              <w:ind w:left="-193"/>
              <w:jc w:val="right"/>
              <w:rPr>
                <w:color w:val="auto"/>
                <w:sz w:val="14"/>
                <w:szCs w:val="14"/>
              </w:rPr>
            </w:pPr>
            <w:r w:rsidRPr="00063ACE">
              <w:rPr>
                <w:color w:val="auto"/>
                <w:sz w:val="14"/>
                <w:szCs w:val="14"/>
              </w:rPr>
              <w:t>99 664</w:t>
            </w:r>
          </w:p>
        </w:tc>
        <w:tc>
          <w:tcPr>
            <w:tcW w:w="868" w:type="dxa"/>
            <w:shd w:val="clear" w:color="auto" w:fill="C5E0B3"/>
            <w:noWrap/>
            <w:hideMark/>
          </w:tcPr>
          <w:p w14:paraId="37107F72" w14:textId="13DAA55B" w:rsidR="00063ACE" w:rsidRPr="00063ACE" w:rsidRDefault="00063ACE" w:rsidP="00063ACE">
            <w:pPr>
              <w:pStyle w:val="Tabele"/>
              <w:ind w:left="-193"/>
              <w:jc w:val="right"/>
              <w:rPr>
                <w:color w:val="auto"/>
                <w:sz w:val="14"/>
                <w:szCs w:val="14"/>
              </w:rPr>
            </w:pPr>
            <w:r w:rsidRPr="00063ACE">
              <w:rPr>
                <w:color w:val="auto"/>
                <w:sz w:val="14"/>
                <w:szCs w:val="14"/>
              </w:rPr>
              <w:t>1 003 060</w:t>
            </w:r>
          </w:p>
        </w:tc>
        <w:tc>
          <w:tcPr>
            <w:tcW w:w="748" w:type="dxa"/>
            <w:shd w:val="clear" w:color="auto" w:fill="C5E0B3"/>
            <w:noWrap/>
            <w:hideMark/>
          </w:tcPr>
          <w:p w14:paraId="0EF607D7" w14:textId="794F4BCF" w:rsidR="00063ACE" w:rsidRPr="00063ACE" w:rsidRDefault="00063ACE" w:rsidP="00063ACE">
            <w:pPr>
              <w:pStyle w:val="Tabele"/>
              <w:ind w:left="-193"/>
              <w:jc w:val="right"/>
              <w:rPr>
                <w:color w:val="auto"/>
                <w:sz w:val="14"/>
                <w:szCs w:val="14"/>
              </w:rPr>
            </w:pPr>
            <w:r w:rsidRPr="00063ACE">
              <w:rPr>
                <w:color w:val="auto"/>
                <w:sz w:val="14"/>
                <w:szCs w:val="14"/>
              </w:rPr>
              <w:t>99 664</w:t>
            </w:r>
          </w:p>
        </w:tc>
        <w:tc>
          <w:tcPr>
            <w:tcW w:w="786" w:type="dxa"/>
            <w:shd w:val="clear" w:color="auto" w:fill="C5E0B3"/>
            <w:noWrap/>
            <w:hideMark/>
          </w:tcPr>
          <w:p w14:paraId="0F978B44" w14:textId="421CCDB8" w:rsidR="00063ACE" w:rsidRPr="00063ACE" w:rsidRDefault="00063ACE" w:rsidP="00063ACE">
            <w:pPr>
              <w:pStyle w:val="Tabele"/>
              <w:ind w:left="-193"/>
              <w:jc w:val="right"/>
              <w:rPr>
                <w:color w:val="auto"/>
                <w:sz w:val="14"/>
                <w:szCs w:val="14"/>
              </w:rPr>
            </w:pPr>
            <w:r w:rsidRPr="00063ACE">
              <w:rPr>
                <w:color w:val="auto"/>
                <w:sz w:val="14"/>
                <w:szCs w:val="14"/>
              </w:rPr>
              <w:t>180 936</w:t>
            </w:r>
          </w:p>
        </w:tc>
        <w:tc>
          <w:tcPr>
            <w:tcW w:w="858" w:type="dxa"/>
            <w:shd w:val="clear" w:color="auto" w:fill="C5E0B3"/>
            <w:noWrap/>
            <w:hideMark/>
          </w:tcPr>
          <w:p w14:paraId="43C6601B" w14:textId="1710C50B" w:rsidR="00063ACE" w:rsidRPr="00063ACE" w:rsidRDefault="00063ACE" w:rsidP="00063ACE">
            <w:pPr>
              <w:pStyle w:val="Tabele"/>
              <w:ind w:left="-193"/>
              <w:jc w:val="right"/>
              <w:rPr>
                <w:color w:val="auto"/>
                <w:sz w:val="14"/>
                <w:szCs w:val="14"/>
              </w:rPr>
            </w:pPr>
            <w:r w:rsidRPr="00063ACE">
              <w:rPr>
                <w:color w:val="auto"/>
                <w:sz w:val="14"/>
                <w:szCs w:val="14"/>
              </w:rPr>
              <w:t>1 298 690</w:t>
            </w:r>
          </w:p>
        </w:tc>
        <w:tc>
          <w:tcPr>
            <w:tcW w:w="891" w:type="dxa"/>
            <w:shd w:val="clear" w:color="auto" w:fill="C5E0B3"/>
            <w:noWrap/>
            <w:hideMark/>
          </w:tcPr>
          <w:p w14:paraId="2C61D2B0" w14:textId="0AD6223C" w:rsidR="00063ACE" w:rsidRPr="00063ACE" w:rsidRDefault="00063ACE" w:rsidP="00063ACE">
            <w:pPr>
              <w:pStyle w:val="Tabele"/>
              <w:ind w:left="-193"/>
              <w:jc w:val="right"/>
              <w:rPr>
                <w:color w:val="auto"/>
                <w:sz w:val="14"/>
                <w:szCs w:val="14"/>
              </w:rPr>
            </w:pPr>
            <w:r w:rsidRPr="00063ACE">
              <w:rPr>
                <w:color w:val="auto"/>
                <w:sz w:val="14"/>
                <w:szCs w:val="14"/>
              </w:rPr>
              <w:t>511 214</w:t>
            </w:r>
          </w:p>
        </w:tc>
        <w:tc>
          <w:tcPr>
            <w:tcW w:w="1090" w:type="dxa"/>
            <w:shd w:val="clear" w:color="auto" w:fill="C5E0B3"/>
            <w:noWrap/>
            <w:hideMark/>
          </w:tcPr>
          <w:p w14:paraId="3FDC6C79" w14:textId="20C15661" w:rsidR="00063ACE" w:rsidRPr="00063ACE" w:rsidRDefault="00063ACE" w:rsidP="00063ACE">
            <w:pPr>
              <w:pStyle w:val="Tabele"/>
              <w:ind w:left="-193"/>
              <w:jc w:val="right"/>
              <w:rPr>
                <w:color w:val="auto"/>
                <w:sz w:val="14"/>
                <w:szCs w:val="14"/>
              </w:rPr>
            </w:pPr>
            <w:r w:rsidRPr="00063ACE">
              <w:rPr>
                <w:color w:val="auto"/>
                <w:sz w:val="14"/>
                <w:szCs w:val="14"/>
              </w:rPr>
              <w:t>1 584 418</w:t>
            </w:r>
          </w:p>
        </w:tc>
        <w:tc>
          <w:tcPr>
            <w:tcW w:w="1090" w:type="dxa"/>
            <w:shd w:val="clear" w:color="auto" w:fill="C5E0B3"/>
            <w:noWrap/>
            <w:hideMark/>
          </w:tcPr>
          <w:p w14:paraId="063A4330" w14:textId="223616FE" w:rsidR="00063ACE" w:rsidRPr="00063ACE" w:rsidRDefault="00063ACE" w:rsidP="00063ACE">
            <w:pPr>
              <w:pStyle w:val="Tabele"/>
              <w:ind w:left="-193"/>
              <w:jc w:val="right"/>
              <w:rPr>
                <w:color w:val="auto"/>
                <w:sz w:val="14"/>
                <w:szCs w:val="14"/>
              </w:rPr>
            </w:pPr>
            <w:r w:rsidRPr="00063ACE">
              <w:rPr>
                <w:color w:val="auto"/>
                <w:sz w:val="14"/>
                <w:szCs w:val="14"/>
              </w:rPr>
              <w:t>511 214</w:t>
            </w:r>
          </w:p>
        </w:tc>
        <w:tc>
          <w:tcPr>
            <w:tcW w:w="1105" w:type="dxa"/>
            <w:shd w:val="clear" w:color="auto" w:fill="C5E0B3"/>
            <w:noWrap/>
            <w:hideMark/>
          </w:tcPr>
          <w:p w14:paraId="04304B21" w14:textId="3D2D12CC" w:rsidR="00063ACE" w:rsidRPr="00063ACE" w:rsidRDefault="00063ACE" w:rsidP="00063ACE">
            <w:pPr>
              <w:pStyle w:val="Tabele"/>
              <w:ind w:left="-193"/>
              <w:jc w:val="right"/>
              <w:rPr>
                <w:color w:val="auto"/>
                <w:sz w:val="14"/>
                <w:szCs w:val="14"/>
              </w:rPr>
            </w:pPr>
            <w:r w:rsidRPr="00063ACE">
              <w:rPr>
                <w:color w:val="auto"/>
                <w:sz w:val="14"/>
                <w:szCs w:val="14"/>
              </w:rPr>
              <w:t>285 729</w:t>
            </w:r>
          </w:p>
        </w:tc>
      </w:tr>
      <w:tr w:rsidR="009F2292" w:rsidRPr="009D2BCD" w14:paraId="7FC57C97" w14:textId="77777777" w:rsidTr="00492281">
        <w:trPr>
          <w:trHeight w:val="266"/>
        </w:trPr>
        <w:tc>
          <w:tcPr>
            <w:tcW w:w="620" w:type="dxa"/>
            <w:shd w:val="clear" w:color="auto" w:fill="C5E0B3"/>
            <w:noWrap/>
            <w:hideMark/>
          </w:tcPr>
          <w:p w14:paraId="735B5167" w14:textId="77777777" w:rsidR="00063ACE" w:rsidRPr="009D2BCD" w:rsidRDefault="00063ACE" w:rsidP="00063ACE">
            <w:pPr>
              <w:pStyle w:val="Tabele"/>
              <w:ind w:left="-193"/>
              <w:jc w:val="center"/>
              <w:rPr>
                <w:color w:val="auto"/>
                <w:sz w:val="14"/>
                <w:szCs w:val="14"/>
              </w:rPr>
            </w:pPr>
            <w:r w:rsidRPr="009D2BCD">
              <w:rPr>
                <w:color w:val="auto"/>
                <w:sz w:val="14"/>
                <w:szCs w:val="14"/>
              </w:rPr>
              <w:t>2010</w:t>
            </w:r>
          </w:p>
        </w:tc>
        <w:tc>
          <w:tcPr>
            <w:tcW w:w="876" w:type="dxa"/>
            <w:shd w:val="clear" w:color="auto" w:fill="C5E0B3"/>
            <w:noWrap/>
            <w:hideMark/>
          </w:tcPr>
          <w:p w14:paraId="114ED056" w14:textId="28DC7912" w:rsidR="00063ACE" w:rsidRPr="00063ACE" w:rsidRDefault="00063ACE" w:rsidP="00063ACE">
            <w:pPr>
              <w:pStyle w:val="Tabele"/>
              <w:ind w:left="-193"/>
              <w:jc w:val="right"/>
              <w:rPr>
                <w:color w:val="auto"/>
                <w:sz w:val="14"/>
                <w:szCs w:val="14"/>
              </w:rPr>
            </w:pPr>
            <w:r w:rsidRPr="00063ACE">
              <w:rPr>
                <w:color w:val="auto"/>
                <w:sz w:val="14"/>
                <w:szCs w:val="14"/>
              </w:rPr>
              <w:t>919 672</w:t>
            </w:r>
          </w:p>
        </w:tc>
        <w:tc>
          <w:tcPr>
            <w:tcW w:w="748" w:type="dxa"/>
            <w:shd w:val="clear" w:color="auto" w:fill="C5E0B3"/>
            <w:noWrap/>
            <w:hideMark/>
          </w:tcPr>
          <w:p w14:paraId="179B26B9" w14:textId="5EA0476D" w:rsidR="00063ACE" w:rsidRPr="00063ACE" w:rsidRDefault="00063ACE" w:rsidP="00063ACE">
            <w:pPr>
              <w:pStyle w:val="Tabele"/>
              <w:ind w:left="-193"/>
              <w:jc w:val="right"/>
              <w:rPr>
                <w:color w:val="auto"/>
                <w:sz w:val="14"/>
                <w:szCs w:val="14"/>
              </w:rPr>
            </w:pPr>
            <w:r w:rsidRPr="00063ACE">
              <w:rPr>
                <w:color w:val="auto"/>
                <w:sz w:val="14"/>
                <w:szCs w:val="14"/>
              </w:rPr>
              <w:t>94 038</w:t>
            </w:r>
          </w:p>
        </w:tc>
        <w:tc>
          <w:tcPr>
            <w:tcW w:w="868" w:type="dxa"/>
            <w:shd w:val="clear" w:color="auto" w:fill="C5E0B3"/>
            <w:noWrap/>
            <w:hideMark/>
          </w:tcPr>
          <w:p w14:paraId="36293284" w14:textId="6801F229" w:rsidR="00063ACE" w:rsidRPr="00063ACE" w:rsidRDefault="00063ACE" w:rsidP="00063ACE">
            <w:pPr>
              <w:pStyle w:val="Tabele"/>
              <w:ind w:left="-193"/>
              <w:jc w:val="right"/>
              <w:rPr>
                <w:color w:val="auto"/>
                <w:sz w:val="14"/>
                <w:szCs w:val="14"/>
              </w:rPr>
            </w:pPr>
            <w:r w:rsidRPr="00063ACE">
              <w:rPr>
                <w:color w:val="auto"/>
                <w:sz w:val="14"/>
                <w:szCs w:val="14"/>
              </w:rPr>
              <w:t>1 170 067</w:t>
            </w:r>
          </w:p>
        </w:tc>
        <w:tc>
          <w:tcPr>
            <w:tcW w:w="748" w:type="dxa"/>
            <w:shd w:val="clear" w:color="auto" w:fill="C5E0B3"/>
            <w:noWrap/>
            <w:hideMark/>
          </w:tcPr>
          <w:p w14:paraId="6583CB57" w14:textId="6DAE9B08" w:rsidR="00063ACE" w:rsidRPr="00063ACE" w:rsidRDefault="00063ACE" w:rsidP="00063ACE">
            <w:pPr>
              <w:pStyle w:val="Tabele"/>
              <w:ind w:left="-193"/>
              <w:jc w:val="right"/>
              <w:rPr>
                <w:color w:val="auto"/>
                <w:sz w:val="14"/>
                <w:szCs w:val="14"/>
              </w:rPr>
            </w:pPr>
            <w:r w:rsidRPr="00063ACE">
              <w:rPr>
                <w:color w:val="auto"/>
                <w:sz w:val="14"/>
                <w:szCs w:val="14"/>
              </w:rPr>
              <w:t>94 038</w:t>
            </w:r>
          </w:p>
        </w:tc>
        <w:tc>
          <w:tcPr>
            <w:tcW w:w="786" w:type="dxa"/>
            <w:shd w:val="clear" w:color="auto" w:fill="C5E0B3"/>
            <w:noWrap/>
            <w:hideMark/>
          </w:tcPr>
          <w:p w14:paraId="0C1CBD33" w14:textId="326FAAAB" w:rsidR="00063ACE" w:rsidRPr="00063ACE" w:rsidRDefault="00063ACE" w:rsidP="00063ACE">
            <w:pPr>
              <w:pStyle w:val="Tabele"/>
              <w:ind w:left="-193"/>
              <w:jc w:val="right"/>
              <w:rPr>
                <w:color w:val="auto"/>
                <w:sz w:val="14"/>
                <w:szCs w:val="14"/>
              </w:rPr>
            </w:pPr>
            <w:r w:rsidRPr="00063ACE">
              <w:rPr>
                <w:color w:val="auto"/>
                <w:sz w:val="14"/>
                <w:szCs w:val="14"/>
              </w:rPr>
              <w:t>211 179</w:t>
            </w:r>
          </w:p>
        </w:tc>
        <w:tc>
          <w:tcPr>
            <w:tcW w:w="858" w:type="dxa"/>
            <w:shd w:val="clear" w:color="auto" w:fill="C5E0B3"/>
            <w:noWrap/>
            <w:hideMark/>
          </w:tcPr>
          <w:p w14:paraId="4592F2EB" w14:textId="0A81A9E2" w:rsidR="00063ACE" w:rsidRPr="00063ACE" w:rsidRDefault="00063ACE" w:rsidP="00063ACE">
            <w:pPr>
              <w:pStyle w:val="Tabele"/>
              <w:ind w:left="-193"/>
              <w:jc w:val="right"/>
              <w:rPr>
                <w:color w:val="auto"/>
                <w:sz w:val="14"/>
                <w:szCs w:val="14"/>
              </w:rPr>
            </w:pPr>
            <w:r w:rsidRPr="00063ACE">
              <w:rPr>
                <w:color w:val="auto"/>
                <w:sz w:val="14"/>
                <w:szCs w:val="14"/>
              </w:rPr>
              <w:t>1 422 866</w:t>
            </w:r>
          </w:p>
        </w:tc>
        <w:tc>
          <w:tcPr>
            <w:tcW w:w="891" w:type="dxa"/>
            <w:shd w:val="clear" w:color="auto" w:fill="C5E0B3"/>
            <w:noWrap/>
            <w:hideMark/>
          </w:tcPr>
          <w:p w14:paraId="317DED59" w14:textId="77796E2A" w:rsidR="00063ACE" w:rsidRPr="00063ACE" w:rsidRDefault="00063ACE" w:rsidP="00063ACE">
            <w:pPr>
              <w:pStyle w:val="Tabele"/>
              <w:ind w:left="-193"/>
              <w:jc w:val="right"/>
              <w:rPr>
                <w:color w:val="auto"/>
                <w:sz w:val="14"/>
                <w:szCs w:val="14"/>
              </w:rPr>
            </w:pPr>
            <w:r w:rsidRPr="00063ACE">
              <w:rPr>
                <w:color w:val="auto"/>
                <w:sz w:val="14"/>
                <w:szCs w:val="14"/>
              </w:rPr>
              <w:t>522 762</w:t>
            </w:r>
          </w:p>
        </w:tc>
        <w:tc>
          <w:tcPr>
            <w:tcW w:w="1090" w:type="dxa"/>
            <w:shd w:val="clear" w:color="auto" w:fill="C5E0B3"/>
            <w:noWrap/>
            <w:hideMark/>
          </w:tcPr>
          <w:p w14:paraId="47075037" w14:textId="559504B7" w:rsidR="00063ACE" w:rsidRPr="00063ACE" w:rsidRDefault="00063ACE" w:rsidP="00063ACE">
            <w:pPr>
              <w:pStyle w:val="Tabele"/>
              <w:ind w:left="-193"/>
              <w:jc w:val="right"/>
              <w:rPr>
                <w:color w:val="auto"/>
                <w:sz w:val="14"/>
                <w:szCs w:val="14"/>
              </w:rPr>
            </w:pPr>
            <w:r w:rsidRPr="00063ACE">
              <w:rPr>
                <w:color w:val="auto"/>
                <w:sz w:val="14"/>
                <w:szCs w:val="14"/>
              </w:rPr>
              <w:t>1 735 895</w:t>
            </w:r>
          </w:p>
        </w:tc>
        <w:tc>
          <w:tcPr>
            <w:tcW w:w="1090" w:type="dxa"/>
            <w:shd w:val="clear" w:color="auto" w:fill="C5E0B3"/>
            <w:noWrap/>
            <w:hideMark/>
          </w:tcPr>
          <w:p w14:paraId="7E9D227F" w14:textId="29375DBE" w:rsidR="00063ACE" w:rsidRPr="00063ACE" w:rsidRDefault="00063ACE" w:rsidP="00063ACE">
            <w:pPr>
              <w:pStyle w:val="Tabele"/>
              <w:ind w:left="-193"/>
              <w:jc w:val="right"/>
              <w:rPr>
                <w:color w:val="auto"/>
                <w:sz w:val="14"/>
                <w:szCs w:val="14"/>
              </w:rPr>
            </w:pPr>
            <w:r w:rsidRPr="00063ACE">
              <w:rPr>
                <w:color w:val="auto"/>
                <w:sz w:val="14"/>
                <w:szCs w:val="14"/>
              </w:rPr>
              <w:t>522 762</w:t>
            </w:r>
          </w:p>
        </w:tc>
        <w:tc>
          <w:tcPr>
            <w:tcW w:w="1105" w:type="dxa"/>
            <w:shd w:val="clear" w:color="auto" w:fill="C5E0B3"/>
            <w:noWrap/>
            <w:hideMark/>
          </w:tcPr>
          <w:p w14:paraId="6D415E24" w14:textId="36C08A06" w:rsidR="00063ACE" w:rsidRPr="00063ACE" w:rsidRDefault="00063ACE" w:rsidP="00063ACE">
            <w:pPr>
              <w:pStyle w:val="Tabele"/>
              <w:ind w:left="-193"/>
              <w:jc w:val="right"/>
              <w:rPr>
                <w:color w:val="auto"/>
                <w:sz w:val="14"/>
                <w:szCs w:val="14"/>
              </w:rPr>
            </w:pPr>
            <w:r w:rsidRPr="00063ACE">
              <w:rPr>
                <w:color w:val="auto"/>
                <w:sz w:val="14"/>
                <w:szCs w:val="14"/>
              </w:rPr>
              <w:t>313 168</w:t>
            </w:r>
          </w:p>
        </w:tc>
      </w:tr>
      <w:tr w:rsidR="009F2292" w:rsidRPr="009D2BCD" w14:paraId="2B2189B9" w14:textId="77777777" w:rsidTr="00492281">
        <w:trPr>
          <w:trHeight w:val="266"/>
        </w:trPr>
        <w:tc>
          <w:tcPr>
            <w:tcW w:w="620" w:type="dxa"/>
            <w:shd w:val="clear" w:color="auto" w:fill="C5E0B3"/>
            <w:noWrap/>
            <w:hideMark/>
          </w:tcPr>
          <w:p w14:paraId="5649B440" w14:textId="77777777" w:rsidR="00063ACE" w:rsidRPr="009D2BCD" w:rsidRDefault="00063ACE" w:rsidP="00063ACE">
            <w:pPr>
              <w:pStyle w:val="Tabele"/>
              <w:ind w:left="-193"/>
              <w:jc w:val="center"/>
              <w:rPr>
                <w:color w:val="auto"/>
                <w:sz w:val="14"/>
                <w:szCs w:val="14"/>
              </w:rPr>
            </w:pPr>
            <w:r w:rsidRPr="009D2BCD">
              <w:rPr>
                <w:color w:val="auto"/>
                <w:sz w:val="14"/>
                <w:szCs w:val="14"/>
              </w:rPr>
              <w:t>2015</w:t>
            </w:r>
          </w:p>
        </w:tc>
        <w:tc>
          <w:tcPr>
            <w:tcW w:w="876" w:type="dxa"/>
            <w:shd w:val="clear" w:color="auto" w:fill="C5E0B3"/>
            <w:noWrap/>
            <w:hideMark/>
          </w:tcPr>
          <w:p w14:paraId="6494DDC7" w14:textId="11391B66" w:rsidR="00063ACE" w:rsidRPr="00063ACE" w:rsidRDefault="00063ACE" w:rsidP="00063ACE">
            <w:pPr>
              <w:pStyle w:val="Tabele"/>
              <w:ind w:left="-193"/>
              <w:jc w:val="right"/>
              <w:rPr>
                <w:color w:val="auto"/>
                <w:sz w:val="14"/>
                <w:szCs w:val="14"/>
              </w:rPr>
            </w:pPr>
            <w:r w:rsidRPr="00063ACE">
              <w:rPr>
                <w:color w:val="auto"/>
                <w:sz w:val="14"/>
                <w:szCs w:val="14"/>
              </w:rPr>
              <w:t>844 990</w:t>
            </w:r>
          </w:p>
        </w:tc>
        <w:tc>
          <w:tcPr>
            <w:tcW w:w="748" w:type="dxa"/>
            <w:shd w:val="clear" w:color="auto" w:fill="C5E0B3"/>
            <w:noWrap/>
            <w:hideMark/>
          </w:tcPr>
          <w:p w14:paraId="3E0D1607" w14:textId="70A104C1" w:rsidR="00063ACE" w:rsidRPr="00063ACE" w:rsidRDefault="00063ACE" w:rsidP="00063ACE">
            <w:pPr>
              <w:pStyle w:val="Tabele"/>
              <w:ind w:left="-193"/>
              <w:jc w:val="right"/>
              <w:rPr>
                <w:color w:val="auto"/>
                <w:sz w:val="14"/>
                <w:szCs w:val="14"/>
              </w:rPr>
            </w:pPr>
            <w:r w:rsidRPr="00063ACE">
              <w:rPr>
                <w:color w:val="auto"/>
                <w:sz w:val="14"/>
                <w:szCs w:val="14"/>
              </w:rPr>
              <w:t>82 727</w:t>
            </w:r>
          </w:p>
        </w:tc>
        <w:tc>
          <w:tcPr>
            <w:tcW w:w="868" w:type="dxa"/>
            <w:shd w:val="clear" w:color="auto" w:fill="C5E0B3"/>
            <w:noWrap/>
            <w:hideMark/>
          </w:tcPr>
          <w:p w14:paraId="1712D241" w14:textId="7C4BBA23" w:rsidR="00063ACE" w:rsidRPr="00063ACE" w:rsidRDefault="00063ACE" w:rsidP="00063ACE">
            <w:pPr>
              <w:pStyle w:val="Tabele"/>
              <w:ind w:left="-193"/>
              <w:jc w:val="right"/>
              <w:rPr>
                <w:color w:val="auto"/>
                <w:sz w:val="14"/>
                <w:szCs w:val="14"/>
              </w:rPr>
            </w:pPr>
            <w:r w:rsidRPr="00063ACE">
              <w:rPr>
                <w:color w:val="auto"/>
                <w:sz w:val="14"/>
                <w:szCs w:val="14"/>
              </w:rPr>
              <w:t>1 082 522</w:t>
            </w:r>
          </w:p>
        </w:tc>
        <w:tc>
          <w:tcPr>
            <w:tcW w:w="748" w:type="dxa"/>
            <w:shd w:val="clear" w:color="auto" w:fill="C5E0B3"/>
            <w:noWrap/>
            <w:hideMark/>
          </w:tcPr>
          <w:p w14:paraId="4818B492" w14:textId="6CD40D38" w:rsidR="00063ACE" w:rsidRPr="00063ACE" w:rsidRDefault="00063ACE" w:rsidP="00063ACE">
            <w:pPr>
              <w:pStyle w:val="Tabele"/>
              <w:ind w:left="-193"/>
              <w:jc w:val="right"/>
              <w:rPr>
                <w:color w:val="auto"/>
                <w:sz w:val="14"/>
                <w:szCs w:val="14"/>
              </w:rPr>
            </w:pPr>
            <w:r w:rsidRPr="00063ACE">
              <w:rPr>
                <w:color w:val="auto"/>
                <w:sz w:val="14"/>
                <w:szCs w:val="14"/>
              </w:rPr>
              <w:t>82 727</w:t>
            </w:r>
          </w:p>
        </w:tc>
        <w:tc>
          <w:tcPr>
            <w:tcW w:w="786" w:type="dxa"/>
            <w:shd w:val="clear" w:color="auto" w:fill="C5E0B3"/>
            <w:noWrap/>
            <w:hideMark/>
          </w:tcPr>
          <w:p w14:paraId="76D41E47" w14:textId="4DBD331F" w:rsidR="00063ACE" w:rsidRPr="00063ACE" w:rsidRDefault="00063ACE" w:rsidP="00063ACE">
            <w:pPr>
              <w:pStyle w:val="Tabele"/>
              <w:ind w:left="-193"/>
              <w:jc w:val="right"/>
              <w:rPr>
                <w:color w:val="auto"/>
                <w:sz w:val="14"/>
                <w:szCs w:val="14"/>
              </w:rPr>
            </w:pPr>
            <w:r w:rsidRPr="00063ACE">
              <w:rPr>
                <w:color w:val="auto"/>
                <w:sz w:val="14"/>
                <w:szCs w:val="14"/>
              </w:rPr>
              <w:t>202 538</w:t>
            </w:r>
          </w:p>
        </w:tc>
        <w:tc>
          <w:tcPr>
            <w:tcW w:w="858" w:type="dxa"/>
            <w:shd w:val="clear" w:color="auto" w:fill="C5E0B3"/>
            <w:noWrap/>
            <w:hideMark/>
          </w:tcPr>
          <w:p w14:paraId="429A7072" w14:textId="4EE44055" w:rsidR="00063ACE" w:rsidRPr="00063ACE" w:rsidRDefault="00063ACE" w:rsidP="00063ACE">
            <w:pPr>
              <w:pStyle w:val="Tabele"/>
              <w:ind w:left="-193"/>
              <w:jc w:val="right"/>
              <w:rPr>
                <w:color w:val="auto"/>
                <w:sz w:val="14"/>
                <w:szCs w:val="14"/>
              </w:rPr>
            </w:pPr>
            <w:r w:rsidRPr="00063ACE">
              <w:rPr>
                <w:color w:val="auto"/>
                <w:sz w:val="14"/>
                <w:szCs w:val="14"/>
              </w:rPr>
              <w:t>1 305 661</w:t>
            </w:r>
          </w:p>
        </w:tc>
        <w:tc>
          <w:tcPr>
            <w:tcW w:w="891" w:type="dxa"/>
            <w:shd w:val="clear" w:color="auto" w:fill="C5E0B3"/>
            <w:noWrap/>
            <w:hideMark/>
          </w:tcPr>
          <w:p w14:paraId="39D8998F" w14:textId="7445217A" w:rsidR="00063ACE" w:rsidRPr="00063ACE" w:rsidRDefault="00063ACE" w:rsidP="00063ACE">
            <w:pPr>
              <w:pStyle w:val="Tabele"/>
              <w:ind w:left="-193"/>
              <w:jc w:val="right"/>
              <w:rPr>
                <w:color w:val="auto"/>
                <w:sz w:val="14"/>
                <w:szCs w:val="14"/>
              </w:rPr>
            </w:pPr>
            <w:r w:rsidRPr="00063ACE">
              <w:rPr>
                <w:color w:val="auto"/>
                <w:sz w:val="14"/>
                <w:szCs w:val="14"/>
              </w:rPr>
              <w:t>523 379</w:t>
            </w:r>
          </w:p>
        </w:tc>
        <w:tc>
          <w:tcPr>
            <w:tcW w:w="1090" w:type="dxa"/>
            <w:shd w:val="clear" w:color="auto" w:fill="C5E0B3"/>
            <w:noWrap/>
            <w:hideMark/>
          </w:tcPr>
          <w:p w14:paraId="4587DC1D" w14:textId="0D8FAEE5" w:rsidR="00063ACE" w:rsidRPr="00063ACE" w:rsidRDefault="00063ACE" w:rsidP="00063ACE">
            <w:pPr>
              <w:pStyle w:val="Tabele"/>
              <w:ind w:left="-193"/>
              <w:jc w:val="right"/>
              <w:rPr>
                <w:color w:val="auto"/>
                <w:sz w:val="14"/>
                <w:szCs w:val="14"/>
              </w:rPr>
            </w:pPr>
            <w:r w:rsidRPr="00063ACE">
              <w:rPr>
                <w:color w:val="auto"/>
                <w:sz w:val="14"/>
                <w:szCs w:val="14"/>
              </w:rPr>
              <w:t>1 605 963</w:t>
            </w:r>
          </w:p>
        </w:tc>
        <w:tc>
          <w:tcPr>
            <w:tcW w:w="1090" w:type="dxa"/>
            <w:shd w:val="clear" w:color="auto" w:fill="C5E0B3"/>
            <w:noWrap/>
            <w:hideMark/>
          </w:tcPr>
          <w:p w14:paraId="08142439" w14:textId="018E5E7F" w:rsidR="00063ACE" w:rsidRPr="00063ACE" w:rsidRDefault="00063ACE" w:rsidP="00063ACE">
            <w:pPr>
              <w:pStyle w:val="Tabele"/>
              <w:ind w:left="-193"/>
              <w:jc w:val="right"/>
              <w:rPr>
                <w:color w:val="auto"/>
                <w:sz w:val="14"/>
                <w:szCs w:val="14"/>
              </w:rPr>
            </w:pPr>
            <w:r w:rsidRPr="00063ACE">
              <w:rPr>
                <w:color w:val="auto"/>
                <w:sz w:val="14"/>
                <w:szCs w:val="14"/>
              </w:rPr>
              <w:t>523 379</w:t>
            </w:r>
          </w:p>
        </w:tc>
        <w:tc>
          <w:tcPr>
            <w:tcW w:w="1105" w:type="dxa"/>
            <w:shd w:val="clear" w:color="auto" w:fill="C5E0B3"/>
            <w:noWrap/>
            <w:hideMark/>
          </w:tcPr>
          <w:p w14:paraId="07BE5077" w14:textId="1F36D142" w:rsidR="00063ACE" w:rsidRPr="00063ACE" w:rsidRDefault="00063ACE" w:rsidP="00063ACE">
            <w:pPr>
              <w:pStyle w:val="Tabele"/>
              <w:ind w:left="-193"/>
              <w:jc w:val="right"/>
              <w:rPr>
                <w:color w:val="auto"/>
                <w:sz w:val="14"/>
                <w:szCs w:val="14"/>
              </w:rPr>
            </w:pPr>
            <w:r w:rsidRPr="00063ACE">
              <w:rPr>
                <w:color w:val="auto"/>
                <w:sz w:val="14"/>
                <w:szCs w:val="14"/>
              </w:rPr>
              <w:t>300 252</w:t>
            </w:r>
          </w:p>
        </w:tc>
      </w:tr>
      <w:tr w:rsidR="009F2292" w:rsidRPr="009D2BCD" w14:paraId="6876C467" w14:textId="77777777" w:rsidTr="00492281">
        <w:trPr>
          <w:trHeight w:val="266"/>
        </w:trPr>
        <w:tc>
          <w:tcPr>
            <w:tcW w:w="620" w:type="dxa"/>
            <w:shd w:val="clear" w:color="auto" w:fill="C5E0B3"/>
            <w:noWrap/>
            <w:hideMark/>
          </w:tcPr>
          <w:p w14:paraId="40AD434B" w14:textId="77777777" w:rsidR="00063ACE" w:rsidRPr="009D2BCD" w:rsidRDefault="00063ACE" w:rsidP="00063ACE">
            <w:pPr>
              <w:pStyle w:val="Tabele"/>
              <w:ind w:left="-193"/>
              <w:jc w:val="center"/>
              <w:rPr>
                <w:color w:val="auto"/>
                <w:sz w:val="14"/>
                <w:szCs w:val="14"/>
              </w:rPr>
            </w:pPr>
            <w:r w:rsidRPr="009D2BCD">
              <w:rPr>
                <w:color w:val="auto"/>
                <w:sz w:val="14"/>
                <w:szCs w:val="14"/>
              </w:rPr>
              <w:t>2020</w:t>
            </w:r>
          </w:p>
        </w:tc>
        <w:tc>
          <w:tcPr>
            <w:tcW w:w="876" w:type="dxa"/>
            <w:shd w:val="clear" w:color="auto" w:fill="C5E0B3"/>
            <w:noWrap/>
            <w:hideMark/>
          </w:tcPr>
          <w:p w14:paraId="51FB59DB" w14:textId="370B5CB1" w:rsidR="00063ACE" w:rsidRPr="00063ACE" w:rsidRDefault="00063ACE" w:rsidP="00063ACE">
            <w:pPr>
              <w:pStyle w:val="Tabele"/>
              <w:ind w:left="-193"/>
              <w:jc w:val="right"/>
              <w:rPr>
                <w:color w:val="auto"/>
                <w:sz w:val="14"/>
                <w:szCs w:val="14"/>
              </w:rPr>
            </w:pPr>
            <w:r w:rsidRPr="00063ACE">
              <w:rPr>
                <w:color w:val="auto"/>
                <w:sz w:val="14"/>
                <w:szCs w:val="14"/>
              </w:rPr>
              <w:t>782 846</w:t>
            </w:r>
          </w:p>
        </w:tc>
        <w:tc>
          <w:tcPr>
            <w:tcW w:w="748" w:type="dxa"/>
            <w:shd w:val="clear" w:color="auto" w:fill="C5E0B3"/>
            <w:noWrap/>
            <w:hideMark/>
          </w:tcPr>
          <w:p w14:paraId="32B2F695" w14:textId="0E07634F" w:rsidR="00063ACE" w:rsidRPr="00063ACE" w:rsidRDefault="00063ACE" w:rsidP="00063ACE">
            <w:pPr>
              <w:pStyle w:val="Tabele"/>
              <w:ind w:left="-193"/>
              <w:jc w:val="right"/>
              <w:rPr>
                <w:color w:val="auto"/>
                <w:sz w:val="14"/>
                <w:szCs w:val="14"/>
              </w:rPr>
            </w:pPr>
            <w:r w:rsidRPr="00063ACE">
              <w:rPr>
                <w:color w:val="auto"/>
                <w:sz w:val="14"/>
                <w:szCs w:val="14"/>
              </w:rPr>
              <w:t>72 816</w:t>
            </w:r>
          </w:p>
        </w:tc>
        <w:tc>
          <w:tcPr>
            <w:tcW w:w="868" w:type="dxa"/>
            <w:shd w:val="clear" w:color="auto" w:fill="C5E0B3"/>
            <w:noWrap/>
            <w:hideMark/>
          </w:tcPr>
          <w:p w14:paraId="16AA8BAC" w14:textId="6ADC3E59" w:rsidR="00063ACE" w:rsidRPr="00063ACE" w:rsidRDefault="00063ACE" w:rsidP="00063ACE">
            <w:pPr>
              <w:pStyle w:val="Tabele"/>
              <w:ind w:left="-193"/>
              <w:jc w:val="right"/>
              <w:rPr>
                <w:color w:val="auto"/>
                <w:sz w:val="14"/>
                <w:szCs w:val="14"/>
              </w:rPr>
            </w:pPr>
            <w:r w:rsidRPr="00063ACE">
              <w:rPr>
                <w:color w:val="auto"/>
                <w:sz w:val="14"/>
                <w:szCs w:val="14"/>
              </w:rPr>
              <w:t>1 188 125</w:t>
            </w:r>
          </w:p>
        </w:tc>
        <w:tc>
          <w:tcPr>
            <w:tcW w:w="748" w:type="dxa"/>
            <w:shd w:val="clear" w:color="auto" w:fill="C5E0B3"/>
            <w:noWrap/>
            <w:hideMark/>
          </w:tcPr>
          <w:p w14:paraId="27BCFB49" w14:textId="1B9CEE63" w:rsidR="00063ACE" w:rsidRPr="00063ACE" w:rsidRDefault="00063ACE" w:rsidP="00063ACE">
            <w:pPr>
              <w:pStyle w:val="Tabele"/>
              <w:ind w:left="-193"/>
              <w:jc w:val="right"/>
              <w:rPr>
                <w:color w:val="auto"/>
                <w:sz w:val="14"/>
                <w:szCs w:val="14"/>
              </w:rPr>
            </w:pPr>
            <w:r w:rsidRPr="00063ACE">
              <w:rPr>
                <w:color w:val="auto"/>
                <w:sz w:val="14"/>
                <w:szCs w:val="14"/>
              </w:rPr>
              <w:t>72 816</w:t>
            </w:r>
          </w:p>
        </w:tc>
        <w:tc>
          <w:tcPr>
            <w:tcW w:w="786" w:type="dxa"/>
            <w:shd w:val="clear" w:color="auto" w:fill="C5E0B3"/>
            <w:noWrap/>
            <w:hideMark/>
          </w:tcPr>
          <w:p w14:paraId="1800E308" w14:textId="270AFC18" w:rsidR="00063ACE" w:rsidRPr="00063ACE" w:rsidRDefault="00063ACE" w:rsidP="00063ACE">
            <w:pPr>
              <w:pStyle w:val="Tabele"/>
              <w:ind w:left="-193"/>
              <w:jc w:val="right"/>
              <w:rPr>
                <w:color w:val="auto"/>
                <w:sz w:val="14"/>
                <w:szCs w:val="14"/>
              </w:rPr>
            </w:pPr>
            <w:r w:rsidRPr="00063ACE">
              <w:rPr>
                <w:color w:val="auto"/>
                <w:sz w:val="14"/>
                <w:szCs w:val="14"/>
              </w:rPr>
              <w:t>222 107</w:t>
            </w:r>
          </w:p>
        </w:tc>
        <w:tc>
          <w:tcPr>
            <w:tcW w:w="858" w:type="dxa"/>
            <w:shd w:val="clear" w:color="auto" w:fill="C5E0B3"/>
            <w:noWrap/>
            <w:hideMark/>
          </w:tcPr>
          <w:p w14:paraId="751276A1" w14:textId="26B3DCA5" w:rsidR="00063ACE" w:rsidRPr="00063ACE" w:rsidRDefault="00063ACE" w:rsidP="00063ACE">
            <w:pPr>
              <w:pStyle w:val="Tabele"/>
              <w:ind w:left="-193"/>
              <w:jc w:val="right"/>
              <w:rPr>
                <w:color w:val="auto"/>
                <w:sz w:val="14"/>
                <w:szCs w:val="14"/>
              </w:rPr>
            </w:pPr>
            <w:r w:rsidRPr="00063ACE">
              <w:rPr>
                <w:color w:val="auto"/>
                <w:sz w:val="14"/>
                <w:szCs w:val="14"/>
              </w:rPr>
              <w:t>1 144 019</w:t>
            </w:r>
          </w:p>
        </w:tc>
        <w:tc>
          <w:tcPr>
            <w:tcW w:w="891" w:type="dxa"/>
            <w:shd w:val="clear" w:color="auto" w:fill="C5E0B3"/>
            <w:noWrap/>
            <w:hideMark/>
          </w:tcPr>
          <w:p w14:paraId="605DFEB0" w14:textId="5728284D" w:rsidR="00063ACE" w:rsidRPr="00063ACE" w:rsidRDefault="00063ACE" w:rsidP="00063ACE">
            <w:pPr>
              <w:pStyle w:val="Tabele"/>
              <w:ind w:left="-193"/>
              <w:jc w:val="right"/>
              <w:rPr>
                <w:color w:val="auto"/>
                <w:sz w:val="14"/>
                <w:szCs w:val="14"/>
              </w:rPr>
            </w:pPr>
            <w:r w:rsidRPr="00063ACE">
              <w:rPr>
                <w:color w:val="auto"/>
                <w:sz w:val="14"/>
                <w:szCs w:val="14"/>
              </w:rPr>
              <w:t>465 415</w:t>
            </w:r>
          </w:p>
        </w:tc>
        <w:tc>
          <w:tcPr>
            <w:tcW w:w="1090" w:type="dxa"/>
            <w:shd w:val="clear" w:color="auto" w:fill="C5E0B3"/>
            <w:noWrap/>
            <w:hideMark/>
          </w:tcPr>
          <w:p w14:paraId="11009E0D" w14:textId="7DA11E0B" w:rsidR="00063ACE" w:rsidRPr="00063ACE" w:rsidRDefault="00063ACE" w:rsidP="00063ACE">
            <w:pPr>
              <w:pStyle w:val="Tabele"/>
              <w:ind w:left="-193"/>
              <w:jc w:val="right"/>
              <w:rPr>
                <w:color w:val="auto"/>
                <w:sz w:val="14"/>
                <w:szCs w:val="14"/>
              </w:rPr>
            </w:pPr>
            <w:r w:rsidRPr="00063ACE">
              <w:rPr>
                <w:color w:val="auto"/>
                <w:sz w:val="14"/>
                <w:szCs w:val="14"/>
              </w:rPr>
              <w:t>1 407 143</w:t>
            </w:r>
          </w:p>
        </w:tc>
        <w:tc>
          <w:tcPr>
            <w:tcW w:w="1090" w:type="dxa"/>
            <w:shd w:val="clear" w:color="auto" w:fill="C5E0B3"/>
            <w:noWrap/>
            <w:hideMark/>
          </w:tcPr>
          <w:p w14:paraId="5FBC12B7" w14:textId="11C5F3E7" w:rsidR="00063ACE" w:rsidRPr="00063ACE" w:rsidRDefault="00063ACE" w:rsidP="00063ACE">
            <w:pPr>
              <w:pStyle w:val="Tabele"/>
              <w:ind w:left="-193"/>
              <w:jc w:val="right"/>
              <w:rPr>
                <w:color w:val="auto"/>
                <w:sz w:val="14"/>
                <w:szCs w:val="14"/>
              </w:rPr>
            </w:pPr>
            <w:r w:rsidRPr="00063ACE">
              <w:rPr>
                <w:color w:val="auto"/>
                <w:sz w:val="14"/>
                <w:szCs w:val="14"/>
              </w:rPr>
              <w:t>465 415</w:t>
            </w:r>
          </w:p>
        </w:tc>
        <w:tc>
          <w:tcPr>
            <w:tcW w:w="1105" w:type="dxa"/>
            <w:shd w:val="clear" w:color="auto" w:fill="C5E0B3"/>
            <w:noWrap/>
            <w:hideMark/>
          </w:tcPr>
          <w:p w14:paraId="4D26E6F3" w14:textId="67B7C5C4" w:rsidR="00063ACE" w:rsidRPr="00063ACE" w:rsidRDefault="00063ACE" w:rsidP="00063ACE">
            <w:pPr>
              <w:pStyle w:val="Tabele"/>
              <w:ind w:left="-193"/>
              <w:jc w:val="right"/>
              <w:rPr>
                <w:color w:val="auto"/>
                <w:sz w:val="14"/>
                <w:szCs w:val="14"/>
              </w:rPr>
            </w:pPr>
            <w:r w:rsidRPr="00063ACE">
              <w:rPr>
                <w:color w:val="auto"/>
                <w:sz w:val="14"/>
                <w:szCs w:val="14"/>
              </w:rPr>
              <w:t>430 689</w:t>
            </w:r>
          </w:p>
        </w:tc>
      </w:tr>
      <w:tr w:rsidR="00063ACE" w:rsidRPr="009D2BCD" w14:paraId="4CFEEB02" w14:textId="77777777" w:rsidTr="00492281">
        <w:trPr>
          <w:trHeight w:val="266"/>
        </w:trPr>
        <w:tc>
          <w:tcPr>
            <w:tcW w:w="620" w:type="dxa"/>
            <w:noWrap/>
            <w:hideMark/>
          </w:tcPr>
          <w:p w14:paraId="2F59923D" w14:textId="77777777" w:rsidR="00063ACE" w:rsidRPr="009D2BCD" w:rsidRDefault="00063ACE" w:rsidP="00063ACE">
            <w:pPr>
              <w:pStyle w:val="Tabele"/>
              <w:ind w:left="-193"/>
              <w:jc w:val="center"/>
              <w:rPr>
                <w:color w:val="auto"/>
                <w:sz w:val="14"/>
                <w:szCs w:val="14"/>
              </w:rPr>
            </w:pPr>
            <w:r w:rsidRPr="009D2BCD">
              <w:rPr>
                <w:color w:val="auto"/>
                <w:sz w:val="14"/>
                <w:szCs w:val="14"/>
              </w:rPr>
              <w:t>2025</w:t>
            </w:r>
          </w:p>
        </w:tc>
        <w:tc>
          <w:tcPr>
            <w:tcW w:w="876" w:type="dxa"/>
            <w:noWrap/>
            <w:hideMark/>
          </w:tcPr>
          <w:p w14:paraId="1A4BFA71" w14:textId="5786F7C9" w:rsidR="00063ACE" w:rsidRPr="00063ACE" w:rsidRDefault="00063ACE" w:rsidP="00063ACE">
            <w:pPr>
              <w:pStyle w:val="Tabele"/>
              <w:ind w:left="-193"/>
              <w:jc w:val="right"/>
              <w:rPr>
                <w:color w:val="auto"/>
                <w:sz w:val="14"/>
                <w:szCs w:val="14"/>
              </w:rPr>
            </w:pPr>
            <w:r w:rsidRPr="00063ACE">
              <w:rPr>
                <w:color w:val="auto"/>
                <w:sz w:val="14"/>
                <w:szCs w:val="14"/>
              </w:rPr>
              <w:t>1 103 234</w:t>
            </w:r>
          </w:p>
        </w:tc>
        <w:tc>
          <w:tcPr>
            <w:tcW w:w="748" w:type="dxa"/>
            <w:noWrap/>
            <w:hideMark/>
          </w:tcPr>
          <w:p w14:paraId="6FD37114" w14:textId="0006DAF2" w:rsidR="00063ACE" w:rsidRPr="00063ACE" w:rsidRDefault="00063ACE" w:rsidP="00063ACE">
            <w:pPr>
              <w:pStyle w:val="Tabele"/>
              <w:ind w:left="-193"/>
              <w:jc w:val="right"/>
              <w:rPr>
                <w:color w:val="auto"/>
                <w:sz w:val="14"/>
                <w:szCs w:val="14"/>
              </w:rPr>
            </w:pPr>
            <w:r w:rsidRPr="00063ACE">
              <w:rPr>
                <w:color w:val="auto"/>
                <w:sz w:val="14"/>
                <w:szCs w:val="14"/>
              </w:rPr>
              <w:t>72 816</w:t>
            </w:r>
          </w:p>
        </w:tc>
        <w:tc>
          <w:tcPr>
            <w:tcW w:w="868" w:type="dxa"/>
            <w:noWrap/>
            <w:hideMark/>
          </w:tcPr>
          <w:p w14:paraId="1DA5F6AB" w14:textId="78814E6A" w:rsidR="00063ACE" w:rsidRPr="00063ACE" w:rsidRDefault="00063ACE" w:rsidP="00063ACE">
            <w:pPr>
              <w:pStyle w:val="Tabele"/>
              <w:ind w:left="-193"/>
              <w:jc w:val="right"/>
              <w:rPr>
                <w:color w:val="auto"/>
                <w:sz w:val="14"/>
                <w:szCs w:val="14"/>
              </w:rPr>
            </w:pPr>
            <w:r w:rsidRPr="00063ACE">
              <w:rPr>
                <w:color w:val="auto"/>
                <w:sz w:val="14"/>
                <w:szCs w:val="14"/>
              </w:rPr>
              <w:t>1 637 726</w:t>
            </w:r>
          </w:p>
        </w:tc>
        <w:tc>
          <w:tcPr>
            <w:tcW w:w="748" w:type="dxa"/>
            <w:noWrap/>
            <w:hideMark/>
          </w:tcPr>
          <w:p w14:paraId="02F4AEE7" w14:textId="04FAE81C" w:rsidR="00063ACE" w:rsidRPr="00063ACE" w:rsidRDefault="00063ACE" w:rsidP="00063ACE">
            <w:pPr>
              <w:pStyle w:val="Tabele"/>
              <w:ind w:left="-193"/>
              <w:jc w:val="right"/>
              <w:rPr>
                <w:color w:val="auto"/>
                <w:sz w:val="14"/>
                <w:szCs w:val="14"/>
              </w:rPr>
            </w:pPr>
            <w:r w:rsidRPr="00063ACE">
              <w:rPr>
                <w:color w:val="auto"/>
                <w:sz w:val="14"/>
                <w:szCs w:val="14"/>
              </w:rPr>
              <w:t>72 816</w:t>
            </w:r>
          </w:p>
        </w:tc>
        <w:tc>
          <w:tcPr>
            <w:tcW w:w="786" w:type="dxa"/>
            <w:noWrap/>
            <w:hideMark/>
          </w:tcPr>
          <w:p w14:paraId="7FE690E8" w14:textId="2EF9BD36" w:rsidR="00063ACE" w:rsidRPr="00063ACE" w:rsidRDefault="00063ACE" w:rsidP="00063ACE">
            <w:pPr>
              <w:pStyle w:val="Tabele"/>
              <w:ind w:left="-193"/>
              <w:jc w:val="right"/>
              <w:rPr>
                <w:color w:val="auto"/>
                <w:sz w:val="14"/>
                <w:szCs w:val="14"/>
              </w:rPr>
            </w:pPr>
            <w:r w:rsidRPr="00063ACE">
              <w:rPr>
                <w:color w:val="auto"/>
                <w:sz w:val="14"/>
                <w:szCs w:val="14"/>
              </w:rPr>
              <w:t>306 154</w:t>
            </w:r>
          </w:p>
        </w:tc>
        <w:tc>
          <w:tcPr>
            <w:tcW w:w="858" w:type="dxa"/>
            <w:noWrap/>
            <w:hideMark/>
          </w:tcPr>
          <w:p w14:paraId="4B520EF1" w14:textId="53E4A340" w:rsidR="00063ACE" w:rsidRPr="00063ACE" w:rsidRDefault="00063ACE" w:rsidP="00063ACE">
            <w:pPr>
              <w:pStyle w:val="Tabele"/>
              <w:ind w:left="-193"/>
              <w:jc w:val="right"/>
              <w:rPr>
                <w:color w:val="auto"/>
                <w:sz w:val="14"/>
                <w:szCs w:val="14"/>
              </w:rPr>
            </w:pPr>
            <w:r w:rsidRPr="00063ACE">
              <w:rPr>
                <w:color w:val="auto"/>
                <w:sz w:val="14"/>
                <w:szCs w:val="14"/>
              </w:rPr>
              <w:t>1 521 629</w:t>
            </w:r>
          </w:p>
        </w:tc>
        <w:tc>
          <w:tcPr>
            <w:tcW w:w="891" w:type="dxa"/>
            <w:noWrap/>
            <w:hideMark/>
          </w:tcPr>
          <w:p w14:paraId="26140B4B" w14:textId="122845E1" w:rsidR="00063ACE" w:rsidRPr="00063ACE" w:rsidRDefault="00063ACE" w:rsidP="00063ACE">
            <w:pPr>
              <w:pStyle w:val="Tabele"/>
              <w:ind w:left="-193"/>
              <w:jc w:val="right"/>
              <w:rPr>
                <w:color w:val="auto"/>
                <w:sz w:val="14"/>
                <w:szCs w:val="14"/>
              </w:rPr>
            </w:pPr>
            <w:r w:rsidRPr="00063ACE">
              <w:rPr>
                <w:color w:val="auto"/>
                <w:sz w:val="14"/>
                <w:szCs w:val="14"/>
              </w:rPr>
              <w:t>480 238</w:t>
            </w:r>
          </w:p>
        </w:tc>
        <w:tc>
          <w:tcPr>
            <w:tcW w:w="1090" w:type="dxa"/>
            <w:noWrap/>
            <w:hideMark/>
          </w:tcPr>
          <w:p w14:paraId="6A020A9E" w14:textId="581AE7DD" w:rsidR="00063ACE" w:rsidRPr="00063ACE" w:rsidRDefault="00063ACE" w:rsidP="00063ACE">
            <w:pPr>
              <w:pStyle w:val="Tabele"/>
              <w:ind w:left="-193"/>
              <w:jc w:val="right"/>
              <w:rPr>
                <w:color w:val="auto"/>
                <w:sz w:val="14"/>
                <w:szCs w:val="14"/>
              </w:rPr>
            </w:pPr>
            <w:r w:rsidRPr="00063ACE">
              <w:rPr>
                <w:color w:val="auto"/>
                <w:sz w:val="14"/>
                <w:szCs w:val="14"/>
              </w:rPr>
              <w:t>1 871 604</w:t>
            </w:r>
          </w:p>
        </w:tc>
        <w:tc>
          <w:tcPr>
            <w:tcW w:w="1090" w:type="dxa"/>
            <w:noWrap/>
            <w:hideMark/>
          </w:tcPr>
          <w:p w14:paraId="6B5E4F73" w14:textId="336C8FB3" w:rsidR="00063ACE" w:rsidRPr="00063ACE" w:rsidRDefault="00063ACE" w:rsidP="00063ACE">
            <w:pPr>
              <w:pStyle w:val="Tabele"/>
              <w:ind w:left="-193"/>
              <w:jc w:val="right"/>
              <w:rPr>
                <w:color w:val="auto"/>
                <w:sz w:val="14"/>
                <w:szCs w:val="14"/>
              </w:rPr>
            </w:pPr>
            <w:r w:rsidRPr="00063ACE">
              <w:rPr>
                <w:color w:val="auto"/>
                <w:sz w:val="14"/>
                <w:szCs w:val="14"/>
              </w:rPr>
              <w:t>480 238</w:t>
            </w:r>
          </w:p>
        </w:tc>
        <w:tc>
          <w:tcPr>
            <w:tcW w:w="1105" w:type="dxa"/>
            <w:noWrap/>
            <w:hideMark/>
          </w:tcPr>
          <w:p w14:paraId="1C1AD8E1" w14:textId="1090549C" w:rsidR="00063ACE" w:rsidRPr="00063ACE" w:rsidRDefault="00063ACE" w:rsidP="00063ACE">
            <w:pPr>
              <w:pStyle w:val="Tabele"/>
              <w:ind w:left="-193"/>
              <w:jc w:val="right"/>
              <w:rPr>
                <w:color w:val="auto"/>
                <w:sz w:val="14"/>
                <w:szCs w:val="14"/>
              </w:rPr>
            </w:pPr>
            <w:r w:rsidRPr="00063ACE">
              <w:rPr>
                <w:color w:val="auto"/>
                <w:sz w:val="14"/>
                <w:szCs w:val="14"/>
              </w:rPr>
              <w:t>349 975</w:t>
            </w:r>
          </w:p>
        </w:tc>
      </w:tr>
      <w:tr w:rsidR="00063ACE" w:rsidRPr="009D2BCD" w14:paraId="2BA0FEBE" w14:textId="77777777" w:rsidTr="00492281">
        <w:trPr>
          <w:trHeight w:val="266"/>
        </w:trPr>
        <w:tc>
          <w:tcPr>
            <w:tcW w:w="620" w:type="dxa"/>
            <w:noWrap/>
            <w:hideMark/>
          </w:tcPr>
          <w:p w14:paraId="6A8A7933" w14:textId="77777777" w:rsidR="00063ACE" w:rsidRPr="009D2BCD" w:rsidRDefault="00063ACE" w:rsidP="00063ACE">
            <w:pPr>
              <w:pStyle w:val="Tabele"/>
              <w:ind w:left="-193"/>
              <w:jc w:val="center"/>
              <w:rPr>
                <w:color w:val="auto"/>
                <w:sz w:val="14"/>
                <w:szCs w:val="14"/>
              </w:rPr>
            </w:pPr>
            <w:r w:rsidRPr="009D2BCD">
              <w:rPr>
                <w:color w:val="auto"/>
                <w:sz w:val="14"/>
                <w:szCs w:val="14"/>
              </w:rPr>
              <w:t>2030</w:t>
            </w:r>
          </w:p>
        </w:tc>
        <w:tc>
          <w:tcPr>
            <w:tcW w:w="876" w:type="dxa"/>
            <w:noWrap/>
            <w:hideMark/>
          </w:tcPr>
          <w:p w14:paraId="5D5892AF" w14:textId="113EB028" w:rsidR="00063ACE" w:rsidRPr="00063ACE" w:rsidRDefault="00063ACE" w:rsidP="00063ACE">
            <w:pPr>
              <w:pStyle w:val="Tabele"/>
              <w:ind w:left="-193"/>
              <w:jc w:val="right"/>
              <w:rPr>
                <w:color w:val="auto"/>
                <w:sz w:val="14"/>
                <w:szCs w:val="14"/>
              </w:rPr>
            </w:pPr>
            <w:r w:rsidRPr="00063ACE">
              <w:rPr>
                <w:color w:val="auto"/>
                <w:sz w:val="14"/>
                <w:szCs w:val="14"/>
              </w:rPr>
              <w:t>896 185</w:t>
            </w:r>
          </w:p>
        </w:tc>
        <w:tc>
          <w:tcPr>
            <w:tcW w:w="748" w:type="dxa"/>
            <w:noWrap/>
            <w:hideMark/>
          </w:tcPr>
          <w:p w14:paraId="2A0038C4" w14:textId="596ED845" w:rsidR="00063ACE" w:rsidRPr="00063ACE" w:rsidRDefault="00063ACE" w:rsidP="00063ACE">
            <w:pPr>
              <w:pStyle w:val="Tabele"/>
              <w:ind w:left="-193"/>
              <w:jc w:val="right"/>
              <w:rPr>
                <w:color w:val="auto"/>
                <w:sz w:val="14"/>
                <w:szCs w:val="14"/>
              </w:rPr>
            </w:pPr>
            <w:r w:rsidRPr="00063ACE">
              <w:rPr>
                <w:color w:val="auto"/>
                <w:sz w:val="14"/>
                <w:szCs w:val="14"/>
              </w:rPr>
              <w:t>72 816</w:t>
            </w:r>
          </w:p>
        </w:tc>
        <w:tc>
          <w:tcPr>
            <w:tcW w:w="868" w:type="dxa"/>
            <w:noWrap/>
            <w:hideMark/>
          </w:tcPr>
          <w:p w14:paraId="658E6DF9" w14:textId="188C45D8" w:rsidR="00063ACE" w:rsidRPr="00063ACE" w:rsidRDefault="00063ACE" w:rsidP="00063ACE">
            <w:pPr>
              <w:pStyle w:val="Tabele"/>
              <w:ind w:left="-193"/>
              <w:jc w:val="right"/>
              <w:rPr>
                <w:color w:val="auto"/>
                <w:sz w:val="14"/>
                <w:szCs w:val="14"/>
              </w:rPr>
            </w:pPr>
            <w:r w:rsidRPr="00063ACE">
              <w:rPr>
                <w:color w:val="auto"/>
                <w:sz w:val="14"/>
                <w:szCs w:val="14"/>
              </w:rPr>
              <w:t>1 347 174</w:t>
            </w:r>
          </w:p>
        </w:tc>
        <w:tc>
          <w:tcPr>
            <w:tcW w:w="748" w:type="dxa"/>
            <w:noWrap/>
            <w:hideMark/>
          </w:tcPr>
          <w:p w14:paraId="241DE132" w14:textId="7E45ABC2" w:rsidR="00063ACE" w:rsidRPr="00063ACE" w:rsidRDefault="00063ACE" w:rsidP="00063ACE">
            <w:pPr>
              <w:pStyle w:val="Tabele"/>
              <w:ind w:left="-193"/>
              <w:jc w:val="right"/>
              <w:rPr>
                <w:color w:val="auto"/>
                <w:sz w:val="14"/>
                <w:szCs w:val="14"/>
              </w:rPr>
            </w:pPr>
            <w:r w:rsidRPr="00063ACE">
              <w:rPr>
                <w:color w:val="auto"/>
                <w:sz w:val="14"/>
                <w:szCs w:val="14"/>
              </w:rPr>
              <w:t>72 816</w:t>
            </w:r>
          </w:p>
        </w:tc>
        <w:tc>
          <w:tcPr>
            <w:tcW w:w="786" w:type="dxa"/>
            <w:noWrap/>
            <w:hideMark/>
          </w:tcPr>
          <w:p w14:paraId="2954F8AF" w14:textId="6263C2A4" w:rsidR="00063ACE" w:rsidRPr="00063ACE" w:rsidRDefault="00063ACE" w:rsidP="00063ACE">
            <w:pPr>
              <w:pStyle w:val="Tabele"/>
              <w:ind w:left="-193"/>
              <w:jc w:val="right"/>
              <w:rPr>
                <w:color w:val="auto"/>
                <w:sz w:val="14"/>
                <w:szCs w:val="14"/>
              </w:rPr>
            </w:pPr>
            <w:r w:rsidRPr="00063ACE">
              <w:rPr>
                <w:color w:val="auto"/>
                <w:sz w:val="14"/>
                <w:szCs w:val="14"/>
              </w:rPr>
              <w:t>251 839</w:t>
            </w:r>
          </w:p>
        </w:tc>
        <w:tc>
          <w:tcPr>
            <w:tcW w:w="858" w:type="dxa"/>
            <w:noWrap/>
            <w:hideMark/>
          </w:tcPr>
          <w:p w14:paraId="3BD509EC" w14:textId="2DB53FE9" w:rsidR="00063ACE" w:rsidRPr="00063ACE" w:rsidRDefault="00063ACE" w:rsidP="00063ACE">
            <w:pPr>
              <w:pStyle w:val="Tabele"/>
              <w:ind w:left="-193"/>
              <w:jc w:val="right"/>
              <w:rPr>
                <w:color w:val="auto"/>
                <w:sz w:val="14"/>
                <w:szCs w:val="14"/>
              </w:rPr>
            </w:pPr>
            <w:r w:rsidRPr="00063ACE">
              <w:rPr>
                <w:color w:val="auto"/>
                <w:sz w:val="14"/>
                <w:szCs w:val="14"/>
              </w:rPr>
              <w:t>1 431 270</w:t>
            </w:r>
          </w:p>
        </w:tc>
        <w:tc>
          <w:tcPr>
            <w:tcW w:w="891" w:type="dxa"/>
            <w:noWrap/>
            <w:hideMark/>
          </w:tcPr>
          <w:p w14:paraId="76EA6CFC" w14:textId="44D383B2" w:rsidR="00063ACE" w:rsidRPr="00063ACE" w:rsidRDefault="00063ACE" w:rsidP="00063ACE">
            <w:pPr>
              <w:pStyle w:val="Tabele"/>
              <w:ind w:left="-193"/>
              <w:jc w:val="right"/>
              <w:rPr>
                <w:color w:val="auto"/>
                <w:sz w:val="14"/>
                <w:szCs w:val="14"/>
              </w:rPr>
            </w:pPr>
            <w:r w:rsidRPr="00063ACE">
              <w:rPr>
                <w:color w:val="auto"/>
                <w:sz w:val="14"/>
                <w:szCs w:val="14"/>
              </w:rPr>
              <w:t>480 238</w:t>
            </w:r>
          </w:p>
        </w:tc>
        <w:tc>
          <w:tcPr>
            <w:tcW w:w="1090" w:type="dxa"/>
            <w:noWrap/>
            <w:hideMark/>
          </w:tcPr>
          <w:p w14:paraId="1A63FFFA" w14:textId="44B2D4D6" w:rsidR="00063ACE" w:rsidRPr="00063ACE" w:rsidRDefault="00063ACE" w:rsidP="00063ACE">
            <w:pPr>
              <w:pStyle w:val="Tabele"/>
              <w:ind w:left="-193"/>
              <w:jc w:val="right"/>
              <w:rPr>
                <w:color w:val="auto"/>
                <w:sz w:val="14"/>
                <w:szCs w:val="14"/>
              </w:rPr>
            </w:pPr>
            <w:r w:rsidRPr="00063ACE">
              <w:rPr>
                <w:color w:val="auto"/>
                <w:sz w:val="14"/>
                <w:szCs w:val="14"/>
              </w:rPr>
              <w:t>1 760 462</w:t>
            </w:r>
          </w:p>
        </w:tc>
        <w:tc>
          <w:tcPr>
            <w:tcW w:w="1090" w:type="dxa"/>
            <w:noWrap/>
            <w:hideMark/>
          </w:tcPr>
          <w:p w14:paraId="095FDA30" w14:textId="4A84CA45" w:rsidR="00063ACE" w:rsidRPr="00063ACE" w:rsidRDefault="00063ACE" w:rsidP="00063ACE">
            <w:pPr>
              <w:pStyle w:val="Tabele"/>
              <w:ind w:left="-193"/>
              <w:jc w:val="right"/>
              <w:rPr>
                <w:color w:val="auto"/>
                <w:sz w:val="14"/>
                <w:szCs w:val="14"/>
              </w:rPr>
            </w:pPr>
            <w:r w:rsidRPr="00063ACE">
              <w:rPr>
                <w:color w:val="auto"/>
                <w:sz w:val="14"/>
                <w:szCs w:val="14"/>
              </w:rPr>
              <w:t>480 238</w:t>
            </w:r>
          </w:p>
        </w:tc>
        <w:tc>
          <w:tcPr>
            <w:tcW w:w="1105" w:type="dxa"/>
            <w:noWrap/>
            <w:hideMark/>
          </w:tcPr>
          <w:p w14:paraId="3D42180A" w14:textId="2634938A" w:rsidR="00063ACE" w:rsidRPr="00063ACE" w:rsidRDefault="00063ACE" w:rsidP="00063ACE">
            <w:pPr>
              <w:pStyle w:val="Tabele"/>
              <w:ind w:left="-193"/>
              <w:jc w:val="right"/>
              <w:rPr>
                <w:color w:val="auto"/>
                <w:sz w:val="14"/>
                <w:szCs w:val="14"/>
              </w:rPr>
            </w:pPr>
            <w:r w:rsidRPr="00063ACE">
              <w:rPr>
                <w:color w:val="auto"/>
                <w:sz w:val="14"/>
                <w:szCs w:val="14"/>
              </w:rPr>
              <w:t>329 193</w:t>
            </w:r>
          </w:p>
        </w:tc>
      </w:tr>
      <w:tr w:rsidR="00063ACE" w:rsidRPr="009D2BCD" w14:paraId="09C95166" w14:textId="77777777" w:rsidTr="00492281">
        <w:trPr>
          <w:trHeight w:val="266"/>
        </w:trPr>
        <w:tc>
          <w:tcPr>
            <w:tcW w:w="620" w:type="dxa"/>
            <w:noWrap/>
            <w:hideMark/>
          </w:tcPr>
          <w:p w14:paraId="5A5980F6" w14:textId="77777777" w:rsidR="00063ACE" w:rsidRPr="009D2BCD" w:rsidRDefault="00063ACE" w:rsidP="00063ACE">
            <w:pPr>
              <w:pStyle w:val="Tabele"/>
              <w:ind w:left="-193"/>
              <w:jc w:val="center"/>
              <w:rPr>
                <w:color w:val="auto"/>
                <w:sz w:val="14"/>
                <w:szCs w:val="14"/>
              </w:rPr>
            </w:pPr>
            <w:r w:rsidRPr="009D2BCD">
              <w:rPr>
                <w:color w:val="auto"/>
                <w:sz w:val="14"/>
                <w:szCs w:val="14"/>
              </w:rPr>
              <w:t>2035</w:t>
            </w:r>
          </w:p>
        </w:tc>
        <w:tc>
          <w:tcPr>
            <w:tcW w:w="876" w:type="dxa"/>
            <w:noWrap/>
            <w:hideMark/>
          </w:tcPr>
          <w:p w14:paraId="36B53136" w14:textId="6B5B6D98" w:rsidR="00063ACE" w:rsidRPr="00063ACE" w:rsidRDefault="00063ACE" w:rsidP="00063ACE">
            <w:pPr>
              <w:pStyle w:val="Tabele"/>
              <w:ind w:left="-193"/>
              <w:jc w:val="right"/>
              <w:rPr>
                <w:color w:val="auto"/>
                <w:sz w:val="14"/>
                <w:szCs w:val="14"/>
              </w:rPr>
            </w:pPr>
            <w:r w:rsidRPr="00063ACE">
              <w:rPr>
                <w:color w:val="auto"/>
                <w:sz w:val="14"/>
                <w:szCs w:val="14"/>
              </w:rPr>
              <w:t>860 375</w:t>
            </w:r>
          </w:p>
        </w:tc>
        <w:tc>
          <w:tcPr>
            <w:tcW w:w="748" w:type="dxa"/>
            <w:noWrap/>
            <w:hideMark/>
          </w:tcPr>
          <w:p w14:paraId="602DC845" w14:textId="62DF6CE1" w:rsidR="00063ACE" w:rsidRPr="00063ACE" w:rsidRDefault="00063ACE" w:rsidP="00063ACE">
            <w:pPr>
              <w:pStyle w:val="Tabele"/>
              <w:ind w:left="-193"/>
              <w:jc w:val="right"/>
              <w:rPr>
                <w:color w:val="auto"/>
                <w:sz w:val="14"/>
                <w:szCs w:val="14"/>
              </w:rPr>
            </w:pPr>
            <w:r w:rsidRPr="00063ACE">
              <w:rPr>
                <w:color w:val="auto"/>
                <w:sz w:val="14"/>
                <w:szCs w:val="14"/>
              </w:rPr>
              <w:t>72 816</w:t>
            </w:r>
          </w:p>
        </w:tc>
        <w:tc>
          <w:tcPr>
            <w:tcW w:w="868" w:type="dxa"/>
            <w:noWrap/>
            <w:hideMark/>
          </w:tcPr>
          <w:p w14:paraId="5768EF3C" w14:textId="0D0914F3" w:rsidR="00063ACE" w:rsidRPr="00063ACE" w:rsidRDefault="00063ACE" w:rsidP="00063ACE">
            <w:pPr>
              <w:pStyle w:val="Tabele"/>
              <w:ind w:left="-193"/>
              <w:jc w:val="right"/>
              <w:rPr>
                <w:color w:val="auto"/>
                <w:sz w:val="14"/>
                <w:szCs w:val="14"/>
              </w:rPr>
            </w:pPr>
            <w:r w:rsidRPr="00063ACE">
              <w:rPr>
                <w:color w:val="auto"/>
                <w:sz w:val="14"/>
                <w:szCs w:val="14"/>
              </w:rPr>
              <w:t>1 296 921</w:t>
            </w:r>
          </w:p>
        </w:tc>
        <w:tc>
          <w:tcPr>
            <w:tcW w:w="748" w:type="dxa"/>
            <w:noWrap/>
            <w:hideMark/>
          </w:tcPr>
          <w:p w14:paraId="6FAEA769" w14:textId="22B554F8" w:rsidR="00063ACE" w:rsidRPr="00063ACE" w:rsidRDefault="00063ACE" w:rsidP="00063ACE">
            <w:pPr>
              <w:pStyle w:val="Tabele"/>
              <w:ind w:left="-193"/>
              <w:jc w:val="right"/>
              <w:rPr>
                <w:color w:val="auto"/>
                <w:sz w:val="14"/>
                <w:szCs w:val="14"/>
              </w:rPr>
            </w:pPr>
            <w:r w:rsidRPr="00063ACE">
              <w:rPr>
                <w:color w:val="auto"/>
                <w:sz w:val="14"/>
                <w:szCs w:val="14"/>
              </w:rPr>
              <w:t>72 816</w:t>
            </w:r>
          </w:p>
        </w:tc>
        <w:tc>
          <w:tcPr>
            <w:tcW w:w="786" w:type="dxa"/>
            <w:noWrap/>
            <w:hideMark/>
          </w:tcPr>
          <w:p w14:paraId="1A596673" w14:textId="2F54057F" w:rsidR="00063ACE" w:rsidRPr="00063ACE" w:rsidRDefault="00063ACE" w:rsidP="00063ACE">
            <w:pPr>
              <w:pStyle w:val="Tabele"/>
              <w:ind w:left="-193"/>
              <w:jc w:val="right"/>
              <w:rPr>
                <w:color w:val="auto"/>
                <w:sz w:val="14"/>
                <w:szCs w:val="14"/>
              </w:rPr>
            </w:pPr>
            <w:r w:rsidRPr="00063ACE">
              <w:rPr>
                <w:color w:val="auto"/>
                <w:sz w:val="14"/>
                <w:szCs w:val="14"/>
              </w:rPr>
              <w:t>242 445</w:t>
            </w:r>
          </w:p>
        </w:tc>
        <w:tc>
          <w:tcPr>
            <w:tcW w:w="858" w:type="dxa"/>
            <w:noWrap/>
            <w:hideMark/>
          </w:tcPr>
          <w:p w14:paraId="72BC14A1" w14:textId="19F8F379" w:rsidR="00063ACE" w:rsidRPr="00063ACE" w:rsidRDefault="00063ACE" w:rsidP="00063ACE">
            <w:pPr>
              <w:pStyle w:val="Tabele"/>
              <w:ind w:left="-193"/>
              <w:jc w:val="right"/>
              <w:rPr>
                <w:color w:val="auto"/>
                <w:sz w:val="14"/>
                <w:szCs w:val="14"/>
              </w:rPr>
            </w:pPr>
            <w:r w:rsidRPr="00063ACE">
              <w:rPr>
                <w:color w:val="auto"/>
                <w:sz w:val="14"/>
                <w:szCs w:val="14"/>
              </w:rPr>
              <w:t>1 396 769</w:t>
            </w:r>
          </w:p>
        </w:tc>
        <w:tc>
          <w:tcPr>
            <w:tcW w:w="891" w:type="dxa"/>
            <w:noWrap/>
            <w:hideMark/>
          </w:tcPr>
          <w:p w14:paraId="34704FF0" w14:textId="07FD26C8" w:rsidR="00063ACE" w:rsidRPr="00063ACE" w:rsidRDefault="00063ACE" w:rsidP="00063ACE">
            <w:pPr>
              <w:pStyle w:val="Tabele"/>
              <w:ind w:left="-193"/>
              <w:jc w:val="right"/>
              <w:rPr>
                <w:color w:val="auto"/>
                <w:sz w:val="14"/>
                <w:szCs w:val="14"/>
              </w:rPr>
            </w:pPr>
            <w:r w:rsidRPr="00063ACE">
              <w:rPr>
                <w:color w:val="auto"/>
                <w:sz w:val="14"/>
                <w:szCs w:val="14"/>
              </w:rPr>
              <w:t>480 238</w:t>
            </w:r>
          </w:p>
        </w:tc>
        <w:tc>
          <w:tcPr>
            <w:tcW w:w="1090" w:type="dxa"/>
            <w:noWrap/>
            <w:hideMark/>
          </w:tcPr>
          <w:p w14:paraId="53B76FF2" w14:textId="542A792D" w:rsidR="00063ACE" w:rsidRPr="00063ACE" w:rsidRDefault="00063ACE" w:rsidP="00063ACE">
            <w:pPr>
              <w:pStyle w:val="Tabele"/>
              <w:ind w:left="-193"/>
              <w:jc w:val="right"/>
              <w:rPr>
                <w:color w:val="auto"/>
                <w:sz w:val="14"/>
                <w:szCs w:val="14"/>
              </w:rPr>
            </w:pPr>
            <w:r w:rsidRPr="00063ACE">
              <w:rPr>
                <w:color w:val="auto"/>
                <w:sz w:val="14"/>
                <w:szCs w:val="14"/>
              </w:rPr>
              <w:t>1 718 025</w:t>
            </w:r>
          </w:p>
        </w:tc>
        <w:tc>
          <w:tcPr>
            <w:tcW w:w="1090" w:type="dxa"/>
            <w:noWrap/>
            <w:hideMark/>
          </w:tcPr>
          <w:p w14:paraId="3F4E74E0" w14:textId="150812BA" w:rsidR="00063ACE" w:rsidRPr="00063ACE" w:rsidRDefault="00063ACE" w:rsidP="00063ACE">
            <w:pPr>
              <w:pStyle w:val="Tabele"/>
              <w:ind w:left="-193"/>
              <w:jc w:val="right"/>
              <w:rPr>
                <w:color w:val="auto"/>
                <w:sz w:val="14"/>
                <w:szCs w:val="14"/>
              </w:rPr>
            </w:pPr>
            <w:r w:rsidRPr="00063ACE">
              <w:rPr>
                <w:color w:val="auto"/>
                <w:sz w:val="14"/>
                <w:szCs w:val="14"/>
              </w:rPr>
              <w:t>480 238</w:t>
            </w:r>
          </w:p>
        </w:tc>
        <w:tc>
          <w:tcPr>
            <w:tcW w:w="1105" w:type="dxa"/>
            <w:noWrap/>
            <w:hideMark/>
          </w:tcPr>
          <w:p w14:paraId="3FE686AC" w14:textId="68CA7E29" w:rsidR="00063ACE" w:rsidRPr="00063ACE" w:rsidRDefault="00063ACE" w:rsidP="00063ACE">
            <w:pPr>
              <w:pStyle w:val="Tabele"/>
              <w:ind w:left="-193"/>
              <w:jc w:val="right"/>
              <w:rPr>
                <w:color w:val="auto"/>
                <w:sz w:val="14"/>
                <w:szCs w:val="14"/>
              </w:rPr>
            </w:pPr>
            <w:r w:rsidRPr="00063ACE">
              <w:rPr>
                <w:color w:val="auto"/>
                <w:sz w:val="14"/>
                <w:szCs w:val="14"/>
              </w:rPr>
              <w:t>321 257</w:t>
            </w:r>
          </w:p>
        </w:tc>
      </w:tr>
      <w:tr w:rsidR="00063ACE" w:rsidRPr="009D2BCD" w14:paraId="0606CA15" w14:textId="77777777" w:rsidTr="00492281">
        <w:trPr>
          <w:trHeight w:val="266"/>
        </w:trPr>
        <w:tc>
          <w:tcPr>
            <w:tcW w:w="620" w:type="dxa"/>
            <w:noWrap/>
            <w:hideMark/>
          </w:tcPr>
          <w:p w14:paraId="0B447286" w14:textId="77777777" w:rsidR="00063ACE" w:rsidRPr="009D2BCD" w:rsidRDefault="00063ACE" w:rsidP="00063ACE">
            <w:pPr>
              <w:pStyle w:val="Tabele"/>
              <w:ind w:left="-193"/>
              <w:jc w:val="center"/>
              <w:rPr>
                <w:color w:val="auto"/>
                <w:sz w:val="14"/>
                <w:szCs w:val="14"/>
              </w:rPr>
            </w:pPr>
            <w:r w:rsidRPr="009D2BCD">
              <w:rPr>
                <w:color w:val="auto"/>
                <w:sz w:val="14"/>
                <w:szCs w:val="14"/>
              </w:rPr>
              <w:t>2040</w:t>
            </w:r>
          </w:p>
        </w:tc>
        <w:tc>
          <w:tcPr>
            <w:tcW w:w="876" w:type="dxa"/>
            <w:noWrap/>
            <w:hideMark/>
          </w:tcPr>
          <w:p w14:paraId="5BEA488F" w14:textId="10CAECA7" w:rsidR="00063ACE" w:rsidRPr="00063ACE" w:rsidRDefault="00063ACE" w:rsidP="00063ACE">
            <w:pPr>
              <w:pStyle w:val="Tabele"/>
              <w:ind w:left="-193"/>
              <w:jc w:val="right"/>
              <w:rPr>
                <w:color w:val="auto"/>
                <w:sz w:val="14"/>
                <w:szCs w:val="14"/>
              </w:rPr>
            </w:pPr>
            <w:r w:rsidRPr="00063ACE">
              <w:rPr>
                <w:color w:val="auto"/>
                <w:sz w:val="14"/>
                <w:szCs w:val="14"/>
              </w:rPr>
              <w:t>826 488</w:t>
            </w:r>
          </w:p>
        </w:tc>
        <w:tc>
          <w:tcPr>
            <w:tcW w:w="748" w:type="dxa"/>
            <w:noWrap/>
            <w:hideMark/>
          </w:tcPr>
          <w:p w14:paraId="45EE7389" w14:textId="274DDFF5" w:rsidR="00063ACE" w:rsidRPr="00063ACE" w:rsidRDefault="00063ACE" w:rsidP="00063ACE">
            <w:pPr>
              <w:pStyle w:val="Tabele"/>
              <w:ind w:left="-193"/>
              <w:jc w:val="right"/>
              <w:rPr>
                <w:color w:val="auto"/>
                <w:sz w:val="14"/>
                <w:szCs w:val="14"/>
              </w:rPr>
            </w:pPr>
            <w:r w:rsidRPr="00063ACE">
              <w:rPr>
                <w:color w:val="auto"/>
                <w:sz w:val="14"/>
                <w:szCs w:val="14"/>
              </w:rPr>
              <w:t>72 816</w:t>
            </w:r>
          </w:p>
        </w:tc>
        <w:tc>
          <w:tcPr>
            <w:tcW w:w="868" w:type="dxa"/>
            <w:noWrap/>
            <w:hideMark/>
          </w:tcPr>
          <w:p w14:paraId="67D32396" w14:textId="0F0E3CE8" w:rsidR="00063ACE" w:rsidRPr="00063ACE" w:rsidRDefault="00063ACE" w:rsidP="00063ACE">
            <w:pPr>
              <w:pStyle w:val="Tabele"/>
              <w:ind w:left="-193"/>
              <w:jc w:val="right"/>
              <w:rPr>
                <w:color w:val="auto"/>
                <w:sz w:val="14"/>
                <w:szCs w:val="14"/>
              </w:rPr>
            </w:pPr>
            <w:r w:rsidRPr="00063ACE">
              <w:rPr>
                <w:color w:val="auto"/>
                <w:sz w:val="14"/>
                <w:szCs w:val="14"/>
              </w:rPr>
              <w:t>1 249 369</w:t>
            </w:r>
          </w:p>
        </w:tc>
        <w:tc>
          <w:tcPr>
            <w:tcW w:w="748" w:type="dxa"/>
            <w:noWrap/>
            <w:hideMark/>
          </w:tcPr>
          <w:p w14:paraId="2A092303" w14:textId="219C235B" w:rsidR="00063ACE" w:rsidRPr="00063ACE" w:rsidRDefault="00063ACE" w:rsidP="00063ACE">
            <w:pPr>
              <w:pStyle w:val="Tabele"/>
              <w:ind w:left="-193"/>
              <w:jc w:val="right"/>
              <w:rPr>
                <w:color w:val="auto"/>
                <w:sz w:val="14"/>
                <w:szCs w:val="14"/>
              </w:rPr>
            </w:pPr>
            <w:r w:rsidRPr="00063ACE">
              <w:rPr>
                <w:color w:val="auto"/>
                <w:sz w:val="14"/>
                <w:szCs w:val="14"/>
              </w:rPr>
              <w:t>72 816</w:t>
            </w:r>
          </w:p>
        </w:tc>
        <w:tc>
          <w:tcPr>
            <w:tcW w:w="786" w:type="dxa"/>
            <w:noWrap/>
            <w:hideMark/>
          </w:tcPr>
          <w:p w14:paraId="3B90E4AF" w14:textId="242CC3B3" w:rsidR="00063ACE" w:rsidRPr="00063ACE" w:rsidRDefault="00063ACE" w:rsidP="00063ACE">
            <w:pPr>
              <w:pStyle w:val="Tabele"/>
              <w:ind w:left="-193"/>
              <w:jc w:val="right"/>
              <w:rPr>
                <w:color w:val="auto"/>
                <w:sz w:val="14"/>
                <w:szCs w:val="14"/>
              </w:rPr>
            </w:pPr>
            <w:r w:rsidRPr="00063ACE">
              <w:rPr>
                <w:color w:val="auto"/>
                <w:sz w:val="14"/>
                <w:szCs w:val="14"/>
              </w:rPr>
              <w:t>233 556</w:t>
            </w:r>
          </w:p>
        </w:tc>
        <w:tc>
          <w:tcPr>
            <w:tcW w:w="858" w:type="dxa"/>
            <w:noWrap/>
            <w:hideMark/>
          </w:tcPr>
          <w:p w14:paraId="40A1E910" w14:textId="4AC03E64" w:rsidR="00063ACE" w:rsidRPr="00063ACE" w:rsidRDefault="00063ACE" w:rsidP="00063ACE">
            <w:pPr>
              <w:pStyle w:val="Tabele"/>
              <w:ind w:left="-193"/>
              <w:jc w:val="right"/>
              <w:rPr>
                <w:color w:val="auto"/>
                <w:sz w:val="14"/>
                <w:szCs w:val="14"/>
              </w:rPr>
            </w:pPr>
            <w:r w:rsidRPr="00063ACE">
              <w:rPr>
                <w:color w:val="auto"/>
                <w:sz w:val="14"/>
                <w:szCs w:val="14"/>
              </w:rPr>
              <w:t>1 362 268</w:t>
            </w:r>
          </w:p>
        </w:tc>
        <w:tc>
          <w:tcPr>
            <w:tcW w:w="891" w:type="dxa"/>
            <w:noWrap/>
            <w:hideMark/>
          </w:tcPr>
          <w:p w14:paraId="1E76DC56" w14:textId="77A1E42B" w:rsidR="00063ACE" w:rsidRPr="00063ACE" w:rsidRDefault="00063ACE" w:rsidP="00063ACE">
            <w:pPr>
              <w:pStyle w:val="Tabele"/>
              <w:ind w:left="-193"/>
              <w:jc w:val="right"/>
              <w:rPr>
                <w:color w:val="auto"/>
                <w:sz w:val="14"/>
                <w:szCs w:val="14"/>
              </w:rPr>
            </w:pPr>
            <w:r w:rsidRPr="00063ACE">
              <w:rPr>
                <w:color w:val="auto"/>
                <w:sz w:val="14"/>
                <w:szCs w:val="14"/>
              </w:rPr>
              <w:t>480 238</w:t>
            </w:r>
          </w:p>
        </w:tc>
        <w:tc>
          <w:tcPr>
            <w:tcW w:w="1090" w:type="dxa"/>
            <w:noWrap/>
            <w:hideMark/>
          </w:tcPr>
          <w:p w14:paraId="50EF9AB2" w14:textId="620291F3" w:rsidR="00063ACE" w:rsidRPr="00063ACE" w:rsidRDefault="00063ACE" w:rsidP="00063ACE">
            <w:pPr>
              <w:pStyle w:val="Tabele"/>
              <w:ind w:left="-193"/>
              <w:jc w:val="right"/>
              <w:rPr>
                <w:color w:val="auto"/>
                <w:sz w:val="14"/>
                <w:szCs w:val="14"/>
              </w:rPr>
            </w:pPr>
            <w:r w:rsidRPr="00063ACE">
              <w:rPr>
                <w:color w:val="auto"/>
                <w:sz w:val="14"/>
                <w:szCs w:val="14"/>
              </w:rPr>
              <w:t>1 675 589</w:t>
            </w:r>
          </w:p>
        </w:tc>
        <w:tc>
          <w:tcPr>
            <w:tcW w:w="1090" w:type="dxa"/>
            <w:noWrap/>
            <w:hideMark/>
          </w:tcPr>
          <w:p w14:paraId="130E7522" w14:textId="5969C0A8" w:rsidR="00063ACE" w:rsidRPr="00063ACE" w:rsidRDefault="00063ACE" w:rsidP="00063ACE">
            <w:pPr>
              <w:pStyle w:val="Tabele"/>
              <w:ind w:left="-193"/>
              <w:jc w:val="right"/>
              <w:rPr>
                <w:color w:val="auto"/>
                <w:sz w:val="14"/>
                <w:szCs w:val="14"/>
              </w:rPr>
            </w:pPr>
            <w:r w:rsidRPr="00063ACE">
              <w:rPr>
                <w:color w:val="auto"/>
                <w:sz w:val="14"/>
                <w:szCs w:val="14"/>
              </w:rPr>
              <w:t>480 238</w:t>
            </w:r>
          </w:p>
        </w:tc>
        <w:tc>
          <w:tcPr>
            <w:tcW w:w="1105" w:type="dxa"/>
            <w:noWrap/>
            <w:hideMark/>
          </w:tcPr>
          <w:p w14:paraId="2CB0645B" w14:textId="25EBF0B1" w:rsidR="00063ACE" w:rsidRPr="00063ACE" w:rsidRDefault="00063ACE" w:rsidP="00063ACE">
            <w:pPr>
              <w:pStyle w:val="Tabele"/>
              <w:ind w:left="-193"/>
              <w:jc w:val="right"/>
              <w:rPr>
                <w:color w:val="auto"/>
                <w:sz w:val="14"/>
                <w:szCs w:val="14"/>
              </w:rPr>
            </w:pPr>
            <w:r w:rsidRPr="00063ACE">
              <w:rPr>
                <w:color w:val="auto"/>
                <w:sz w:val="14"/>
                <w:szCs w:val="14"/>
              </w:rPr>
              <w:t>313 322</w:t>
            </w:r>
          </w:p>
        </w:tc>
      </w:tr>
    </w:tbl>
    <w:p w14:paraId="688BF3E4" w14:textId="77777777" w:rsidR="005C4144" w:rsidRDefault="005C4144" w:rsidP="00D77E5F">
      <w:pPr>
        <w:pStyle w:val="Legenda"/>
      </w:pPr>
      <w:r w:rsidRPr="00071224">
        <w:t xml:space="preserve">Źródło: Opracowanie własne ARE SA, </w:t>
      </w:r>
      <w:r>
        <w:t>MAE</w:t>
      </w:r>
      <w:r w:rsidRPr="00071224">
        <w:t xml:space="preserve"> - „Energy prices and taxes</w:t>
      </w:r>
      <w:r>
        <w:t xml:space="preserve"> 2023”</w:t>
      </w:r>
    </w:p>
    <w:p w14:paraId="474A9771" w14:textId="4FE6349E" w:rsidR="005C4144" w:rsidRDefault="005C4144" w:rsidP="005C4144">
      <w:pPr>
        <w:pStyle w:val="Legenda"/>
        <w:keepNext/>
      </w:pPr>
      <w:bookmarkStart w:id="549" w:name="_Toc161916680"/>
      <w:bookmarkStart w:id="550" w:name="_Toc171587220"/>
      <w:bookmarkStart w:id="551" w:name="_Toc174711004"/>
      <w:bookmarkStart w:id="552" w:name="_Toc202967009"/>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4</w:t>
      </w:r>
      <w:r w:rsidR="00653D9A">
        <w:rPr>
          <w:noProof/>
        </w:rPr>
        <w:fldChar w:fldCharType="end"/>
      </w:r>
      <w:r w:rsidR="00F5646F">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8</w:t>
      </w:r>
      <w:r w:rsidR="00653D9A">
        <w:rPr>
          <w:noProof/>
        </w:rPr>
        <w:fldChar w:fldCharType="end"/>
      </w:r>
      <w:r>
        <w:t xml:space="preserve">. </w:t>
      </w:r>
      <w:r w:rsidRPr="00A026AD">
        <w:t xml:space="preserve">Krajowe ceny detaliczne </w:t>
      </w:r>
      <w:r>
        <w:t>paliw – benzyna i LPG [EUR’202</w:t>
      </w:r>
      <w:r w:rsidR="00FF5A35">
        <w:t>4</w:t>
      </w:r>
      <w:r>
        <w:t>/ktoe] scenariusz WA</w:t>
      </w:r>
      <w:r w:rsidRPr="00A026AD">
        <w:t>M</w:t>
      </w:r>
      <w:bookmarkEnd w:id="549"/>
      <w:bookmarkEnd w:id="550"/>
      <w:bookmarkEnd w:id="551"/>
      <w:bookmarkEnd w:id="552"/>
    </w:p>
    <w:tbl>
      <w:tblPr>
        <w:tblStyle w:val="KPEiK"/>
        <w:tblW w:w="5000" w:type="pct"/>
        <w:tblLook w:val="04A0" w:firstRow="1" w:lastRow="0" w:firstColumn="1" w:lastColumn="0" w:noHBand="0" w:noVBand="1"/>
      </w:tblPr>
      <w:tblGrid>
        <w:gridCol w:w="685"/>
        <w:gridCol w:w="1169"/>
        <w:gridCol w:w="1182"/>
        <w:gridCol w:w="1169"/>
        <w:gridCol w:w="1182"/>
        <w:gridCol w:w="1236"/>
        <w:gridCol w:w="1241"/>
        <w:gridCol w:w="1198"/>
      </w:tblGrid>
      <w:tr w:rsidR="009D2BCD" w:rsidRPr="009D2BCD" w14:paraId="1F8220E6" w14:textId="77777777">
        <w:trPr>
          <w:cnfStyle w:val="100000000000" w:firstRow="1" w:lastRow="0" w:firstColumn="0" w:lastColumn="0" w:oddVBand="0" w:evenVBand="0" w:oddHBand="0" w:evenHBand="0" w:firstRowFirstColumn="0" w:firstRowLastColumn="0" w:lastRowFirstColumn="0" w:lastRowLastColumn="0"/>
          <w:trHeight w:val="227"/>
          <w:tblHeader/>
        </w:trPr>
        <w:tc>
          <w:tcPr>
            <w:tcW w:w="685" w:type="dxa"/>
            <w:vMerge w:val="restart"/>
            <w:noWrap/>
            <w:hideMark/>
          </w:tcPr>
          <w:p w14:paraId="13A0AA7D" w14:textId="77777777" w:rsidR="005C4144" w:rsidRPr="00EE4BE7" w:rsidRDefault="005C4144">
            <w:pPr>
              <w:pStyle w:val="Tabele"/>
              <w:jc w:val="center"/>
              <w:rPr>
                <w:sz w:val="14"/>
                <w:szCs w:val="14"/>
                <w:lang w:eastAsia="pl-PL"/>
              </w:rPr>
            </w:pPr>
            <w:r w:rsidRPr="00D4512D">
              <w:rPr>
                <w:lang w:eastAsia="pl-PL"/>
              </w:rPr>
              <w:t>Rok</w:t>
            </w:r>
          </w:p>
        </w:tc>
        <w:tc>
          <w:tcPr>
            <w:tcW w:w="3520" w:type="dxa"/>
            <w:gridSpan w:val="3"/>
            <w:noWrap/>
            <w:hideMark/>
          </w:tcPr>
          <w:p w14:paraId="15B9281F" w14:textId="7A907B6D" w:rsidR="005C4144" w:rsidRPr="00EE4BE7" w:rsidRDefault="005C4144">
            <w:pPr>
              <w:pStyle w:val="Tabele"/>
              <w:jc w:val="center"/>
              <w:rPr>
                <w:rFonts w:cs="Calibri"/>
                <w:sz w:val="14"/>
                <w:szCs w:val="14"/>
                <w:lang w:eastAsia="pl-PL"/>
              </w:rPr>
            </w:pPr>
            <w:r w:rsidRPr="00EE4BE7">
              <w:rPr>
                <w:rFonts w:cs="Calibri"/>
                <w:sz w:val="14"/>
                <w:szCs w:val="14"/>
                <w:lang w:eastAsia="pl-PL"/>
              </w:rPr>
              <w:t>Benzyna [</w:t>
            </w:r>
            <w:r w:rsidRPr="00EE4BE7">
              <w:rPr>
                <w:sz w:val="14"/>
                <w:szCs w:val="14"/>
                <w:lang w:eastAsia="pl-PL"/>
              </w:rPr>
              <w:t>EUR'202</w:t>
            </w:r>
            <w:r w:rsidR="00343727">
              <w:rPr>
                <w:sz w:val="14"/>
                <w:szCs w:val="14"/>
                <w:lang w:eastAsia="pl-PL"/>
              </w:rPr>
              <w:t>4</w:t>
            </w:r>
            <w:r w:rsidRPr="00EE4BE7">
              <w:rPr>
                <w:sz w:val="14"/>
                <w:szCs w:val="14"/>
                <w:lang w:eastAsia="pl-PL"/>
              </w:rPr>
              <w:t>/ktoe]</w:t>
            </w:r>
          </w:p>
        </w:tc>
        <w:tc>
          <w:tcPr>
            <w:tcW w:w="4857" w:type="dxa"/>
            <w:gridSpan w:val="4"/>
            <w:noWrap/>
            <w:hideMark/>
          </w:tcPr>
          <w:p w14:paraId="7B44F544" w14:textId="6685DC33" w:rsidR="005C4144" w:rsidRPr="00EE4BE7" w:rsidRDefault="005C4144">
            <w:pPr>
              <w:pStyle w:val="Tabele"/>
              <w:jc w:val="center"/>
              <w:rPr>
                <w:rFonts w:cs="Calibri"/>
                <w:sz w:val="14"/>
                <w:szCs w:val="14"/>
                <w:lang w:eastAsia="pl-PL"/>
              </w:rPr>
            </w:pPr>
            <w:r w:rsidRPr="00EE4BE7">
              <w:rPr>
                <w:rFonts w:cs="Calibri"/>
                <w:sz w:val="14"/>
                <w:szCs w:val="14"/>
                <w:lang w:eastAsia="pl-PL"/>
              </w:rPr>
              <w:t>LPG [</w:t>
            </w:r>
            <w:r w:rsidRPr="00EE4BE7">
              <w:rPr>
                <w:sz w:val="14"/>
                <w:szCs w:val="14"/>
                <w:lang w:eastAsia="pl-PL"/>
              </w:rPr>
              <w:t>EUR'202</w:t>
            </w:r>
            <w:r w:rsidR="00343727">
              <w:rPr>
                <w:sz w:val="14"/>
                <w:szCs w:val="14"/>
                <w:lang w:eastAsia="pl-PL"/>
              </w:rPr>
              <w:t>4</w:t>
            </w:r>
            <w:r w:rsidRPr="00EE4BE7">
              <w:rPr>
                <w:sz w:val="14"/>
                <w:szCs w:val="14"/>
                <w:lang w:eastAsia="pl-PL"/>
              </w:rPr>
              <w:t>/ktoe]</w:t>
            </w:r>
          </w:p>
        </w:tc>
      </w:tr>
      <w:tr w:rsidR="009D2BCD" w:rsidRPr="009D2BCD" w14:paraId="5EBCC6BB" w14:textId="77777777">
        <w:trPr>
          <w:cnfStyle w:val="100000000000" w:firstRow="1" w:lastRow="0" w:firstColumn="0" w:lastColumn="0" w:oddVBand="0" w:evenVBand="0" w:oddHBand="0" w:evenHBand="0" w:firstRowFirstColumn="0" w:firstRowLastColumn="0" w:lastRowFirstColumn="0" w:lastRowLastColumn="0"/>
          <w:trHeight w:val="227"/>
          <w:tblHeader/>
        </w:trPr>
        <w:tc>
          <w:tcPr>
            <w:tcW w:w="685" w:type="dxa"/>
            <w:vMerge/>
            <w:hideMark/>
          </w:tcPr>
          <w:p w14:paraId="5E34E04F" w14:textId="77777777" w:rsidR="005C4144" w:rsidRPr="00EE4BE7" w:rsidRDefault="005C4144">
            <w:pPr>
              <w:pStyle w:val="Tabele"/>
              <w:jc w:val="center"/>
              <w:rPr>
                <w:sz w:val="14"/>
                <w:szCs w:val="14"/>
                <w:lang w:eastAsia="pl-PL"/>
              </w:rPr>
            </w:pPr>
          </w:p>
        </w:tc>
        <w:tc>
          <w:tcPr>
            <w:tcW w:w="1169" w:type="dxa"/>
            <w:hideMark/>
          </w:tcPr>
          <w:p w14:paraId="2D8E1EDA" w14:textId="77777777" w:rsidR="005C4144" w:rsidRPr="00EE4BE7" w:rsidRDefault="005C4144">
            <w:pPr>
              <w:pStyle w:val="Tabele"/>
              <w:jc w:val="center"/>
              <w:rPr>
                <w:sz w:val="14"/>
                <w:szCs w:val="14"/>
                <w:lang w:eastAsia="pl-PL"/>
              </w:rPr>
            </w:pPr>
            <w:r w:rsidRPr="00EE4BE7">
              <w:rPr>
                <w:sz w:val="14"/>
                <w:szCs w:val="14"/>
                <w:lang w:eastAsia="pl-PL"/>
              </w:rPr>
              <w:t>Zastos. niekomercyjne (Cena ogółem)</w:t>
            </w:r>
          </w:p>
        </w:tc>
        <w:tc>
          <w:tcPr>
            <w:tcW w:w="1182" w:type="dxa"/>
            <w:hideMark/>
          </w:tcPr>
          <w:p w14:paraId="4042571B" w14:textId="77777777" w:rsidR="005C4144" w:rsidRPr="00EE4BE7" w:rsidRDefault="005C4144">
            <w:pPr>
              <w:pStyle w:val="Tabele"/>
              <w:jc w:val="center"/>
              <w:rPr>
                <w:sz w:val="14"/>
                <w:szCs w:val="14"/>
                <w:lang w:eastAsia="pl-PL"/>
              </w:rPr>
            </w:pPr>
            <w:r w:rsidRPr="00EE4BE7">
              <w:rPr>
                <w:sz w:val="14"/>
                <w:szCs w:val="14"/>
                <w:lang w:eastAsia="pl-PL"/>
              </w:rPr>
              <w:t>Zastos. niekomercyjne (Akcyza)</w:t>
            </w:r>
          </w:p>
        </w:tc>
        <w:tc>
          <w:tcPr>
            <w:tcW w:w="1169" w:type="dxa"/>
            <w:hideMark/>
          </w:tcPr>
          <w:p w14:paraId="4C146C57" w14:textId="77777777" w:rsidR="005C4144" w:rsidRPr="00EE4BE7" w:rsidRDefault="005C4144">
            <w:pPr>
              <w:pStyle w:val="Tabele"/>
              <w:jc w:val="center"/>
              <w:rPr>
                <w:sz w:val="14"/>
                <w:szCs w:val="14"/>
                <w:lang w:eastAsia="pl-PL"/>
              </w:rPr>
            </w:pPr>
            <w:r w:rsidRPr="00EE4BE7">
              <w:rPr>
                <w:sz w:val="14"/>
                <w:szCs w:val="14"/>
                <w:lang w:eastAsia="pl-PL"/>
              </w:rPr>
              <w:t>Zastos. niekomercyjne (VAT)</w:t>
            </w:r>
          </w:p>
        </w:tc>
        <w:tc>
          <w:tcPr>
            <w:tcW w:w="1182" w:type="dxa"/>
            <w:hideMark/>
          </w:tcPr>
          <w:p w14:paraId="468D3506" w14:textId="77777777" w:rsidR="005C4144" w:rsidRPr="00EE4BE7" w:rsidRDefault="005C4144">
            <w:pPr>
              <w:pStyle w:val="Tabele"/>
              <w:jc w:val="center"/>
              <w:rPr>
                <w:sz w:val="14"/>
                <w:szCs w:val="14"/>
                <w:lang w:eastAsia="pl-PL"/>
              </w:rPr>
            </w:pPr>
            <w:r w:rsidRPr="00EE4BE7">
              <w:rPr>
                <w:sz w:val="14"/>
                <w:szCs w:val="14"/>
                <w:lang w:eastAsia="pl-PL"/>
              </w:rPr>
              <w:t>Zastos. komercyjne</w:t>
            </w:r>
          </w:p>
          <w:p w14:paraId="323804D7" w14:textId="77777777" w:rsidR="005C4144" w:rsidRPr="00EE4BE7" w:rsidRDefault="005C4144">
            <w:pPr>
              <w:pStyle w:val="Tabele"/>
              <w:jc w:val="center"/>
              <w:rPr>
                <w:sz w:val="14"/>
                <w:szCs w:val="14"/>
                <w:lang w:eastAsia="pl-PL"/>
              </w:rPr>
            </w:pPr>
            <w:r w:rsidRPr="00EE4BE7">
              <w:rPr>
                <w:sz w:val="14"/>
                <w:szCs w:val="14"/>
                <w:lang w:eastAsia="pl-PL"/>
              </w:rPr>
              <w:t>(Cena ogółem)</w:t>
            </w:r>
          </w:p>
        </w:tc>
        <w:tc>
          <w:tcPr>
            <w:tcW w:w="1236" w:type="dxa"/>
            <w:hideMark/>
          </w:tcPr>
          <w:p w14:paraId="2A1E87E5" w14:textId="77777777" w:rsidR="005C4144" w:rsidRPr="00EE4BE7" w:rsidRDefault="005C4144">
            <w:pPr>
              <w:pStyle w:val="Tabele"/>
              <w:jc w:val="center"/>
              <w:rPr>
                <w:sz w:val="14"/>
                <w:szCs w:val="14"/>
                <w:lang w:eastAsia="pl-PL"/>
              </w:rPr>
            </w:pPr>
            <w:r w:rsidRPr="00EE4BE7">
              <w:rPr>
                <w:sz w:val="14"/>
                <w:szCs w:val="14"/>
                <w:lang w:eastAsia="pl-PL"/>
              </w:rPr>
              <w:t>Zastos.</w:t>
            </w:r>
          </w:p>
          <w:p w14:paraId="70502339" w14:textId="77777777" w:rsidR="005C4144" w:rsidRPr="00EE4BE7" w:rsidRDefault="005C4144">
            <w:pPr>
              <w:pStyle w:val="Tabele"/>
              <w:jc w:val="center"/>
              <w:rPr>
                <w:sz w:val="14"/>
                <w:szCs w:val="14"/>
                <w:lang w:eastAsia="pl-PL"/>
              </w:rPr>
            </w:pPr>
            <w:r w:rsidRPr="00EE4BE7">
              <w:rPr>
                <w:sz w:val="14"/>
                <w:szCs w:val="14"/>
                <w:lang w:eastAsia="pl-PL"/>
              </w:rPr>
              <w:t>niekomercyjne (Cena ogółem)</w:t>
            </w:r>
          </w:p>
        </w:tc>
        <w:tc>
          <w:tcPr>
            <w:tcW w:w="1241" w:type="dxa"/>
            <w:hideMark/>
          </w:tcPr>
          <w:p w14:paraId="4D64230A" w14:textId="77777777" w:rsidR="005C4144" w:rsidRPr="00EE4BE7" w:rsidRDefault="005C4144">
            <w:pPr>
              <w:pStyle w:val="Tabele"/>
              <w:jc w:val="center"/>
              <w:rPr>
                <w:sz w:val="14"/>
                <w:szCs w:val="14"/>
                <w:lang w:eastAsia="pl-PL"/>
              </w:rPr>
            </w:pPr>
            <w:r w:rsidRPr="00EE4BE7">
              <w:rPr>
                <w:sz w:val="14"/>
                <w:szCs w:val="14"/>
                <w:lang w:eastAsia="pl-PL"/>
              </w:rPr>
              <w:t xml:space="preserve">Zastos. </w:t>
            </w:r>
            <w:r>
              <w:rPr>
                <w:sz w:val="14"/>
                <w:szCs w:val="14"/>
                <w:lang w:eastAsia="pl-PL"/>
              </w:rPr>
              <w:t>n</w:t>
            </w:r>
            <w:r w:rsidRPr="00EE4BE7">
              <w:rPr>
                <w:sz w:val="14"/>
                <w:szCs w:val="14"/>
                <w:lang w:eastAsia="pl-PL"/>
              </w:rPr>
              <w:t>iekomercyjne (Akcyza)</w:t>
            </w:r>
          </w:p>
        </w:tc>
        <w:tc>
          <w:tcPr>
            <w:tcW w:w="1198" w:type="dxa"/>
            <w:hideMark/>
          </w:tcPr>
          <w:p w14:paraId="15A10EAD" w14:textId="77777777" w:rsidR="005C4144" w:rsidRPr="00EE4BE7" w:rsidRDefault="005C4144">
            <w:pPr>
              <w:pStyle w:val="Tabele"/>
              <w:jc w:val="center"/>
              <w:rPr>
                <w:sz w:val="14"/>
                <w:szCs w:val="14"/>
                <w:lang w:eastAsia="pl-PL"/>
              </w:rPr>
            </w:pPr>
            <w:r w:rsidRPr="00EE4BE7">
              <w:rPr>
                <w:sz w:val="14"/>
                <w:szCs w:val="14"/>
                <w:lang w:eastAsia="pl-PL"/>
              </w:rPr>
              <w:t xml:space="preserve">Zastos. </w:t>
            </w:r>
            <w:r>
              <w:rPr>
                <w:sz w:val="14"/>
                <w:szCs w:val="14"/>
                <w:lang w:eastAsia="pl-PL"/>
              </w:rPr>
              <w:t>n</w:t>
            </w:r>
            <w:r w:rsidRPr="00EE4BE7">
              <w:rPr>
                <w:sz w:val="14"/>
                <w:szCs w:val="14"/>
                <w:lang w:eastAsia="pl-PL"/>
              </w:rPr>
              <w:t>iekomercyjne (VAT)</w:t>
            </w:r>
          </w:p>
        </w:tc>
      </w:tr>
      <w:tr w:rsidR="00343727" w:rsidRPr="009D2BCD" w14:paraId="385D8F52" w14:textId="77777777">
        <w:trPr>
          <w:trHeight w:val="227"/>
        </w:trPr>
        <w:tc>
          <w:tcPr>
            <w:tcW w:w="685" w:type="dxa"/>
            <w:shd w:val="clear" w:color="auto" w:fill="C5E0B3"/>
            <w:noWrap/>
            <w:hideMark/>
          </w:tcPr>
          <w:p w14:paraId="0B20E381" w14:textId="77777777" w:rsidR="00343727" w:rsidRPr="009D2BCD" w:rsidRDefault="00343727" w:rsidP="00343727">
            <w:pPr>
              <w:pStyle w:val="Tabele"/>
              <w:rPr>
                <w:b/>
                <w:bCs/>
                <w:color w:val="auto"/>
                <w:lang w:eastAsia="pl-PL"/>
              </w:rPr>
            </w:pPr>
            <w:r w:rsidRPr="009D2BCD">
              <w:rPr>
                <w:b/>
                <w:bCs/>
                <w:color w:val="auto"/>
                <w:lang w:eastAsia="pl-PL"/>
              </w:rPr>
              <w:t>2005</w:t>
            </w:r>
          </w:p>
        </w:tc>
        <w:tc>
          <w:tcPr>
            <w:tcW w:w="1169" w:type="dxa"/>
            <w:shd w:val="clear" w:color="auto" w:fill="C5E0B3"/>
            <w:noWrap/>
            <w:hideMark/>
          </w:tcPr>
          <w:p w14:paraId="07C4911A" w14:textId="465068AA" w:rsidR="00343727" w:rsidRPr="00343727" w:rsidRDefault="00343727" w:rsidP="00343727">
            <w:pPr>
              <w:pStyle w:val="Tabele"/>
              <w:jc w:val="right"/>
              <w:rPr>
                <w:color w:val="auto"/>
                <w:lang w:eastAsia="pl-PL"/>
              </w:rPr>
            </w:pPr>
            <w:r w:rsidRPr="00343727">
              <w:rPr>
                <w:color w:val="auto"/>
                <w:szCs w:val="16"/>
              </w:rPr>
              <w:t>1 833 823</w:t>
            </w:r>
          </w:p>
        </w:tc>
        <w:tc>
          <w:tcPr>
            <w:tcW w:w="1182" w:type="dxa"/>
            <w:shd w:val="clear" w:color="auto" w:fill="C5E0B3"/>
            <w:noWrap/>
            <w:hideMark/>
          </w:tcPr>
          <w:p w14:paraId="1AFF3FA1" w14:textId="55146E2E" w:rsidR="00343727" w:rsidRPr="00343727" w:rsidRDefault="00343727" w:rsidP="00343727">
            <w:pPr>
              <w:pStyle w:val="Tabele"/>
              <w:jc w:val="right"/>
              <w:rPr>
                <w:color w:val="auto"/>
                <w:lang w:eastAsia="pl-PL"/>
              </w:rPr>
            </w:pPr>
            <w:r w:rsidRPr="00343727">
              <w:rPr>
                <w:color w:val="auto"/>
                <w:szCs w:val="16"/>
              </w:rPr>
              <w:t>721 858</w:t>
            </w:r>
          </w:p>
        </w:tc>
        <w:tc>
          <w:tcPr>
            <w:tcW w:w="1169" w:type="dxa"/>
            <w:shd w:val="clear" w:color="auto" w:fill="C5E0B3"/>
            <w:noWrap/>
            <w:hideMark/>
          </w:tcPr>
          <w:p w14:paraId="4D38CB45" w14:textId="55C1FFE0" w:rsidR="00343727" w:rsidRPr="00343727" w:rsidRDefault="00343727" w:rsidP="00343727">
            <w:pPr>
              <w:pStyle w:val="Tabele"/>
              <w:jc w:val="right"/>
              <w:rPr>
                <w:color w:val="auto"/>
                <w:lang w:eastAsia="pl-PL"/>
              </w:rPr>
            </w:pPr>
            <w:r w:rsidRPr="00343727">
              <w:rPr>
                <w:color w:val="auto"/>
                <w:szCs w:val="16"/>
              </w:rPr>
              <w:t>330 833</w:t>
            </w:r>
          </w:p>
        </w:tc>
        <w:tc>
          <w:tcPr>
            <w:tcW w:w="1182" w:type="dxa"/>
            <w:shd w:val="clear" w:color="auto" w:fill="C5E0B3"/>
            <w:noWrap/>
            <w:hideMark/>
          </w:tcPr>
          <w:p w14:paraId="16DAF05C" w14:textId="2DA4AE73" w:rsidR="00343727" w:rsidRPr="00343727" w:rsidRDefault="00343727" w:rsidP="00343727">
            <w:pPr>
              <w:pStyle w:val="Tabele"/>
              <w:jc w:val="right"/>
              <w:rPr>
                <w:color w:val="auto"/>
                <w:lang w:eastAsia="pl-PL"/>
              </w:rPr>
            </w:pPr>
            <w:r w:rsidRPr="00343727">
              <w:rPr>
                <w:color w:val="auto"/>
                <w:szCs w:val="16"/>
              </w:rPr>
              <w:t>887 236</w:t>
            </w:r>
          </w:p>
        </w:tc>
        <w:tc>
          <w:tcPr>
            <w:tcW w:w="1236" w:type="dxa"/>
            <w:shd w:val="clear" w:color="auto" w:fill="C5E0B3"/>
            <w:noWrap/>
            <w:hideMark/>
          </w:tcPr>
          <w:p w14:paraId="6843A82D" w14:textId="24E22CE3" w:rsidR="00343727" w:rsidRPr="00343727" w:rsidRDefault="00343727" w:rsidP="00343727">
            <w:pPr>
              <w:pStyle w:val="Tabele"/>
              <w:jc w:val="right"/>
              <w:rPr>
                <w:color w:val="auto"/>
                <w:lang w:eastAsia="pl-PL"/>
              </w:rPr>
            </w:pPr>
            <w:r w:rsidRPr="00343727">
              <w:rPr>
                <w:color w:val="auto"/>
                <w:szCs w:val="16"/>
              </w:rPr>
              <w:t>1 082 984</w:t>
            </w:r>
          </w:p>
        </w:tc>
        <w:tc>
          <w:tcPr>
            <w:tcW w:w="1241" w:type="dxa"/>
            <w:shd w:val="clear" w:color="auto" w:fill="C5E0B3"/>
            <w:noWrap/>
            <w:hideMark/>
          </w:tcPr>
          <w:p w14:paraId="0697AD61" w14:textId="336BBC49" w:rsidR="00343727" w:rsidRPr="00343727" w:rsidRDefault="00343727" w:rsidP="00343727">
            <w:pPr>
              <w:pStyle w:val="Tabele"/>
              <w:jc w:val="right"/>
              <w:rPr>
                <w:color w:val="auto"/>
                <w:lang w:eastAsia="pl-PL"/>
              </w:rPr>
            </w:pPr>
            <w:r w:rsidRPr="00343727">
              <w:rPr>
                <w:color w:val="auto"/>
                <w:szCs w:val="16"/>
              </w:rPr>
              <w:t>260 032</w:t>
            </w:r>
          </w:p>
        </w:tc>
        <w:tc>
          <w:tcPr>
            <w:tcW w:w="1198" w:type="dxa"/>
            <w:shd w:val="clear" w:color="auto" w:fill="C5E0B3"/>
            <w:noWrap/>
            <w:hideMark/>
          </w:tcPr>
          <w:p w14:paraId="03E30C5A" w14:textId="27546226" w:rsidR="00343727" w:rsidRPr="00343727" w:rsidRDefault="00343727" w:rsidP="00343727">
            <w:pPr>
              <w:pStyle w:val="Tabele"/>
              <w:jc w:val="right"/>
              <w:rPr>
                <w:color w:val="auto"/>
                <w:lang w:eastAsia="pl-PL"/>
              </w:rPr>
            </w:pPr>
            <w:r w:rsidRPr="00343727">
              <w:rPr>
                <w:color w:val="auto"/>
                <w:szCs w:val="16"/>
              </w:rPr>
              <w:t>195 169</w:t>
            </w:r>
          </w:p>
        </w:tc>
      </w:tr>
      <w:tr w:rsidR="00343727" w:rsidRPr="009D2BCD" w14:paraId="0F0E3249" w14:textId="77777777">
        <w:trPr>
          <w:trHeight w:val="227"/>
        </w:trPr>
        <w:tc>
          <w:tcPr>
            <w:tcW w:w="685" w:type="dxa"/>
            <w:shd w:val="clear" w:color="auto" w:fill="C5E0B3"/>
            <w:noWrap/>
            <w:hideMark/>
          </w:tcPr>
          <w:p w14:paraId="78500039" w14:textId="77777777" w:rsidR="00343727" w:rsidRPr="009D2BCD" w:rsidRDefault="00343727" w:rsidP="00343727">
            <w:pPr>
              <w:pStyle w:val="Tabele"/>
              <w:rPr>
                <w:b/>
                <w:bCs/>
                <w:color w:val="auto"/>
                <w:lang w:eastAsia="pl-PL"/>
              </w:rPr>
            </w:pPr>
            <w:r w:rsidRPr="009D2BCD">
              <w:rPr>
                <w:b/>
                <w:bCs/>
                <w:color w:val="auto"/>
                <w:lang w:eastAsia="pl-PL"/>
              </w:rPr>
              <w:t>2010</w:t>
            </w:r>
          </w:p>
        </w:tc>
        <w:tc>
          <w:tcPr>
            <w:tcW w:w="1169" w:type="dxa"/>
            <w:shd w:val="clear" w:color="auto" w:fill="C5E0B3"/>
            <w:noWrap/>
            <w:hideMark/>
          </w:tcPr>
          <w:p w14:paraId="302576D4" w14:textId="7A4A9D33" w:rsidR="00343727" w:rsidRPr="00343727" w:rsidRDefault="00343727" w:rsidP="00343727">
            <w:pPr>
              <w:pStyle w:val="Tabele"/>
              <w:jc w:val="right"/>
              <w:rPr>
                <w:color w:val="auto"/>
                <w:lang w:eastAsia="pl-PL"/>
              </w:rPr>
            </w:pPr>
            <w:r w:rsidRPr="00343727">
              <w:rPr>
                <w:color w:val="auto"/>
                <w:szCs w:val="16"/>
              </w:rPr>
              <w:t>1 980 268</w:t>
            </w:r>
          </w:p>
        </w:tc>
        <w:tc>
          <w:tcPr>
            <w:tcW w:w="1182" w:type="dxa"/>
            <w:shd w:val="clear" w:color="auto" w:fill="C5E0B3"/>
            <w:noWrap/>
            <w:hideMark/>
          </w:tcPr>
          <w:p w14:paraId="284C810D" w14:textId="3FDAAC8B" w:rsidR="00343727" w:rsidRPr="00343727" w:rsidRDefault="00343727" w:rsidP="00343727">
            <w:pPr>
              <w:pStyle w:val="Tabele"/>
              <w:jc w:val="right"/>
              <w:rPr>
                <w:color w:val="auto"/>
                <w:lang w:eastAsia="pl-PL"/>
              </w:rPr>
            </w:pPr>
            <w:r w:rsidRPr="00343727">
              <w:rPr>
                <w:color w:val="auto"/>
                <w:szCs w:val="16"/>
              </w:rPr>
              <w:t>721 921</w:t>
            </w:r>
          </w:p>
        </w:tc>
        <w:tc>
          <w:tcPr>
            <w:tcW w:w="1169" w:type="dxa"/>
            <w:shd w:val="clear" w:color="auto" w:fill="C5E0B3"/>
            <w:noWrap/>
            <w:hideMark/>
          </w:tcPr>
          <w:p w14:paraId="19FFA7FE" w14:textId="5C4D28A1" w:rsidR="00343727" w:rsidRPr="00343727" w:rsidRDefault="00343727" w:rsidP="00343727">
            <w:pPr>
              <w:pStyle w:val="Tabele"/>
              <w:jc w:val="right"/>
              <w:rPr>
                <w:color w:val="auto"/>
                <w:lang w:eastAsia="pl-PL"/>
              </w:rPr>
            </w:pPr>
            <w:r w:rsidRPr="00343727">
              <w:rPr>
                <w:color w:val="auto"/>
                <w:szCs w:val="16"/>
              </w:rPr>
              <w:t>357 042</w:t>
            </w:r>
          </w:p>
        </w:tc>
        <w:tc>
          <w:tcPr>
            <w:tcW w:w="1182" w:type="dxa"/>
            <w:shd w:val="clear" w:color="auto" w:fill="C5E0B3"/>
            <w:noWrap/>
            <w:hideMark/>
          </w:tcPr>
          <w:p w14:paraId="7FDC6DB2" w14:textId="3FCE5380" w:rsidR="00343727" w:rsidRPr="00343727" w:rsidRDefault="00343727" w:rsidP="00343727">
            <w:pPr>
              <w:pStyle w:val="Tabele"/>
              <w:jc w:val="right"/>
              <w:rPr>
                <w:color w:val="auto"/>
                <w:lang w:eastAsia="pl-PL"/>
              </w:rPr>
            </w:pPr>
            <w:r w:rsidRPr="00343727">
              <w:rPr>
                <w:color w:val="auto"/>
                <w:szCs w:val="16"/>
              </w:rPr>
              <w:t>997 187</w:t>
            </w:r>
          </w:p>
        </w:tc>
        <w:tc>
          <w:tcPr>
            <w:tcW w:w="1236" w:type="dxa"/>
            <w:shd w:val="clear" w:color="auto" w:fill="C5E0B3"/>
            <w:noWrap/>
            <w:hideMark/>
          </w:tcPr>
          <w:p w14:paraId="46694F3B" w14:textId="11668071" w:rsidR="00343727" w:rsidRPr="00343727" w:rsidRDefault="00343727" w:rsidP="00343727">
            <w:pPr>
              <w:pStyle w:val="Tabele"/>
              <w:jc w:val="right"/>
              <w:rPr>
                <w:color w:val="auto"/>
                <w:lang w:eastAsia="pl-PL"/>
              </w:rPr>
            </w:pPr>
            <w:r w:rsidRPr="00343727">
              <w:rPr>
                <w:color w:val="auto"/>
                <w:szCs w:val="16"/>
              </w:rPr>
              <w:t>1 216 569</w:t>
            </w:r>
          </w:p>
        </w:tc>
        <w:tc>
          <w:tcPr>
            <w:tcW w:w="1241" w:type="dxa"/>
            <w:shd w:val="clear" w:color="auto" w:fill="C5E0B3"/>
            <w:noWrap/>
            <w:hideMark/>
          </w:tcPr>
          <w:p w14:paraId="51117727" w14:textId="33C2A5FF" w:rsidR="00343727" w:rsidRPr="00343727" w:rsidRDefault="00343727" w:rsidP="00343727">
            <w:pPr>
              <w:pStyle w:val="Tabele"/>
              <w:jc w:val="right"/>
              <w:rPr>
                <w:color w:val="auto"/>
                <w:lang w:eastAsia="pl-PL"/>
              </w:rPr>
            </w:pPr>
            <w:r w:rsidRPr="00343727">
              <w:rPr>
                <w:color w:val="auto"/>
                <w:szCs w:val="16"/>
              </w:rPr>
              <w:t>250 800</w:t>
            </w:r>
          </w:p>
        </w:tc>
        <w:tc>
          <w:tcPr>
            <w:tcW w:w="1198" w:type="dxa"/>
            <w:shd w:val="clear" w:color="auto" w:fill="C5E0B3"/>
            <w:noWrap/>
            <w:hideMark/>
          </w:tcPr>
          <w:p w14:paraId="26150283" w14:textId="0299A38A" w:rsidR="00343727" w:rsidRPr="00343727" w:rsidRDefault="00343727" w:rsidP="00343727">
            <w:pPr>
              <w:pStyle w:val="Tabele"/>
              <w:jc w:val="right"/>
              <w:rPr>
                <w:color w:val="auto"/>
                <w:lang w:eastAsia="pl-PL"/>
              </w:rPr>
            </w:pPr>
            <w:r w:rsidRPr="00343727">
              <w:rPr>
                <w:color w:val="auto"/>
                <w:szCs w:val="16"/>
              </w:rPr>
              <w:t>219 518</w:t>
            </w:r>
          </w:p>
        </w:tc>
      </w:tr>
      <w:tr w:rsidR="00343727" w:rsidRPr="009D2BCD" w14:paraId="71F22F7E" w14:textId="77777777">
        <w:trPr>
          <w:trHeight w:val="227"/>
        </w:trPr>
        <w:tc>
          <w:tcPr>
            <w:tcW w:w="685" w:type="dxa"/>
            <w:shd w:val="clear" w:color="auto" w:fill="C5E0B3"/>
            <w:noWrap/>
            <w:hideMark/>
          </w:tcPr>
          <w:p w14:paraId="2EABD411" w14:textId="77777777" w:rsidR="00343727" w:rsidRPr="009D2BCD" w:rsidRDefault="00343727" w:rsidP="00343727">
            <w:pPr>
              <w:pStyle w:val="Tabele"/>
              <w:rPr>
                <w:b/>
                <w:bCs/>
                <w:color w:val="auto"/>
                <w:lang w:eastAsia="pl-PL"/>
              </w:rPr>
            </w:pPr>
            <w:r w:rsidRPr="009D2BCD">
              <w:rPr>
                <w:b/>
                <w:bCs/>
                <w:color w:val="auto"/>
                <w:lang w:eastAsia="pl-PL"/>
              </w:rPr>
              <w:t>2015</w:t>
            </w:r>
          </w:p>
        </w:tc>
        <w:tc>
          <w:tcPr>
            <w:tcW w:w="1169" w:type="dxa"/>
            <w:shd w:val="clear" w:color="auto" w:fill="C5E0B3"/>
            <w:noWrap/>
            <w:hideMark/>
          </w:tcPr>
          <w:p w14:paraId="10F356D6" w14:textId="01FB2F52" w:rsidR="00343727" w:rsidRPr="00343727" w:rsidRDefault="00343727" w:rsidP="00343727">
            <w:pPr>
              <w:pStyle w:val="Tabele"/>
              <w:jc w:val="right"/>
              <w:rPr>
                <w:color w:val="auto"/>
                <w:lang w:eastAsia="pl-PL"/>
              </w:rPr>
            </w:pPr>
            <w:r w:rsidRPr="00343727">
              <w:rPr>
                <w:color w:val="auto"/>
                <w:szCs w:val="16"/>
              </w:rPr>
              <w:t>1 772 960</w:t>
            </w:r>
          </w:p>
        </w:tc>
        <w:tc>
          <w:tcPr>
            <w:tcW w:w="1182" w:type="dxa"/>
            <w:shd w:val="clear" w:color="auto" w:fill="C5E0B3"/>
            <w:noWrap/>
            <w:hideMark/>
          </w:tcPr>
          <w:p w14:paraId="62570E3B" w14:textId="3A6D0953" w:rsidR="00343727" w:rsidRPr="00343727" w:rsidRDefault="00343727" w:rsidP="00343727">
            <w:pPr>
              <w:pStyle w:val="Tabele"/>
              <w:jc w:val="right"/>
              <w:rPr>
                <w:color w:val="auto"/>
                <w:lang w:eastAsia="pl-PL"/>
              </w:rPr>
            </w:pPr>
            <w:r w:rsidRPr="00343727">
              <w:rPr>
                <w:color w:val="auto"/>
                <w:szCs w:val="16"/>
              </w:rPr>
              <w:t>639 303</w:t>
            </w:r>
          </w:p>
        </w:tc>
        <w:tc>
          <w:tcPr>
            <w:tcW w:w="1169" w:type="dxa"/>
            <w:shd w:val="clear" w:color="auto" w:fill="C5E0B3"/>
            <w:noWrap/>
            <w:hideMark/>
          </w:tcPr>
          <w:p w14:paraId="40C9DA01" w14:textId="4ADE136B" w:rsidR="00343727" w:rsidRPr="00343727" w:rsidRDefault="00343727" w:rsidP="00343727">
            <w:pPr>
              <w:pStyle w:val="Tabele"/>
              <w:jc w:val="right"/>
              <w:rPr>
                <w:color w:val="auto"/>
                <w:lang w:eastAsia="pl-PL"/>
              </w:rPr>
            </w:pPr>
            <w:r w:rsidRPr="00343727">
              <w:rPr>
                <w:color w:val="auto"/>
                <w:szCs w:val="16"/>
              </w:rPr>
              <w:t>339 378</w:t>
            </w:r>
          </w:p>
        </w:tc>
        <w:tc>
          <w:tcPr>
            <w:tcW w:w="1182" w:type="dxa"/>
            <w:shd w:val="clear" w:color="auto" w:fill="C5E0B3"/>
            <w:noWrap/>
            <w:hideMark/>
          </w:tcPr>
          <w:p w14:paraId="1ABD39C6" w14:textId="28E66DA9" w:rsidR="00343727" w:rsidRPr="00343727" w:rsidRDefault="00343727" w:rsidP="00343727">
            <w:pPr>
              <w:pStyle w:val="Tabele"/>
              <w:jc w:val="right"/>
              <w:rPr>
                <w:color w:val="auto"/>
                <w:lang w:eastAsia="pl-PL"/>
              </w:rPr>
            </w:pPr>
            <w:r w:rsidRPr="00343727">
              <w:rPr>
                <w:color w:val="auto"/>
                <w:szCs w:val="16"/>
              </w:rPr>
              <w:t>770 479</w:t>
            </w:r>
          </w:p>
        </w:tc>
        <w:tc>
          <w:tcPr>
            <w:tcW w:w="1236" w:type="dxa"/>
            <w:shd w:val="clear" w:color="auto" w:fill="C5E0B3"/>
            <w:noWrap/>
            <w:hideMark/>
          </w:tcPr>
          <w:p w14:paraId="685E1980" w14:textId="2DB103E1" w:rsidR="00343727" w:rsidRPr="00343727" w:rsidRDefault="00343727" w:rsidP="00343727">
            <w:pPr>
              <w:pStyle w:val="Tabele"/>
              <w:jc w:val="right"/>
              <w:rPr>
                <w:color w:val="auto"/>
                <w:lang w:eastAsia="pl-PL"/>
              </w:rPr>
            </w:pPr>
            <w:r w:rsidRPr="00343727">
              <w:rPr>
                <w:color w:val="auto"/>
                <w:szCs w:val="16"/>
              </w:rPr>
              <w:t>947 689</w:t>
            </w:r>
          </w:p>
        </w:tc>
        <w:tc>
          <w:tcPr>
            <w:tcW w:w="1241" w:type="dxa"/>
            <w:shd w:val="clear" w:color="auto" w:fill="C5E0B3"/>
            <w:noWrap/>
            <w:hideMark/>
          </w:tcPr>
          <w:p w14:paraId="7D0522A8" w14:textId="3027EE8D" w:rsidR="00343727" w:rsidRPr="00343727" w:rsidRDefault="00343727" w:rsidP="00343727">
            <w:pPr>
              <w:pStyle w:val="Tabele"/>
              <w:jc w:val="right"/>
              <w:rPr>
                <w:color w:val="auto"/>
                <w:lang w:eastAsia="pl-PL"/>
              </w:rPr>
            </w:pPr>
            <w:r w:rsidRPr="00343727">
              <w:rPr>
                <w:color w:val="auto"/>
                <w:szCs w:val="16"/>
              </w:rPr>
              <w:t>224 978</w:t>
            </w:r>
          </w:p>
        </w:tc>
        <w:tc>
          <w:tcPr>
            <w:tcW w:w="1198" w:type="dxa"/>
            <w:shd w:val="clear" w:color="auto" w:fill="C5E0B3"/>
            <w:noWrap/>
            <w:hideMark/>
          </w:tcPr>
          <w:p w14:paraId="490F7B18" w14:textId="5D23CB35" w:rsidR="00343727" w:rsidRPr="00343727" w:rsidRDefault="00343727" w:rsidP="00343727">
            <w:pPr>
              <w:pStyle w:val="Tabele"/>
              <w:jc w:val="right"/>
              <w:rPr>
                <w:color w:val="auto"/>
                <w:lang w:eastAsia="pl-PL"/>
              </w:rPr>
            </w:pPr>
            <w:r w:rsidRPr="00343727">
              <w:rPr>
                <w:color w:val="auto"/>
                <w:szCs w:val="16"/>
              </w:rPr>
              <w:t>177 183</w:t>
            </w:r>
          </w:p>
        </w:tc>
      </w:tr>
      <w:tr w:rsidR="00343727" w:rsidRPr="009D2BCD" w14:paraId="1EB39ED2" w14:textId="77777777">
        <w:trPr>
          <w:trHeight w:val="227"/>
        </w:trPr>
        <w:tc>
          <w:tcPr>
            <w:tcW w:w="685" w:type="dxa"/>
            <w:shd w:val="clear" w:color="auto" w:fill="C5E0B3"/>
            <w:noWrap/>
            <w:hideMark/>
          </w:tcPr>
          <w:p w14:paraId="7314E490" w14:textId="77777777" w:rsidR="00343727" w:rsidRPr="009D2BCD" w:rsidRDefault="00343727" w:rsidP="00343727">
            <w:pPr>
              <w:pStyle w:val="Tabele"/>
              <w:rPr>
                <w:b/>
                <w:bCs/>
                <w:color w:val="auto"/>
                <w:lang w:eastAsia="pl-PL"/>
              </w:rPr>
            </w:pPr>
            <w:r w:rsidRPr="009D2BCD">
              <w:rPr>
                <w:b/>
                <w:bCs/>
                <w:color w:val="auto"/>
                <w:lang w:eastAsia="pl-PL"/>
              </w:rPr>
              <w:t>2020</w:t>
            </w:r>
          </w:p>
        </w:tc>
        <w:tc>
          <w:tcPr>
            <w:tcW w:w="1169" w:type="dxa"/>
            <w:shd w:val="clear" w:color="auto" w:fill="C5E0B3"/>
            <w:noWrap/>
            <w:hideMark/>
          </w:tcPr>
          <w:p w14:paraId="039168D2" w14:textId="0E06A65F" w:rsidR="00343727" w:rsidRPr="00343727" w:rsidRDefault="00343727" w:rsidP="00343727">
            <w:pPr>
              <w:pStyle w:val="Tabele"/>
              <w:jc w:val="right"/>
              <w:rPr>
                <w:color w:val="auto"/>
                <w:lang w:eastAsia="pl-PL"/>
              </w:rPr>
            </w:pPr>
            <w:r w:rsidRPr="00343727">
              <w:rPr>
                <w:color w:val="auto"/>
                <w:szCs w:val="16"/>
              </w:rPr>
              <w:t>1 495 267</w:t>
            </w:r>
          </w:p>
        </w:tc>
        <w:tc>
          <w:tcPr>
            <w:tcW w:w="1182" w:type="dxa"/>
            <w:shd w:val="clear" w:color="auto" w:fill="C5E0B3"/>
            <w:noWrap/>
            <w:hideMark/>
          </w:tcPr>
          <w:p w14:paraId="7C6EE12E" w14:textId="3B91C9AF" w:rsidR="00343727" w:rsidRPr="00343727" w:rsidRDefault="00343727" w:rsidP="00343727">
            <w:pPr>
              <w:pStyle w:val="Tabele"/>
              <w:jc w:val="right"/>
              <w:rPr>
                <w:color w:val="auto"/>
                <w:lang w:eastAsia="pl-PL"/>
              </w:rPr>
            </w:pPr>
            <w:r w:rsidRPr="00343727">
              <w:rPr>
                <w:color w:val="auto"/>
                <w:szCs w:val="16"/>
              </w:rPr>
              <w:t>564 739</w:t>
            </w:r>
          </w:p>
        </w:tc>
        <w:tc>
          <w:tcPr>
            <w:tcW w:w="1169" w:type="dxa"/>
            <w:shd w:val="clear" w:color="auto" w:fill="C5E0B3"/>
            <w:noWrap/>
            <w:hideMark/>
          </w:tcPr>
          <w:p w14:paraId="44C197F3" w14:textId="20F143B8" w:rsidR="00343727" w:rsidRPr="00343727" w:rsidRDefault="00343727" w:rsidP="00343727">
            <w:pPr>
              <w:pStyle w:val="Tabele"/>
              <w:jc w:val="right"/>
              <w:rPr>
                <w:color w:val="auto"/>
                <w:lang w:eastAsia="pl-PL"/>
              </w:rPr>
            </w:pPr>
            <w:r w:rsidRPr="00343727">
              <w:rPr>
                <w:color w:val="auto"/>
                <w:szCs w:val="16"/>
              </w:rPr>
              <w:t>473 801</w:t>
            </w:r>
          </w:p>
        </w:tc>
        <w:tc>
          <w:tcPr>
            <w:tcW w:w="1182" w:type="dxa"/>
            <w:shd w:val="clear" w:color="auto" w:fill="C5E0B3"/>
            <w:noWrap/>
            <w:hideMark/>
          </w:tcPr>
          <w:p w14:paraId="51EF1107" w14:textId="6F1C80C4" w:rsidR="00343727" w:rsidRPr="00343727" w:rsidRDefault="00343727" w:rsidP="00343727">
            <w:pPr>
              <w:pStyle w:val="Tabele"/>
              <w:jc w:val="right"/>
              <w:rPr>
                <w:color w:val="auto"/>
                <w:lang w:eastAsia="pl-PL"/>
              </w:rPr>
            </w:pPr>
            <w:r w:rsidRPr="00343727">
              <w:rPr>
                <w:color w:val="auto"/>
                <w:szCs w:val="16"/>
              </w:rPr>
              <w:t>707 167</w:t>
            </w:r>
          </w:p>
        </w:tc>
        <w:tc>
          <w:tcPr>
            <w:tcW w:w="1236" w:type="dxa"/>
            <w:shd w:val="clear" w:color="auto" w:fill="C5E0B3"/>
            <w:noWrap/>
            <w:hideMark/>
          </w:tcPr>
          <w:p w14:paraId="5B6D2BE2" w14:textId="07AFD63E" w:rsidR="00343727" w:rsidRPr="00343727" w:rsidRDefault="00343727" w:rsidP="00343727">
            <w:pPr>
              <w:pStyle w:val="Tabele"/>
              <w:jc w:val="right"/>
              <w:rPr>
                <w:color w:val="auto"/>
                <w:lang w:eastAsia="pl-PL"/>
              </w:rPr>
            </w:pPr>
            <w:r w:rsidRPr="00343727">
              <w:rPr>
                <w:color w:val="auto"/>
                <w:szCs w:val="16"/>
              </w:rPr>
              <w:t>1 318 290</w:t>
            </w:r>
          </w:p>
        </w:tc>
        <w:tc>
          <w:tcPr>
            <w:tcW w:w="1241" w:type="dxa"/>
            <w:shd w:val="clear" w:color="auto" w:fill="C5E0B3"/>
            <w:noWrap/>
            <w:hideMark/>
          </w:tcPr>
          <w:p w14:paraId="06395DFD" w14:textId="3C8B5DFD" w:rsidR="00343727" w:rsidRPr="00343727" w:rsidRDefault="00343727" w:rsidP="00343727">
            <w:pPr>
              <w:pStyle w:val="Tabele"/>
              <w:jc w:val="right"/>
              <w:rPr>
                <w:color w:val="auto"/>
                <w:lang w:eastAsia="pl-PL"/>
              </w:rPr>
            </w:pPr>
            <w:r w:rsidRPr="00343727">
              <w:rPr>
                <w:color w:val="auto"/>
                <w:szCs w:val="16"/>
              </w:rPr>
              <w:t>201 965</w:t>
            </w:r>
          </w:p>
        </w:tc>
        <w:tc>
          <w:tcPr>
            <w:tcW w:w="1198" w:type="dxa"/>
            <w:shd w:val="clear" w:color="auto" w:fill="C5E0B3"/>
            <w:noWrap/>
            <w:hideMark/>
          </w:tcPr>
          <w:p w14:paraId="61D76110" w14:textId="53BE8926" w:rsidR="00343727" w:rsidRPr="00343727" w:rsidRDefault="00343727" w:rsidP="00343727">
            <w:pPr>
              <w:pStyle w:val="Tabele"/>
              <w:jc w:val="right"/>
              <w:rPr>
                <w:color w:val="auto"/>
                <w:lang w:eastAsia="pl-PL"/>
              </w:rPr>
            </w:pPr>
            <w:r w:rsidRPr="00343727">
              <w:rPr>
                <w:color w:val="auto"/>
                <w:szCs w:val="16"/>
              </w:rPr>
              <w:t>246 510</w:t>
            </w:r>
          </w:p>
        </w:tc>
      </w:tr>
      <w:tr w:rsidR="00343727" w:rsidRPr="009D2BCD" w14:paraId="1FCB532A" w14:textId="77777777">
        <w:trPr>
          <w:trHeight w:val="227"/>
        </w:trPr>
        <w:tc>
          <w:tcPr>
            <w:tcW w:w="685" w:type="dxa"/>
            <w:noWrap/>
            <w:hideMark/>
          </w:tcPr>
          <w:p w14:paraId="6BE0A95D" w14:textId="77777777" w:rsidR="00343727" w:rsidRPr="009D2BCD" w:rsidRDefault="00343727" w:rsidP="00343727">
            <w:pPr>
              <w:pStyle w:val="Tabele"/>
              <w:rPr>
                <w:b/>
                <w:bCs/>
                <w:color w:val="auto"/>
                <w:lang w:eastAsia="pl-PL"/>
              </w:rPr>
            </w:pPr>
            <w:r w:rsidRPr="009D2BCD">
              <w:rPr>
                <w:b/>
                <w:bCs/>
                <w:color w:val="auto"/>
                <w:lang w:eastAsia="pl-PL"/>
              </w:rPr>
              <w:t>2025</w:t>
            </w:r>
          </w:p>
        </w:tc>
        <w:tc>
          <w:tcPr>
            <w:tcW w:w="1169" w:type="dxa"/>
            <w:noWrap/>
            <w:hideMark/>
          </w:tcPr>
          <w:p w14:paraId="24CE5524" w14:textId="54765949" w:rsidR="00343727" w:rsidRPr="00343727" w:rsidRDefault="00343727" w:rsidP="00343727">
            <w:pPr>
              <w:pStyle w:val="Tabele"/>
              <w:jc w:val="right"/>
              <w:rPr>
                <w:color w:val="auto"/>
                <w:lang w:eastAsia="pl-PL"/>
              </w:rPr>
            </w:pPr>
            <w:r w:rsidRPr="00343727">
              <w:rPr>
                <w:rFonts w:cs="Arial"/>
                <w:color w:val="auto"/>
                <w:szCs w:val="20"/>
              </w:rPr>
              <w:t>1 970 114</w:t>
            </w:r>
          </w:p>
        </w:tc>
        <w:tc>
          <w:tcPr>
            <w:tcW w:w="1182" w:type="dxa"/>
            <w:noWrap/>
            <w:hideMark/>
          </w:tcPr>
          <w:p w14:paraId="1AA4FF67" w14:textId="12AC5A7A" w:rsidR="00343727" w:rsidRPr="00343727" w:rsidRDefault="00343727" w:rsidP="00343727">
            <w:pPr>
              <w:pStyle w:val="Tabele"/>
              <w:jc w:val="right"/>
              <w:rPr>
                <w:color w:val="auto"/>
                <w:lang w:eastAsia="pl-PL"/>
              </w:rPr>
            </w:pPr>
            <w:r w:rsidRPr="00343727">
              <w:rPr>
                <w:rFonts w:cs="Arial"/>
                <w:color w:val="auto"/>
                <w:szCs w:val="20"/>
              </w:rPr>
              <w:t>588 292</w:t>
            </w:r>
          </w:p>
        </w:tc>
        <w:tc>
          <w:tcPr>
            <w:tcW w:w="1169" w:type="dxa"/>
            <w:noWrap/>
            <w:hideMark/>
          </w:tcPr>
          <w:p w14:paraId="46E6C42C" w14:textId="1C567E14" w:rsidR="00343727" w:rsidRPr="00343727" w:rsidRDefault="00343727" w:rsidP="00343727">
            <w:pPr>
              <w:pStyle w:val="Tabele"/>
              <w:jc w:val="right"/>
              <w:rPr>
                <w:color w:val="auto"/>
                <w:lang w:eastAsia="pl-PL"/>
              </w:rPr>
            </w:pPr>
            <w:r w:rsidRPr="00343727">
              <w:rPr>
                <w:rFonts w:cs="Arial"/>
                <w:color w:val="auto"/>
                <w:szCs w:val="20"/>
              </w:rPr>
              <w:t>368 396</w:t>
            </w:r>
          </w:p>
        </w:tc>
        <w:tc>
          <w:tcPr>
            <w:tcW w:w="1182" w:type="dxa"/>
            <w:noWrap/>
            <w:hideMark/>
          </w:tcPr>
          <w:p w14:paraId="1E0096D7" w14:textId="6193DE8E" w:rsidR="00343727" w:rsidRPr="00343727" w:rsidRDefault="00343727" w:rsidP="00343727">
            <w:pPr>
              <w:pStyle w:val="Tabele"/>
              <w:jc w:val="right"/>
              <w:rPr>
                <w:color w:val="auto"/>
                <w:lang w:eastAsia="pl-PL"/>
              </w:rPr>
            </w:pPr>
            <w:r w:rsidRPr="00343727">
              <w:rPr>
                <w:rFonts w:cs="Arial"/>
                <w:color w:val="auto"/>
                <w:szCs w:val="20"/>
              </w:rPr>
              <w:t>996 582</w:t>
            </w:r>
          </w:p>
        </w:tc>
        <w:tc>
          <w:tcPr>
            <w:tcW w:w="1236" w:type="dxa"/>
            <w:noWrap/>
            <w:hideMark/>
          </w:tcPr>
          <w:p w14:paraId="17A77B31" w14:textId="74930DCC" w:rsidR="00343727" w:rsidRPr="00343727" w:rsidRDefault="00343727" w:rsidP="00343727">
            <w:pPr>
              <w:pStyle w:val="Tabele"/>
              <w:jc w:val="right"/>
              <w:rPr>
                <w:color w:val="auto"/>
                <w:lang w:eastAsia="pl-PL"/>
              </w:rPr>
            </w:pPr>
            <w:r w:rsidRPr="00343727">
              <w:rPr>
                <w:rFonts w:cs="Arial"/>
                <w:color w:val="auto"/>
                <w:szCs w:val="20"/>
              </w:rPr>
              <w:t>1 756 147</w:t>
            </w:r>
          </w:p>
        </w:tc>
        <w:tc>
          <w:tcPr>
            <w:tcW w:w="1241" w:type="dxa"/>
            <w:noWrap/>
            <w:hideMark/>
          </w:tcPr>
          <w:p w14:paraId="0F2DCC6A" w14:textId="3AE6AD86" w:rsidR="00343727" w:rsidRPr="00343727" w:rsidRDefault="00343727" w:rsidP="00343727">
            <w:pPr>
              <w:pStyle w:val="Tabele"/>
              <w:jc w:val="right"/>
              <w:rPr>
                <w:color w:val="auto"/>
                <w:lang w:eastAsia="pl-PL"/>
              </w:rPr>
            </w:pPr>
            <w:r w:rsidRPr="00343727">
              <w:rPr>
                <w:rFonts w:cs="Arial"/>
                <w:color w:val="auto"/>
                <w:szCs w:val="20"/>
              </w:rPr>
              <w:t>201 965</w:t>
            </w:r>
          </w:p>
        </w:tc>
        <w:tc>
          <w:tcPr>
            <w:tcW w:w="1198" w:type="dxa"/>
            <w:noWrap/>
            <w:hideMark/>
          </w:tcPr>
          <w:p w14:paraId="6B07A82A" w14:textId="78AF7195" w:rsidR="00343727" w:rsidRPr="00343727" w:rsidRDefault="00343727" w:rsidP="00343727">
            <w:pPr>
              <w:pStyle w:val="Tabele"/>
              <w:jc w:val="right"/>
              <w:rPr>
                <w:color w:val="auto"/>
                <w:lang w:eastAsia="pl-PL"/>
              </w:rPr>
            </w:pPr>
            <w:r w:rsidRPr="00343727">
              <w:rPr>
                <w:rFonts w:cs="Arial"/>
                <w:color w:val="auto"/>
                <w:szCs w:val="20"/>
              </w:rPr>
              <w:t>328 385</w:t>
            </w:r>
          </w:p>
        </w:tc>
      </w:tr>
      <w:tr w:rsidR="00343727" w:rsidRPr="009D2BCD" w14:paraId="1D58BA96" w14:textId="77777777">
        <w:trPr>
          <w:trHeight w:val="227"/>
        </w:trPr>
        <w:tc>
          <w:tcPr>
            <w:tcW w:w="685" w:type="dxa"/>
            <w:noWrap/>
            <w:hideMark/>
          </w:tcPr>
          <w:p w14:paraId="56422821" w14:textId="77777777" w:rsidR="00343727" w:rsidRPr="009D2BCD" w:rsidRDefault="00343727" w:rsidP="00343727">
            <w:pPr>
              <w:pStyle w:val="Tabele"/>
              <w:rPr>
                <w:b/>
                <w:bCs/>
                <w:color w:val="auto"/>
                <w:lang w:eastAsia="pl-PL"/>
              </w:rPr>
            </w:pPr>
            <w:r w:rsidRPr="009D2BCD">
              <w:rPr>
                <w:b/>
                <w:bCs/>
                <w:color w:val="auto"/>
                <w:lang w:eastAsia="pl-PL"/>
              </w:rPr>
              <w:t>2030</w:t>
            </w:r>
          </w:p>
        </w:tc>
        <w:tc>
          <w:tcPr>
            <w:tcW w:w="1169" w:type="dxa"/>
            <w:noWrap/>
            <w:hideMark/>
          </w:tcPr>
          <w:p w14:paraId="430A6AD5" w14:textId="49830F02" w:rsidR="00343727" w:rsidRPr="00343727" w:rsidRDefault="00343727" w:rsidP="00343727">
            <w:pPr>
              <w:pStyle w:val="Tabele"/>
              <w:jc w:val="right"/>
              <w:rPr>
                <w:color w:val="auto"/>
                <w:lang w:eastAsia="pl-PL"/>
              </w:rPr>
            </w:pPr>
            <w:r w:rsidRPr="00343727">
              <w:rPr>
                <w:rFonts w:cs="Arial"/>
                <w:color w:val="auto"/>
                <w:szCs w:val="20"/>
              </w:rPr>
              <w:t>1 874 027</w:t>
            </w:r>
          </w:p>
        </w:tc>
        <w:tc>
          <w:tcPr>
            <w:tcW w:w="1182" w:type="dxa"/>
            <w:noWrap/>
            <w:hideMark/>
          </w:tcPr>
          <w:p w14:paraId="01B135FD" w14:textId="0BAFB690" w:rsidR="00343727" w:rsidRPr="00343727" w:rsidRDefault="00343727" w:rsidP="00343727">
            <w:pPr>
              <w:pStyle w:val="Tabele"/>
              <w:jc w:val="right"/>
              <w:rPr>
                <w:color w:val="auto"/>
                <w:lang w:eastAsia="pl-PL"/>
              </w:rPr>
            </w:pPr>
            <w:r w:rsidRPr="00343727">
              <w:rPr>
                <w:rFonts w:cs="Arial"/>
                <w:color w:val="auto"/>
                <w:szCs w:val="20"/>
              </w:rPr>
              <w:t>588 292</w:t>
            </w:r>
          </w:p>
        </w:tc>
        <w:tc>
          <w:tcPr>
            <w:tcW w:w="1169" w:type="dxa"/>
            <w:noWrap/>
            <w:hideMark/>
          </w:tcPr>
          <w:p w14:paraId="0670DEC4" w14:textId="3B38222E" w:rsidR="00343727" w:rsidRPr="00343727" w:rsidRDefault="00343727" w:rsidP="00343727">
            <w:pPr>
              <w:pStyle w:val="Tabele"/>
              <w:jc w:val="right"/>
              <w:rPr>
                <w:color w:val="auto"/>
                <w:lang w:eastAsia="pl-PL"/>
              </w:rPr>
            </w:pPr>
            <w:r w:rsidRPr="00343727">
              <w:rPr>
                <w:rFonts w:cs="Arial"/>
                <w:color w:val="auto"/>
                <w:szCs w:val="20"/>
              </w:rPr>
              <w:t>350 428</w:t>
            </w:r>
          </w:p>
        </w:tc>
        <w:tc>
          <w:tcPr>
            <w:tcW w:w="1182" w:type="dxa"/>
            <w:noWrap/>
            <w:hideMark/>
          </w:tcPr>
          <w:p w14:paraId="331EACFE" w14:textId="2BE2BF97" w:rsidR="00343727" w:rsidRPr="00343727" w:rsidRDefault="00343727" w:rsidP="00343727">
            <w:pPr>
              <w:pStyle w:val="Tabele"/>
              <w:jc w:val="right"/>
              <w:rPr>
                <w:color w:val="auto"/>
                <w:lang w:eastAsia="pl-PL"/>
              </w:rPr>
            </w:pPr>
            <w:r w:rsidRPr="00343727">
              <w:rPr>
                <w:rFonts w:cs="Arial"/>
                <w:color w:val="auto"/>
                <w:szCs w:val="20"/>
              </w:rPr>
              <w:t>809 550</w:t>
            </w:r>
          </w:p>
        </w:tc>
        <w:tc>
          <w:tcPr>
            <w:tcW w:w="1236" w:type="dxa"/>
            <w:noWrap/>
            <w:hideMark/>
          </w:tcPr>
          <w:p w14:paraId="3ADF680D" w14:textId="137A7DA8" w:rsidR="00343727" w:rsidRPr="00343727" w:rsidRDefault="00343727" w:rsidP="00343727">
            <w:pPr>
              <w:pStyle w:val="Tabele"/>
              <w:jc w:val="right"/>
              <w:rPr>
                <w:color w:val="auto"/>
                <w:lang w:eastAsia="pl-PL"/>
              </w:rPr>
            </w:pPr>
            <w:r w:rsidRPr="00343727">
              <w:rPr>
                <w:rFonts w:cs="Arial"/>
                <w:color w:val="auto"/>
                <w:szCs w:val="20"/>
              </w:rPr>
              <w:t>1 473 185</w:t>
            </w:r>
          </w:p>
        </w:tc>
        <w:tc>
          <w:tcPr>
            <w:tcW w:w="1241" w:type="dxa"/>
            <w:noWrap/>
            <w:hideMark/>
          </w:tcPr>
          <w:p w14:paraId="27A798DF" w14:textId="14330AEB" w:rsidR="00343727" w:rsidRPr="00343727" w:rsidRDefault="00343727" w:rsidP="00343727">
            <w:pPr>
              <w:pStyle w:val="Tabele"/>
              <w:jc w:val="right"/>
              <w:rPr>
                <w:color w:val="auto"/>
                <w:lang w:eastAsia="pl-PL"/>
              </w:rPr>
            </w:pPr>
            <w:r w:rsidRPr="00343727">
              <w:rPr>
                <w:rFonts w:cs="Arial"/>
                <w:color w:val="auto"/>
                <w:szCs w:val="20"/>
              </w:rPr>
              <w:t>201 965</w:t>
            </w:r>
          </w:p>
        </w:tc>
        <w:tc>
          <w:tcPr>
            <w:tcW w:w="1198" w:type="dxa"/>
            <w:noWrap/>
            <w:hideMark/>
          </w:tcPr>
          <w:p w14:paraId="63A07295" w14:textId="19DA2617" w:rsidR="00343727" w:rsidRPr="00343727" w:rsidRDefault="00343727" w:rsidP="00343727">
            <w:pPr>
              <w:pStyle w:val="Tabele"/>
              <w:jc w:val="right"/>
              <w:rPr>
                <w:color w:val="auto"/>
                <w:lang w:eastAsia="pl-PL"/>
              </w:rPr>
            </w:pPr>
            <w:r w:rsidRPr="00343727">
              <w:rPr>
                <w:rFonts w:cs="Arial"/>
                <w:color w:val="auto"/>
                <w:szCs w:val="20"/>
              </w:rPr>
              <w:t>275 473</w:t>
            </w:r>
          </w:p>
        </w:tc>
      </w:tr>
      <w:tr w:rsidR="00343727" w:rsidRPr="009D2BCD" w14:paraId="06D7F566" w14:textId="77777777">
        <w:trPr>
          <w:trHeight w:val="227"/>
        </w:trPr>
        <w:tc>
          <w:tcPr>
            <w:tcW w:w="685" w:type="dxa"/>
            <w:noWrap/>
            <w:hideMark/>
          </w:tcPr>
          <w:p w14:paraId="6FFADB04" w14:textId="77777777" w:rsidR="00343727" w:rsidRPr="009D2BCD" w:rsidRDefault="00343727" w:rsidP="00343727">
            <w:pPr>
              <w:pStyle w:val="Tabele"/>
              <w:rPr>
                <w:b/>
                <w:bCs/>
                <w:color w:val="auto"/>
                <w:lang w:eastAsia="pl-PL"/>
              </w:rPr>
            </w:pPr>
            <w:r w:rsidRPr="009D2BCD">
              <w:rPr>
                <w:b/>
                <w:bCs/>
                <w:color w:val="auto"/>
                <w:lang w:eastAsia="pl-PL"/>
              </w:rPr>
              <w:t>2035</w:t>
            </w:r>
          </w:p>
        </w:tc>
        <w:tc>
          <w:tcPr>
            <w:tcW w:w="1169" w:type="dxa"/>
            <w:noWrap/>
            <w:hideMark/>
          </w:tcPr>
          <w:p w14:paraId="05B11015" w14:textId="0DC0974F" w:rsidR="00343727" w:rsidRPr="00343727" w:rsidRDefault="00343727" w:rsidP="00343727">
            <w:pPr>
              <w:pStyle w:val="Tabele"/>
              <w:jc w:val="right"/>
              <w:rPr>
                <w:color w:val="auto"/>
                <w:lang w:eastAsia="pl-PL"/>
              </w:rPr>
            </w:pPr>
            <w:r w:rsidRPr="00343727">
              <w:rPr>
                <w:rFonts w:cs="Arial"/>
                <w:color w:val="auto"/>
                <w:szCs w:val="20"/>
              </w:rPr>
              <w:t>1 837 338</w:t>
            </w:r>
          </w:p>
        </w:tc>
        <w:tc>
          <w:tcPr>
            <w:tcW w:w="1182" w:type="dxa"/>
            <w:noWrap/>
            <w:hideMark/>
          </w:tcPr>
          <w:p w14:paraId="74C2B132" w14:textId="3B22CCEB" w:rsidR="00343727" w:rsidRPr="00343727" w:rsidRDefault="00343727" w:rsidP="00343727">
            <w:pPr>
              <w:pStyle w:val="Tabele"/>
              <w:jc w:val="right"/>
              <w:rPr>
                <w:color w:val="auto"/>
                <w:lang w:eastAsia="pl-PL"/>
              </w:rPr>
            </w:pPr>
            <w:r w:rsidRPr="00343727">
              <w:rPr>
                <w:rFonts w:cs="Arial"/>
                <w:color w:val="auto"/>
                <w:szCs w:val="20"/>
              </w:rPr>
              <w:t>588 292</w:t>
            </w:r>
          </w:p>
        </w:tc>
        <w:tc>
          <w:tcPr>
            <w:tcW w:w="1169" w:type="dxa"/>
            <w:noWrap/>
            <w:hideMark/>
          </w:tcPr>
          <w:p w14:paraId="6C14B483" w14:textId="70418AD2" w:rsidR="00343727" w:rsidRPr="00343727" w:rsidRDefault="00343727" w:rsidP="00343727">
            <w:pPr>
              <w:pStyle w:val="Tabele"/>
              <w:jc w:val="right"/>
              <w:rPr>
                <w:color w:val="auto"/>
                <w:lang w:eastAsia="pl-PL"/>
              </w:rPr>
            </w:pPr>
            <w:r w:rsidRPr="00343727">
              <w:rPr>
                <w:rFonts w:cs="Arial"/>
                <w:color w:val="auto"/>
                <w:szCs w:val="20"/>
              </w:rPr>
              <w:t>343 567</w:t>
            </w:r>
          </w:p>
        </w:tc>
        <w:tc>
          <w:tcPr>
            <w:tcW w:w="1182" w:type="dxa"/>
            <w:noWrap/>
            <w:hideMark/>
          </w:tcPr>
          <w:p w14:paraId="715DEE69" w14:textId="10E1A05A" w:rsidR="00343727" w:rsidRPr="00343727" w:rsidRDefault="00343727" w:rsidP="00343727">
            <w:pPr>
              <w:pStyle w:val="Tabele"/>
              <w:jc w:val="right"/>
              <w:rPr>
                <w:color w:val="auto"/>
                <w:lang w:eastAsia="pl-PL"/>
              </w:rPr>
            </w:pPr>
            <w:r w:rsidRPr="00343727">
              <w:rPr>
                <w:rFonts w:cs="Arial"/>
                <w:color w:val="auto"/>
                <w:szCs w:val="20"/>
              </w:rPr>
              <w:t>777 201</w:t>
            </w:r>
          </w:p>
        </w:tc>
        <w:tc>
          <w:tcPr>
            <w:tcW w:w="1236" w:type="dxa"/>
            <w:noWrap/>
            <w:hideMark/>
          </w:tcPr>
          <w:p w14:paraId="3B9036D8" w14:textId="0A42A211" w:rsidR="00343727" w:rsidRPr="00343727" w:rsidRDefault="00343727" w:rsidP="00343727">
            <w:pPr>
              <w:pStyle w:val="Tabele"/>
              <w:jc w:val="right"/>
              <w:rPr>
                <w:color w:val="auto"/>
                <w:lang w:eastAsia="pl-PL"/>
              </w:rPr>
            </w:pPr>
            <w:r w:rsidRPr="00343727">
              <w:rPr>
                <w:rFonts w:cs="Arial"/>
                <w:color w:val="auto"/>
                <w:szCs w:val="20"/>
              </w:rPr>
              <w:t>1 424 244</w:t>
            </w:r>
          </w:p>
        </w:tc>
        <w:tc>
          <w:tcPr>
            <w:tcW w:w="1241" w:type="dxa"/>
            <w:noWrap/>
            <w:hideMark/>
          </w:tcPr>
          <w:p w14:paraId="2694CA52" w14:textId="50C9CF47" w:rsidR="00343727" w:rsidRPr="00343727" w:rsidRDefault="00343727" w:rsidP="00343727">
            <w:pPr>
              <w:pStyle w:val="Tabele"/>
              <w:jc w:val="right"/>
              <w:rPr>
                <w:color w:val="auto"/>
                <w:lang w:eastAsia="pl-PL"/>
              </w:rPr>
            </w:pPr>
            <w:r w:rsidRPr="00343727">
              <w:rPr>
                <w:rFonts w:cs="Arial"/>
                <w:color w:val="auto"/>
                <w:szCs w:val="20"/>
              </w:rPr>
              <w:t>201 965</w:t>
            </w:r>
          </w:p>
        </w:tc>
        <w:tc>
          <w:tcPr>
            <w:tcW w:w="1198" w:type="dxa"/>
            <w:noWrap/>
            <w:hideMark/>
          </w:tcPr>
          <w:p w14:paraId="35227B10" w14:textId="4FF480D2" w:rsidR="00343727" w:rsidRPr="00343727" w:rsidRDefault="00343727" w:rsidP="00343727">
            <w:pPr>
              <w:pStyle w:val="Tabele"/>
              <w:jc w:val="right"/>
              <w:rPr>
                <w:color w:val="auto"/>
                <w:lang w:eastAsia="pl-PL"/>
              </w:rPr>
            </w:pPr>
            <w:r w:rsidRPr="00343727">
              <w:rPr>
                <w:rFonts w:cs="Arial"/>
                <w:color w:val="auto"/>
                <w:szCs w:val="20"/>
              </w:rPr>
              <w:t>266 322</w:t>
            </w:r>
          </w:p>
        </w:tc>
      </w:tr>
      <w:tr w:rsidR="00343727" w:rsidRPr="009D2BCD" w14:paraId="43F3E702" w14:textId="77777777">
        <w:trPr>
          <w:trHeight w:val="227"/>
        </w:trPr>
        <w:tc>
          <w:tcPr>
            <w:tcW w:w="685" w:type="dxa"/>
            <w:noWrap/>
            <w:hideMark/>
          </w:tcPr>
          <w:p w14:paraId="25EE02B4" w14:textId="77777777" w:rsidR="00343727" w:rsidRPr="009D2BCD" w:rsidRDefault="00343727" w:rsidP="00343727">
            <w:pPr>
              <w:pStyle w:val="Tabele"/>
              <w:rPr>
                <w:b/>
                <w:bCs/>
                <w:color w:val="auto"/>
                <w:lang w:eastAsia="pl-PL"/>
              </w:rPr>
            </w:pPr>
            <w:r w:rsidRPr="009D2BCD">
              <w:rPr>
                <w:b/>
                <w:bCs/>
                <w:color w:val="auto"/>
                <w:lang w:eastAsia="pl-PL"/>
              </w:rPr>
              <w:t>2040</w:t>
            </w:r>
          </w:p>
        </w:tc>
        <w:tc>
          <w:tcPr>
            <w:tcW w:w="1169" w:type="dxa"/>
            <w:noWrap/>
            <w:hideMark/>
          </w:tcPr>
          <w:p w14:paraId="36EA7328" w14:textId="57DE6D03" w:rsidR="00343727" w:rsidRPr="00343727" w:rsidRDefault="00343727" w:rsidP="00343727">
            <w:pPr>
              <w:pStyle w:val="Tabele"/>
              <w:jc w:val="right"/>
              <w:rPr>
                <w:color w:val="auto"/>
                <w:lang w:eastAsia="pl-PL"/>
              </w:rPr>
            </w:pPr>
            <w:r w:rsidRPr="00343727">
              <w:rPr>
                <w:rFonts w:cs="Arial"/>
                <w:color w:val="auto"/>
                <w:szCs w:val="20"/>
              </w:rPr>
              <w:t>1 800 650</w:t>
            </w:r>
          </w:p>
        </w:tc>
        <w:tc>
          <w:tcPr>
            <w:tcW w:w="1182" w:type="dxa"/>
            <w:noWrap/>
            <w:hideMark/>
          </w:tcPr>
          <w:p w14:paraId="5B508F1C" w14:textId="72048F20" w:rsidR="00343727" w:rsidRPr="00343727" w:rsidRDefault="00343727" w:rsidP="00343727">
            <w:pPr>
              <w:pStyle w:val="Tabele"/>
              <w:jc w:val="right"/>
              <w:rPr>
                <w:color w:val="auto"/>
                <w:lang w:eastAsia="pl-PL"/>
              </w:rPr>
            </w:pPr>
            <w:r w:rsidRPr="00343727">
              <w:rPr>
                <w:rFonts w:cs="Arial"/>
                <w:color w:val="auto"/>
                <w:szCs w:val="20"/>
              </w:rPr>
              <w:t>588 292</w:t>
            </w:r>
          </w:p>
        </w:tc>
        <w:tc>
          <w:tcPr>
            <w:tcW w:w="1169" w:type="dxa"/>
            <w:noWrap/>
            <w:hideMark/>
          </w:tcPr>
          <w:p w14:paraId="3C8F0D3F" w14:textId="294E585E" w:rsidR="00343727" w:rsidRPr="00343727" w:rsidRDefault="00343727" w:rsidP="00343727">
            <w:pPr>
              <w:pStyle w:val="Tabele"/>
              <w:jc w:val="right"/>
              <w:rPr>
                <w:color w:val="auto"/>
                <w:lang w:eastAsia="pl-PL"/>
              </w:rPr>
            </w:pPr>
            <w:r w:rsidRPr="00343727">
              <w:rPr>
                <w:rFonts w:cs="Arial"/>
                <w:color w:val="auto"/>
                <w:szCs w:val="20"/>
              </w:rPr>
              <w:t>336 707</w:t>
            </w:r>
          </w:p>
        </w:tc>
        <w:tc>
          <w:tcPr>
            <w:tcW w:w="1182" w:type="dxa"/>
            <w:noWrap/>
            <w:hideMark/>
          </w:tcPr>
          <w:p w14:paraId="56FC0F30" w14:textId="5E2AA686" w:rsidR="00343727" w:rsidRPr="00343727" w:rsidRDefault="00343727" w:rsidP="00343727">
            <w:pPr>
              <w:pStyle w:val="Tabele"/>
              <w:jc w:val="right"/>
              <w:rPr>
                <w:color w:val="auto"/>
                <w:lang w:eastAsia="pl-PL"/>
              </w:rPr>
            </w:pPr>
            <w:r w:rsidRPr="00343727">
              <w:rPr>
                <w:rFonts w:cs="Arial"/>
                <w:color w:val="auto"/>
                <w:szCs w:val="20"/>
              </w:rPr>
              <w:t>746 589</w:t>
            </w:r>
          </w:p>
        </w:tc>
        <w:tc>
          <w:tcPr>
            <w:tcW w:w="1236" w:type="dxa"/>
            <w:noWrap/>
            <w:hideMark/>
          </w:tcPr>
          <w:p w14:paraId="1EDF9475" w14:textId="22750976" w:rsidR="00343727" w:rsidRPr="00343727" w:rsidRDefault="00343727" w:rsidP="00343727">
            <w:pPr>
              <w:pStyle w:val="Tabele"/>
              <w:jc w:val="right"/>
              <w:rPr>
                <w:color w:val="auto"/>
                <w:lang w:eastAsia="pl-PL"/>
              </w:rPr>
            </w:pPr>
            <w:r w:rsidRPr="00343727">
              <w:rPr>
                <w:rFonts w:cs="Arial"/>
                <w:color w:val="auto"/>
                <w:szCs w:val="20"/>
              </w:rPr>
              <w:t>1 377 934</w:t>
            </w:r>
          </w:p>
        </w:tc>
        <w:tc>
          <w:tcPr>
            <w:tcW w:w="1241" w:type="dxa"/>
            <w:noWrap/>
            <w:hideMark/>
          </w:tcPr>
          <w:p w14:paraId="024F1530" w14:textId="25FBF857" w:rsidR="00343727" w:rsidRPr="00343727" w:rsidRDefault="00343727" w:rsidP="00343727">
            <w:pPr>
              <w:pStyle w:val="Tabele"/>
              <w:jc w:val="right"/>
              <w:rPr>
                <w:color w:val="auto"/>
                <w:lang w:eastAsia="pl-PL"/>
              </w:rPr>
            </w:pPr>
            <w:r w:rsidRPr="00343727">
              <w:rPr>
                <w:rFonts w:cs="Arial"/>
                <w:color w:val="auto"/>
                <w:szCs w:val="20"/>
              </w:rPr>
              <w:t>201 965</w:t>
            </w:r>
          </w:p>
        </w:tc>
        <w:tc>
          <w:tcPr>
            <w:tcW w:w="1198" w:type="dxa"/>
            <w:noWrap/>
            <w:hideMark/>
          </w:tcPr>
          <w:p w14:paraId="2EEC8D42" w14:textId="271D5007" w:rsidR="00343727" w:rsidRPr="00343727" w:rsidRDefault="00343727" w:rsidP="00343727">
            <w:pPr>
              <w:pStyle w:val="Tabele"/>
              <w:jc w:val="right"/>
              <w:rPr>
                <w:color w:val="auto"/>
                <w:lang w:eastAsia="pl-PL"/>
              </w:rPr>
            </w:pPr>
            <w:r w:rsidRPr="00343727">
              <w:rPr>
                <w:rFonts w:cs="Arial"/>
                <w:color w:val="auto"/>
                <w:szCs w:val="20"/>
              </w:rPr>
              <w:t>257 662</w:t>
            </w:r>
          </w:p>
        </w:tc>
      </w:tr>
    </w:tbl>
    <w:p w14:paraId="3CB1F036" w14:textId="784C3151" w:rsidR="005C4144" w:rsidRDefault="005C4144" w:rsidP="00AD400F">
      <w:pPr>
        <w:pStyle w:val="Legenda"/>
        <w:keepNext/>
      </w:pPr>
      <w:r w:rsidRPr="00071224">
        <w:t xml:space="preserve">Źródło: Opracowanie własne ARE SA, </w:t>
      </w:r>
      <w:r>
        <w:t>MAE</w:t>
      </w:r>
      <w:r w:rsidRPr="00071224">
        <w:t xml:space="preserve"> - „Energy prices and taxes</w:t>
      </w:r>
      <w:r>
        <w:t xml:space="preserve"> 2023”</w:t>
      </w:r>
    </w:p>
    <w:p w14:paraId="11592355" w14:textId="6BA2BFF5" w:rsidR="005C4144" w:rsidRDefault="005A0292" w:rsidP="00797A1F">
      <w:pPr>
        <w:pStyle w:val="Nagwek2"/>
      </w:pPr>
      <w:bookmarkStart w:id="553" w:name="_Toc171587340"/>
      <w:bookmarkStart w:id="554" w:name="_Toc174710914"/>
      <w:r>
        <w:t xml:space="preserve"> </w:t>
      </w:r>
      <w:bookmarkStart w:id="555" w:name="_Toc202966909"/>
      <w:r w:rsidR="005F62C8">
        <w:t xml:space="preserve">Nakłady </w:t>
      </w:r>
      <w:r w:rsidR="00680044">
        <w:t>na inwestycje związane z</w:t>
      </w:r>
      <w:r w:rsidR="005C4144">
        <w:t> energią</w:t>
      </w:r>
      <w:bookmarkEnd w:id="553"/>
      <w:bookmarkEnd w:id="554"/>
      <w:bookmarkEnd w:id="555"/>
    </w:p>
    <w:p w14:paraId="23AD33F2" w14:textId="2CA0D63E" w:rsidR="005C4144" w:rsidRPr="00E527BD" w:rsidRDefault="005C4144" w:rsidP="005C4144">
      <w:pPr>
        <w:pStyle w:val="podtytu2"/>
        <w:rPr>
          <w:rFonts w:asciiTheme="majorHAnsi" w:hAnsiTheme="majorHAnsi" w:cstheme="majorBidi"/>
          <w:color w:val="525252" w:themeColor="accent3" w:themeShade="80"/>
        </w:rPr>
      </w:pPr>
      <w:r w:rsidRPr="00E527BD">
        <w:t xml:space="preserve">Nakłady inwestycyjne na rozwój infrastruktury w sektorze elektroenergetycznym </w:t>
      </w:r>
    </w:p>
    <w:p w14:paraId="787C9ED5" w14:textId="793F761D" w:rsidR="00D22C54" w:rsidRPr="00D65E45" w:rsidRDefault="006F151B" w:rsidP="00771620">
      <w:pPr>
        <w:jc w:val="left"/>
        <w:rPr>
          <w:i/>
          <w:iCs/>
          <w:color w:val="44546A" w:themeColor="text2"/>
          <w:sz w:val="18"/>
          <w:szCs w:val="18"/>
        </w:rPr>
      </w:pPr>
      <w:r w:rsidRPr="00D45BE7">
        <w:t xml:space="preserve">Prognozowane nakłady inwestycyjne na odtworzenie wycofywanych oraz budowę nowych jednostek wytwórczych oraz prace modernizacyjne przedstawiono w tabeli poniżej </w:t>
      </w:r>
      <w:r w:rsidR="005C4144">
        <w:t>(</w:t>
      </w:r>
      <w:r w:rsidR="00D724DB">
        <w:fldChar w:fldCharType="begin"/>
      </w:r>
      <w:r w:rsidR="00D724DB">
        <w:instrText xml:space="preserve"> REF _Ref195777352 \h </w:instrText>
      </w:r>
      <w:r w:rsidR="00D724DB">
        <w:fldChar w:fldCharType="separate"/>
      </w:r>
      <w:r w:rsidR="00F27D6F">
        <w:t xml:space="preserve">Tabela </w:t>
      </w:r>
      <w:r w:rsidR="00F27D6F">
        <w:rPr>
          <w:noProof/>
        </w:rPr>
        <w:t>4</w:t>
      </w:r>
      <w:r w:rsidR="00F27D6F">
        <w:t>.</w:t>
      </w:r>
      <w:r w:rsidR="00F27D6F">
        <w:rPr>
          <w:noProof/>
        </w:rPr>
        <w:t>9</w:t>
      </w:r>
      <w:r w:rsidR="00D724DB">
        <w:fldChar w:fldCharType="end"/>
      </w:r>
      <w:r w:rsidR="005C4144">
        <w:t xml:space="preserve">). </w:t>
      </w:r>
      <w:r w:rsidR="00D22C54" w:rsidRPr="00D45BE7">
        <w:t xml:space="preserve">Nakłady inwestycyjne na źródła w elektroenergetyce wyznaczono na podstawie wyników modelu MESSAGE przy uwzględnieniu jednostkowych nakładów inwestycyjnych </w:t>
      </w:r>
      <w:r w:rsidR="00D22C54" w:rsidRPr="00A03730">
        <w:t>przedstawionych w</w:t>
      </w:r>
      <w:r w:rsidR="00B6518A">
        <w:t> </w:t>
      </w:r>
      <w:r w:rsidR="00A03730" w:rsidRPr="00A03730">
        <w:t>załączniku 3. do KPEiK „Założenia prognostyczne i metodyka prognozowania”.</w:t>
      </w:r>
      <w:r w:rsidR="00CF7910" w:rsidRPr="00A03730">
        <w:t xml:space="preserve"> </w:t>
      </w:r>
    </w:p>
    <w:p w14:paraId="07E6BAE8" w14:textId="55D89B02" w:rsidR="00B157A0" w:rsidRPr="00D65E45" w:rsidRDefault="005C4144" w:rsidP="00B6518A">
      <w:pPr>
        <w:rPr>
          <w:i/>
          <w:iCs/>
          <w:color w:val="44546A" w:themeColor="text2"/>
          <w:sz w:val="18"/>
          <w:szCs w:val="18"/>
        </w:rPr>
      </w:pPr>
      <w:r w:rsidRPr="00F85B97">
        <w:t>Oszacowane łączne potrzeby inwestycyjne w sektorze wytwórczym</w:t>
      </w:r>
      <w:r>
        <w:t xml:space="preserve"> (</w:t>
      </w:r>
      <w:r w:rsidR="00C7033C">
        <w:fldChar w:fldCharType="begin"/>
      </w:r>
      <w:r w:rsidR="00C7033C">
        <w:instrText xml:space="preserve"> REF _Ref202952008 \h </w:instrText>
      </w:r>
      <w:r w:rsidR="00C7033C">
        <w:fldChar w:fldCharType="separate"/>
      </w:r>
      <w:r w:rsidR="00F27D6F">
        <w:t xml:space="preserve">Tabela </w:t>
      </w:r>
      <w:r w:rsidR="00F27D6F">
        <w:rPr>
          <w:noProof/>
        </w:rPr>
        <w:t>4</w:t>
      </w:r>
      <w:r w:rsidR="00F27D6F">
        <w:t>.</w:t>
      </w:r>
      <w:r w:rsidR="00F27D6F">
        <w:rPr>
          <w:noProof/>
        </w:rPr>
        <w:t>9</w:t>
      </w:r>
      <w:r w:rsidR="00C7033C">
        <w:fldChar w:fldCharType="end"/>
      </w:r>
      <w:r>
        <w:t>),</w:t>
      </w:r>
      <w:r w:rsidRPr="00F85B97">
        <w:t xml:space="preserve"> </w:t>
      </w:r>
      <w:r w:rsidR="00B157A0" w:rsidRPr="00D45BE7">
        <w:t>niezbędne do zapewnienia bezpieczeństwa dostaw energii elektrycznej</w:t>
      </w:r>
      <w:r w:rsidR="00B157A0">
        <w:t xml:space="preserve"> -</w:t>
      </w:r>
      <w:r w:rsidR="00B157A0" w:rsidRPr="00D45BE7">
        <w:t xml:space="preserve"> przy jednoczesnym spełnieniu zaostrzonych wymogów o</w:t>
      </w:r>
      <w:r w:rsidR="00B157A0">
        <w:t xml:space="preserve">chrony środowiska wynoszą ok. </w:t>
      </w:r>
      <w:r w:rsidR="00CA0C5D">
        <w:t>94</w:t>
      </w:r>
      <w:r w:rsidR="00B157A0">
        <w:t xml:space="preserve"> mld EUR’202</w:t>
      </w:r>
      <w:r w:rsidR="00E73AF2">
        <w:t>4</w:t>
      </w:r>
      <w:r w:rsidR="00B157A0">
        <w:t xml:space="preserve"> do 2030 r. oraz </w:t>
      </w:r>
      <w:r w:rsidR="00E73AF2">
        <w:t>232</w:t>
      </w:r>
      <w:r w:rsidR="00B157A0">
        <w:t xml:space="preserve"> </w:t>
      </w:r>
      <w:r w:rsidR="00B157A0" w:rsidRPr="00D14B1C">
        <w:t>mld EUR’202</w:t>
      </w:r>
      <w:r w:rsidR="00E73AF2">
        <w:t>4</w:t>
      </w:r>
      <w:r w:rsidR="00B157A0" w:rsidRPr="00D14B1C">
        <w:t xml:space="preserve"> do 20</w:t>
      </w:r>
      <w:r w:rsidR="00620D5B" w:rsidRPr="00D14B1C">
        <w:t>4</w:t>
      </w:r>
      <w:r w:rsidR="00B157A0" w:rsidRPr="00D14B1C">
        <w:t>0</w:t>
      </w:r>
      <w:r w:rsidR="00B157A0" w:rsidRPr="00D45BE7">
        <w:t xml:space="preserve"> r. Przekłada się to na średnioroczne nakłady inwesty</w:t>
      </w:r>
      <w:r w:rsidR="00B157A0">
        <w:t>cyjne w wysokości ok. 1</w:t>
      </w:r>
      <w:r w:rsidR="00E73AF2">
        <w:t>2</w:t>
      </w:r>
      <w:r w:rsidR="00B157A0">
        <w:t xml:space="preserve"> mld EUR</w:t>
      </w:r>
      <w:r w:rsidR="00B157A0" w:rsidRPr="00D45BE7">
        <w:t>’202</w:t>
      </w:r>
      <w:r w:rsidR="00E73AF2">
        <w:t>4</w:t>
      </w:r>
      <w:r w:rsidR="00B157A0" w:rsidRPr="00F85B97">
        <w:t>.</w:t>
      </w:r>
    </w:p>
    <w:p w14:paraId="2AB34524" w14:textId="77777777" w:rsidR="004976A7" w:rsidRDefault="004976A7">
      <w:pPr>
        <w:jc w:val="left"/>
        <w:rPr>
          <w:i/>
          <w:iCs/>
          <w:color w:val="44546A" w:themeColor="text2"/>
          <w:sz w:val="18"/>
          <w:szCs w:val="18"/>
        </w:rPr>
      </w:pPr>
      <w:bookmarkStart w:id="556" w:name="_Ref195777352"/>
      <w:r>
        <w:br w:type="page"/>
      </w:r>
    </w:p>
    <w:p w14:paraId="2BD19563" w14:textId="179DCDDC" w:rsidR="006B576A" w:rsidRDefault="005C4144" w:rsidP="00D724DB">
      <w:pPr>
        <w:pStyle w:val="Legenda"/>
      </w:pPr>
      <w:bookmarkStart w:id="557" w:name="_Ref202952008"/>
      <w:bookmarkStart w:id="558" w:name="_Toc202967010"/>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4</w:t>
      </w:r>
      <w:r w:rsidR="00653D9A">
        <w:rPr>
          <w:noProof/>
        </w:rPr>
        <w:fldChar w:fldCharType="end"/>
      </w:r>
      <w:r w:rsidR="00133152">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9</w:t>
      </w:r>
      <w:r w:rsidR="00653D9A">
        <w:rPr>
          <w:noProof/>
        </w:rPr>
        <w:fldChar w:fldCharType="end"/>
      </w:r>
      <w:bookmarkEnd w:id="556"/>
      <w:bookmarkEnd w:id="557"/>
      <w:r>
        <w:t xml:space="preserve"> </w:t>
      </w:r>
      <w:r w:rsidR="006B576A" w:rsidRPr="00FE5C25">
        <w:t>Prognozowane nakłady inwestycyjne w sektorze wytwórczym w latach 2021-20</w:t>
      </w:r>
      <w:r w:rsidR="00620D5B">
        <w:t>4</w:t>
      </w:r>
      <w:r w:rsidR="006B576A" w:rsidRPr="00FE5C25">
        <w:t>0</w:t>
      </w:r>
      <w:r w:rsidR="006B576A">
        <w:t>* [mld EUR</w:t>
      </w:r>
      <w:r w:rsidR="006B576A" w:rsidRPr="00FE5C25">
        <w:t>’202</w:t>
      </w:r>
      <w:r w:rsidR="00E616ED">
        <w:t>4</w:t>
      </w:r>
      <w:r w:rsidR="006B576A" w:rsidRPr="00FE5C25">
        <w:t>]</w:t>
      </w:r>
      <w:bookmarkEnd w:id="558"/>
    </w:p>
    <w:tbl>
      <w:tblPr>
        <w:tblStyle w:val="KPEiK"/>
        <w:tblW w:w="5000" w:type="pct"/>
        <w:tblLook w:val="04A0" w:firstRow="1" w:lastRow="0" w:firstColumn="1" w:lastColumn="0" w:noHBand="0" w:noVBand="1"/>
      </w:tblPr>
      <w:tblGrid>
        <w:gridCol w:w="3227"/>
        <w:gridCol w:w="1458"/>
        <w:gridCol w:w="1459"/>
        <w:gridCol w:w="1459"/>
        <w:gridCol w:w="1459"/>
      </w:tblGrid>
      <w:tr w:rsidR="00226C43" w:rsidRPr="00746A57" w14:paraId="65CD1721" w14:textId="77777777" w:rsidTr="00683EBD">
        <w:trPr>
          <w:cnfStyle w:val="100000000000" w:firstRow="1" w:lastRow="0" w:firstColumn="0" w:lastColumn="0" w:oddVBand="0" w:evenVBand="0" w:oddHBand="0" w:evenHBand="0" w:firstRowFirstColumn="0" w:firstRowLastColumn="0" w:lastRowFirstColumn="0" w:lastRowLastColumn="0"/>
          <w:trHeight w:val="238"/>
          <w:tblHeader/>
        </w:trPr>
        <w:tc>
          <w:tcPr>
            <w:tcW w:w="3227" w:type="dxa"/>
            <w:noWrap/>
            <w:hideMark/>
          </w:tcPr>
          <w:p w14:paraId="3B77DAC4" w14:textId="77777777" w:rsidR="00683EBD" w:rsidRPr="00A11058" w:rsidRDefault="00683EBD">
            <w:pPr>
              <w:pStyle w:val="Tabele"/>
              <w:jc w:val="center"/>
              <w:rPr>
                <w:rFonts w:cs="Calibri"/>
                <w:bCs/>
                <w:szCs w:val="16"/>
                <w:lang w:eastAsia="pl-PL"/>
              </w:rPr>
            </w:pPr>
            <w:r w:rsidRPr="00A11058">
              <w:rPr>
                <w:rFonts w:cs="Calibri"/>
                <w:bCs/>
                <w:szCs w:val="16"/>
                <w:lang w:eastAsia="pl-PL"/>
              </w:rPr>
              <w:t>Sektor wytwarzania</w:t>
            </w:r>
          </w:p>
        </w:tc>
        <w:tc>
          <w:tcPr>
            <w:tcW w:w="1458" w:type="dxa"/>
            <w:noWrap/>
            <w:hideMark/>
          </w:tcPr>
          <w:p w14:paraId="00105D8F" w14:textId="77777777" w:rsidR="00683EBD" w:rsidRPr="00A11058" w:rsidRDefault="00683EBD">
            <w:pPr>
              <w:pStyle w:val="Tabele"/>
              <w:jc w:val="center"/>
              <w:rPr>
                <w:rFonts w:cs="Calibri"/>
                <w:bCs/>
                <w:szCs w:val="16"/>
                <w:lang w:eastAsia="pl-PL"/>
              </w:rPr>
            </w:pPr>
            <w:r w:rsidRPr="00A11058">
              <w:rPr>
                <w:rFonts w:cs="Calibri"/>
                <w:bCs/>
                <w:szCs w:val="16"/>
                <w:lang w:eastAsia="pl-PL"/>
              </w:rPr>
              <w:t>2021-2025</w:t>
            </w:r>
          </w:p>
        </w:tc>
        <w:tc>
          <w:tcPr>
            <w:tcW w:w="1459" w:type="dxa"/>
            <w:noWrap/>
            <w:hideMark/>
          </w:tcPr>
          <w:p w14:paraId="0EE1EDF3" w14:textId="77777777" w:rsidR="00683EBD" w:rsidRPr="00A11058" w:rsidRDefault="00683EBD">
            <w:pPr>
              <w:pStyle w:val="Tabele"/>
              <w:jc w:val="center"/>
              <w:rPr>
                <w:rFonts w:cs="Calibri"/>
                <w:bCs/>
                <w:szCs w:val="16"/>
                <w:lang w:eastAsia="pl-PL"/>
              </w:rPr>
            </w:pPr>
            <w:r w:rsidRPr="00A11058">
              <w:rPr>
                <w:rFonts w:cs="Calibri"/>
                <w:bCs/>
                <w:szCs w:val="16"/>
                <w:lang w:eastAsia="pl-PL"/>
              </w:rPr>
              <w:t>2026-2030</w:t>
            </w:r>
          </w:p>
        </w:tc>
        <w:tc>
          <w:tcPr>
            <w:tcW w:w="1459" w:type="dxa"/>
            <w:noWrap/>
            <w:hideMark/>
          </w:tcPr>
          <w:p w14:paraId="0C724332" w14:textId="77777777" w:rsidR="00683EBD" w:rsidRPr="00A11058" w:rsidRDefault="00683EBD">
            <w:pPr>
              <w:pStyle w:val="Tabele"/>
              <w:jc w:val="center"/>
              <w:rPr>
                <w:rFonts w:cs="Calibri"/>
                <w:bCs/>
                <w:szCs w:val="16"/>
                <w:lang w:eastAsia="pl-PL"/>
              </w:rPr>
            </w:pPr>
            <w:r w:rsidRPr="00A11058">
              <w:rPr>
                <w:rFonts w:cs="Calibri"/>
                <w:bCs/>
                <w:szCs w:val="16"/>
                <w:lang w:eastAsia="pl-PL"/>
              </w:rPr>
              <w:t>2031-2035</w:t>
            </w:r>
          </w:p>
        </w:tc>
        <w:tc>
          <w:tcPr>
            <w:tcW w:w="1459" w:type="dxa"/>
            <w:noWrap/>
            <w:hideMark/>
          </w:tcPr>
          <w:p w14:paraId="168893FA" w14:textId="77777777" w:rsidR="00683EBD" w:rsidRPr="00A11058" w:rsidRDefault="00683EBD">
            <w:pPr>
              <w:pStyle w:val="Tabele"/>
              <w:jc w:val="center"/>
              <w:rPr>
                <w:rFonts w:cs="Calibri"/>
                <w:bCs/>
                <w:szCs w:val="16"/>
                <w:lang w:eastAsia="pl-PL"/>
              </w:rPr>
            </w:pPr>
            <w:r w:rsidRPr="00A11058">
              <w:rPr>
                <w:rFonts w:cs="Calibri"/>
                <w:bCs/>
                <w:szCs w:val="16"/>
                <w:lang w:eastAsia="pl-PL"/>
              </w:rPr>
              <w:t>2036-2040</w:t>
            </w:r>
          </w:p>
        </w:tc>
      </w:tr>
      <w:tr w:rsidR="00683EBD" w:rsidRPr="00746A57" w14:paraId="17D28D27" w14:textId="77777777">
        <w:trPr>
          <w:trHeight w:val="238"/>
        </w:trPr>
        <w:tc>
          <w:tcPr>
            <w:tcW w:w="9062" w:type="dxa"/>
            <w:gridSpan w:val="5"/>
            <w:noWrap/>
            <w:hideMark/>
          </w:tcPr>
          <w:p w14:paraId="7C93F1ED" w14:textId="260FD7BC" w:rsidR="00683EBD" w:rsidRPr="00823AF0" w:rsidRDefault="00683EBD">
            <w:pPr>
              <w:pStyle w:val="Tabele"/>
              <w:rPr>
                <w:b/>
                <w:color w:val="000000"/>
                <w:lang w:eastAsia="pl-PL"/>
              </w:rPr>
            </w:pPr>
            <w:r w:rsidRPr="00823AF0">
              <w:rPr>
                <w:b/>
                <w:color w:val="000000"/>
                <w:lang w:eastAsia="pl-PL"/>
              </w:rPr>
              <w:t>Inwestycje w sektorze wytwarzania energii elektrycznej [mld. EUR'202</w:t>
            </w:r>
            <w:r w:rsidR="00E616ED">
              <w:rPr>
                <w:b/>
                <w:color w:val="000000"/>
                <w:lang w:eastAsia="pl-PL"/>
              </w:rPr>
              <w:t>4</w:t>
            </w:r>
            <w:r w:rsidRPr="00823AF0">
              <w:rPr>
                <w:b/>
                <w:color w:val="000000"/>
                <w:lang w:eastAsia="pl-PL"/>
              </w:rPr>
              <w:t>]</w:t>
            </w:r>
          </w:p>
        </w:tc>
      </w:tr>
      <w:tr w:rsidR="00AB3985" w:rsidRPr="006C4CDF" w14:paraId="67B4BAE8" w14:textId="77777777" w:rsidTr="00683EBD">
        <w:trPr>
          <w:trHeight w:val="238"/>
        </w:trPr>
        <w:tc>
          <w:tcPr>
            <w:tcW w:w="3227" w:type="dxa"/>
            <w:noWrap/>
            <w:hideMark/>
          </w:tcPr>
          <w:p w14:paraId="037DD56F" w14:textId="77777777" w:rsidR="00AB3985" w:rsidRPr="006C4CDF" w:rsidRDefault="00AB3985" w:rsidP="00AB3985">
            <w:pPr>
              <w:pStyle w:val="Tabele"/>
              <w:rPr>
                <w:color w:val="auto"/>
                <w:lang w:eastAsia="pl-PL"/>
              </w:rPr>
            </w:pPr>
            <w:r w:rsidRPr="006C4CDF">
              <w:rPr>
                <w:color w:val="auto"/>
                <w:lang w:eastAsia="pl-PL"/>
              </w:rPr>
              <w:t>Łącznie</w:t>
            </w:r>
          </w:p>
        </w:tc>
        <w:tc>
          <w:tcPr>
            <w:tcW w:w="1458" w:type="dxa"/>
            <w:noWrap/>
            <w:hideMark/>
          </w:tcPr>
          <w:p w14:paraId="0D71A2A6" w14:textId="77214534" w:rsidR="00AB3985" w:rsidRPr="00AB3985" w:rsidRDefault="00AB3985" w:rsidP="00AB3985">
            <w:pPr>
              <w:pStyle w:val="Tabele"/>
              <w:jc w:val="right"/>
              <w:rPr>
                <w:color w:val="auto"/>
                <w:lang w:eastAsia="pl-PL"/>
              </w:rPr>
            </w:pPr>
            <w:r w:rsidRPr="00AB3985">
              <w:rPr>
                <w:rFonts w:cs="Arial"/>
                <w:b/>
                <w:bCs/>
                <w:color w:val="auto"/>
                <w:szCs w:val="16"/>
              </w:rPr>
              <w:t>39,9</w:t>
            </w:r>
          </w:p>
        </w:tc>
        <w:tc>
          <w:tcPr>
            <w:tcW w:w="1459" w:type="dxa"/>
            <w:noWrap/>
            <w:hideMark/>
          </w:tcPr>
          <w:p w14:paraId="5B796AEF" w14:textId="1D3D7D0C" w:rsidR="00AB3985" w:rsidRPr="00AB3985" w:rsidRDefault="00AB3985" w:rsidP="00AB3985">
            <w:pPr>
              <w:pStyle w:val="Tabele"/>
              <w:jc w:val="right"/>
              <w:rPr>
                <w:color w:val="auto"/>
                <w:lang w:eastAsia="pl-PL"/>
              </w:rPr>
            </w:pPr>
            <w:r w:rsidRPr="00AB3985">
              <w:rPr>
                <w:rFonts w:cs="Arial"/>
                <w:b/>
                <w:bCs/>
                <w:color w:val="auto"/>
                <w:szCs w:val="16"/>
              </w:rPr>
              <w:t>53,4</w:t>
            </w:r>
          </w:p>
        </w:tc>
        <w:tc>
          <w:tcPr>
            <w:tcW w:w="1459" w:type="dxa"/>
            <w:noWrap/>
            <w:hideMark/>
          </w:tcPr>
          <w:p w14:paraId="5C08283E" w14:textId="35877825" w:rsidR="00AB3985" w:rsidRPr="00AB3985" w:rsidRDefault="00AB3985" w:rsidP="00AB3985">
            <w:pPr>
              <w:pStyle w:val="Tabele"/>
              <w:jc w:val="right"/>
              <w:rPr>
                <w:color w:val="auto"/>
                <w:lang w:eastAsia="pl-PL"/>
              </w:rPr>
            </w:pPr>
            <w:r w:rsidRPr="00AB3985">
              <w:rPr>
                <w:rFonts w:cs="Arial"/>
                <w:b/>
                <w:bCs/>
                <w:color w:val="auto"/>
                <w:szCs w:val="16"/>
              </w:rPr>
              <w:t>53,5</w:t>
            </w:r>
          </w:p>
        </w:tc>
        <w:tc>
          <w:tcPr>
            <w:tcW w:w="1459" w:type="dxa"/>
            <w:noWrap/>
            <w:hideMark/>
          </w:tcPr>
          <w:p w14:paraId="3FFCAF0F" w14:textId="3E9FA5FE" w:rsidR="00AB3985" w:rsidRPr="00AB3985" w:rsidRDefault="00AB3985" w:rsidP="00AB3985">
            <w:pPr>
              <w:pStyle w:val="Tabele"/>
              <w:jc w:val="right"/>
              <w:rPr>
                <w:color w:val="auto"/>
                <w:lang w:eastAsia="pl-PL"/>
              </w:rPr>
            </w:pPr>
            <w:r w:rsidRPr="00AB3985">
              <w:rPr>
                <w:rFonts w:cs="Arial"/>
                <w:b/>
                <w:bCs/>
                <w:color w:val="auto"/>
                <w:szCs w:val="16"/>
              </w:rPr>
              <w:t>84,6</w:t>
            </w:r>
          </w:p>
        </w:tc>
      </w:tr>
      <w:tr w:rsidR="00AB3985" w:rsidRPr="006C4CDF" w14:paraId="24B4F2FE" w14:textId="77777777" w:rsidTr="00683EBD">
        <w:trPr>
          <w:trHeight w:val="238"/>
        </w:trPr>
        <w:tc>
          <w:tcPr>
            <w:tcW w:w="3227" w:type="dxa"/>
            <w:noWrap/>
            <w:hideMark/>
          </w:tcPr>
          <w:p w14:paraId="1B733BBD" w14:textId="77777777" w:rsidR="00AB3985" w:rsidRPr="006C4CDF" w:rsidRDefault="00AB3985" w:rsidP="00AB3985">
            <w:pPr>
              <w:pStyle w:val="Tabele"/>
              <w:rPr>
                <w:color w:val="auto"/>
                <w:lang w:eastAsia="pl-PL"/>
              </w:rPr>
            </w:pPr>
            <w:r w:rsidRPr="006C4CDF">
              <w:rPr>
                <w:color w:val="auto"/>
                <w:lang w:eastAsia="pl-PL"/>
              </w:rPr>
              <w:t xml:space="preserve"> Elektrownie</w:t>
            </w:r>
          </w:p>
        </w:tc>
        <w:tc>
          <w:tcPr>
            <w:tcW w:w="1458" w:type="dxa"/>
            <w:noWrap/>
            <w:hideMark/>
          </w:tcPr>
          <w:p w14:paraId="2EC772E4" w14:textId="2E339C2F" w:rsidR="00AB3985" w:rsidRPr="00AB3985" w:rsidRDefault="00AB3985" w:rsidP="00AB3985">
            <w:pPr>
              <w:pStyle w:val="Tabele"/>
              <w:jc w:val="right"/>
              <w:rPr>
                <w:color w:val="auto"/>
                <w:lang w:eastAsia="pl-PL"/>
              </w:rPr>
            </w:pPr>
            <w:r w:rsidRPr="00AB3985">
              <w:rPr>
                <w:rFonts w:cs="Arial"/>
                <w:color w:val="auto"/>
                <w:szCs w:val="16"/>
              </w:rPr>
              <w:t>37,0</w:t>
            </w:r>
          </w:p>
        </w:tc>
        <w:tc>
          <w:tcPr>
            <w:tcW w:w="1459" w:type="dxa"/>
            <w:noWrap/>
            <w:hideMark/>
          </w:tcPr>
          <w:p w14:paraId="348F5544" w14:textId="26D6F681" w:rsidR="00AB3985" w:rsidRPr="00AB3985" w:rsidRDefault="00AB3985" w:rsidP="00AB3985">
            <w:pPr>
              <w:pStyle w:val="Tabele"/>
              <w:jc w:val="right"/>
              <w:rPr>
                <w:color w:val="auto"/>
                <w:lang w:eastAsia="pl-PL"/>
              </w:rPr>
            </w:pPr>
            <w:r w:rsidRPr="00AB3985">
              <w:rPr>
                <w:rFonts w:cs="Arial"/>
                <w:color w:val="auto"/>
                <w:szCs w:val="16"/>
              </w:rPr>
              <w:t>43,2</w:t>
            </w:r>
          </w:p>
        </w:tc>
        <w:tc>
          <w:tcPr>
            <w:tcW w:w="1459" w:type="dxa"/>
            <w:noWrap/>
            <w:hideMark/>
          </w:tcPr>
          <w:p w14:paraId="79C6F3A2" w14:textId="77991800" w:rsidR="00AB3985" w:rsidRPr="00AB3985" w:rsidRDefault="00AB3985" w:rsidP="00AB3985">
            <w:pPr>
              <w:pStyle w:val="Tabele"/>
              <w:jc w:val="right"/>
              <w:rPr>
                <w:color w:val="auto"/>
                <w:lang w:eastAsia="pl-PL"/>
              </w:rPr>
            </w:pPr>
            <w:r w:rsidRPr="00AB3985">
              <w:rPr>
                <w:rFonts w:cs="Arial"/>
                <w:color w:val="auto"/>
                <w:szCs w:val="16"/>
              </w:rPr>
              <w:t>54,6</w:t>
            </w:r>
          </w:p>
        </w:tc>
        <w:tc>
          <w:tcPr>
            <w:tcW w:w="1459" w:type="dxa"/>
            <w:noWrap/>
            <w:hideMark/>
          </w:tcPr>
          <w:p w14:paraId="607D7733" w14:textId="331290B4" w:rsidR="00AB3985" w:rsidRPr="00AB3985" w:rsidRDefault="00AB3985" w:rsidP="00AB3985">
            <w:pPr>
              <w:pStyle w:val="Tabele"/>
              <w:jc w:val="right"/>
              <w:rPr>
                <w:color w:val="auto"/>
                <w:lang w:eastAsia="pl-PL"/>
              </w:rPr>
            </w:pPr>
            <w:r w:rsidRPr="00AB3985">
              <w:rPr>
                <w:rFonts w:cs="Arial"/>
                <w:color w:val="auto"/>
                <w:szCs w:val="16"/>
              </w:rPr>
              <w:t>78,4</w:t>
            </w:r>
          </w:p>
        </w:tc>
      </w:tr>
      <w:tr w:rsidR="00AB3985" w:rsidRPr="006C4CDF" w14:paraId="0925B899" w14:textId="77777777" w:rsidTr="00683EBD">
        <w:trPr>
          <w:trHeight w:val="238"/>
        </w:trPr>
        <w:tc>
          <w:tcPr>
            <w:tcW w:w="3227" w:type="dxa"/>
            <w:noWrap/>
            <w:hideMark/>
          </w:tcPr>
          <w:p w14:paraId="4CDAB83D" w14:textId="77777777" w:rsidR="00AB3985" w:rsidRPr="006C4CDF" w:rsidRDefault="00AB3985" w:rsidP="00AB3985">
            <w:pPr>
              <w:pStyle w:val="Tabele"/>
              <w:rPr>
                <w:color w:val="auto"/>
                <w:lang w:eastAsia="pl-PL"/>
              </w:rPr>
            </w:pPr>
            <w:r w:rsidRPr="006C4CDF">
              <w:rPr>
                <w:color w:val="auto"/>
                <w:lang w:eastAsia="pl-PL"/>
              </w:rPr>
              <w:t xml:space="preserve"> Elektrociepłownie</w:t>
            </w:r>
          </w:p>
        </w:tc>
        <w:tc>
          <w:tcPr>
            <w:tcW w:w="1458" w:type="dxa"/>
            <w:noWrap/>
            <w:hideMark/>
          </w:tcPr>
          <w:p w14:paraId="7DDADE50" w14:textId="1FE1FEAF" w:rsidR="00AB3985" w:rsidRPr="00AB3985" w:rsidRDefault="00AB3985" w:rsidP="00AB3985">
            <w:pPr>
              <w:pStyle w:val="Tabele"/>
              <w:jc w:val="right"/>
              <w:rPr>
                <w:color w:val="auto"/>
                <w:lang w:eastAsia="pl-PL"/>
              </w:rPr>
            </w:pPr>
            <w:r w:rsidRPr="00AB3985">
              <w:rPr>
                <w:rFonts w:cs="Arial"/>
                <w:color w:val="auto"/>
                <w:szCs w:val="16"/>
              </w:rPr>
              <w:t>2,9</w:t>
            </w:r>
          </w:p>
        </w:tc>
        <w:tc>
          <w:tcPr>
            <w:tcW w:w="1459" w:type="dxa"/>
            <w:noWrap/>
            <w:hideMark/>
          </w:tcPr>
          <w:p w14:paraId="508FA151" w14:textId="26FA75FC" w:rsidR="00AB3985" w:rsidRPr="00AB3985" w:rsidRDefault="00AB3985" w:rsidP="00AB3985">
            <w:pPr>
              <w:pStyle w:val="Tabele"/>
              <w:jc w:val="right"/>
              <w:rPr>
                <w:color w:val="auto"/>
                <w:lang w:eastAsia="pl-PL"/>
              </w:rPr>
            </w:pPr>
            <w:r w:rsidRPr="00AB3985">
              <w:rPr>
                <w:rFonts w:cs="Arial"/>
                <w:color w:val="auto"/>
                <w:szCs w:val="16"/>
              </w:rPr>
              <w:t>3,4</w:t>
            </w:r>
          </w:p>
        </w:tc>
        <w:tc>
          <w:tcPr>
            <w:tcW w:w="1459" w:type="dxa"/>
            <w:noWrap/>
            <w:hideMark/>
          </w:tcPr>
          <w:p w14:paraId="312C7CD0" w14:textId="4BA8C699" w:rsidR="00AB3985" w:rsidRPr="00AB3985" w:rsidRDefault="00AB3985" w:rsidP="00AB3985">
            <w:pPr>
              <w:pStyle w:val="Tabele"/>
              <w:jc w:val="right"/>
              <w:rPr>
                <w:color w:val="auto"/>
                <w:lang w:eastAsia="pl-PL"/>
              </w:rPr>
            </w:pPr>
            <w:r w:rsidRPr="00AB3985">
              <w:rPr>
                <w:rFonts w:cs="Arial"/>
                <w:color w:val="auto"/>
                <w:szCs w:val="16"/>
              </w:rPr>
              <w:t>2,2</w:t>
            </w:r>
          </w:p>
        </w:tc>
        <w:tc>
          <w:tcPr>
            <w:tcW w:w="1459" w:type="dxa"/>
            <w:noWrap/>
            <w:hideMark/>
          </w:tcPr>
          <w:p w14:paraId="12BD0FFB" w14:textId="00BF9446" w:rsidR="00AB3985" w:rsidRPr="00AB3985" w:rsidRDefault="00AB3985" w:rsidP="00AB3985">
            <w:pPr>
              <w:pStyle w:val="Tabele"/>
              <w:jc w:val="right"/>
              <w:rPr>
                <w:color w:val="auto"/>
                <w:lang w:eastAsia="pl-PL"/>
              </w:rPr>
            </w:pPr>
            <w:r w:rsidRPr="00AB3985">
              <w:rPr>
                <w:rFonts w:cs="Arial"/>
                <w:color w:val="auto"/>
                <w:szCs w:val="16"/>
              </w:rPr>
              <w:t>1,4</w:t>
            </w:r>
          </w:p>
        </w:tc>
      </w:tr>
      <w:tr w:rsidR="00AB3985" w:rsidRPr="006C4CDF" w14:paraId="6EA753D6" w14:textId="77777777" w:rsidTr="00683EBD">
        <w:trPr>
          <w:trHeight w:val="238"/>
        </w:trPr>
        <w:tc>
          <w:tcPr>
            <w:tcW w:w="3227" w:type="dxa"/>
            <w:noWrap/>
            <w:hideMark/>
          </w:tcPr>
          <w:p w14:paraId="072771CB" w14:textId="77777777" w:rsidR="00AB3985" w:rsidRPr="006C4CDF" w:rsidRDefault="00AB3985" w:rsidP="00AB3985">
            <w:pPr>
              <w:pStyle w:val="Tabele"/>
              <w:rPr>
                <w:color w:val="auto"/>
                <w:lang w:eastAsia="pl-PL"/>
              </w:rPr>
            </w:pPr>
            <w:r w:rsidRPr="006C4CDF">
              <w:rPr>
                <w:color w:val="auto"/>
                <w:lang w:eastAsia="pl-PL"/>
              </w:rPr>
              <w:t xml:space="preserve"> Magazyny en.</w:t>
            </w:r>
          </w:p>
        </w:tc>
        <w:tc>
          <w:tcPr>
            <w:tcW w:w="1458" w:type="dxa"/>
            <w:noWrap/>
            <w:hideMark/>
          </w:tcPr>
          <w:p w14:paraId="0F4532AB" w14:textId="57CFA9EB" w:rsidR="00AB3985" w:rsidRPr="00AB3985" w:rsidRDefault="00AB3985" w:rsidP="00AB3985">
            <w:pPr>
              <w:pStyle w:val="Tabele"/>
              <w:jc w:val="right"/>
              <w:rPr>
                <w:color w:val="auto"/>
                <w:lang w:eastAsia="pl-PL"/>
              </w:rPr>
            </w:pPr>
            <w:r w:rsidRPr="00AB3985">
              <w:rPr>
                <w:rFonts w:cs="Arial"/>
                <w:color w:val="auto"/>
                <w:szCs w:val="16"/>
              </w:rPr>
              <w:t>0,8</w:t>
            </w:r>
          </w:p>
        </w:tc>
        <w:tc>
          <w:tcPr>
            <w:tcW w:w="1459" w:type="dxa"/>
            <w:noWrap/>
            <w:hideMark/>
          </w:tcPr>
          <w:p w14:paraId="6CB58D41" w14:textId="76B0E97C" w:rsidR="00AB3985" w:rsidRPr="00AB3985" w:rsidRDefault="00AB3985" w:rsidP="00AB3985">
            <w:pPr>
              <w:pStyle w:val="Tabele"/>
              <w:jc w:val="right"/>
              <w:rPr>
                <w:color w:val="auto"/>
                <w:lang w:eastAsia="pl-PL"/>
              </w:rPr>
            </w:pPr>
            <w:r w:rsidRPr="00AB3985">
              <w:rPr>
                <w:rFonts w:cs="Arial"/>
                <w:color w:val="auto"/>
                <w:szCs w:val="16"/>
              </w:rPr>
              <w:t>4,7</w:t>
            </w:r>
          </w:p>
        </w:tc>
        <w:tc>
          <w:tcPr>
            <w:tcW w:w="1459" w:type="dxa"/>
            <w:noWrap/>
            <w:hideMark/>
          </w:tcPr>
          <w:p w14:paraId="0BF8ED3A" w14:textId="48886735" w:rsidR="00AB3985" w:rsidRPr="00AB3985" w:rsidRDefault="00AB3985" w:rsidP="00AB3985">
            <w:pPr>
              <w:pStyle w:val="Tabele"/>
              <w:jc w:val="right"/>
              <w:rPr>
                <w:color w:val="auto"/>
                <w:lang w:eastAsia="pl-PL"/>
              </w:rPr>
            </w:pPr>
            <w:r w:rsidRPr="00AB3985">
              <w:rPr>
                <w:rFonts w:cs="Arial"/>
                <w:color w:val="auto"/>
                <w:szCs w:val="16"/>
              </w:rPr>
              <w:t>4,6</w:t>
            </w:r>
          </w:p>
        </w:tc>
        <w:tc>
          <w:tcPr>
            <w:tcW w:w="1459" w:type="dxa"/>
            <w:noWrap/>
            <w:hideMark/>
          </w:tcPr>
          <w:p w14:paraId="67B19239" w14:textId="09037B76" w:rsidR="00AB3985" w:rsidRPr="00AB3985" w:rsidRDefault="00AB3985" w:rsidP="00AB3985">
            <w:pPr>
              <w:pStyle w:val="Tabele"/>
              <w:jc w:val="right"/>
              <w:rPr>
                <w:color w:val="auto"/>
                <w:lang w:eastAsia="pl-PL"/>
              </w:rPr>
            </w:pPr>
            <w:r w:rsidRPr="00AB3985">
              <w:rPr>
                <w:rFonts w:cs="Arial"/>
                <w:color w:val="auto"/>
                <w:szCs w:val="16"/>
              </w:rPr>
              <w:t>5,0</w:t>
            </w:r>
          </w:p>
        </w:tc>
      </w:tr>
      <w:tr w:rsidR="00AB3985" w:rsidRPr="006C4CDF" w14:paraId="086F44C1" w14:textId="77777777" w:rsidTr="00683EBD">
        <w:trPr>
          <w:trHeight w:val="238"/>
        </w:trPr>
        <w:tc>
          <w:tcPr>
            <w:tcW w:w="3227" w:type="dxa"/>
            <w:noWrap/>
            <w:hideMark/>
          </w:tcPr>
          <w:p w14:paraId="244821CB" w14:textId="77777777" w:rsidR="00AB3985" w:rsidRPr="006C4CDF" w:rsidRDefault="00AB3985" w:rsidP="00AB3985">
            <w:pPr>
              <w:pStyle w:val="Tabele"/>
              <w:rPr>
                <w:color w:val="auto"/>
                <w:lang w:eastAsia="pl-PL"/>
              </w:rPr>
            </w:pPr>
            <w:r w:rsidRPr="006C4CDF">
              <w:rPr>
                <w:color w:val="auto"/>
                <w:lang w:eastAsia="pl-PL"/>
              </w:rPr>
              <w:t xml:space="preserve"> Elektrolizery</w:t>
            </w:r>
          </w:p>
        </w:tc>
        <w:tc>
          <w:tcPr>
            <w:tcW w:w="1458" w:type="dxa"/>
            <w:noWrap/>
            <w:hideMark/>
          </w:tcPr>
          <w:p w14:paraId="7E4535B2" w14:textId="63A45E58" w:rsidR="00AB3985" w:rsidRPr="00AB3985" w:rsidRDefault="00AB3985" w:rsidP="00AB3985">
            <w:pPr>
              <w:pStyle w:val="Tabele"/>
              <w:jc w:val="right"/>
              <w:rPr>
                <w:color w:val="auto"/>
                <w:lang w:eastAsia="pl-PL"/>
              </w:rPr>
            </w:pPr>
            <w:r w:rsidRPr="00AB3985">
              <w:rPr>
                <w:rFonts w:cs="Arial"/>
                <w:color w:val="auto"/>
                <w:szCs w:val="16"/>
              </w:rPr>
              <w:t>0,0</w:t>
            </w:r>
          </w:p>
        </w:tc>
        <w:tc>
          <w:tcPr>
            <w:tcW w:w="1459" w:type="dxa"/>
            <w:noWrap/>
            <w:hideMark/>
          </w:tcPr>
          <w:p w14:paraId="4029DC69" w14:textId="0B05CBDF" w:rsidR="00AB3985" w:rsidRPr="00AB3985" w:rsidRDefault="00AB3985" w:rsidP="00AB3985">
            <w:pPr>
              <w:pStyle w:val="Tabele"/>
              <w:jc w:val="right"/>
              <w:rPr>
                <w:color w:val="auto"/>
                <w:lang w:eastAsia="pl-PL"/>
              </w:rPr>
            </w:pPr>
            <w:r w:rsidRPr="00AB3985">
              <w:rPr>
                <w:rFonts w:cs="Arial"/>
                <w:color w:val="auto"/>
                <w:szCs w:val="16"/>
              </w:rPr>
              <w:t>0,7</w:t>
            </w:r>
          </w:p>
        </w:tc>
        <w:tc>
          <w:tcPr>
            <w:tcW w:w="1459" w:type="dxa"/>
            <w:noWrap/>
            <w:hideMark/>
          </w:tcPr>
          <w:p w14:paraId="20F96D9B" w14:textId="372191B0" w:rsidR="00AB3985" w:rsidRPr="00AB3985" w:rsidRDefault="00AB3985" w:rsidP="00AB3985">
            <w:pPr>
              <w:pStyle w:val="Tabele"/>
              <w:jc w:val="right"/>
              <w:rPr>
                <w:color w:val="auto"/>
                <w:lang w:eastAsia="pl-PL"/>
              </w:rPr>
            </w:pPr>
            <w:r w:rsidRPr="00AB3985">
              <w:rPr>
                <w:rFonts w:cs="Arial"/>
                <w:color w:val="auto"/>
                <w:szCs w:val="16"/>
              </w:rPr>
              <w:t>1,9</w:t>
            </w:r>
          </w:p>
        </w:tc>
        <w:tc>
          <w:tcPr>
            <w:tcW w:w="1459" w:type="dxa"/>
            <w:noWrap/>
            <w:hideMark/>
          </w:tcPr>
          <w:p w14:paraId="1BEE9566" w14:textId="0776DDF0" w:rsidR="00AB3985" w:rsidRPr="00AB3985" w:rsidRDefault="00AB3985" w:rsidP="00AB3985">
            <w:pPr>
              <w:pStyle w:val="Tabele"/>
              <w:jc w:val="right"/>
              <w:rPr>
                <w:color w:val="auto"/>
                <w:lang w:eastAsia="pl-PL"/>
              </w:rPr>
            </w:pPr>
            <w:r w:rsidRPr="00AB3985">
              <w:rPr>
                <w:rFonts w:cs="Arial"/>
                <w:color w:val="auto"/>
                <w:szCs w:val="16"/>
              </w:rPr>
              <w:t>4,8</w:t>
            </w:r>
          </w:p>
        </w:tc>
      </w:tr>
      <w:tr w:rsidR="00AB3985" w:rsidRPr="006C4CDF" w14:paraId="369011E1" w14:textId="77777777" w:rsidTr="00683EBD">
        <w:trPr>
          <w:trHeight w:val="238"/>
        </w:trPr>
        <w:tc>
          <w:tcPr>
            <w:tcW w:w="3227" w:type="dxa"/>
            <w:noWrap/>
            <w:hideMark/>
          </w:tcPr>
          <w:p w14:paraId="2FAD4FD8" w14:textId="77777777" w:rsidR="00AB3985" w:rsidRPr="006C4CDF" w:rsidRDefault="00AB3985" w:rsidP="00AB3985">
            <w:pPr>
              <w:pStyle w:val="Tabele"/>
              <w:rPr>
                <w:color w:val="auto"/>
                <w:lang w:eastAsia="pl-PL"/>
              </w:rPr>
            </w:pPr>
            <w:r w:rsidRPr="006C4CDF">
              <w:rPr>
                <w:color w:val="auto"/>
                <w:lang w:eastAsia="pl-PL"/>
              </w:rPr>
              <w:t>W tym paliwa:</w:t>
            </w:r>
          </w:p>
        </w:tc>
        <w:tc>
          <w:tcPr>
            <w:tcW w:w="1458" w:type="dxa"/>
            <w:noWrap/>
            <w:hideMark/>
          </w:tcPr>
          <w:p w14:paraId="26DCDFFF" w14:textId="387DB08C" w:rsidR="00AB3985" w:rsidRPr="00AB3985" w:rsidRDefault="00AB3985" w:rsidP="00AB3985">
            <w:pPr>
              <w:pStyle w:val="Tabele"/>
              <w:jc w:val="right"/>
              <w:rPr>
                <w:color w:val="auto"/>
                <w:lang w:eastAsia="pl-PL"/>
              </w:rPr>
            </w:pPr>
            <w:r w:rsidRPr="00AB3985">
              <w:rPr>
                <w:rFonts w:cs="Arial"/>
                <w:color w:val="auto"/>
                <w:szCs w:val="16"/>
              </w:rPr>
              <w:t>0,0</w:t>
            </w:r>
          </w:p>
        </w:tc>
        <w:tc>
          <w:tcPr>
            <w:tcW w:w="1459" w:type="dxa"/>
            <w:noWrap/>
            <w:hideMark/>
          </w:tcPr>
          <w:p w14:paraId="0289FAE7" w14:textId="70A2E30B" w:rsidR="00AB3985" w:rsidRPr="00AB3985" w:rsidRDefault="00AB3985" w:rsidP="00AB3985">
            <w:pPr>
              <w:pStyle w:val="Tabele"/>
              <w:jc w:val="right"/>
              <w:rPr>
                <w:color w:val="auto"/>
                <w:lang w:eastAsia="pl-PL"/>
              </w:rPr>
            </w:pPr>
            <w:r w:rsidRPr="00AB3985">
              <w:rPr>
                <w:rFonts w:cs="Arial"/>
                <w:color w:val="auto"/>
                <w:szCs w:val="16"/>
              </w:rPr>
              <w:t>0,0</w:t>
            </w:r>
          </w:p>
        </w:tc>
        <w:tc>
          <w:tcPr>
            <w:tcW w:w="1459" w:type="dxa"/>
            <w:noWrap/>
            <w:hideMark/>
          </w:tcPr>
          <w:p w14:paraId="026B2B6A" w14:textId="281EDAF4" w:rsidR="00AB3985" w:rsidRPr="00AB3985" w:rsidRDefault="00AB3985" w:rsidP="00AB3985">
            <w:pPr>
              <w:pStyle w:val="Tabele"/>
              <w:jc w:val="right"/>
              <w:rPr>
                <w:color w:val="auto"/>
                <w:lang w:eastAsia="pl-PL"/>
              </w:rPr>
            </w:pPr>
            <w:r w:rsidRPr="00AB3985">
              <w:rPr>
                <w:rFonts w:cs="Arial"/>
                <w:color w:val="auto"/>
                <w:szCs w:val="16"/>
              </w:rPr>
              <w:t>0,0</w:t>
            </w:r>
          </w:p>
        </w:tc>
        <w:tc>
          <w:tcPr>
            <w:tcW w:w="1459" w:type="dxa"/>
            <w:noWrap/>
            <w:hideMark/>
          </w:tcPr>
          <w:p w14:paraId="646D3D87" w14:textId="3A230418" w:rsidR="00AB3985" w:rsidRPr="00AB3985" w:rsidRDefault="00AB3985" w:rsidP="00AB3985">
            <w:pPr>
              <w:pStyle w:val="Tabele"/>
              <w:jc w:val="right"/>
              <w:rPr>
                <w:color w:val="auto"/>
                <w:lang w:eastAsia="pl-PL"/>
              </w:rPr>
            </w:pPr>
            <w:r w:rsidRPr="00AB3985">
              <w:rPr>
                <w:rFonts w:cs="Arial"/>
                <w:color w:val="auto"/>
                <w:szCs w:val="16"/>
              </w:rPr>
              <w:t>0,0</w:t>
            </w:r>
          </w:p>
        </w:tc>
      </w:tr>
      <w:tr w:rsidR="00AB3985" w:rsidRPr="006C4CDF" w14:paraId="3DDF6BA6" w14:textId="77777777" w:rsidTr="00683EBD">
        <w:trPr>
          <w:trHeight w:val="238"/>
        </w:trPr>
        <w:tc>
          <w:tcPr>
            <w:tcW w:w="3227" w:type="dxa"/>
            <w:noWrap/>
            <w:hideMark/>
          </w:tcPr>
          <w:p w14:paraId="500AC76B" w14:textId="77777777" w:rsidR="00AB3985" w:rsidRPr="006C4CDF" w:rsidRDefault="00AB3985" w:rsidP="00AB3985">
            <w:pPr>
              <w:pStyle w:val="Tabele"/>
              <w:rPr>
                <w:color w:val="auto"/>
                <w:lang w:eastAsia="pl-PL"/>
              </w:rPr>
            </w:pPr>
            <w:r w:rsidRPr="006C4CDF">
              <w:rPr>
                <w:color w:val="auto"/>
                <w:lang w:eastAsia="pl-PL"/>
              </w:rPr>
              <w:t xml:space="preserve"> Węgiel</w:t>
            </w:r>
          </w:p>
        </w:tc>
        <w:tc>
          <w:tcPr>
            <w:tcW w:w="1458" w:type="dxa"/>
            <w:noWrap/>
            <w:hideMark/>
          </w:tcPr>
          <w:p w14:paraId="4891362D" w14:textId="5E205A9C" w:rsidR="00AB3985" w:rsidRPr="00AB3985" w:rsidRDefault="00AB3985" w:rsidP="00AB3985">
            <w:pPr>
              <w:pStyle w:val="Tabele"/>
              <w:jc w:val="right"/>
              <w:rPr>
                <w:color w:val="auto"/>
                <w:lang w:eastAsia="pl-PL"/>
              </w:rPr>
            </w:pPr>
            <w:r w:rsidRPr="00AB3985">
              <w:rPr>
                <w:rFonts w:cs="Arial"/>
                <w:color w:val="auto"/>
                <w:szCs w:val="16"/>
              </w:rPr>
              <w:t>4,9</w:t>
            </w:r>
          </w:p>
        </w:tc>
        <w:tc>
          <w:tcPr>
            <w:tcW w:w="1459" w:type="dxa"/>
            <w:noWrap/>
            <w:hideMark/>
          </w:tcPr>
          <w:p w14:paraId="05D8422E" w14:textId="48E36212" w:rsidR="00AB3985" w:rsidRPr="00AB3985" w:rsidRDefault="00AB3985" w:rsidP="00AB3985">
            <w:pPr>
              <w:pStyle w:val="Tabele"/>
              <w:jc w:val="right"/>
              <w:rPr>
                <w:color w:val="auto"/>
                <w:lang w:eastAsia="pl-PL"/>
              </w:rPr>
            </w:pPr>
            <w:r w:rsidRPr="00AB3985">
              <w:rPr>
                <w:rFonts w:cs="Arial"/>
                <w:color w:val="auto"/>
                <w:szCs w:val="16"/>
              </w:rPr>
              <w:t>0,0</w:t>
            </w:r>
          </w:p>
        </w:tc>
        <w:tc>
          <w:tcPr>
            <w:tcW w:w="1459" w:type="dxa"/>
            <w:noWrap/>
            <w:hideMark/>
          </w:tcPr>
          <w:p w14:paraId="546F8C6B" w14:textId="769926D7" w:rsidR="00AB3985" w:rsidRPr="00AB3985" w:rsidRDefault="00AB3985" w:rsidP="00AB3985">
            <w:pPr>
              <w:pStyle w:val="Tabele"/>
              <w:jc w:val="right"/>
              <w:rPr>
                <w:color w:val="auto"/>
                <w:lang w:eastAsia="pl-PL"/>
              </w:rPr>
            </w:pPr>
            <w:r w:rsidRPr="00AB3985">
              <w:rPr>
                <w:rFonts w:cs="Arial"/>
                <w:color w:val="auto"/>
                <w:szCs w:val="16"/>
              </w:rPr>
              <w:t>0,0</w:t>
            </w:r>
          </w:p>
        </w:tc>
        <w:tc>
          <w:tcPr>
            <w:tcW w:w="1459" w:type="dxa"/>
            <w:noWrap/>
            <w:hideMark/>
          </w:tcPr>
          <w:p w14:paraId="566AB711" w14:textId="35EFC6D1" w:rsidR="00AB3985" w:rsidRPr="00AB3985" w:rsidRDefault="00AB3985" w:rsidP="00AB3985">
            <w:pPr>
              <w:pStyle w:val="Tabele"/>
              <w:jc w:val="right"/>
              <w:rPr>
                <w:color w:val="auto"/>
                <w:lang w:eastAsia="pl-PL"/>
              </w:rPr>
            </w:pPr>
            <w:r w:rsidRPr="00AB3985">
              <w:rPr>
                <w:rFonts w:cs="Arial"/>
                <w:color w:val="auto"/>
                <w:szCs w:val="16"/>
              </w:rPr>
              <w:t>0,0</w:t>
            </w:r>
          </w:p>
        </w:tc>
      </w:tr>
      <w:tr w:rsidR="00AB3985" w:rsidRPr="006C4CDF" w14:paraId="3530A5E8" w14:textId="77777777" w:rsidTr="00683EBD">
        <w:trPr>
          <w:trHeight w:val="238"/>
        </w:trPr>
        <w:tc>
          <w:tcPr>
            <w:tcW w:w="3227" w:type="dxa"/>
            <w:noWrap/>
            <w:hideMark/>
          </w:tcPr>
          <w:p w14:paraId="3F31830A" w14:textId="77777777" w:rsidR="00AB3985" w:rsidRPr="006C4CDF" w:rsidRDefault="00AB3985" w:rsidP="00AB3985">
            <w:pPr>
              <w:pStyle w:val="Tabele"/>
              <w:rPr>
                <w:color w:val="auto"/>
                <w:lang w:eastAsia="pl-PL"/>
              </w:rPr>
            </w:pPr>
            <w:r w:rsidRPr="006C4CDF">
              <w:rPr>
                <w:color w:val="auto"/>
                <w:lang w:eastAsia="pl-PL"/>
              </w:rPr>
              <w:t xml:space="preserve"> Gaz ziemny/Wodór</w:t>
            </w:r>
          </w:p>
        </w:tc>
        <w:tc>
          <w:tcPr>
            <w:tcW w:w="1458" w:type="dxa"/>
            <w:noWrap/>
            <w:hideMark/>
          </w:tcPr>
          <w:p w14:paraId="697CF843" w14:textId="1D483112" w:rsidR="00AB3985" w:rsidRPr="00AB3985" w:rsidRDefault="00AB3985" w:rsidP="00AB3985">
            <w:pPr>
              <w:pStyle w:val="Tabele"/>
              <w:jc w:val="right"/>
              <w:rPr>
                <w:color w:val="auto"/>
                <w:lang w:eastAsia="pl-PL"/>
              </w:rPr>
            </w:pPr>
            <w:r w:rsidRPr="00AB3985">
              <w:rPr>
                <w:rFonts w:cs="Arial"/>
                <w:color w:val="auto"/>
                <w:szCs w:val="16"/>
              </w:rPr>
              <w:t>5,5</w:t>
            </w:r>
          </w:p>
        </w:tc>
        <w:tc>
          <w:tcPr>
            <w:tcW w:w="1459" w:type="dxa"/>
            <w:noWrap/>
            <w:hideMark/>
          </w:tcPr>
          <w:p w14:paraId="7A4D162D" w14:textId="16A138B5" w:rsidR="00AB3985" w:rsidRPr="00AB3985" w:rsidRDefault="00AB3985" w:rsidP="00AB3985">
            <w:pPr>
              <w:pStyle w:val="Tabele"/>
              <w:jc w:val="right"/>
              <w:rPr>
                <w:color w:val="auto"/>
                <w:lang w:eastAsia="pl-PL"/>
              </w:rPr>
            </w:pPr>
            <w:r w:rsidRPr="00AB3985">
              <w:rPr>
                <w:rFonts w:cs="Arial"/>
                <w:color w:val="auto"/>
                <w:szCs w:val="16"/>
              </w:rPr>
              <w:t>6,1</w:t>
            </w:r>
          </w:p>
        </w:tc>
        <w:tc>
          <w:tcPr>
            <w:tcW w:w="1459" w:type="dxa"/>
            <w:noWrap/>
            <w:hideMark/>
          </w:tcPr>
          <w:p w14:paraId="7A58B581" w14:textId="76813472" w:rsidR="00AB3985" w:rsidRPr="00AB3985" w:rsidRDefault="00AB3985" w:rsidP="00AB3985">
            <w:pPr>
              <w:pStyle w:val="Tabele"/>
              <w:jc w:val="right"/>
              <w:rPr>
                <w:color w:val="auto"/>
                <w:lang w:eastAsia="pl-PL"/>
              </w:rPr>
            </w:pPr>
            <w:r w:rsidRPr="00AB3985">
              <w:rPr>
                <w:rFonts w:cs="Arial"/>
                <w:color w:val="auto"/>
                <w:szCs w:val="16"/>
              </w:rPr>
              <w:t>4,4</w:t>
            </w:r>
          </w:p>
        </w:tc>
        <w:tc>
          <w:tcPr>
            <w:tcW w:w="1459" w:type="dxa"/>
            <w:noWrap/>
            <w:hideMark/>
          </w:tcPr>
          <w:p w14:paraId="38380B20" w14:textId="2511CAA6" w:rsidR="00AB3985" w:rsidRPr="00AB3985" w:rsidRDefault="00AB3985" w:rsidP="00AB3985">
            <w:pPr>
              <w:pStyle w:val="Tabele"/>
              <w:jc w:val="right"/>
              <w:rPr>
                <w:color w:val="auto"/>
                <w:lang w:eastAsia="pl-PL"/>
              </w:rPr>
            </w:pPr>
            <w:r w:rsidRPr="00AB3985">
              <w:rPr>
                <w:rFonts w:cs="Arial"/>
                <w:color w:val="auto"/>
                <w:szCs w:val="16"/>
              </w:rPr>
              <w:t>5,9</w:t>
            </w:r>
          </w:p>
        </w:tc>
      </w:tr>
      <w:tr w:rsidR="00AB3985" w:rsidRPr="006C4CDF" w14:paraId="695EC68F" w14:textId="77777777" w:rsidTr="00683EBD">
        <w:trPr>
          <w:trHeight w:val="238"/>
        </w:trPr>
        <w:tc>
          <w:tcPr>
            <w:tcW w:w="3227" w:type="dxa"/>
            <w:noWrap/>
            <w:hideMark/>
          </w:tcPr>
          <w:p w14:paraId="26598DC6" w14:textId="77777777" w:rsidR="00AB3985" w:rsidRPr="006C4CDF" w:rsidRDefault="00AB3985" w:rsidP="00AB3985">
            <w:pPr>
              <w:pStyle w:val="Tabele"/>
              <w:rPr>
                <w:color w:val="auto"/>
                <w:lang w:eastAsia="pl-PL"/>
              </w:rPr>
            </w:pPr>
            <w:r w:rsidRPr="006C4CDF">
              <w:rPr>
                <w:color w:val="auto"/>
                <w:lang w:eastAsia="pl-PL"/>
              </w:rPr>
              <w:t xml:space="preserve"> Jądrowe</w:t>
            </w:r>
          </w:p>
        </w:tc>
        <w:tc>
          <w:tcPr>
            <w:tcW w:w="1458" w:type="dxa"/>
            <w:noWrap/>
            <w:hideMark/>
          </w:tcPr>
          <w:p w14:paraId="54A0AC43" w14:textId="03B0724D" w:rsidR="00AB3985" w:rsidRPr="00AB3985" w:rsidRDefault="00AB3985" w:rsidP="00AB3985">
            <w:pPr>
              <w:pStyle w:val="Tabele"/>
              <w:jc w:val="right"/>
              <w:rPr>
                <w:color w:val="auto"/>
                <w:lang w:eastAsia="pl-PL"/>
              </w:rPr>
            </w:pPr>
            <w:r w:rsidRPr="00AB3985">
              <w:rPr>
                <w:rFonts w:cs="Arial"/>
                <w:color w:val="auto"/>
                <w:szCs w:val="16"/>
              </w:rPr>
              <w:t>0,0</w:t>
            </w:r>
          </w:p>
        </w:tc>
        <w:tc>
          <w:tcPr>
            <w:tcW w:w="1459" w:type="dxa"/>
            <w:noWrap/>
            <w:hideMark/>
          </w:tcPr>
          <w:p w14:paraId="32FD5D2F" w14:textId="417771ED" w:rsidR="00AB3985" w:rsidRPr="00AB3985" w:rsidRDefault="00AB3985" w:rsidP="00AB3985">
            <w:pPr>
              <w:pStyle w:val="Tabele"/>
              <w:jc w:val="right"/>
              <w:rPr>
                <w:color w:val="auto"/>
                <w:lang w:eastAsia="pl-PL"/>
              </w:rPr>
            </w:pPr>
            <w:r w:rsidRPr="00AB3985">
              <w:rPr>
                <w:rFonts w:cs="Arial"/>
                <w:color w:val="auto"/>
                <w:szCs w:val="16"/>
              </w:rPr>
              <w:t>0,0</w:t>
            </w:r>
          </w:p>
        </w:tc>
        <w:tc>
          <w:tcPr>
            <w:tcW w:w="1459" w:type="dxa"/>
            <w:noWrap/>
            <w:hideMark/>
          </w:tcPr>
          <w:p w14:paraId="3CEC9B8E" w14:textId="0EA2A0E8" w:rsidR="00AB3985" w:rsidRPr="00AB3985" w:rsidRDefault="00AB3985" w:rsidP="00AB3985">
            <w:pPr>
              <w:pStyle w:val="Tabele"/>
              <w:jc w:val="right"/>
              <w:rPr>
                <w:color w:val="auto"/>
                <w:lang w:eastAsia="pl-PL"/>
              </w:rPr>
            </w:pPr>
            <w:r w:rsidRPr="00AB3985">
              <w:rPr>
                <w:rFonts w:cs="Arial"/>
                <w:color w:val="auto"/>
                <w:szCs w:val="16"/>
              </w:rPr>
              <w:t>0,0</w:t>
            </w:r>
          </w:p>
        </w:tc>
        <w:tc>
          <w:tcPr>
            <w:tcW w:w="1459" w:type="dxa"/>
            <w:noWrap/>
            <w:hideMark/>
          </w:tcPr>
          <w:p w14:paraId="5C187B5D" w14:textId="7340F1E6" w:rsidR="00AB3985" w:rsidRPr="00AB3985" w:rsidRDefault="00AB3985" w:rsidP="00AB3985">
            <w:pPr>
              <w:pStyle w:val="Tabele"/>
              <w:jc w:val="right"/>
              <w:rPr>
                <w:color w:val="auto"/>
                <w:lang w:eastAsia="pl-PL"/>
              </w:rPr>
            </w:pPr>
            <w:r w:rsidRPr="00AB3985">
              <w:rPr>
                <w:rFonts w:cs="Arial"/>
                <w:color w:val="auto"/>
                <w:szCs w:val="16"/>
              </w:rPr>
              <w:t>33,5</w:t>
            </w:r>
          </w:p>
        </w:tc>
      </w:tr>
      <w:tr w:rsidR="00AB3985" w:rsidRPr="006C4CDF" w14:paraId="78E725D3" w14:textId="77777777" w:rsidTr="00683EBD">
        <w:trPr>
          <w:trHeight w:val="238"/>
        </w:trPr>
        <w:tc>
          <w:tcPr>
            <w:tcW w:w="3227" w:type="dxa"/>
            <w:noWrap/>
            <w:hideMark/>
          </w:tcPr>
          <w:p w14:paraId="73F43E41" w14:textId="77777777" w:rsidR="00AB3985" w:rsidRPr="006C4CDF" w:rsidRDefault="00AB3985" w:rsidP="00AB3985">
            <w:pPr>
              <w:pStyle w:val="Tabele"/>
              <w:rPr>
                <w:color w:val="auto"/>
                <w:lang w:eastAsia="pl-PL"/>
              </w:rPr>
            </w:pPr>
            <w:r w:rsidRPr="006C4CDF">
              <w:rPr>
                <w:color w:val="auto"/>
                <w:lang w:eastAsia="pl-PL"/>
              </w:rPr>
              <w:t xml:space="preserve"> Źródła odnawialne</w:t>
            </w:r>
          </w:p>
        </w:tc>
        <w:tc>
          <w:tcPr>
            <w:tcW w:w="1458" w:type="dxa"/>
            <w:noWrap/>
            <w:hideMark/>
          </w:tcPr>
          <w:p w14:paraId="7C052970" w14:textId="437B54FD" w:rsidR="00AB3985" w:rsidRPr="00AB3985" w:rsidRDefault="00AB3985" w:rsidP="00AB3985">
            <w:pPr>
              <w:pStyle w:val="Tabele"/>
              <w:jc w:val="right"/>
              <w:rPr>
                <w:color w:val="auto"/>
                <w:lang w:eastAsia="pl-PL"/>
              </w:rPr>
            </w:pPr>
            <w:r w:rsidRPr="00AB3985">
              <w:rPr>
                <w:rFonts w:cs="Arial"/>
                <w:b/>
                <w:bCs/>
                <w:color w:val="auto"/>
                <w:szCs w:val="16"/>
              </w:rPr>
              <w:t>28,8</w:t>
            </w:r>
          </w:p>
        </w:tc>
        <w:tc>
          <w:tcPr>
            <w:tcW w:w="1459" w:type="dxa"/>
            <w:noWrap/>
            <w:hideMark/>
          </w:tcPr>
          <w:p w14:paraId="6D13A831" w14:textId="3A12062C" w:rsidR="00AB3985" w:rsidRPr="00AB3985" w:rsidRDefault="00AB3985" w:rsidP="00AB3985">
            <w:pPr>
              <w:pStyle w:val="Tabele"/>
              <w:jc w:val="right"/>
              <w:rPr>
                <w:color w:val="auto"/>
                <w:lang w:eastAsia="pl-PL"/>
              </w:rPr>
            </w:pPr>
            <w:r w:rsidRPr="00AB3985">
              <w:rPr>
                <w:rFonts w:cs="Arial"/>
                <w:b/>
                <w:bCs/>
                <w:color w:val="auto"/>
                <w:szCs w:val="16"/>
              </w:rPr>
              <w:t>41,2</w:t>
            </w:r>
          </w:p>
        </w:tc>
        <w:tc>
          <w:tcPr>
            <w:tcW w:w="1459" w:type="dxa"/>
            <w:noWrap/>
            <w:hideMark/>
          </w:tcPr>
          <w:p w14:paraId="26285F68" w14:textId="35326C57" w:rsidR="00AB3985" w:rsidRPr="00AB3985" w:rsidRDefault="00AB3985" w:rsidP="00AB3985">
            <w:pPr>
              <w:pStyle w:val="Tabele"/>
              <w:jc w:val="right"/>
              <w:rPr>
                <w:color w:val="auto"/>
                <w:lang w:eastAsia="pl-PL"/>
              </w:rPr>
            </w:pPr>
            <w:r w:rsidRPr="00AB3985">
              <w:rPr>
                <w:rFonts w:cs="Arial"/>
                <w:b/>
                <w:bCs/>
                <w:color w:val="auto"/>
                <w:szCs w:val="16"/>
              </w:rPr>
              <w:t>43,6</w:t>
            </w:r>
          </w:p>
        </w:tc>
        <w:tc>
          <w:tcPr>
            <w:tcW w:w="1459" w:type="dxa"/>
            <w:noWrap/>
            <w:hideMark/>
          </w:tcPr>
          <w:p w14:paraId="75E0D924" w14:textId="5E9E1DAB" w:rsidR="00AB3985" w:rsidRPr="00AB3985" w:rsidRDefault="00AB3985" w:rsidP="00AB3985">
            <w:pPr>
              <w:pStyle w:val="Tabele"/>
              <w:jc w:val="right"/>
              <w:rPr>
                <w:color w:val="auto"/>
                <w:lang w:eastAsia="pl-PL"/>
              </w:rPr>
            </w:pPr>
            <w:r w:rsidRPr="00AB3985">
              <w:rPr>
                <w:rFonts w:cs="Arial"/>
                <w:b/>
                <w:bCs/>
                <w:color w:val="auto"/>
                <w:szCs w:val="16"/>
              </w:rPr>
              <w:t>30,6</w:t>
            </w:r>
          </w:p>
        </w:tc>
      </w:tr>
      <w:tr w:rsidR="00AB3985" w:rsidRPr="006C4CDF" w14:paraId="56B2A972" w14:textId="77777777" w:rsidTr="00683EBD">
        <w:trPr>
          <w:trHeight w:val="238"/>
        </w:trPr>
        <w:tc>
          <w:tcPr>
            <w:tcW w:w="3227" w:type="dxa"/>
            <w:noWrap/>
            <w:hideMark/>
          </w:tcPr>
          <w:p w14:paraId="56A31A7E" w14:textId="77777777" w:rsidR="00AB3985" w:rsidRPr="006C4CDF" w:rsidRDefault="00AB3985" w:rsidP="00AB3985">
            <w:pPr>
              <w:pStyle w:val="Tabele"/>
              <w:rPr>
                <w:color w:val="auto"/>
                <w:lang w:eastAsia="pl-PL"/>
              </w:rPr>
            </w:pPr>
            <w:r w:rsidRPr="006C4CDF">
              <w:rPr>
                <w:color w:val="auto"/>
                <w:lang w:eastAsia="pl-PL"/>
              </w:rPr>
              <w:t xml:space="preserve"> - Wodne (bez pomp.)</w:t>
            </w:r>
          </w:p>
        </w:tc>
        <w:tc>
          <w:tcPr>
            <w:tcW w:w="1458" w:type="dxa"/>
            <w:noWrap/>
            <w:hideMark/>
          </w:tcPr>
          <w:p w14:paraId="4A3C43F1" w14:textId="5A91FC4A" w:rsidR="00AB3985" w:rsidRPr="00AB3985" w:rsidRDefault="00AB3985" w:rsidP="00AB3985">
            <w:pPr>
              <w:pStyle w:val="Tabele"/>
              <w:jc w:val="right"/>
              <w:rPr>
                <w:color w:val="auto"/>
                <w:lang w:eastAsia="pl-PL"/>
              </w:rPr>
            </w:pPr>
            <w:r w:rsidRPr="00AB3985">
              <w:rPr>
                <w:rFonts w:cs="Arial"/>
                <w:color w:val="auto"/>
                <w:szCs w:val="16"/>
              </w:rPr>
              <w:t>0,1</w:t>
            </w:r>
          </w:p>
        </w:tc>
        <w:tc>
          <w:tcPr>
            <w:tcW w:w="1459" w:type="dxa"/>
            <w:noWrap/>
            <w:hideMark/>
          </w:tcPr>
          <w:p w14:paraId="05074B2C" w14:textId="6CDCE08F" w:rsidR="00AB3985" w:rsidRPr="00AB3985" w:rsidRDefault="00AB3985" w:rsidP="00AB3985">
            <w:pPr>
              <w:pStyle w:val="Tabele"/>
              <w:jc w:val="right"/>
              <w:rPr>
                <w:color w:val="auto"/>
                <w:lang w:eastAsia="pl-PL"/>
              </w:rPr>
            </w:pPr>
            <w:r w:rsidRPr="00AB3985">
              <w:rPr>
                <w:rFonts w:cs="Arial"/>
                <w:color w:val="auto"/>
                <w:szCs w:val="16"/>
              </w:rPr>
              <w:t>0,5</w:t>
            </w:r>
          </w:p>
        </w:tc>
        <w:tc>
          <w:tcPr>
            <w:tcW w:w="1459" w:type="dxa"/>
            <w:noWrap/>
            <w:hideMark/>
          </w:tcPr>
          <w:p w14:paraId="03DB8991" w14:textId="3CF6C873" w:rsidR="00AB3985" w:rsidRPr="00AB3985" w:rsidRDefault="00AB3985" w:rsidP="00AB3985">
            <w:pPr>
              <w:pStyle w:val="Tabele"/>
              <w:jc w:val="right"/>
              <w:rPr>
                <w:color w:val="auto"/>
                <w:lang w:eastAsia="pl-PL"/>
              </w:rPr>
            </w:pPr>
            <w:r w:rsidRPr="00AB3985">
              <w:rPr>
                <w:rFonts w:cs="Arial"/>
                <w:color w:val="auto"/>
                <w:szCs w:val="16"/>
              </w:rPr>
              <w:t>0,1</w:t>
            </w:r>
          </w:p>
        </w:tc>
        <w:tc>
          <w:tcPr>
            <w:tcW w:w="1459" w:type="dxa"/>
            <w:noWrap/>
            <w:hideMark/>
          </w:tcPr>
          <w:p w14:paraId="18392418" w14:textId="351C56BE" w:rsidR="00AB3985" w:rsidRPr="00AB3985" w:rsidRDefault="00AB3985" w:rsidP="00AB3985">
            <w:pPr>
              <w:pStyle w:val="Tabele"/>
              <w:jc w:val="right"/>
              <w:rPr>
                <w:color w:val="auto"/>
                <w:lang w:eastAsia="pl-PL"/>
              </w:rPr>
            </w:pPr>
            <w:r w:rsidRPr="00AB3985">
              <w:rPr>
                <w:rFonts w:cs="Arial"/>
                <w:color w:val="auto"/>
                <w:szCs w:val="16"/>
              </w:rPr>
              <w:t>0,1</w:t>
            </w:r>
          </w:p>
        </w:tc>
      </w:tr>
      <w:tr w:rsidR="00AB3985" w:rsidRPr="006C4CDF" w14:paraId="75E92A25" w14:textId="77777777" w:rsidTr="00683EBD">
        <w:trPr>
          <w:trHeight w:val="238"/>
        </w:trPr>
        <w:tc>
          <w:tcPr>
            <w:tcW w:w="3227" w:type="dxa"/>
            <w:noWrap/>
            <w:hideMark/>
          </w:tcPr>
          <w:p w14:paraId="1F1B4BCA" w14:textId="77777777" w:rsidR="00AB3985" w:rsidRPr="006C4CDF" w:rsidRDefault="00AB3985" w:rsidP="00AB3985">
            <w:pPr>
              <w:pStyle w:val="Tabele"/>
              <w:rPr>
                <w:color w:val="auto"/>
                <w:lang w:eastAsia="pl-PL"/>
              </w:rPr>
            </w:pPr>
            <w:r w:rsidRPr="006C4CDF">
              <w:rPr>
                <w:color w:val="auto"/>
                <w:lang w:eastAsia="pl-PL"/>
              </w:rPr>
              <w:t xml:space="preserve"> - Wiatrowe</w:t>
            </w:r>
          </w:p>
        </w:tc>
        <w:tc>
          <w:tcPr>
            <w:tcW w:w="1458" w:type="dxa"/>
            <w:noWrap/>
            <w:hideMark/>
          </w:tcPr>
          <w:p w14:paraId="753741E5" w14:textId="61C45ADB" w:rsidR="00AB3985" w:rsidRPr="00AB3985" w:rsidRDefault="00AB3985" w:rsidP="00AB3985">
            <w:pPr>
              <w:pStyle w:val="Tabele"/>
              <w:jc w:val="right"/>
              <w:rPr>
                <w:color w:val="auto"/>
                <w:lang w:eastAsia="pl-PL"/>
              </w:rPr>
            </w:pPr>
            <w:r w:rsidRPr="00AB3985">
              <w:rPr>
                <w:rFonts w:cs="Arial"/>
                <w:color w:val="auto"/>
                <w:szCs w:val="16"/>
              </w:rPr>
              <w:t>8,5</w:t>
            </w:r>
          </w:p>
        </w:tc>
        <w:tc>
          <w:tcPr>
            <w:tcW w:w="1459" w:type="dxa"/>
            <w:noWrap/>
            <w:hideMark/>
          </w:tcPr>
          <w:p w14:paraId="63E7F343" w14:textId="239A8DBE" w:rsidR="00AB3985" w:rsidRPr="00AB3985" w:rsidRDefault="00AB3985" w:rsidP="00AB3985">
            <w:pPr>
              <w:pStyle w:val="Tabele"/>
              <w:jc w:val="right"/>
              <w:rPr>
                <w:color w:val="auto"/>
                <w:lang w:eastAsia="pl-PL"/>
              </w:rPr>
            </w:pPr>
            <w:r w:rsidRPr="00AB3985">
              <w:rPr>
                <w:rFonts w:cs="Arial"/>
                <w:color w:val="auto"/>
                <w:szCs w:val="16"/>
              </w:rPr>
              <w:t>30,1</w:t>
            </w:r>
          </w:p>
        </w:tc>
        <w:tc>
          <w:tcPr>
            <w:tcW w:w="1459" w:type="dxa"/>
            <w:noWrap/>
            <w:hideMark/>
          </w:tcPr>
          <w:p w14:paraId="546C41F5" w14:textId="5B3C0110" w:rsidR="00AB3985" w:rsidRPr="00AB3985" w:rsidRDefault="00AB3985" w:rsidP="00AB3985">
            <w:pPr>
              <w:pStyle w:val="Tabele"/>
              <w:jc w:val="right"/>
              <w:rPr>
                <w:color w:val="auto"/>
                <w:lang w:eastAsia="pl-PL"/>
              </w:rPr>
            </w:pPr>
            <w:r w:rsidRPr="00AB3985">
              <w:rPr>
                <w:rFonts w:cs="Arial"/>
                <w:color w:val="auto"/>
                <w:szCs w:val="16"/>
              </w:rPr>
              <w:t>44,4</w:t>
            </w:r>
          </w:p>
        </w:tc>
        <w:tc>
          <w:tcPr>
            <w:tcW w:w="1459" w:type="dxa"/>
            <w:noWrap/>
            <w:hideMark/>
          </w:tcPr>
          <w:p w14:paraId="582B2E11" w14:textId="61118245" w:rsidR="00AB3985" w:rsidRPr="00AB3985" w:rsidRDefault="00AB3985" w:rsidP="00AB3985">
            <w:pPr>
              <w:pStyle w:val="Tabele"/>
              <w:jc w:val="right"/>
              <w:rPr>
                <w:color w:val="auto"/>
                <w:lang w:eastAsia="pl-PL"/>
              </w:rPr>
            </w:pPr>
            <w:r w:rsidRPr="00AB3985">
              <w:rPr>
                <w:rFonts w:cs="Arial"/>
                <w:color w:val="auto"/>
                <w:szCs w:val="16"/>
              </w:rPr>
              <w:t>33,5</w:t>
            </w:r>
          </w:p>
        </w:tc>
      </w:tr>
      <w:tr w:rsidR="00AB3985" w:rsidRPr="006C4CDF" w14:paraId="13D28F4A" w14:textId="77777777" w:rsidTr="00683EBD">
        <w:trPr>
          <w:trHeight w:val="238"/>
        </w:trPr>
        <w:tc>
          <w:tcPr>
            <w:tcW w:w="3227" w:type="dxa"/>
            <w:noWrap/>
            <w:hideMark/>
          </w:tcPr>
          <w:p w14:paraId="0D02CEB2" w14:textId="77777777" w:rsidR="00AB3985" w:rsidRPr="006C4CDF" w:rsidRDefault="00AB3985" w:rsidP="00AB3985">
            <w:pPr>
              <w:pStyle w:val="Tabele"/>
              <w:rPr>
                <w:color w:val="auto"/>
                <w:lang w:eastAsia="pl-PL"/>
              </w:rPr>
            </w:pPr>
            <w:r w:rsidRPr="006C4CDF">
              <w:rPr>
                <w:color w:val="auto"/>
                <w:lang w:eastAsia="pl-PL"/>
              </w:rPr>
              <w:t xml:space="preserve"> - Fotowoltaiczne</w:t>
            </w:r>
          </w:p>
        </w:tc>
        <w:tc>
          <w:tcPr>
            <w:tcW w:w="1458" w:type="dxa"/>
            <w:noWrap/>
            <w:hideMark/>
          </w:tcPr>
          <w:p w14:paraId="3FC042E1" w14:textId="0701C61C" w:rsidR="00AB3985" w:rsidRPr="00AB3985" w:rsidRDefault="00AB3985" w:rsidP="00AB3985">
            <w:pPr>
              <w:pStyle w:val="Tabele"/>
              <w:jc w:val="right"/>
              <w:rPr>
                <w:color w:val="auto"/>
                <w:lang w:eastAsia="pl-PL"/>
              </w:rPr>
            </w:pPr>
            <w:r w:rsidRPr="00AB3985">
              <w:rPr>
                <w:rFonts w:cs="Arial"/>
                <w:color w:val="auto"/>
                <w:szCs w:val="16"/>
              </w:rPr>
              <w:t>19,3</w:t>
            </w:r>
          </w:p>
        </w:tc>
        <w:tc>
          <w:tcPr>
            <w:tcW w:w="1459" w:type="dxa"/>
            <w:noWrap/>
            <w:hideMark/>
          </w:tcPr>
          <w:p w14:paraId="4DD27EC4" w14:textId="7CCACE1C" w:rsidR="00AB3985" w:rsidRPr="00AB3985" w:rsidRDefault="00AB3985" w:rsidP="00AB3985">
            <w:pPr>
              <w:pStyle w:val="Tabele"/>
              <w:jc w:val="right"/>
              <w:rPr>
                <w:color w:val="auto"/>
                <w:lang w:eastAsia="pl-PL"/>
              </w:rPr>
            </w:pPr>
            <w:r w:rsidRPr="00AB3985">
              <w:rPr>
                <w:rFonts w:cs="Arial"/>
                <w:color w:val="auto"/>
                <w:szCs w:val="16"/>
              </w:rPr>
              <w:t>8,4</w:t>
            </w:r>
          </w:p>
        </w:tc>
        <w:tc>
          <w:tcPr>
            <w:tcW w:w="1459" w:type="dxa"/>
            <w:noWrap/>
            <w:hideMark/>
          </w:tcPr>
          <w:p w14:paraId="1F55F48E" w14:textId="64E45EF3" w:rsidR="00AB3985" w:rsidRPr="00AB3985" w:rsidRDefault="00AB3985" w:rsidP="00AB3985">
            <w:pPr>
              <w:pStyle w:val="Tabele"/>
              <w:jc w:val="right"/>
              <w:rPr>
                <w:color w:val="auto"/>
                <w:lang w:eastAsia="pl-PL"/>
              </w:rPr>
            </w:pPr>
            <w:r w:rsidRPr="00AB3985">
              <w:rPr>
                <w:rFonts w:cs="Arial"/>
                <w:color w:val="auto"/>
                <w:szCs w:val="16"/>
              </w:rPr>
              <w:t>7,6</w:t>
            </w:r>
          </w:p>
        </w:tc>
        <w:tc>
          <w:tcPr>
            <w:tcW w:w="1459" w:type="dxa"/>
            <w:noWrap/>
            <w:hideMark/>
          </w:tcPr>
          <w:p w14:paraId="3F93ACC6" w14:textId="3F5B2BB7" w:rsidR="00AB3985" w:rsidRPr="00AB3985" w:rsidRDefault="00AB3985" w:rsidP="00AB3985">
            <w:pPr>
              <w:pStyle w:val="Tabele"/>
              <w:jc w:val="right"/>
              <w:rPr>
                <w:color w:val="auto"/>
                <w:lang w:eastAsia="pl-PL"/>
              </w:rPr>
            </w:pPr>
            <w:r w:rsidRPr="00AB3985">
              <w:rPr>
                <w:rFonts w:cs="Arial"/>
                <w:color w:val="auto"/>
                <w:szCs w:val="16"/>
              </w:rPr>
              <w:t>6,7</w:t>
            </w:r>
          </w:p>
        </w:tc>
      </w:tr>
      <w:tr w:rsidR="00AB3985" w:rsidRPr="006C4CDF" w14:paraId="110D232C" w14:textId="77777777" w:rsidTr="00683EBD">
        <w:trPr>
          <w:trHeight w:val="238"/>
        </w:trPr>
        <w:tc>
          <w:tcPr>
            <w:tcW w:w="3227" w:type="dxa"/>
            <w:noWrap/>
            <w:hideMark/>
          </w:tcPr>
          <w:p w14:paraId="0FCFCAB3" w14:textId="77777777" w:rsidR="00AB3985" w:rsidRPr="006C4CDF" w:rsidRDefault="00AB3985" w:rsidP="00AB3985">
            <w:pPr>
              <w:pStyle w:val="Tabele"/>
              <w:rPr>
                <w:color w:val="auto"/>
                <w:lang w:eastAsia="pl-PL"/>
              </w:rPr>
            </w:pPr>
            <w:r w:rsidRPr="006C4CDF">
              <w:rPr>
                <w:color w:val="auto"/>
                <w:lang w:eastAsia="pl-PL"/>
              </w:rPr>
              <w:t xml:space="preserve"> - Biomasa</w:t>
            </w:r>
          </w:p>
        </w:tc>
        <w:tc>
          <w:tcPr>
            <w:tcW w:w="1458" w:type="dxa"/>
            <w:noWrap/>
            <w:hideMark/>
          </w:tcPr>
          <w:p w14:paraId="319FED13" w14:textId="172458EF" w:rsidR="00AB3985" w:rsidRPr="00AB3985" w:rsidRDefault="00AB3985" w:rsidP="00AB3985">
            <w:pPr>
              <w:pStyle w:val="Tabele"/>
              <w:jc w:val="right"/>
              <w:rPr>
                <w:color w:val="auto"/>
                <w:lang w:eastAsia="pl-PL"/>
              </w:rPr>
            </w:pPr>
            <w:r w:rsidRPr="00AB3985">
              <w:rPr>
                <w:rFonts w:cs="Arial"/>
                <w:color w:val="auto"/>
                <w:szCs w:val="16"/>
              </w:rPr>
              <w:t>0,4</w:t>
            </w:r>
          </w:p>
        </w:tc>
        <w:tc>
          <w:tcPr>
            <w:tcW w:w="1459" w:type="dxa"/>
            <w:noWrap/>
            <w:hideMark/>
          </w:tcPr>
          <w:p w14:paraId="5F56C6A5" w14:textId="5C3B14D1" w:rsidR="00AB3985" w:rsidRPr="00AB3985" w:rsidRDefault="00AB3985" w:rsidP="00AB3985">
            <w:pPr>
              <w:pStyle w:val="Tabele"/>
              <w:jc w:val="right"/>
              <w:rPr>
                <w:color w:val="auto"/>
                <w:lang w:eastAsia="pl-PL"/>
              </w:rPr>
            </w:pPr>
            <w:r w:rsidRPr="00AB3985">
              <w:rPr>
                <w:rFonts w:cs="Arial"/>
                <w:color w:val="auto"/>
                <w:szCs w:val="16"/>
              </w:rPr>
              <w:t>0,4</w:t>
            </w:r>
          </w:p>
        </w:tc>
        <w:tc>
          <w:tcPr>
            <w:tcW w:w="1459" w:type="dxa"/>
            <w:noWrap/>
            <w:hideMark/>
          </w:tcPr>
          <w:p w14:paraId="1F0F927E" w14:textId="012DF0CC" w:rsidR="00AB3985" w:rsidRPr="00AB3985" w:rsidRDefault="00AB3985" w:rsidP="00AB3985">
            <w:pPr>
              <w:pStyle w:val="Tabele"/>
              <w:jc w:val="right"/>
              <w:rPr>
                <w:color w:val="auto"/>
                <w:lang w:eastAsia="pl-PL"/>
              </w:rPr>
            </w:pPr>
            <w:r w:rsidRPr="00AB3985">
              <w:rPr>
                <w:rFonts w:cs="Arial"/>
                <w:color w:val="auto"/>
                <w:szCs w:val="16"/>
              </w:rPr>
              <w:t>0,1</w:t>
            </w:r>
          </w:p>
        </w:tc>
        <w:tc>
          <w:tcPr>
            <w:tcW w:w="1459" w:type="dxa"/>
            <w:noWrap/>
            <w:hideMark/>
          </w:tcPr>
          <w:p w14:paraId="3373AA7D" w14:textId="4ACE4A86" w:rsidR="00AB3985" w:rsidRPr="00AB3985" w:rsidRDefault="00AB3985" w:rsidP="00AB3985">
            <w:pPr>
              <w:pStyle w:val="Tabele"/>
              <w:jc w:val="right"/>
              <w:rPr>
                <w:color w:val="auto"/>
                <w:lang w:eastAsia="pl-PL"/>
              </w:rPr>
            </w:pPr>
            <w:r w:rsidRPr="00AB3985">
              <w:rPr>
                <w:rFonts w:cs="Arial"/>
                <w:color w:val="auto"/>
                <w:szCs w:val="16"/>
              </w:rPr>
              <w:t>0,1</w:t>
            </w:r>
          </w:p>
        </w:tc>
      </w:tr>
      <w:tr w:rsidR="00AB3985" w:rsidRPr="006C4CDF" w14:paraId="1E1D105D" w14:textId="77777777" w:rsidTr="00683EBD">
        <w:trPr>
          <w:trHeight w:val="238"/>
        </w:trPr>
        <w:tc>
          <w:tcPr>
            <w:tcW w:w="3227" w:type="dxa"/>
            <w:noWrap/>
            <w:hideMark/>
          </w:tcPr>
          <w:p w14:paraId="400B011D" w14:textId="77777777" w:rsidR="00AB3985" w:rsidRPr="006C4CDF" w:rsidRDefault="00AB3985" w:rsidP="00AB3985">
            <w:pPr>
              <w:pStyle w:val="Tabele"/>
              <w:rPr>
                <w:color w:val="auto"/>
                <w:lang w:eastAsia="pl-PL"/>
              </w:rPr>
            </w:pPr>
            <w:r w:rsidRPr="006C4CDF">
              <w:rPr>
                <w:color w:val="auto"/>
                <w:lang w:eastAsia="pl-PL"/>
              </w:rPr>
              <w:t xml:space="preserve"> - Biogaz</w:t>
            </w:r>
          </w:p>
        </w:tc>
        <w:tc>
          <w:tcPr>
            <w:tcW w:w="1458" w:type="dxa"/>
            <w:noWrap/>
            <w:hideMark/>
          </w:tcPr>
          <w:p w14:paraId="01367CDF" w14:textId="162265B8" w:rsidR="00AB3985" w:rsidRPr="00AB3985" w:rsidRDefault="00AB3985" w:rsidP="00AB3985">
            <w:pPr>
              <w:pStyle w:val="Tabele"/>
              <w:jc w:val="right"/>
              <w:rPr>
                <w:color w:val="auto"/>
                <w:lang w:eastAsia="pl-PL"/>
              </w:rPr>
            </w:pPr>
            <w:r w:rsidRPr="00AB3985">
              <w:rPr>
                <w:rFonts w:cs="Arial"/>
                <w:color w:val="auto"/>
                <w:szCs w:val="16"/>
              </w:rPr>
              <w:t>0,5</w:t>
            </w:r>
          </w:p>
        </w:tc>
        <w:tc>
          <w:tcPr>
            <w:tcW w:w="1459" w:type="dxa"/>
            <w:noWrap/>
            <w:hideMark/>
          </w:tcPr>
          <w:p w14:paraId="2261277E" w14:textId="13E49423" w:rsidR="00AB3985" w:rsidRPr="00AB3985" w:rsidRDefault="00AB3985" w:rsidP="00AB3985">
            <w:pPr>
              <w:pStyle w:val="Tabele"/>
              <w:jc w:val="right"/>
              <w:rPr>
                <w:color w:val="auto"/>
                <w:lang w:eastAsia="pl-PL"/>
              </w:rPr>
            </w:pPr>
            <w:r w:rsidRPr="00AB3985">
              <w:rPr>
                <w:rFonts w:cs="Arial"/>
                <w:color w:val="auto"/>
                <w:szCs w:val="16"/>
              </w:rPr>
              <w:t>0,6</w:t>
            </w:r>
          </w:p>
        </w:tc>
        <w:tc>
          <w:tcPr>
            <w:tcW w:w="1459" w:type="dxa"/>
            <w:noWrap/>
            <w:hideMark/>
          </w:tcPr>
          <w:p w14:paraId="0434D443" w14:textId="6691C3D9" w:rsidR="00AB3985" w:rsidRPr="00AB3985" w:rsidRDefault="00AB3985" w:rsidP="00AB3985">
            <w:pPr>
              <w:pStyle w:val="Tabele"/>
              <w:jc w:val="right"/>
              <w:rPr>
                <w:color w:val="auto"/>
                <w:lang w:eastAsia="pl-PL"/>
              </w:rPr>
            </w:pPr>
            <w:r w:rsidRPr="00AB3985">
              <w:rPr>
                <w:rFonts w:cs="Arial"/>
                <w:color w:val="auto"/>
                <w:szCs w:val="16"/>
              </w:rPr>
              <w:t>0,2</w:t>
            </w:r>
          </w:p>
        </w:tc>
        <w:tc>
          <w:tcPr>
            <w:tcW w:w="1459" w:type="dxa"/>
            <w:noWrap/>
            <w:hideMark/>
          </w:tcPr>
          <w:p w14:paraId="79BFB1E4" w14:textId="5EA1D83C" w:rsidR="00AB3985" w:rsidRPr="00AB3985" w:rsidRDefault="00AB3985" w:rsidP="00AB3985">
            <w:pPr>
              <w:pStyle w:val="Tabele"/>
              <w:jc w:val="right"/>
              <w:rPr>
                <w:color w:val="auto"/>
                <w:lang w:eastAsia="pl-PL"/>
              </w:rPr>
            </w:pPr>
            <w:r w:rsidRPr="00AB3985">
              <w:rPr>
                <w:rFonts w:cs="Arial"/>
                <w:color w:val="auto"/>
                <w:szCs w:val="16"/>
              </w:rPr>
              <w:t>0,1</w:t>
            </w:r>
          </w:p>
        </w:tc>
      </w:tr>
      <w:tr w:rsidR="00AB3985" w:rsidRPr="006C4CDF" w14:paraId="344B8686" w14:textId="77777777" w:rsidTr="00683EBD">
        <w:trPr>
          <w:trHeight w:val="238"/>
        </w:trPr>
        <w:tc>
          <w:tcPr>
            <w:tcW w:w="3227" w:type="dxa"/>
            <w:noWrap/>
            <w:hideMark/>
          </w:tcPr>
          <w:p w14:paraId="5C097DF9" w14:textId="77777777" w:rsidR="00AB3985" w:rsidRPr="006C4CDF" w:rsidRDefault="00AB3985" w:rsidP="00AB3985">
            <w:pPr>
              <w:pStyle w:val="Tabele"/>
              <w:rPr>
                <w:color w:val="auto"/>
                <w:lang w:eastAsia="pl-PL"/>
              </w:rPr>
            </w:pPr>
            <w:r w:rsidRPr="006C4CDF">
              <w:rPr>
                <w:color w:val="auto"/>
                <w:lang w:eastAsia="pl-PL"/>
              </w:rPr>
              <w:t xml:space="preserve"> - Geotermalne</w:t>
            </w:r>
          </w:p>
        </w:tc>
        <w:tc>
          <w:tcPr>
            <w:tcW w:w="1458" w:type="dxa"/>
            <w:noWrap/>
            <w:hideMark/>
          </w:tcPr>
          <w:p w14:paraId="7332B084" w14:textId="21E4F937" w:rsidR="00AB3985" w:rsidRPr="00AB3985" w:rsidRDefault="00AB3985" w:rsidP="00AB3985">
            <w:pPr>
              <w:pStyle w:val="Tabele"/>
              <w:jc w:val="right"/>
              <w:rPr>
                <w:color w:val="auto"/>
                <w:lang w:eastAsia="pl-PL"/>
              </w:rPr>
            </w:pPr>
            <w:r w:rsidRPr="00AB3985">
              <w:rPr>
                <w:rFonts w:cs="Arial"/>
                <w:color w:val="auto"/>
                <w:szCs w:val="16"/>
              </w:rPr>
              <w:t>0,0</w:t>
            </w:r>
          </w:p>
        </w:tc>
        <w:tc>
          <w:tcPr>
            <w:tcW w:w="1459" w:type="dxa"/>
            <w:noWrap/>
            <w:hideMark/>
          </w:tcPr>
          <w:p w14:paraId="7AAAA9D7" w14:textId="7F13888B" w:rsidR="00AB3985" w:rsidRPr="00AB3985" w:rsidRDefault="00AB3985" w:rsidP="00AB3985">
            <w:pPr>
              <w:pStyle w:val="Tabele"/>
              <w:jc w:val="right"/>
              <w:rPr>
                <w:color w:val="auto"/>
                <w:lang w:eastAsia="pl-PL"/>
              </w:rPr>
            </w:pPr>
            <w:r w:rsidRPr="00AB3985">
              <w:rPr>
                <w:rFonts w:cs="Arial"/>
                <w:color w:val="auto"/>
                <w:szCs w:val="16"/>
              </w:rPr>
              <w:t>0,0</w:t>
            </w:r>
          </w:p>
        </w:tc>
        <w:tc>
          <w:tcPr>
            <w:tcW w:w="1459" w:type="dxa"/>
            <w:noWrap/>
            <w:hideMark/>
          </w:tcPr>
          <w:p w14:paraId="0042A0E9" w14:textId="256273E1" w:rsidR="00AB3985" w:rsidRPr="00AB3985" w:rsidRDefault="00AB3985" w:rsidP="00AB3985">
            <w:pPr>
              <w:pStyle w:val="Tabele"/>
              <w:jc w:val="right"/>
              <w:rPr>
                <w:color w:val="auto"/>
                <w:lang w:eastAsia="pl-PL"/>
              </w:rPr>
            </w:pPr>
            <w:r w:rsidRPr="00AB3985">
              <w:rPr>
                <w:rFonts w:cs="Arial"/>
                <w:color w:val="auto"/>
                <w:szCs w:val="16"/>
              </w:rPr>
              <w:t>0,0</w:t>
            </w:r>
          </w:p>
        </w:tc>
        <w:tc>
          <w:tcPr>
            <w:tcW w:w="1459" w:type="dxa"/>
            <w:noWrap/>
            <w:hideMark/>
          </w:tcPr>
          <w:p w14:paraId="1723AB3E" w14:textId="3954281F" w:rsidR="00AB3985" w:rsidRPr="00AB3985" w:rsidRDefault="00AB3985" w:rsidP="00AB3985">
            <w:pPr>
              <w:pStyle w:val="Tabele"/>
              <w:jc w:val="right"/>
              <w:rPr>
                <w:color w:val="auto"/>
                <w:lang w:eastAsia="pl-PL"/>
              </w:rPr>
            </w:pPr>
            <w:r w:rsidRPr="00AB3985">
              <w:rPr>
                <w:rFonts w:cs="Arial"/>
                <w:color w:val="auto"/>
                <w:szCs w:val="16"/>
              </w:rPr>
              <w:t>0,0</w:t>
            </w:r>
          </w:p>
        </w:tc>
      </w:tr>
      <w:tr w:rsidR="00AB3985" w:rsidRPr="006C4CDF" w14:paraId="43C01EEE" w14:textId="77777777" w:rsidTr="00683EBD">
        <w:trPr>
          <w:trHeight w:val="238"/>
        </w:trPr>
        <w:tc>
          <w:tcPr>
            <w:tcW w:w="3227" w:type="dxa"/>
            <w:noWrap/>
            <w:hideMark/>
          </w:tcPr>
          <w:p w14:paraId="50748CA2" w14:textId="77777777" w:rsidR="00AB3985" w:rsidRPr="006C4CDF" w:rsidRDefault="00AB3985" w:rsidP="00AB3985">
            <w:pPr>
              <w:pStyle w:val="Tabele"/>
              <w:rPr>
                <w:color w:val="auto"/>
                <w:lang w:eastAsia="pl-PL"/>
              </w:rPr>
            </w:pPr>
            <w:r w:rsidRPr="006C4CDF">
              <w:rPr>
                <w:color w:val="auto"/>
                <w:lang w:eastAsia="pl-PL"/>
              </w:rPr>
              <w:t xml:space="preserve"> Inne paliwa</w:t>
            </w:r>
          </w:p>
        </w:tc>
        <w:tc>
          <w:tcPr>
            <w:tcW w:w="1458" w:type="dxa"/>
            <w:noWrap/>
            <w:hideMark/>
          </w:tcPr>
          <w:p w14:paraId="22440768" w14:textId="04FE2C56" w:rsidR="00AB3985" w:rsidRPr="00AB3985" w:rsidRDefault="00AB3985" w:rsidP="00AB3985">
            <w:pPr>
              <w:pStyle w:val="Tabele"/>
              <w:jc w:val="right"/>
              <w:rPr>
                <w:color w:val="auto"/>
                <w:lang w:eastAsia="pl-PL"/>
              </w:rPr>
            </w:pPr>
            <w:r w:rsidRPr="00AB3985">
              <w:rPr>
                <w:rFonts w:cs="Arial"/>
                <w:color w:val="auto"/>
                <w:szCs w:val="16"/>
              </w:rPr>
              <w:t>0,6</w:t>
            </w:r>
          </w:p>
        </w:tc>
        <w:tc>
          <w:tcPr>
            <w:tcW w:w="1459" w:type="dxa"/>
            <w:noWrap/>
            <w:hideMark/>
          </w:tcPr>
          <w:p w14:paraId="26DCF17B" w14:textId="2881CEF6" w:rsidR="00AB3985" w:rsidRPr="00AB3985" w:rsidRDefault="00AB3985" w:rsidP="00AB3985">
            <w:pPr>
              <w:pStyle w:val="Tabele"/>
              <w:jc w:val="right"/>
              <w:rPr>
                <w:color w:val="auto"/>
                <w:lang w:eastAsia="pl-PL"/>
              </w:rPr>
            </w:pPr>
            <w:r w:rsidRPr="00AB3985">
              <w:rPr>
                <w:rFonts w:cs="Arial"/>
                <w:color w:val="auto"/>
                <w:szCs w:val="16"/>
              </w:rPr>
              <w:t>0,5</w:t>
            </w:r>
          </w:p>
        </w:tc>
        <w:tc>
          <w:tcPr>
            <w:tcW w:w="1459" w:type="dxa"/>
            <w:noWrap/>
            <w:hideMark/>
          </w:tcPr>
          <w:p w14:paraId="0528C737" w14:textId="31074AAC" w:rsidR="00AB3985" w:rsidRPr="00AB3985" w:rsidRDefault="00AB3985" w:rsidP="00AB3985">
            <w:pPr>
              <w:pStyle w:val="Tabele"/>
              <w:jc w:val="right"/>
              <w:rPr>
                <w:color w:val="auto"/>
                <w:lang w:eastAsia="pl-PL"/>
              </w:rPr>
            </w:pPr>
            <w:r w:rsidRPr="00AB3985">
              <w:rPr>
                <w:rFonts w:cs="Arial"/>
                <w:color w:val="auto"/>
                <w:szCs w:val="16"/>
              </w:rPr>
              <w:t>0,0</w:t>
            </w:r>
          </w:p>
        </w:tc>
        <w:tc>
          <w:tcPr>
            <w:tcW w:w="1459" w:type="dxa"/>
            <w:noWrap/>
            <w:hideMark/>
          </w:tcPr>
          <w:p w14:paraId="086F400E" w14:textId="45D5AE85" w:rsidR="00AB3985" w:rsidRPr="00AB3985" w:rsidRDefault="00AB3985" w:rsidP="00AB3985">
            <w:pPr>
              <w:pStyle w:val="Tabele"/>
              <w:jc w:val="right"/>
              <w:rPr>
                <w:color w:val="auto"/>
                <w:lang w:eastAsia="pl-PL"/>
              </w:rPr>
            </w:pPr>
            <w:r w:rsidRPr="00AB3985">
              <w:rPr>
                <w:rFonts w:cs="Arial"/>
                <w:color w:val="auto"/>
                <w:szCs w:val="16"/>
              </w:rPr>
              <w:t>0,0</w:t>
            </w:r>
          </w:p>
        </w:tc>
      </w:tr>
      <w:tr w:rsidR="00AB3985" w:rsidRPr="006C4CDF" w14:paraId="47150F9C" w14:textId="77777777" w:rsidTr="00683EBD">
        <w:trPr>
          <w:trHeight w:val="238"/>
        </w:trPr>
        <w:tc>
          <w:tcPr>
            <w:tcW w:w="3227" w:type="dxa"/>
            <w:noWrap/>
            <w:hideMark/>
          </w:tcPr>
          <w:p w14:paraId="3C6F64D5" w14:textId="77777777" w:rsidR="00AB3985" w:rsidRPr="006C4CDF" w:rsidRDefault="00AB3985" w:rsidP="00AB3985">
            <w:pPr>
              <w:pStyle w:val="Tabele"/>
              <w:rPr>
                <w:color w:val="auto"/>
                <w:lang w:eastAsia="pl-PL"/>
              </w:rPr>
            </w:pPr>
            <w:r w:rsidRPr="006C4CDF">
              <w:rPr>
                <w:color w:val="auto"/>
                <w:lang w:eastAsia="pl-PL"/>
              </w:rPr>
              <w:t>Magazyny energii, elektrolizery</w:t>
            </w:r>
          </w:p>
        </w:tc>
        <w:tc>
          <w:tcPr>
            <w:tcW w:w="1458" w:type="dxa"/>
            <w:noWrap/>
            <w:hideMark/>
          </w:tcPr>
          <w:p w14:paraId="187C0717" w14:textId="3C7C8F7B" w:rsidR="00AB3985" w:rsidRPr="00AB3985" w:rsidRDefault="00AB3985" w:rsidP="00AB3985">
            <w:pPr>
              <w:pStyle w:val="Tabele"/>
              <w:jc w:val="right"/>
              <w:rPr>
                <w:color w:val="auto"/>
                <w:lang w:eastAsia="pl-PL"/>
              </w:rPr>
            </w:pPr>
            <w:r w:rsidRPr="00AB3985">
              <w:rPr>
                <w:rFonts w:cs="Arial"/>
                <w:color w:val="auto"/>
                <w:szCs w:val="16"/>
              </w:rPr>
              <w:t>0,8</w:t>
            </w:r>
          </w:p>
        </w:tc>
        <w:tc>
          <w:tcPr>
            <w:tcW w:w="1459" w:type="dxa"/>
            <w:noWrap/>
            <w:hideMark/>
          </w:tcPr>
          <w:p w14:paraId="6928AA4F" w14:textId="3B1DBCED" w:rsidR="00AB3985" w:rsidRPr="00AB3985" w:rsidRDefault="00AB3985" w:rsidP="00AB3985">
            <w:pPr>
              <w:pStyle w:val="Tabele"/>
              <w:jc w:val="right"/>
              <w:rPr>
                <w:color w:val="auto"/>
                <w:lang w:eastAsia="pl-PL"/>
              </w:rPr>
            </w:pPr>
            <w:r w:rsidRPr="00AB3985">
              <w:rPr>
                <w:rFonts w:cs="Arial"/>
                <w:color w:val="auto"/>
                <w:szCs w:val="16"/>
              </w:rPr>
              <w:t>5,4</w:t>
            </w:r>
          </w:p>
        </w:tc>
        <w:tc>
          <w:tcPr>
            <w:tcW w:w="1459" w:type="dxa"/>
            <w:noWrap/>
            <w:hideMark/>
          </w:tcPr>
          <w:p w14:paraId="581A984D" w14:textId="4AE6372C" w:rsidR="00AB3985" w:rsidRPr="00AB3985" w:rsidRDefault="00AB3985" w:rsidP="00AB3985">
            <w:pPr>
              <w:pStyle w:val="Tabele"/>
              <w:jc w:val="right"/>
              <w:rPr>
                <w:color w:val="auto"/>
                <w:lang w:eastAsia="pl-PL"/>
              </w:rPr>
            </w:pPr>
            <w:r w:rsidRPr="00AB3985">
              <w:rPr>
                <w:rFonts w:cs="Arial"/>
                <w:color w:val="auto"/>
                <w:szCs w:val="16"/>
              </w:rPr>
              <w:t>6,5</w:t>
            </w:r>
          </w:p>
        </w:tc>
        <w:tc>
          <w:tcPr>
            <w:tcW w:w="1459" w:type="dxa"/>
            <w:noWrap/>
            <w:hideMark/>
          </w:tcPr>
          <w:p w14:paraId="0F51A8A1" w14:textId="20CC3E6F" w:rsidR="00AB3985" w:rsidRPr="00AB3985" w:rsidRDefault="00AB3985" w:rsidP="00AB3985">
            <w:pPr>
              <w:pStyle w:val="Tabele"/>
              <w:jc w:val="right"/>
              <w:rPr>
                <w:color w:val="auto"/>
                <w:lang w:eastAsia="pl-PL"/>
              </w:rPr>
            </w:pPr>
            <w:r w:rsidRPr="00AB3985">
              <w:rPr>
                <w:rFonts w:cs="Arial"/>
                <w:color w:val="auto"/>
                <w:szCs w:val="16"/>
              </w:rPr>
              <w:t>9,8</w:t>
            </w:r>
          </w:p>
        </w:tc>
      </w:tr>
      <w:tr w:rsidR="00683EBD" w:rsidRPr="006C4CDF" w14:paraId="635099F8" w14:textId="77777777">
        <w:trPr>
          <w:trHeight w:val="238"/>
        </w:trPr>
        <w:tc>
          <w:tcPr>
            <w:tcW w:w="9062" w:type="dxa"/>
            <w:gridSpan w:val="5"/>
            <w:noWrap/>
            <w:hideMark/>
          </w:tcPr>
          <w:p w14:paraId="13512CDF" w14:textId="591843FA" w:rsidR="00683EBD" w:rsidRPr="006C4CDF" w:rsidRDefault="00683EBD">
            <w:pPr>
              <w:pStyle w:val="Tabele"/>
              <w:rPr>
                <w:b/>
                <w:color w:val="auto"/>
                <w:lang w:eastAsia="pl-PL"/>
              </w:rPr>
            </w:pPr>
            <w:r w:rsidRPr="006C4CDF">
              <w:rPr>
                <w:b/>
                <w:color w:val="auto"/>
                <w:lang w:eastAsia="pl-PL"/>
              </w:rPr>
              <w:t>Inwestycje w ciepłownie** [mld. EUR'202</w:t>
            </w:r>
            <w:r w:rsidR="00E616ED">
              <w:rPr>
                <w:b/>
                <w:color w:val="auto"/>
                <w:lang w:eastAsia="pl-PL"/>
              </w:rPr>
              <w:t>4</w:t>
            </w:r>
            <w:r w:rsidRPr="006C4CDF">
              <w:rPr>
                <w:b/>
                <w:color w:val="auto"/>
                <w:lang w:eastAsia="pl-PL"/>
              </w:rPr>
              <w:t>]</w:t>
            </w:r>
          </w:p>
        </w:tc>
      </w:tr>
      <w:tr w:rsidR="00E616ED" w:rsidRPr="006C4CDF" w14:paraId="0013441F" w14:textId="77777777" w:rsidTr="00683EBD">
        <w:trPr>
          <w:trHeight w:val="238"/>
        </w:trPr>
        <w:tc>
          <w:tcPr>
            <w:tcW w:w="3227" w:type="dxa"/>
            <w:noWrap/>
            <w:hideMark/>
          </w:tcPr>
          <w:p w14:paraId="262FA752" w14:textId="77777777" w:rsidR="00E616ED" w:rsidRPr="006C4CDF" w:rsidRDefault="00E616ED" w:rsidP="00E616ED">
            <w:pPr>
              <w:pStyle w:val="Tabele"/>
              <w:rPr>
                <w:color w:val="auto"/>
                <w:lang w:eastAsia="pl-PL"/>
              </w:rPr>
            </w:pPr>
            <w:r w:rsidRPr="006C4CDF">
              <w:rPr>
                <w:color w:val="auto"/>
                <w:lang w:eastAsia="pl-PL"/>
              </w:rPr>
              <w:t>Kotły ciepłownicze</w:t>
            </w:r>
          </w:p>
        </w:tc>
        <w:tc>
          <w:tcPr>
            <w:tcW w:w="1458" w:type="dxa"/>
            <w:noWrap/>
            <w:hideMark/>
          </w:tcPr>
          <w:p w14:paraId="0D32C1AB" w14:textId="30C5A11C" w:rsidR="00E616ED" w:rsidRPr="00E616ED" w:rsidRDefault="00E616ED" w:rsidP="00E616ED">
            <w:pPr>
              <w:pStyle w:val="Tabele"/>
              <w:jc w:val="right"/>
              <w:rPr>
                <w:color w:val="auto"/>
                <w:lang w:eastAsia="pl-PL"/>
              </w:rPr>
            </w:pPr>
            <w:r w:rsidRPr="00E616ED">
              <w:rPr>
                <w:rFonts w:cs="Arial"/>
                <w:color w:val="auto"/>
                <w:szCs w:val="16"/>
              </w:rPr>
              <w:t>0,61</w:t>
            </w:r>
          </w:p>
        </w:tc>
        <w:tc>
          <w:tcPr>
            <w:tcW w:w="1459" w:type="dxa"/>
            <w:noWrap/>
            <w:hideMark/>
          </w:tcPr>
          <w:p w14:paraId="6F3C7E88" w14:textId="48A1FA30" w:rsidR="00E616ED" w:rsidRPr="00E616ED" w:rsidRDefault="00E616ED" w:rsidP="00E616ED">
            <w:pPr>
              <w:pStyle w:val="Tabele"/>
              <w:jc w:val="right"/>
              <w:rPr>
                <w:color w:val="auto"/>
                <w:lang w:eastAsia="pl-PL"/>
              </w:rPr>
            </w:pPr>
            <w:r w:rsidRPr="00E616ED">
              <w:rPr>
                <w:rFonts w:cs="Arial"/>
                <w:color w:val="auto"/>
                <w:szCs w:val="16"/>
              </w:rPr>
              <w:t>0,37</w:t>
            </w:r>
          </w:p>
        </w:tc>
        <w:tc>
          <w:tcPr>
            <w:tcW w:w="1459" w:type="dxa"/>
            <w:noWrap/>
            <w:hideMark/>
          </w:tcPr>
          <w:p w14:paraId="7ECF1732" w14:textId="0BA176E9" w:rsidR="00E616ED" w:rsidRPr="00E616ED" w:rsidRDefault="00E616ED" w:rsidP="00E616ED">
            <w:pPr>
              <w:pStyle w:val="Tabele"/>
              <w:jc w:val="right"/>
              <w:rPr>
                <w:color w:val="auto"/>
                <w:lang w:eastAsia="pl-PL"/>
              </w:rPr>
            </w:pPr>
            <w:r w:rsidRPr="00E616ED">
              <w:rPr>
                <w:rFonts w:cs="Arial"/>
                <w:color w:val="auto"/>
                <w:szCs w:val="16"/>
              </w:rPr>
              <w:t>0,19</w:t>
            </w:r>
          </w:p>
        </w:tc>
        <w:tc>
          <w:tcPr>
            <w:tcW w:w="1459" w:type="dxa"/>
            <w:noWrap/>
            <w:hideMark/>
          </w:tcPr>
          <w:p w14:paraId="69B9D9AA" w14:textId="6E61CFA9" w:rsidR="00E616ED" w:rsidRPr="00E616ED" w:rsidRDefault="00E616ED" w:rsidP="00E616ED">
            <w:pPr>
              <w:pStyle w:val="Tabele"/>
              <w:jc w:val="right"/>
              <w:rPr>
                <w:color w:val="auto"/>
                <w:lang w:eastAsia="pl-PL"/>
              </w:rPr>
            </w:pPr>
            <w:r w:rsidRPr="00E616ED">
              <w:rPr>
                <w:rFonts w:cs="Arial"/>
                <w:color w:val="auto"/>
                <w:szCs w:val="16"/>
              </w:rPr>
              <w:t>0,08</w:t>
            </w:r>
          </w:p>
        </w:tc>
      </w:tr>
      <w:tr w:rsidR="00E616ED" w:rsidRPr="006C4CDF" w14:paraId="1A417A78" w14:textId="77777777" w:rsidTr="00683EBD">
        <w:trPr>
          <w:trHeight w:val="238"/>
        </w:trPr>
        <w:tc>
          <w:tcPr>
            <w:tcW w:w="3227" w:type="dxa"/>
            <w:noWrap/>
            <w:hideMark/>
          </w:tcPr>
          <w:p w14:paraId="7E291C05" w14:textId="77777777" w:rsidR="00E616ED" w:rsidRPr="006C4CDF" w:rsidRDefault="00E616ED" w:rsidP="00E616ED">
            <w:pPr>
              <w:pStyle w:val="Tabele"/>
              <w:rPr>
                <w:color w:val="auto"/>
                <w:lang w:eastAsia="pl-PL"/>
              </w:rPr>
            </w:pPr>
            <w:r w:rsidRPr="006C4CDF">
              <w:rPr>
                <w:color w:val="auto"/>
                <w:lang w:eastAsia="pl-PL"/>
              </w:rPr>
              <w:t>Pompy ciepła</w:t>
            </w:r>
          </w:p>
        </w:tc>
        <w:tc>
          <w:tcPr>
            <w:tcW w:w="1458" w:type="dxa"/>
            <w:noWrap/>
            <w:hideMark/>
          </w:tcPr>
          <w:p w14:paraId="0A24E5F4" w14:textId="79E68E90" w:rsidR="00E616ED" w:rsidRPr="00E616ED" w:rsidRDefault="00E616ED" w:rsidP="00E616ED">
            <w:pPr>
              <w:pStyle w:val="Tabele"/>
              <w:jc w:val="right"/>
              <w:rPr>
                <w:color w:val="auto"/>
                <w:lang w:eastAsia="pl-PL"/>
              </w:rPr>
            </w:pPr>
            <w:r w:rsidRPr="00E616ED">
              <w:rPr>
                <w:rFonts w:cs="Arial"/>
                <w:color w:val="auto"/>
                <w:szCs w:val="16"/>
              </w:rPr>
              <w:t>0,05</w:t>
            </w:r>
          </w:p>
        </w:tc>
        <w:tc>
          <w:tcPr>
            <w:tcW w:w="1459" w:type="dxa"/>
            <w:noWrap/>
            <w:hideMark/>
          </w:tcPr>
          <w:p w14:paraId="449685C0" w14:textId="795866B1" w:rsidR="00E616ED" w:rsidRPr="00E616ED" w:rsidRDefault="00E616ED" w:rsidP="00E616ED">
            <w:pPr>
              <w:pStyle w:val="Tabele"/>
              <w:jc w:val="right"/>
              <w:rPr>
                <w:color w:val="auto"/>
                <w:lang w:eastAsia="pl-PL"/>
              </w:rPr>
            </w:pPr>
            <w:r w:rsidRPr="00E616ED">
              <w:rPr>
                <w:rFonts w:cs="Arial"/>
                <w:color w:val="auto"/>
                <w:szCs w:val="16"/>
              </w:rPr>
              <w:t>0,47</w:t>
            </w:r>
          </w:p>
        </w:tc>
        <w:tc>
          <w:tcPr>
            <w:tcW w:w="1459" w:type="dxa"/>
            <w:noWrap/>
            <w:hideMark/>
          </w:tcPr>
          <w:p w14:paraId="5D95F4DC" w14:textId="792D1528" w:rsidR="00E616ED" w:rsidRPr="00E616ED" w:rsidRDefault="00E616ED" w:rsidP="00E616ED">
            <w:pPr>
              <w:pStyle w:val="Tabele"/>
              <w:jc w:val="right"/>
              <w:rPr>
                <w:color w:val="auto"/>
                <w:lang w:eastAsia="pl-PL"/>
              </w:rPr>
            </w:pPr>
            <w:r w:rsidRPr="00E616ED">
              <w:rPr>
                <w:rFonts w:cs="Arial"/>
                <w:color w:val="auto"/>
                <w:szCs w:val="16"/>
              </w:rPr>
              <w:t>1,66</w:t>
            </w:r>
          </w:p>
        </w:tc>
        <w:tc>
          <w:tcPr>
            <w:tcW w:w="1459" w:type="dxa"/>
            <w:noWrap/>
            <w:hideMark/>
          </w:tcPr>
          <w:p w14:paraId="5CDF7B28" w14:textId="5AF75DA0" w:rsidR="00E616ED" w:rsidRPr="00E616ED" w:rsidRDefault="00E616ED" w:rsidP="00E616ED">
            <w:pPr>
              <w:pStyle w:val="Tabele"/>
              <w:jc w:val="right"/>
              <w:rPr>
                <w:color w:val="auto"/>
                <w:lang w:eastAsia="pl-PL"/>
              </w:rPr>
            </w:pPr>
            <w:r w:rsidRPr="00E616ED">
              <w:rPr>
                <w:rFonts w:cs="Arial"/>
                <w:color w:val="auto"/>
                <w:szCs w:val="16"/>
              </w:rPr>
              <w:t>2,50</w:t>
            </w:r>
          </w:p>
        </w:tc>
      </w:tr>
      <w:tr w:rsidR="00E616ED" w:rsidRPr="006C4CDF" w14:paraId="3D8D5E2F" w14:textId="77777777" w:rsidTr="00683EBD">
        <w:trPr>
          <w:trHeight w:val="238"/>
        </w:trPr>
        <w:tc>
          <w:tcPr>
            <w:tcW w:w="3227" w:type="dxa"/>
            <w:noWrap/>
            <w:hideMark/>
          </w:tcPr>
          <w:p w14:paraId="5D03FFCB" w14:textId="77777777" w:rsidR="00E616ED" w:rsidRPr="006C4CDF" w:rsidRDefault="00E616ED" w:rsidP="00E616ED">
            <w:pPr>
              <w:pStyle w:val="Tabele"/>
              <w:rPr>
                <w:color w:val="auto"/>
                <w:lang w:eastAsia="pl-PL"/>
              </w:rPr>
            </w:pPr>
            <w:r w:rsidRPr="006C4CDF">
              <w:rPr>
                <w:color w:val="auto"/>
                <w:lang w:eastAsia="pl-PL"/>
              </w:rPr>
              <w:t>Geotermia</w:t>
            </w:r>
          </w:p>
        </w:tc>
        <w:tc>
          <w:tcPr>
            <w:tcW w:w="1458" w:type="dxa"/>
            <w:noWrap/>
            <w:hideMark/>
          </w:tcPr>
          <w:p w14:paraId="7D790368" w14:textId="605D8387" w:rsidR="00E616ED" w:rsidRPr="00E616ED" w:rsidRDefault="00E616ED" w:rsidP="00E616ED">
            <w:pPr>
              <w:pStyle w:val="Tabele"/>
              <w:jc w:val="right"/>
              <w:rPr>
                <w:color w:val="auto"/>
                <w:lang w:eastAsia="pl-PL"/>
              </w:rPr>
            </w:pPr>
            <w:r w:rsidRPr="00E616ED">
              <w:rPr>
                <w:rFonts w:cs="Arial"/>
                <w:color w:val="auto"/>
                <w:szCs w:val="16"/>
              </w:rPr>
              <w:t>0,18</w:t>
            </w:r>
          </w:p>
        </w:tc>
        <w:tc>
          <w:tcPr>
            <w:tcW w:w="1459" w:type="dxa"/>
            <w:noWrap/>
            <w:hideMark/>
          </w:tcPr>
          <w:p w14:paraId="2684A5DE" w14:textId="504DA343" w:rsidR="00E616ED" w:rsidRPr="00E616ED" w:rsidRDefault="00E616ED" w:rsidP="00E616ED">
            <w:pPr>
              <w:pStyle w:val="Tabele"/>
              <w:jc w:val="right"/>
              <w:rPr>
                <w:color w:val="auto"/>
                <w:lang w:eastAsia="pl-PL"/>
              </w:rPr>
            </w:pPr>
            <w:r w:rsidRPr="00E616ED">
              <w:rPr>
                <w:rFonts w:cs="Arial"/>
                <w:color w:val="auto"/>
                <w:szCs w:val="16"/>
              </w:rPr>
              <w:t>0,19</w:t>
            </w:r>
          </w:p>
        </w:tc>
        <w:tc>
          <w:tcPr>
            <w:tcW w:w="1459" w:type="dxa"/>
            <w:noWrap/>
            <w:hideMark/>
          </w:tcPr>
          <w:p w14:paraId="49DBFD81" w14:textId="5600E8EE" w:rsidR="00E616ED" w:rsidRPr="00E616ED" w:rsidRDefault="00E616ED" w:rsidP="00E616ED">
            <w:pPr>
              <w:pStyle w:val="Tabele"/>
              <w:jc w:val="right"/>
              <w:rPr>
                <w:color w:val="auto"/>
                <w:lang w:eastAsia="pl-PL"/>
              </w:rPr>
            </w:pPr>
            <w:r w:rsidRPr="00E616ED">
              <w:rPr>
                <w:rFonts w:cs="Arial"/>
                <w:color w:val="auto"/>
                <w:szCs w:val="16"/>
              </w:rPr>
              <w:t>0,19</w:t>
            </w:r>
          </w:p>
        </w:tc>
        <w:tc>
          <w:tcPr>
            <w:tcW w:w="1459" w:type="dxa"/>
            <w:noWrap/>
            <w:hideMark/>
          </w:tcPr>
          <w:p w14:paraId="17991F1F" w14:textId="7B59A01B" w:rsidR="00E616ED" w:rsidRPr="00E616ED" w:rsidRDefault="00E616ED" w:rsidP="00E616ED">
            <w:pPr>
              <w:pStyle w:val="Tabele"/>
              <w:jc w:val="right"/>
              <w:rPr>
                <w:color w:val="auto"/>
                <w:lang w:eastAsia="pl-PL"/>
              </w:rPr>
            </w:pPr>
            <w:r w:rsidRPr="00E616ED">
              <w:rPr>
                <w:rFonts w:cs="Arial"/>
                <w:color w:val="auto"/>
                <w:szCs w:val="16"/>
              </w:rPr>
              <w:t>0,30</w:t>
            </w:r>
          </w:p>
        </w:tc>
      </w:tr>
      <w:tr w:rsidR="00E616ED" w:rsidRPr="006C4CDF" w14:paraId="1E761CFC" w14:textId="77777777" w:rsidTr="00683EBD">
        <w:trPr>
          <w:trHeight w:val="238"/>
        </w:trPr>
        <w:tc>
          <w:tcPr>
            <w:tcW w:w="3227" w:type="dxa"/>
            <w:noWrap/>
            <w:hideMark/>
          </w:tcPr>
          <w:p w14:paraId="7362F661" w14:textId="77777777" w:rsidR="00E616ED" w:rsidRPr="006C4CDF" w:rsidRDefault="00E616ED" w:rsidP="00E616ED">
            <w:pPr>
              <w:pStyle w:val="Tabele"/>
              <w:rPr>
                <w:color w:val="auto"/>
                <w:lang w:eastAsia="pl-PL"/>
              </w:rPr>
            </w:pPr>
            <w:r w:rsidRPr="006C4CDF">
              <w:rPr>
                <w:color w:val="auto"/>
                <w:lang w:eastAsia="pl-PL"/>
              </w:rPr>
              <w:t>Kolektory słoneczne</w:t>
            </w:r>
          </w:p>
        </w:tc>
        <w:tc>
          <w:tcPr>
            <w:tcW w:w="1458" w:type="dxa"/>
            <w:noWrap/>
            <w:hideMark/>
          </w:tcPr>
          <w:p w14:paraId="3692E81E" w14:textId="77777777" w:rsidR="00E616ED" w:rsidRPr="00E616ED" w:rsidRDefault="00E616ED" w:rsidP="00E616ED">
            <w:pPr>
              <w:pStyle w:val="Tabele"/>
              <w:jc w:val="right"/>
              <w:rPr>
                <w:color w:val="auto"/>
                <w:lang w:eastAsia="pl-PL"/>
              </w:rPr>
            </w:pPr>
            <w:r w:rsidRPr="00E616ED">
              <w:rPr>
                <w:rFonts w:cs="Arial"/>
                <w:color w:val="auto"/>
                <w:szCs w:val="16"/>
              </w:rPr>
              <w:t>0,00</w:t>
            </w:r>
          </w:p>
        </w:tc>
        <w:tc>
          <w:tcPr>
            <w:tcW w:w="1459" w:type="dxa"/>
            <w:noWrap/>
            <w:hideMark/>
          </w:tcPr>
          <w:p w14:paraId="3CDF8A8F" w14:textId="35559F27" w:rsidR="00E616ED" w:rsidRPr="00E616ED" w:rsidRDefault="00E616ED" w:rsidP="00E616ED">
            <w:pPr>
              <w:pStyle w:val="Tabele"/>
              <w:jc w:val="right"/>
              <w:rPr>
                <w:color w:val="auto"/>
                <w:lang w:eastAsia="pl-PL"/>
              </w:rPr>
            </w:pPr>
            <w:r w:rsidRPr="00E616ED">
              <w:rPr>
                <w:rFonts w:cs="Arial"/>
                <w:color w:val="auto"/>
                <w:szCs w:val="16"/>
              </w:rPr>
              <w:t>0,04</w:t>
            </w:r>
          </w:p>
        </w:tc>
        <w:tc>
          <w:tcPr>
            <w:tcW w:w="1459" w:type="dxa"/>
            <w:noWrap/>
            <w:hideMark/>
          </w:tcPr>
          <w:p w14:paraId="66D36A9C" w14:textId="6F5959F7" w:rsidR="00E616ED" w:rsidRPr="00E616ED" w:rsidRDefault="00E616ED" w:rsidP="00E616ED">
            <w:pPr>
              <w:pStyle w:val="Tabele"/>
              <w:jc w:val="right"/>
              <w:rPr>
                <w:color w:val="auto"/>
                <w:lang w:eastAsia="pl-PL"/>
              </w:rPr>
            </w:pPr>
            <w:r w:rsidRPr="00E616ED">
              <w:rPr>
                <w:rFonts w:cs="Arial"/>
                <w:color w:val="auto"/>
                <w:szCs w:val="16"/>
              </w:rPr>
              <w:t>0,17</w:t>
            </w:r>
          </w:p>
        </w:tc>
        <w:tc>
          <w:tcPr>
            <w:tcW w:w="1459" w:type="dxa"/>
            <w:noWrap/>
            <w:hideMark/>
          </w:tcPr>
          <w:p w14:paraId="57ADDAA2" w14:textId="30A73D3B" w:rsidR="00E616ED" w:rsidRPr="00E616ED" w:rsidRDefault="00E616ED" w:rsidP="00E616ED">
            <w:pPr>
              <w:pStyle w:val="Tabele"/>
              <w:jc w:val="right"/>
              <w:rPr>
                <w:color w:val="auto"/>
                <w:lang w:eastAsia="pl-PL"/>
              </w:rPr>
            </w:pPr>
            <w:r w:rsidRPr="00E616ED">
              <w:rPr>
                <w:rFonts w:cs="Arial"/>
                <w:color w:val="auto"/>
                <w:szCs w:val="16"/>
              </w:rPr>
              <w:t>0,18</w:t>
            </w:r>
          </w:p>
        </w:tc>
      </w:tr>
      <w:tr w:rsidR="00E616ED" w:rsidRPr="006C4CDF" w14:paraId="6B40BF4C" w14:textId="77777777" w:rsidTr="00683EBD">
        <w:trPr>
          <w:trHeight w:val="238"/>
        </w:trPr>
        <w:tc>
          <w:tcPr>
            <w:tcW w:w="3227" w:type="dxa"/>
            <w:noWrap/>
            <w:hideMark/>
          </w:tcPr>
          <w:p w14:paraId="3442BEBF" w14:textId="77777777" w:rsidR="00E616ED" w:rsidRPr="006C4CDF" w:rsidRDefault="00E616ED" w:rsidP="00E616ED">
            <w:pPr>
              <w:pStyle w:val="Tabele"/>
              <w:rPr>
                <w:color w:val="auto"/>
                <w:lang w:eastAsia="pl-PL"/>
              </w:rPr>
            </w:pPr>
            <w:r w:rsidRPr="006C4CDF">
              <w:rPr>
                <w:color w:val="auto"/>
                <w:lang w:eastAsia="pl-PL"/>
              </w:rPr>
              <w:t>Magazyny ciepła</w:t>
            </w:r>
          </w:p>
        </w:tc>
        <w:tc>
          <w:tcPr>
            <w:tcW w:w="1458" w:type="dxa"/>
            <w:noWrap/>
            <w:hideMark/>
          </w:tcPr>
          <w:p w14:paraId="7F9C7EFF" w14:textId="585A23D1" w:rsidR="00E616ED" w:rsidRPr="00E616ED" w:rsidRDefault="00E616ED" w:rsidP="00E616ED">
            <w:pPr>
              <w:pStyle w:val="Tabele"/>
              <w:jc w:val="right"/>
              <w:rPr>
                <w:color w:val="auto"/>
                <w:lang w:eastAsia="pl-PL"/>
              </w:rPr>
            </w:pPr>
            <w:r w:rsidRPr="00E616ED">
              <w:rPr>
                <w:rFonts w:cs="Arial"/>
                <w:color w:val="auto"/>
                <w:szCs w:val="16"/>
              </w:rPr>
              <w:t>0,28</w:t>
            </w:r>
          </w:p>
        </w:tc>
        <w:tc>
          <w:tcPr>
            <w:tcW w:w="1459" w:type="dxa"/>
            <w:noWrap/>
            <w:hideMark/>
          </w:tcPr>
          <w:p w14:paraId="31C10622" w14:textId="119B9AB6" w:rsidR="00E616ED" w:rsidRPr="00E616ED" w:rsidRDefault="00E616ED" w:rsidP="00E616ED">
            <w:pPr>
              <w:pStyle w:val="Tabele"/>
              <w:jc w:val="right"/>
              <w:rPr>
                <w:color w:val="auto"/>
                <w:lang w:eastAsia="pl-PL"/>
              </w:rPr>
            </w:pPr>
            <w:r w:rsidRPr="00E616ED">
              <w:rPr>
                <w:rFonts w:cs="Arial"/>
                <w:color w:val="auto"/>
                <w:szCs w:val="16"/>
              </w:rPr>
              <w:t>0,48</w:t>
            </w:r>
          </w:p>
        </w:tc>
        <w:tc>
          <w:tcPr>
            <w:tcW w:w="1459" w:type="dxa"/>
            <w:noWrap/>
            <w:hideMark/>
          </w:tcPr>
          <w:p w14:paraId="551505D1" w14:textId="04B5F2C7" w:rsidR="00E616ED" w:rsidRPr="00E616ED" w:rsidRDefault="00E616ED" w:rsidP="00E616ED">
            <w:pPr>
              <w:pStyle w:val="Tabele"/>
              <w:jc w:val="right"/>
              <w:rPr>
                <w:color w:val="auto"/>
                <w:lang w:eastAsia="pl-PL"/>
              </w:rPr>
            </w:pPr>
            <w:r w:rsidRPr="00E616ED">
              <w:rPr>
                <w:rFonts w:cs="Arial"/>
                <w:color w:val="auto"/>
                <w:szCs w:val="16"/>
              </w:rPr>
              <w:t>1,07</w:t>
            </w:r>
          </w:p>
        </w:tc>
        <w:tc>
          <w:tcPr>
            <w:tcW w:w="1459" w:type="dxa"/>
            <w:noWrap/>
            <w:hideMark/>
          </w:tcPr>
          <w:p w14:paraId="228CF6FF" w14:textId="5EC87FC3" w:rsidR="00E616ED" w:rsidRPr="00E616ED" w:rsidRDefault="00E616ED" w:rsidP="00E616ED">
            <w:pPr>
              <w:pStyle w:val="Tabele"/>
              <w:jc w:val="right"/>
              <w:rPr>
                <w:color w:val="auto"/>
                <w:lang w:eastAsia="pl-PL"/>
              </w:rPr>
            </w:pPr>
            <w:r w:rsidRPr="00E616ED">
              <w:rPr>
                <w:rFonts w:cs="Arial"/>
                <w:color w:val="auto"/>
                <w:szCs w:val="16"/>
              </w:rPr>
              <w:t>1,32</w:t>
            </w:r>
          </w:p>
        </w:tc>
      </w:tr>
      <w:tr w:rsidR="00E616ED" w:rsidRPr="006C4CDF" w14:paraId="4F442E90" w14:textId="77777777" w:rsidTr="00683EBD">
        <w:trPr>
          <w:trHeight w:val="238"/>
        </w:trPr>
        <w:tc>
          <w:tcPr>
            <w:tcW w:w="3227" w:type="dxa"/>
            <w:noWrap/>
            <w:hideMark/>
          </w:tcPr>
          <w:p w14:paraId="2DF7C6AA" w14:textId="77777777" w:rsidR="00E616ED" w:rsidRPr="006C4CDF" w:rsidRDefault="00E616ED" w:rsidP="00E616ED">
            <w:pPr>
              <w:pStyle w:val="Tabele"/>
              <w:rPr>
                <w:color w:val="auto"/>
                <w:lang w:eastAsia="pl-PL"/>
              </w:rPr>
            </w:pPr>
            <w:r w:rsidRPr="006C4CDF">
              <w:rPr>
                <w:color w:val="auto"/>
                <w:lang w:eastAsia="pl-PL"/>
              </w:rPr>
              <w:t>Modernizacja</w:t>
            </w:r>
          </w:p>
        </w:tc>
        <w:tc>
          <w:tcPr>
            <w:tcW w:w="1458" w:type="dxa"/>
            <w:noWrap/>
            <w:hideMark/>
          </w:tcPr>
          <w:p w14:paraId="158D2B92" w14:textId="6BF0B2DF" w:rsidR="00E616ED" w:rsidRPr="00E616ED" w:rsidRDefault="00E616ED" w:rsidP="00E616ED">
            <w:pPr>
              <w:pStyle w:val="Tabele"/>
              <w:jc w:val="right"/>
              <w:rPr>
                <w:color w:val="auto"/>
                <w:lang w:eastAsia="pl-PL"/>
              </w:rPr>
            </w:pPr>
            <w:r w:rsidRPr="00E616ED">
              <w:rPr>
                <w:rFonts w:cs="Arial"/>
                <w:color w:val="auto"/>
                <w:szCs w:val="16"/>
              </w:rPr>
              <w:t>0,46</w:t>
            </w:r>
          </w:p>
        </w:tc>
        <w:tc>
          <w:tcPr>
            <w:tcW w:w="1459" w:type="dxa"/>
            <w:noWrap/>
            <w:hideMark/>
          </w:tcPr>
          <w:p w14:paraId="63CD4246" w14:textId="77777777" w:rsidR="00E616ED" w:rsidRPr="00E616ED" w:rsidRDefault="00E616ED" w:rsidP="00E616ED">
            <w:pPr>
              <w:pStyle w:val="Tabele"/>
              <w:jc w:val="right"/>
              <w:rPr>
                <w:color w:val="auto"/>
                <w:lang w:eastAsia="pl-PL"/>
              </w:rPr>
            </w:pPr>
            <w:r w:rsidRPr="00E616ED">
              <w:rPr>
                <w:rFonts w:cs="Arial"/>
                <w:color w:val="auto"/>
                <w:szCs w:val="16"/>
              </w:rPr>
              <w:t>0,00</w:t>
            </w:r>
          </w:p>
        </w:tc>
        <w:tc>
          <w:tcPr>
            <w:tcW w:w="1459" w:type="dxa"/>
            <w:noWrap/>
            <w:hideMark/>
          </w:tcPr>
          <w:p w14:paraId="54746726" w14:textId="77777777" w:rsidR="00E616ED" w:rsidRPr="00E616ED" w:rsidRDefault="00E616ED" w:rsidP="00E616ED">
            <w:pPr>
              <w:pStyle w:val="Tabele"/>
              <w:jc w:val="right"/>
              <w:rPr>
                <w:color w:val="auto"/>
                <w:lang w:eastAsia="pl-PL"/>
              </w:rPr>
            </w:pPr>
            <w:r w:rsidRPr="00E616ED">
              <w:rPr>
                <w:rFonts w:cs="Arial"/>
                <w:color w:val="auto"/>
                <w:szCs w:val="16"/>
              </w:rPr>
              <w:t>0,00</w:t>
            </w:r>
          </w:p>
        </w:tc>
        <w:tc>
          <w:tcPr>
            <w:tcW w:w="1459" w:type="dxa"/>
            <w:noWrap/>
            <w:hideMark/>
          </w:tcPr>
          <w:p w14:paraId="10A5EFFA" w14:textId="77777777" w:rsidR="00E616ED" w:rsidRPr="00E616ED" w:rsidRDefault="00E616ED" w:rsidP="00E616ED">
            <w:pPr>
              <w:pStyle w:val="Tabele"/>
              <w:jc w:val="right"/>
              <w:rPr>
                <w:color w:val="auto"/>
                <w:lang w:eastAsia="pl-PL"/>
              </w:rPr>
            </w:pPr>
            <w:r w:rsidRPr="00E616ED">
              <w:rPr>
                <w:rFonts w:cs="Arial"/>
                <w:color w:val="auto"/>
                <w:szCs w:val="16"/>
              </w:rPr>
              <w:t>0,00</w:t>
            </w:r>
          </w:p>
        </w:tc>
      </w:tr>
      <w:tr w:rsidR="00E616ED" w:rsidRPr="006C4CDF" w14:paraId="04358A2C" w14:textId="77777777" w:rsidTr="00683EBD">
        <w:trPr>
          <w:trHeight w:val="238"/>
        </w:trPr>
        <w:tc>
          <w:tcPr>
            <w:tcW w:w="3227" w:type="dxa"/>
            <w:noWrap/>
            <w:hideMark/>
          </w:tcPr>
          <w:p w14:paraId="05BB3517" w14:textId="77777777" w:rsidR="00E616ED" w:rsidRPr="006C4CDF" w:rsidRDefault="00E616ED" w:rsidP="00E616ED">
            <w:pPr>
              <w:pStyle w:val="Tabele"/>
              <w:rPr>
                <w:color w:val="auto"/>
                <w:lang w:eastAsia="pl-PL"/>
              </w:rPr>
            </w:pPr>
            <w:r w:rsidRPr="006C4CDF">
              <w:rPr>
                <w:color w:val="auto"/>
                <w:lang w:eastAsia="pl-PL"/>
              </w:rPr>
              <w:t>Łącznie</w:t>
            </w:r>
          </w:p>
        </w:tc>
        <w:tc>
          <w:tcPr>
            <w:tcW w:w="1458" w:type="dxa"/>
            <w:noWrap/>
            <w:hideMark/>
          </w:tcPr>
          <w:p w14:paraId="79F0609C" w14:textId="2ABA4486" w:rsidR="00E616ED" w:rsidRPr="00E616ED" w:rsidRDefault="00E616ED" w:rsidP="00E616ED">
            <w:pPr>
              <w:pStyle w:val="Tabele"/>
              <w:jc w:val="right"/>
              <w:rPr>
                <w:color w:val="auto"/>
                <w:lang w:eastAsia="pl-PL"/>
              </w:rPr>
            </w:pPr>
            <w:r w:rsidRPr="00E616ED">
              <w:rPr>
                <w:rFonts w:cs="Arial"/>
                <w:b/>
                <w:bCs/>
                <w:color w:val="auto"/>
                <w:szCs w:val="16"/>
              </w:rPr>
              <w:t>1,57</w:t>
            </w:r>
          </w:p>
        </w:tc>
        <w:tc>
          <w:tcPr>
            <w:tcW w:w="1459" w:type="dxa"/>
            <w:noWrap/>
            <w:hideMark/>
          </w:tcPr>
          <w:p w14:paraId="15B735CA" w14:textId="23DC1124" w:rsidR="00E616ED" w:rsidRPr="00E616ED" w:rsidRDefault="00E616ED" w:rsidP="00E616ED">
            <w:pPr>
              <w:pStyle w:val="Tabele"/>
              <w:jc w:val="right"/>
              <w:rPr>
                <w:color w:val="auto"/>
                <w:lang w:eastAsia="pl-PL"/>
              </w:rPr>
            </w:pPr>
            <w:r w:rsidRPr="00E616ED">
              <w:rPr>
                <w:rFonts w:cs="Arial"/>
                <w:b/>
                <w:bCs/>
                <w:color w:val="auto"/>
                <w:szCs w:val="16"/>
              </w:rPr>
              <w:t>1,55</w:t>
            </w:r>
          </w:p>
        </w:tc>
        <w:tc>
          <w:tcPr>
            <w:tcW w:w="1459" w:type="dxa"/>
            <w:noWrap/>
            <w:hideMark/>
          </w:tcPr>
          <w:p w14:paraId="30973643" w14:textId="70DA3BE6" w:rsidR="00E616ED" w:rsidRPr="00E616ED" w:rsidRDefault="00E616ED" w:rsidP="00E616ED">
            <w:pPr>
              <w:pStyle w:val="Tabele"/>
              <w:jc w:val="right"/>
              <w:rPr>
                <w:color w:val="auto"/>
                <w:lang w:eastAsia="pl-PL"/>
              </w:rPr>
            </w:pPr>
            <w:r w:rsidRPr="00E616ED">
              <w:rPr>
                <w:rFonts w:cs="Arial"/>
                <w:b/>
                <w:bCs/>
                <w:color w:val="auto"/>
                <w:szCs w:val="16"/>
              </w:rPr>
              <w:t>3,29</w:t>
            </w:r>
          </w:p>
        </w:tc>
        <w:tc>
          <w:tcPr>
            <w:tcW w:w="1459" w:type="dxa"/>
            <w:noWrap/>
            <w:hideMark/>
          </w:tcPr>
          <w:p w14:paraId="340984CD" w14:textId="45584DE1" w:rsidR="00E616ED" w:rsidRPr="00E616ED" w:rsidRDefault="00E616ED" w:rsidP="00E616ED">
            <w:pPr>
              <w:pStyle w:val="Tabele"/>
              <w:jc w:val="right"/>
              <w:rPr>
                <w:color w:val="auto"/>
                <w:lang w:eastAsia="pl-PL"/>
              </w:rPr>
            </w:pPr>
            <w:r w:rsidRPr="00E616ED">
              <w:rPr>
                <w:rFonts w:cs="Arial"/>
                <w:b/>
                <w:bCs/>
                <w:color w:val="auto"/>
                <w:szCs w:val="16"/>
              </w:rPr>
              <w:t>4,38</w:t>
            </w:r>
          </w:p>
        </w:tc>
      </w:tr>
    </w:tbl>
    <w:p w14:paraId="36483F5D" w14:textId="77777777" w:rsidR="005C4144" w:rsidRDefault="005C4144" w:rsidP="005C4144">
      <w:pPr>
        <w:pStyle w:val="ardo"/>
        <w:spacing w:after="0"/>
      </w:pPr>
      <w:r>
        <w:t>*nakłady inwestycyjne overnight (bez kosztów kapitału IDC)</w:t>
      </w:r>
    </w:p>
    <w:p w14:paraId="0CB3B41F" w14:textId="77777777" w:rsidR="005C4144" w:rsidRDefault="005C4144" w:rsidP="005C4144">
      <w:pPr>
        <w:pStyle w:val="ardo"/>
        <w:spacing w:after="0"/>
      </w:pPr>
      <w:r>
        <w:t xml:space="preserve">** </w:t>
      </w:r>
      <w:r w:rsidRPr="005C4939">
        <w:t>podane koszty dotyczą tylko transformacji ciepłowni, nie uwzględniają nakładów na rozbudowę i modernizację elektrociepłowni (te koszty zostały zakwalifikowane do sektora wytwarzania energii elektrycznej)</w:t>
      </w:r>
    </w:p>
    <w:p w14:paraId="2188D269" w14:textId="6511BADD" w:rsidR="005C4144" w:rsidRDefault="005C4144" w:rsidP="006B576A">
      <w:pPr>
        <w:pStyle w:val="Legenda"/>
        <w:keepNext/>
      </w:pPr>
      <w:r w:rsidRPr="00EC3991">
        <w:t>Źródło: Szacunki ARE S.A.</w:t>
      </w:r>
    </w:p>
    <w:p w14:paraId="18FCC456" w14:textId="71BF8260" w:rsidR="00192377" w:rsidRPr="00B22FCD" w:rsidRDefault="00192377" w:rsidP="00192377">
      <w:r w:rsidRPr="00B22FCD">
        <w:t>Prognozowane nakłady inwestycyjne w podsektorze przesyłu i dystrybucji są to koszty rozbudowy lub wzmocnienia sieci związane z wprowadzeniem nowych mocy do systemu. Ocena wielkości tychże kosztów jest zadaniem trudnym, gdyż koszt modernizacji sieci zależy od stanu istniejącej infrastruktury, lokalizacji źródeł oraz rodzaju technologii</w:t>
      </w:r>
      <w:r w:rsidR="003C1A98">
        <w:t xml:space="preserve"> wytwarzania</w:t>
      </w:r>
      <w:r w:rsidRPr="00B22FCD">
        <w:t xml:space="preserve">, terenu, długości i mocy znamionowej linii elektroenergetycznych. </w:t>
      </w:r>
      <w:r w:rsidR="00BA1923">
        <w:t xml:space="preserve">Wprowadzenie </w:t>
      </w:r>
      <w:r w:rsidR="00641BD2" w:rsidRPr="00641BD2">
        <w:t>lokalnego bilansowania, systemów zarządzania</w:t>
      </w:r>
      <w:r w:rsidR="00BA1923">
        <w:t xml:space="preserve"> oraz </w:t>
      </w:r>
      <w:r w:rsidR="00641BD2" w:rsidRPr="00641BD2">
        <w:t>współdzielenia infrastruktury</w:t>
      </w:r>
      <w:r w:rsidR="00BA1923">
        <w:t xml:space="preserve"> sieciowej </w:t>
      </w:r>
      <w:r w:rsidR="00A06939">
        <w:t>pozwoli w kolejnych latach na budowę tańszego zdecentralizowanego</w:t>
      </w:r>
      <w:r w:rsidR="003B6759" w:rsidRPr="003B6759">
        <w:t xml:space="preserve"> </w:t>
      </w:r>
      <w:r w:rsidR="003B6759">
        <w:t>systemu</w:t>
      </w:r>
      <w:r w:rsidR="00985BFD">
        <w:t xml:space="preserve"> dystrybucji</w:t>
      </w:r>
      <w:r w:rsidR="00A06939">
        <w:t xml:space="preserve">, choć potrzebne są </w:t>
      </w:r>
      <w:r w:rsidR="00826C8C">
        <w:t>inwestycje</w:t>
      </w:r>
      <w:r w:rsidR="003B6759">
        <w:t xml:space="preserve"> w wyżej wymienione elementy</w:t>
      </w:r>
      <w:r w:rsidR="00A06939" w:rsidDel="00214B93">
        <w:t>.</w:t>
      </w:r>
      <w:r w:rsidR="00C17F32" w:rsidDel="002F4460">
        <w:t xml:space="preserve"> </w:t>
      </w:r>
      <w:r w:rsidR="002F4460">
        <w:t xml:space="preserve">Ponadto </w:t>
      </w:r>
      <w:r w:rsidR="002F4460" w:rsidRPr="002F4460">
        <w:t>rozwój energetyki obywatelskiej w formie Obywatelskich Społeczności Energetycznych, może przyczynić się do częściowego współdzielenia kosztów rozbudowy i modernizacji sieci dystrybucyjnej. W</w:t>
      </w:r>
      <w:r w:rsidR="00B6518A">
        <w:t> </w:t>
      </w:r>
      <w:r w:rsidR="002F4460" w:rsidRPr="002F4460">
        <w:t>tym kontekście istotne jest tworzenie rozwiązań prawnych i technicznych ułatwiających powstawanie i funkcjonowanie tego typu inicjatyw</w:t>
      </w:r>
      <w:r w:rsidR="00214B93">
        <w:t>.</w:t>
      </w:r>
    </w:p>
    <w:p w14:paraId="3404E7F1" w14:textId="0D6F27CA" w:rsidR="002A2AB3" w:rsidRDefault="00192377" w:rsidP="004A61F6">
      <w:r w:rsidRPr="00B22FCD">
        <w:t>Dla potrzeb niniejszej analizy zastosowano oszacowanie bazujące na przyjętych jednostkowych kosztach inwestycyjnych dla sieci przesyłowej (WN) oraz dla sieci dystrybucyjny</w:t>
      </w:r>
      <w:r>
        <w:t>ch (SN i NN), wyrażonych w mln EUR</w:t>
      </w:r>
      <w:r w:rsidRPr="00B22FCD">
        <w:t>/MW dodatkowej mocy jednostek wytwórczych podłączonych do odpowiedniej sieci. Jednostkowe inwestycyjne koszty sieciowe przyjęto wg danych literaturowych. Oszacowane w ten sposób nakłady inwestycyjne w podsektorze przesyłu i dystrybucji</w:t>
      </w:r>
      <w:r w:rsidRPr="00B22FCD">
        <w:rPr>
          <w:b/>
          <w:i/>
        </w:rPr>
        <w:t xml:space="preserve"> </w:t>
      </w:r>
      <w:r w:rsidRPr="00B22FCD">
        <w:t>w okresie 2021-20</w:t>
      </w:r>
      <w:r w:rsidR="00620D5B">
        <w:t>4</w:t>
      </w:r>
      <w:r w:rsidRPr="00B22FCD">
        <w:t>0 przedstawiono poniżej w tabeli</w:t>
      </w:r>
      <w:r w:rsidR="005C4144" w:rsidRPr="00C653AA">
        <w:t>.</w:t>
      </w:r>
      <w:bookmarkStart w:id="559" w:name="_Ref156975561"/>
    </w:p>
    <w:p w14:paraId="4014EDE1" w14:textId="5375180D" w:rsidR="00684F82" w:rsidRPr="00DA7510" w:rsidRDefault="005C4144" w:rsidP="004A61F6">
      <w:bookmarkStart w:id="560" w:name="_Toc202967011"/>
      <w:r w:rsidRPr="00DA7510">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4</w:t>
      </w:r>
      <w:r w:rsidR="00653D9A">
        <w:rPr>
          <w:noProof/>
        </w:rPr>
        <w:fldChar w:fldCharType="end"/>
      </w:r>
      <w:r w:rsidR="00F5646F">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10</w:t>
      </w:r>
      <w:r w:rsidR="00653D9A">
        <w:rPr>
          <w:noProof/>
        </w:rPr>
        <w:fldChar w:fldCharType="end"/>
      </w:r>
      <w:bookmarkEnd w:id="559"/>
      <w:r w:rsidRPr="00DA7510">
        <w:t>.</w:t>
      </w:r>
      <w:r w:rsidRPr="00DA7510">
        <w:rPr>
          <w:rFonts w:eastAsia="Calibri"/>
          <w:bCs/>
          <w:i/>
          <w:color w:val="000000"/>
        </w:rPr>
        <w:t xml:space="preserve"> </w:t>
      </w:r>
      <w:r w:rsidR="00684F82" w:rsidRPr="00DA7510">
        <w:t>Prognozowane nakłady inwestycyjne w podsektor</w:t>
      </w:r>
      <w:r w:rsidR="00684F82">
        <w:t>ze przesyłu i dystrybucji [mld EUR</w:t>
      </w:r>
      <w:r w:rsidR="00684F82" w:rsidRPr="00DA7510">
        <w:t>’20</w:t>
      </w:r>
      <w:r w:rsidR="00684F82">
        <w:t>2</w:t>
      </w:r>
      <w:r w:rsidR="006350B8">
        <w:t>4</w:t>
      </w:r>
      <w:r w:rsidR="00684F82" w:rsidRPr="00DA7510">
        <w:t>]</w:t>
      </w:r>
      <w:bookmarkEnd w:id="560"/>
    </w:p>
    <w:tbl>
      <w:tblPr>
        <w:tblStyle w:val="KPEiK"/>
        <w:tblW w:w="5000" w:type="pct"/>
        <w:tblLook w:val="04A0" w:firstRow="1" w:lastRow="0" w:firstColumn="1" w:lastColumn="0" w:noHBand="0" w:noVBand="1"/>
      </w:tblPr>
      <w:tblGrid>
        <w:gridCol w:w="2479"/>
        <w:gridCol w:w="1334"/>
        <w:gridCol w:w="1335"/>
        <w:gridCol w:w="1334"/>
        <w:gridCol w:w="1333"/>
        <w:gridCol w:w="1247"/>
      </w:tblGrid>
      <w:tr w:rsidR="00684F82" w:rsidRPr="00DA7510" w14:paraId="6BDD7675" w14:textId="77777777" w:rsidTr="003F368D">
        <w:trPr>
          <w:cnfStyle w:val="100000000000" w:firstRow="1" w:lastRow="0" w:firstColumn="0" w:lastColumn="0" w:oddVBand="0" w:evenVBand="0" w:oddHBand="0" w:evenHBand="0" w:firstRowFirstColumn="0" w:firstRowLastColumn="0" w:lastRowFirstColumn="0" w:lastRowLastColumn="0"/>
          <w:trHeight w:val="229"/>
          <w:tblHeader/>
        </w:trPr>
        <w:tc>
          <w:tcPr>
            <w:tcW w:w="2479" w:type="dxa"/>
            <w:noWrap/>
            <w:hideMark/>
          </w:tcPr>
          <w:p w14:paraId="7DF6B943" w14:textId="77777777" w:rsidR="00684F82" w:rsidRPr="00DA7510" w:rsidRDefault="00684F82">
            <w:pPr>
              <w:pStyle w:val="Tabele"/>
              <w:jc w:val="center"/>
              <w:rPr>
                <w:b w:val="0"/>
              </w:rPr>
            </w:pPr>
            <w:r w:rsidRPr="00DA7510">
              <w:t>Przesył i dystrybucja</w:t>
            </w:r>
          </w:p>
        </w:tc>
        <w:tc>
          <w:tcPr>
            <w:tcW w:w="1334" w:type="dxa"/>
            <w:noWrap/>
            <w:hideMark/>
          </w:tcPr>
          <w:p w14:paraId="7D2E2816" w14:textId="77777777" w:rsidR="00684F82" w:rsidRPr="00DA7510" w:rsidRDefault="00684F82">
            <w:pPr>
              <w:pStyle w:val="Tabele"/>
              <w:jc w:val="center"/>
              <w:rPr>
                <w:b w:val="0"/>
              </w:rPr>
            </w:pPr>
            <w:r w:rsidRPr="00DA7510">
              <w:t>2021-2025</w:t>
            </w:r>
          </w:p>
        </w:tc>
        <w:tc>
          <w:tcPr>
            <w:tcW w:w="1335" w:type="dxa"/>
            <w:noWrap/>
            <w:hideMark/>
          </w:tcPr>
          <w:p w14:paraId="6EC4D1CB" w14:textId="77777777" w:rsidR="00684F82" w:rsidRPr="00DA7510" w:rsidRDefault="00684F82">
            <w:pPr>
              <w:pStyle w:val="Tabele"/>
              <w:jc w:val="center"/>
              <w:rPr>
                <w:b w:val="0"/>
              </w:rPr>
            </w:pPr>
            <w:r w:rsidRPr="00DA7510">
              <w:t>2025-2030</w:t>
            </w:r>
          </w:p>
        </w:tc>
        <w:tc>
          <w:tcPr>
            <w:tcW w:w="1334" w:type="dxa"/>
            <w:noWrap/>
            <w:hideMark/>
          </w:tcPr>
          <w:p w14:paraId="0FB1580D" w14:textId="77777777" w:rsidR="00684F82" w:rsidRPr="00DA7510" w:rsidRDefault="00684F82">
            <w:pPr>
              <w:pStyle w:val="Tabele"/>
              <w:jc w:val="center"/>
              <w:rPr>
                <w:b w:val="0"/>
              </w:rPr>
            </w:pPr>
            <w:r w:rsidRPr="00DA7510">
              <w:t>2030-2035</w:t>
            </w:r>
          </w:p>
        </w:tc>
        <w:tc>
          <w:tcPr>
            <w:tcW w:w="1333" w:type="dxa"/>
            <w:noWrap/>
            <w:hideMark/>
          </w:tcPr>
          <w:p w14:paraId="218BB594" w14:textId="77777777" w:rsidR="00684F82" w:rsidRPr="00DA7510" w:rsidRDefault="00684F82">
            <w:pPr>
              <w:pStyle w:val="Tabele"/>
              <w:jc w:val="center"/>
              <w:rPr>
                <w:b w:val="0"/>
              </w:rPr>
            </w:pPr>
            <w:r w:rsidRPr="00DA7510">
              <w:t>2036-2040</w:t>
            </w:r>
          </w:p>
        </w:tc>
        <w:tc>
          <w:tcPr>
            <w:tcW w:w="1247" w:type="dxa"/>
          </w:tcPr>
          <w:p w14:paraId="5E89E9DC" w14:textId="5D57A00C" w:rsidR="00684F82" w:rsidRPr="00DA7510" w:rsidRDefault="00684F82">
            <w:pPr>
              <w:pStyle w:val="Tabele"/>
              <w:jc w:val="center"/>
            </w:pPr>
            <w:r w:rsidRPr="00DA7510">
              <w:t>2021-</w:t>
            </w:r>
            <w:r w:rsidR="005A3744" w:rsidRPr="00DA7510">
              <w:t>20</w:t>
            </w:r>
            <w:r w:rsidR="005A3744">
              <w:t>4</w:t>
            </w:r>
            <w:r w:rsidR="005A3744" w:rsidRPr="00DA7510">
              <w:t>0</w:t>
            </w:r>
          </w:p>
        </w:tc>
      </w:tr>
      <w:tr w:rsidR="006350B8" w:rsidRPr="00DA7510" w14:paraId="7CB7195A" w14:textId="77777777" w:rsidTr="003F368D">
        <w:trPr>
          <w:trHeight w:val="229"/>
        </w:trPr>
        <w:tc>
          <w:tcPr>
            <w:tcW w:w="2479" w:type="dxa"/>
            <w:noWrap/>
            <w:hideMark/>
          </w:tcPr>
          <w:p w14:paraId="2A166908" w14:textId="77777777" w:rsidR="006350B8" w:rsidRPr="006430FB" w:rsidRDefault="006350B8" w:rsidP="006350B8">
            <w:pPr>
              <w:pStyle w:val="Tabele"/>
              <w:rPr>
                <w:color w:val="auto"/>
              </w:rPr>
            </w:pPr>
            <w:r w:rsidRPr="006430FB">
              <w:rPr>
                <w:color w:val="auto"/>
              </w:rPr>
              <w:t>Łącznie</w:t>
            </w:r>
          </w:p>
        </w:tc>
        <w:tc>
          <w:tcPr>
            <w:tcW w:w="1334" w:type="dxa"/>
            <w:noWrap/>
          </w:tcPr>
          <w:p w14:paraId="38C81B91" w14:textId="71ABD989" w:rsidR="006350B8" w:rsidRPr="006350B8" w:rsidRDefault="006350B8" w:rsidP="006350B8">
            <w:pPr>
              <w:pStyle w:val="Tabele"/>
              <w:jc w:val="right"/>
              <w:rPr>
                <w:b/>
                <w:bCs/>
                <w:color w:val="auto"/>
              </w:rPr>
            </w:pPr>
            <w:r w:rsidRPr="006350B8">
              <w:rPr>
                <w:rFonts w:cs="Arial"/>
                <w:b/>
                <w:bCs/>
                <w:color w:val="auto"/>
                <w:sz w:val="18"/>
                <w:szCs w:val="18"/>
              </w:rPr>
              <w:t>5,2</w:t>
            </w:r>
          </w:p>
        </w:tc>
        <w:tc>
          <w:tcPr>
            <w:tcW w:w="1335" w:type="dxa"/>
            <w:noWrap/>
          </w:tcPr>
          <w:p w14:paraId="6FD66456" w14:textId="73C0CE7A" w:rsidR="006350B8" w:rsidRPr="006350B8" w:rsidRDefault="006350B8" w:rsidP="006350B8">
            <w:pPr>
              <w:pStyle w:val="Tabele"/>
              <w:jc w:val="right"/>
              <w:rPr>
                <w:b/>
                <w:bCs/>
                <w:color w:val="auto"/>
              </w:rPr>
            </w:pPr>
            <w:r w:rsidRPr="006350B8">
              <w:rPr>
                <w:rFonts w:cs="Arial"/>
                <w:b/>
                <w:bCs/>
                <w:color w:val="auto"/>
                <w:sz w:val="18"/>
                <w:szCs w:val="18"/>
              </w:rPr>
              <w:t>31,5</w:t>
            </w:r>
          </w:p>
        </w:tc>
        <w:tc>
          <w:tcPr>
            <w:tcW w:w="1334" w:type="dxa"/>
            <w:noWrap/>
          </w:tcPr>
          <w:p w14:paraId="0ED42F35" w14:textId="073865E9" w:rsidR="006350B8" w:rsidRPr="006350B8" w:rsidRDefault="006350B8" w:rsidP="006350B8">
            <w:pPr>
              <w:pStyle w:val="Tabele"/>
              <w:jc w:val="right"/>
              <w:rPr>
                <w:b/>
                <w:bCs/>
                <w:color w:val="auto"/>
              </w:rPr>
            </w:pPr>
            <w:r w:rsidRPr="006350B8">
              <w:rPr>
                <w:rFonts w:cs="Arial"/>
                <w:b/>
                <w:bCs/>
                <w:color w:val="auto"/>
                <w:sz w:val="18"/>
                <w:szCs w:val="18"/>
              </w:rPr>
              <w:t>22,1</w:t>
            </w:r>
          </w:p>
        </w:tc>
        <w:tc>
          <w:tcPr>
            <w:tcW w:w="1333" w:type="dxa"/>
            <w:noWrap/>
          </w:tcPr>
          <w:p w14:paraId="7D23B062" w14:textId="34EF5257" w:rsidR="006350B8" w:rsidRPr="006350B8" w:rsidRDefault="006350B8" w:rsidP="006350B8">
            <w:pPr>
              <w:pStyle w:val="Tabele"/>
              <w:jc w:val="right"/>
              <w:rPr>
                <w:b/>
                <w:bCs/>
                <w:color w:val="auto"/>
              </w:rPr>
            </w:pPr>
            <w:r w:rsidRPr="006350B8">
              <w:rPr>
                <w:rFonts w:cs="Arial"/>
                <w:b/>
                <w:bCs/>
                <w:color w:val="auto"/>
                <w:sz w:val="18"/>
                <w:szCs w:val="18"/>
              </w:rPr>
              <w:t>19,2</w:t>
            </w:r>
          </w:p>
        </w:tc>
        <w:tc>
          <w:tcPr>
            <w:tcW w:w="1247" w:type="dxa"/>
          </w:tcPr>
          <w:p w14:paraId="1F543662" w14:textId="387DA207" w:rsidR="006350B8" w:rsidRPr="006350B8" w:rsidRDefault="006350B8" w:rsidP="006350B8">
            <w:pPr>
              <w:pStyle w:val="Tabele"/>
              <w:jc w:val="right"/>
              <w:rPr>
                <w:b/>
                <w:bCs/>
                <w:color w:val="auto"/>
              </w:rPr>
            </w:pPr>
            <w:r w:rsidRPr="006350B8">
              <w:rPr>
                <w:rFonts w:cs="Arial"/>
                <w:b/>
                <w:bCs/>
                <w:color w:val="auto"/>
                <w:sz w:val="18"/>
                <w:szCs w:val="18"/>
              </w:rPr>
              <w:t>77,9</w:t>
            </w:r>
          </w:p>
        </w:tc>
      </w:tr>
      <w:tr w:rsidR="006350B8" w:rsidRPr="00DA7510" w14:paraId="0347DF53" w14:textId="77777777" w:rsidTr="003F368D">
        <w:trPr>
          <w:trHeight w:val="229"/>
        </w:trPr>
        <w:tc>
          <w:tcPr>
            <w:tcW w:w="2479" w:type="dxa"/>
            <w:noWrap/>
            <w:hideMark/>
          </w:tcPr>
          <w:p w14:paraId="1754840A" w14:textId="77777777" w:rsidR="006350B8" w:rsidRPr="006430FB" w:rsidRDefault="006350B8" w:rsidP="006350B8">
            <w:pPr>
              <w:pStyle w:val="Tabele"/>
              <w:rPr>
                <w:color w:val="auto"/>
              </w:rPr>
            </w:pPr>
            <w:r w:rsidRPr="006430FB">
              <w:rPr>
                <w:color w:val="auto"/>
              </w:rPr>
              <w:t>Sieć przesyłowa</w:t>
            </w:r>
          </w:p>
        </w:tc>
        <w:tc>
          <w:tcPr>
            <w:tcW w:w="1334" w:type="dxa"/>
            <w:noWrap/>
          </w:tcPr>
          <w:p w14:paraId="205A2E4E" w14:textId="763CFBC8" w:rsidR="006350B8" w:rsidRPr="006350B8" w:rsidRDefault="006350B8" w:rsidP="006350B8">
            <w:pPr>
              <w:pStyle w:val="Tabele"/>
              <w:jc w:val="right"/>
              <w:rPr>
                <w:color w:val="auto"/>
              </w:rPr>
            </w:pPr>
            <w:r w:rsidRPr="006350B8">
              <w:rPr>
                <w:rFonts w:cs="Arial"/>
                <w:color w:val="auto"/>
                <w:szCs w:val="16"/>
              </w:rPr>
              <w:t>2,3</w:t>
            </w:r>
          </w:p>
        </w:tc>
        <w:tc>
          <w:tcPr>
            <w:tcW w:w="1335" w:type="dxa"/>
            <w:noWrap/>
          </w:tcPr>
          <w:p w14:paraId="3EAF226E" w14:textId="7AD853F2" w:rsidR="006350B8" w:rsidRPr="006350B8" w:rsidRDefault="006350B8" w:rsidP="006350B8">
            <w:pPr>
              <w:pStyle w:val="Tabele"/>
              <w:jc w:val="right"/>
              <w:rPr>
                <w:color w:val="auto"/>
              </w:rPr>
            </w:pPr>
            <w:r w:rsidRPr="006350B8">
              <w:rPr>
                <w:rFonts w:cs="Arial"/>
                <w:color w:val="auto"/>
                <w:szCs w:val="16"/>
              </w:rPr>
              <w:t>9,4</w:t>
            </w:r>
          </w:p>
        </w:tc>
        <w:tc>
          <w:tcPr>
            <w:tcW w:w="1334" w:type="dxa"/>
            <w:noWrap/>
          </w:tcPr>
          <w:p w14:paraId="5FC8A35C" w14:textId="5F07740F" w:rsidR="006350B8" w:rsidRPr="006350B8" w:rsidRDefault="006350B8" w:rsidP="006350B8">
            <w:pPr>
              <w:pStyle w:val="Tabele"/>
              <w:jc w:val="right"/>
              <w:rPr>
                <w:color w:val="auto"/>
              </w:rPr>
            </w:pPr>
            <w:r w:rsidRPr="006350B8">
              <w:rPr>
                <w:rFonts w:cs="Arial"/>
                <w:color w:val="auto"/>
                <w:szCs w:val="16"/>
              </w:rPr>
              <w:t>7,7</w:t>
            </w:r>
          </w:p>
        </w:tc>
        <w:tc>
          <w:tcPr>
            <w:tcW w:w="1333" w:type="dxa"/>
            <w:noWrap/>
          </w:tcPr>
          <w:p w14:paraId="2F2FF29D" w14:textId="59DE8DFD" w:rsidR="006350B8" w:rsidRPr="006350B8" w:rsidRDefault="006350B8" w:rsidP="006350B8">
            <w:pPr>
              <w:pStyle w:val="Tabele"/>
              <w:jc w:val="right"/>
              <w:rPr>
                <w:color w:val="auto"/>
              </w:rPr>
            </w:pPr>
            <w:r w:rsidRPr="006350B8">
              <w:rPr>
                <w:rFonts w:cs="Arial"/>
                <w:color w:val="auto"/>
                <w:szCs w:val="16"/>
              </w:rPr>
              <w:t>7,8</w:t>
            </w:r>
          </w:p>
        </w:tc>
        <w:tc>
          <w:tcPr>
            <w:tcW w:w="1247" w:type="dxa"/>
          </w:tcPr>
          <w:p w14:paraId="5DBBA8CE" w14:textId="18F465CF" w:rsidR="006350B8" w:rsidRPr="006350B8" w:rsidRDefault="006350B8" w:rsidP="006350B8">
            <w:pPr>
              <w:pStyle w:val="Tabele"/>
              <w:jc w:val="right"/>
              <w:rPr>
                <w:b/>
                <w:bCs/>
                <w:color w:val="auto"/>
              </w:rPr>
            </w:pPr>
            <w:r w:rsidRPr="006350B8">
              <w:rPr>
                <w:rFonts w:cs="Arial"/>
                <w:b/>
                <w:bCs/>
                <w:color w:val="auto"/>
                <w:sz w:val="18"/>
                <w:szCs w:val="18"/>
              </w:rPr>
              <w:t>27,1</w:t>
            </w:r>
          </w:p>
        </w:tc>
      </w:tr>
      <w:tr w:rsidR="006350B8" w:rsidRPr="00DA7510" w14:paraId="132A4F5F" w14:textId="77777777" w:rsidTr="003F368D">
        <w:trPr>
          <w:trHeight w:val="229"/>
        </w:trPr>
        <w:tc>
          <w:tcPr>
            <w:tcW w:w="2479" w:type="dxa"/>
            <w:noWrap/>
            <w:hideMark/>
          </w:tcPr>
          <w:p w14:paraId="774F299F" w14:textId="77777777" w:rsidR="006350B8" w:rsidRPr="006430FB" w:rsidRDefault="006350B8" w:rsidP="006350B8">
            <w:pPr>
              <w:pStyle w:val="Tabele"/>
              <w:rPr>
                <w:color w:val="auto"/>
              </w:rPr>
            </w:pPr>
            <w:r w:rsidRPr="006430FB">
              <w:rPr>
                <w:color w:val="auto"/>
              </w:rPr>
              <w:t>Sieć dystrybucyjna</w:t>
            </w:r>
          </w:p>
        </w:tc>
        <w:tc>
          <w:tcPr>
            <w:tcW w:w="1334" w:type="dxa"/>
            <w:noWrap/>
          </w:tcPr>
          <w:p w14:paraId="32FCBAFE" w14:textId="5B08E9C8" w:rsidR="006350B8" w:rsidRPr="006350B8" w:rsidRDefault="006350B8" w:rsidP="006350B8">
            <w:pPr>
              <w:pStyle w:val="Tabele"/>
              <w:jc w:val="right"/>
              <w:rPr>
                <w:color w:val="auto"/>
              </w:rPr>
            </w:pPr>
            <w:r w:rsidRPr="006350B8">
              <w:rPr>
                <w:rFonts w:cs="Arial"/>
                <w:color w:val="auto"/>
                <w:szCs w:val="16"/>
              </w:rPr>
              <w:t>2,9</w:t>
            </w:r>
          </w:p>
        </w:tc>
        <w:tc>
          <w:tcPr>
            <w:tcW w:w="1335" w:type="dxa"/>
            <w:noWrap/>
          </w:tcPr>
          <w:p w14:paraId="249E60FE" w14:textId="3D64AC33" w:rsidR="006350B8" w:rsidRPr="006350B8" w:rsidRDefault="006350B8" w:rsidP="006350B8">
            <w:pPr>
              <w:pStyle w:val="Tabele"/>
              <w:jc w:val="right"/>
              <w:rPr>
                <w:color w:val="auto"/>
              </w:rPr>
            </w:pPr>
            <w:r w:rsidRPr="006350B8">
              <w:rPr>
                <w:rFonts w:cs="Arial"/>
                <w:color w:val="auto"/>
                <w:szCs w:val="16"/>
              </w:rPr>
              <w:t>22,1</w:t>
            </w:r>
          </w:p>
        </w:tc>
        <w:tc>
          <w:tcPr>
            <w:tcW w:w="1334" w:type="dxa"/>
            <w:noWrap/>
          </w:tcPr>
          <w:p w14:paraId="6AFBA505" w14:textId="58C328C0" w:rsidR="006350B8" w:rsidRPr="006350B8" w:rsidRDefault="006350B8" w:rsidP="006350B8">
            <w:pPr>
              <w:pStyle w:val="Tabele"/>
              <w:jc w:val="right"/>
              <w:rPr>
                <w:color w:val="auto"/>
              </w:rPr>
            </w:pPr>
            <w:r w:rsidRPr="006350B8">
              <w:rPr>
                <w:rFonts w:cs="Arial"/>
                <w:color w:val="auto"/>
                <w:szCs w:val="16"/>
              </w:rPr>
              <w:t>14,4</w:t>
            </w:r>
          </w:p>
        </w:tc>
        <w:tc>
          <w:tcPr>
            <w:tcW w:w="1333" w:type="dxa"/>
            <w:noWrap/>
          </w:tcPr>
          <w:p w14:paraId="52F6AC39" w14:textId="4384EA34" w:rsidR="006350B8" w:rsidRPr="006350B8" w:rsidRDefault="006350B8" w:rsidP="006350B8">
            <w:pPr>
              <w:pStyle w:val="Tabele"/>
              <w:jc w:val="right"/>
              <w:rPr>
                <w:color w:val="auto"/>
              </w:rPr>
            </w:pPr>
            <w:r w:rsidRPr="006350B8">
              <w:rPr>
                <w:rFonts w:cs="Arial"/>
                <w:color w:val="auto"/>
                <w:szCs w:val="16"/>
              </w:rPr>
              <w:t>11,4</w:t>
            </w:r>
          </w:p>
        </w:tc>
        <w:tc>
          <w:tcPr>
            <w:tcW w:w="1247" w:type="dxa"/>
          </w:tcPr>
          <w:p w14:paraId="6D9BF59C" w14:textId="395545AE" w:rsidR="006350B8" w:rsidRPr="006350B8" w:rsidRDefault="006350B8" w:rsidP="006350B8">
            <w:pPr>
              <w:pStyle w:val="Tabele"/>
              <w:jc w:val="right"/>
              <w:rPr>
                <w:b/>
                <w:bCs/>
                <w:color w:val="auto"/>
              </w:rPr>
            </w:pPr>
            <w:r w:rsidRPr="006350B8">
              <w:rPr>
                <w:rFonts w:cs="Arial"/>
                <w:b/>
                <w:bCs/>
                <w:color w:val="auto"/>
                <w:sz w:val="18"/>
                <w:szCs w:val="18"/>
              </w:rPr>
              <w:t>50,8</w:t>
            </w:r>
          </w:p>
        </w:tc>
      </w:tr>
    </w:tbl>
    <w:p w14:paraId="176328CF" w14:textId="3FD4A238" w:rsidR="005C4144" w:rsidRPr="00DA7510" w:rsidRDefault="005C4144" w:rsidP="00684F82">
      <w:pPr>
        <w:pStyle w:val="Legenda"/>
      </w:pPr>
      <w:r w:rsidRPr="00DA7510">
        <w:t>Źródło: Szacunki własne ARE S.A</w:t>
      </w:r>
      <w:r w:rsidR="006430FB">
        <w:t>.</w:t>
      </w:r>
    </w:p>
    <w:p w14:paraId="5085ECB6" w14:textId="591C7217" w:rsidR="0019481D" w:rsidRPr="00F85B97" w:rsidRDefault="0019481D" w:rsidP="0019481D">
      <w:r w:rsidRPr="00D02490">
        <w:t>Bazując na przytoczonych powyżej szacunkach, potrz</w:t>
      </w:r>
      <w:r>
        <w:t>e</w:t>
      </w:r>
      <w:r w:rsidRPr="00D02490">
        <w:t>by inwestycyjne na rozwój krajowej sieci elektroenergetycznej w okresie</w:t>
      </w:r>
      <w:r>
        <w:t xml:space="preserve"> 2021-2030 wynos</w:t>
      </w:r>
      <w:r w:rsidR="00487FD5">
        <w:t>zą</w:t>
      </w:r>
      <w:r>
        <w:t xml:space="preserve"> nieco ponad 3</w:t>
      </w:r>
      <w:r w:rsidR="00D96DD4">
        <w:t>6</w:t>
      </w:r>
      <w:r w:rsidRPr="00D02490">
        <w:t xml:space="preserve"> ml</w:t>
      </w:r>
      <w:r>
        <w:t>d EUR’202</w:t>
      </w:r>
      <w:r w:rsidR="00D96DD4">
        <w:t>4</w:t>
      </w:r>
      <w:r>
        <w:t>, z czego ok. 70</w:t>
      </w:r>
      <w:r w:rsidRPr="00D02490">
        <w:t>% to nakłady na rozwój sieci dystrybucyjnej.</w:t>
      </w:r>
      <w:r w:rsidRPr="00F85B97">
        <w:t xml:space="preserve"> </w:t>
      </w:r>
    </w:p>
    <w:p w14:paraId="5F9E6B52" w14:textId="77777777" w:rsidR="005C4144" w:rsidRPr="007C4A02" w:rsidRDefault="005C4144" w:rsidP="005C4144">
      <w:pPr>
        <w:pStyle w:val="podtytu2"/>
        <w:rPr>
          <w:rFonts w:asciiTheme="majorHAnsi" w:hAnsiTheme="majorHAnsi" w:cstheme="majorBidi"/>
          <w:color w:val="525252" w:themeColor="accent3" w:themeShade="80"/>
        </w:rPr>
      </w:pPr>
      <w:r w:rsidRPr="007C4A02">
        <w:t xml:space="preserve">Nakłady inwestycyjne na rozwój infrastruktury w sektorze </w:t>
      </w:r>
      <w:r>
        <w:t>gazowym</w:t>
      </w:r>
      <w:r w:rsidRPr="007C4A02">
        <w:t xml:space="preserve"> </w:t>
      </w:r>
    </w:p>
    <w:p w14:paraId="0B11DEDE" w14:textId="77777777" w:rsidR="00D317F4" w:rsidRPr="00F85B97" w:rsidRDefault="00D317F4" w:rsidP="00D317F4">
      <w:bookmarkStart w:id="561" w:name="_Toc161916683"/>
      <w:bookmarkStart w:id="562" w:name="_Toc171587223"/>
      <w:bookmarkStart w:id="563" w:name="_Toc174711007"/>
      <w:r w:rsidRPr="00F85B97">
        <w:t>Rozbudowa infrastruktury przesyłowej gazu</w:t>
      </w:r>
      <w:r>
        <w:t xml:space="preserve"> ziemnego</w:t>
      </w:r>
      <w:r w:rsidRPr="00F85B97">
        <w:t>, w szczególnośc</w:t>
      </w:r>
      <w:r>
        <w:t>i połączeń międzysystemowych, miała</w:t>
      </w:r>
      <w:r w:rsidRPr="00F85B97">
        <w:t xml:space="preserve"> na celu dywersyfikację kierunków zaopatrzenia w paliwo gazowe oraz podniesienie bezpieczeństwa energetycznego</w:t>
      </w:r>
      <w:r>
        <w:t xml:space="preserve"> kraju</w:t>
      </w:r>
      <w:r w:rsidRPr="00F85B97">
        <w:t xml:space="preserve">. </w:t>
      </w:r>
    </w:p>
    <w:p w14:paraId="479FAA0A" w14:textId="77777777" w:rsidR="00D317F4" w:rsidRPr="00F85B97" w:rsidRDefault="00D317F4" w:rsidP="00D317F4">
      <w:r w:rsidRPr="00F85B97">
        <w:t>W Krajowym Dziesięcioletnim Planie Rozwoju Systemu Przesyłowego Gazu na lata 20</w:t>
      </w:r>
      <w:r>
        <w:t>24</w:t>
      </w:r>
      <w:r w:rsidRPr="00F85B97">
        <w:t>-20</w:t>
      </w:r>
      <w:r>
        <w:t>33</w:t>
      </w:r>
      <w:r w:rsidRPr="00F85B97">
        <w:t xml:space="preserve">, wymieniono </w:t>
      </w:r>
      <w:r>
        <w:t>140</w:t>
      </w:r>
      <w:r w:rsidRPr="00F85B97">
        <w:t xml:space="preserve"> przedsięwzięcia inwestycyjne. Zdecydowaną większość tych inwestycji, można zakwalifikować do kategorii </w:t>
      </w:r>
      <w:r>
        <w:t>rozbudowy</w:t>
      </w:r>
      <w:r w:rsidRPr="00F85B97">
        <w:t xml:space="preserve"> i modernizacji gazociągów systemowych:</w:t>
      </w:r>
    </w:p>
    <w:p w14:paraId="534B0EBC" w14:textId="77777777" w:rsidR="00D317F4" w:rsidRPr="00F85B97" w:rsidRDefault="00D317F4" w:rsidP="00D317F4">
      <w:pPr>
        <w:pStyle w:val="lista"/>
      </w:pPr>
      <w:r>
        <w:t>42</w:t>
      </w:r>
      <w:r w:rsidRPr="00F85B97">
        <w:t xml:space="preserve"> inwestycj</w:t>
      </w:r>
      <w:r>
        <w:t>e</w:t>
      </w:r>
      <w:r w:rsidRPr="00F85B97">
        <w:t xml:space="preserve"> w nowe odcinki i modernizacje </w:t>
      </w:r>
      <w:r>
        <w:t xml:space="preserve">kluczowych </w:t>
      </w:r>
      <w:r w:rsidRPr="00F85B97">
        <w:t>gazociągów systemowych;</w:t>
      </w:r>
    </w:p>
    <w:p w14:paraId="0181189E" w14:textId="77777777" w:rsidR="00D317F4" w:rsidRPr="00F85B97" w:rsidRDefault="00D317F4" w:rsidP="00D317F4">
      <w:pPr>
        <w:pStyle w:val="lista"/>
      </w:pPr>
      <w:r>
        <w:t>6</w:t>
      </w:r>
      <w:r w:rsidRPr="00F85B97">
        <w:t xml:space="preserve"> inwestycji w </w:t>
      </w:r>
      <w:r>
        <w:t xml:space="preserve">modernizację, budowę i rozbudowę </w:t>
      </w:r>
      <w:r w:rsidRPr="00F85B97">
        <w:t>tłoczni gazu;</w:t>
      </w:r>
    </w:p>
    <w:p w14:paraId="509A2277" w14:textId="77777777" w:rsidR="00D317F4" w:rsidRPr="00F85B97" w:rsidRDefault="00D317F4" w:rsidP="00D317F4">
      <w:pPr>
        <w:pStyle w:val="lista"/>
      </w:pPr>
      <w:r>
        <w:t>6</w:t>
      </w:r>
      <w:r w:rsidRPr="00F85B97">
        <w:t xml:space="preserve"> modernizacji </w:t>
      </w:r>
      <w:r>
        <w:t>i przebudów</w:t>
      </w:r>
      <w:r w:rsidRPr="00F85B97">
        <w:t xml:space="preserve"> węzłów systemowych;</w:t>
      </w:r>
    </w:p>
    <w:p w14:paraId="44290A7F" w14:textId="77777777" w:rsidR="00D317F4" w:rsidRPr="00F85B97" w:rsidRDefault="00D317F4" w:rsidP="00D317F4">
      <w:pPr>
        <w:pStyle w:val="lista"/>
      </w:pPr>
      <w:r>
        <w:t>51 inwestycji w budowę i modernizację stacji gazowych;</w:t>
      </w:r>
    </w:p>
    <w:p w14:paraId="75847237" w14:textId="77777777" w:rsidR="00D317F4" w:rsidRDefault="00D317F4" w:rsidP="0005060C">
      <w:pPr>
        <w:pStyle w:val="lista"/>
        <w:spacing w:after="120"/>
      </w:pPr>
      <w:r>
        <w:t xml:space="preserve">35 planowanych przyłączeń </w:t>
      </w:r>
      <w:r w:rsidRPr="00F85B97">
        <w:t>do sieci przesyłowej.</w:t>
      </w:r>
    </w:p>
    <w:p w14:paraId="751E9E24" w14:textId="17463759" w:rsidR="00D317F4" w:rsidRPr="00F778F1" w:rsidRDefault="00D317F4" w:rsidP="00D317F4">
      <w:r w:rsidRPr="00F778F1">
        <w:t>Natomiast w perspektywie do końca 2023 r. realizowano inwestycje przy wsparciu Programu Operacyjnego Infrastruktura i Środowisko na lata 2014-2020 (POIiŚ 2014-2020).</w:t>
      </w:r>
    </w:p>
    <w:p w14:paraId="05879D30" w14:textId="38CB30AE" w:rsidR="005C4144" w:rsidRPr="007C4A02" w:rsidRDefault="002D5F3A" w:rsidP="005C4144">
      <w:pPr>
        <w:pStyle w:val="Legenda"/>
      </w:pPr>
      <w:bookmarkStart w:id="564" w:name="_Toc202967012"/>
      <w:r w:rsidRPr="00DA7510">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4</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11</w:t>
      </w:r>
      <w:r w:rsidR="00653D9A">
        <w:rPr>
          <w:noProof/>
        </w:rPr>
        <w:fldChar w:fldCharType="end"/>
      </w:r>
      <w:r w:rsidR="005C4144">
        <w:t xml:space="preserve"> </w:t>
      </w:r>
      <w:bookmarkStart w:id="565" w:name="_Hlk178634872"/>
      <w:r w:rsidR="005C4144" w:rsidRPr="007C4A02">
        <w:t xml:space="preserve">Projekty infrastruktury przesyłowej gazu </w:t>
      </w:r>
      <w:r w:rsidR="00965426">
        <w:t xml:space="preserve">zrealizowane przy wsparciu </w:t>
      </w:r>
      <w:r w:rsidR="00965426">
        <w:rPr>
          <w:rFonts w:ascii="Calibri" w:eastAsia="Calibri" w:hAnsi="Calibri" w:cs="Calibri"/>
        </w:rPr>
        <w:t>POIiŚ</w:t>
      </w:r>
      <w:r w:rsidR="00965426">
        <w:t xml:space="preserve"> 2014-2020</w:t>
      </w:r>
      <w:bookmarkEnd w:id="561"/>
      <w:bookmarkEnd w:id="562"/>
      <w:bookmarkEnd w:id="563"/>
      <w:bookmarkEnd w:id="564"/>
    </w:p>
    <w:tbl>
      <w:tblPr>
        <w:tblStyle w:val="KPEiK"/>
        <w:tblW w:w="5000" w:type="pct"/>
        <w:tblLook w:val="04A0" w:firstRow="1" w:lastRow="0" w:firstColumn="1" w:lastColumn="0" w:noHBand="0" w:noVBand="1"/>
      </w:tblPr>
      <w:tblGrid>
        <w:gridCol w:w="4248"/>
        <w:gridCol w:w="3118"/>
        <w:gridCol w:w="1696"/>
      </w:tblGrid>
      <w:tr w:rsidR="00810EE7" w:rsidRPr="00810EE7" w14:paraId="0D77E515" w14:textId="77777777">
        <w:trPr>
          <w:cnfStyle w:val="100000000000" w:firstRow="1" w:lastRow="0" w:firstColumn="0" w:lastColumn="0" w:oddVBand="0" w:evenVBand="0" w:oddHBand="0" w:evenHBand="0" w:firstRowFirstColumn="0" w:firstRowLastColumn="0" w:lastRowFirstColumn="0" w:lastRowLastColumn="0"/>
          <w:trHeight w:val="227"/>
          <w:tblHeader/>
        </w:trPr>
        <w:tc>
          <w:tcPr>
            <w:tcW w:w="4248" w:type="dxa"/>
            <w:noWrap/>
            <w:hideMark/>
          </w:tcPr>
          <w:bookmarkEnd w:id="565"/>
          <w:p w14:paraId="3EA60118" w14:textId="77777777" w:rsidR="005C4144" w:rsidRPr="00806D79" w:rsidRDefault="005C4144">
            <w:pPr>
              <w:pStyle w:val="Tabele"/>
              <w:jc w:val="center"/>
              <w:rPr>
                <w:b w:val="0"/>
              </w:rPr>
            </w:pPr>
            <w:r w:rsidRPr="00806D79">
              <w:t>Tytuł projektu</w:t>
            </w:r>
          </w:p>
        </w:tc>
        <w:tc>
          <w:tcPr>
            <w:tcW w:w="3118" w:type="dxa"/>
            <w:noWrap/>
            <w:hideMark/>
          </w:tcPr>
          <w:p w14:paraId="0184DA94" w14:textId="77777777" w:rsidR="005C4144" w:rsidRPr="00806D79" w:rsidRDefault="005C4144">
            <w:pPr>
              <w:pStyle w:val="Tabele"/>
              <w:jc w:val="center"/>
              <w:rPr>
                <w:b w:val="0"/>
              </w:rPr>
            </w:pPr>
            <w:r w:rsidRPr="00806D79">
              <w:t>Całkowita wartość projektu (mln PLN)</w:t>
            </w:r>
          </w:p>
        </w:tc>
        <w:tc>
          <w:tcPr>
            <w:tcW w:w="1696" w:type="dxa"/>
            <w:noWrap/>
            <w:hideMark/>
          </w:tcPr>
          <w:p w14:paraId="60C1FF9C" w14:textId="77777777" w:rsidR="005C4144" w:rsidRPr="00806D79" w:rsidRDefault="005C4144">
            <w:pPr>
              <w:pStyle w:val="Tabele"/>
              <w:jc w:val="center"/>
              <w:rPr>
                <w:b w:val="0"/>
              </w:rPr>
            </w:pPr>
            <w:r w:rsidRPr="00806D79">
              <w:t>Wkład UE (mln PLN)</w:t>
            </w:r>
          </w:p>
        </w:tc>
      </w:tr>
      <w:tr w:rsidR="00810EE7" w:rsidRPr="00810EE7" w14:paraId="2940C2F1" w14:textId="77777777">
        <w:trPr>
          <w:trHeight w:val="227"/>
        </w:trPr>
        <w:tc>
          <w:tcPr>
            <w:tcW w:w="4248" w:type="dxa"/>
            <w:noWrap/>
            <w:hideMark/>
          </w:tcPr>
          <w:p w14:paraId="4B9C1AAA" w14:textId="77777777" w:rsidR="005C4144" w:rsidRPr="00810EE7" w:rsidRDefault="005C4144">
            <w:pPr>
              <w:pStyle w:val="Tabele"/>
              <w:rPr>
                <w:color w:val="auto"/>
              </w:rPr>
            </w:pPr>
            <w:r w:rsidRPr="00810EE7">
              <w:rPr>
                <w:color w:val="auto"/>
              </w:rPr>
              <w:t>Gazociąg Czeszów-Wierzchowice</w:t>
            </w:r>
          </w:p>
        </w:tc>
        <w:tc>
          <w:tcPr>
            <w:tcW w:w="3118" w:type="dxa"/>
            <w:noWrap/>
            <w:hideMark/>
          </w:tcPr>
          <w:p w14:paraId="3EB7C2E6" w14:textId="77777777" w:rsidR="005C4144" w:rsidRPr="00810EE7" w:rsidRDefault="005C4144">
            <w:pPr>
              <w:pStyle w:val="Tabele"/>
              <w:jc w:val="right"/>
              <w:rPr>
                <w:color w:val="auto"/>
              </w:rPr>
            </w:pPr>
            <w:r w:rsidRPr="00810EE7">
              <w:rPr>
                <w:color w:val="auto"/>
              </w:rPr>
              <w:t xml:space="preserve">105,18 </w:t>
            </w:r>
          </w:p>
        </w:tc>
        <w:tc>
          <w:tcPr>
            <w:tcW w:w="1696" w:type="dxa"/>
            <w:noWrap/>
            <w:hideMark/>
          </w:tcPr>
          <w:p w14:paraId="2ABCD4E9" w14:textId="77777777" w:rsidR="005C4144" w:rsidRPr="00810EE7" w:rsidRDefault="005C4144">
            <w:pPr>
              <w:pStyle w:val="Tabele"/>
              <w:jc w:val="right"/>
              <w:rPr>
                <w:color w:val="auto"/>
              </w:rPr>
            </w:pPr>
            <w:r w:rsidRPr="00810EE7">
              <w:rPr>
                <w:color w:val="auto"/>
              </w:rPr>
              <w:t>47,20</w:t>
            </w:r>
          </w:p>
        </w:tc>
      </w:tr>
      <w:tr w:rsidR="00810EE7" w:rsidRPr="00810EE7" w14:paraId="61E39EA0" w14:textId="77777777">
        <w:trPr>
          <w:trHeight w:val="227"/>
        </w:trPr>
        <w:tc>
          <w:tcPr>
            <w:tcW w:w="4248" w:type="dxa"/>
            <w:noWrap/>
            <w:hideMark/>
          </w:tcPr>
          <w:p w14:paraId="3483584A" w14:textId="77777777" w:rsidR="005C4144" w:rsidRPr="00810EE7" w:rsidRDefault="005C4144">
            <w:pPr>
              <w:pStyle w:val="Tabele"/>
              <w:rPr>
                <w:color w:val="auto"/>
              </w:rPr>
            </w:pPr>
            <w:r w:rsidRPr="00810EE7">
              <w:rPr>
                <w:color w:val="auto"/>
              </w:rPr>
              <w:t>Gazociąg Hermanowice-Strachocina</w:t>
            </w:r>
          </w:p>
        </w:tc>
        <w:tc>
          <w:tcPr>
            <w:tcW w:w="3118" w:type="dxa"/>
            <w:noWrap/>
            <w:hideMark/>
          </w:tcPr>
          <w:p w14:paraId="2DDEE653" w14:textId="77777777" w:rsidR="005C4144" w:rsidRPr="00810EE7" w:rsidRDefault="005C4144">
            <w:pPr>
              <w:pStyle w:val="Tabele"/>
              <w:jc w:val="right"/>
              <w:rPr>
                <w:color w:val="auto"/>
              </w:rPr>
            </w:pPr>
            <w:r w:rsidRPr="00810EE7">
              <w:rPr>
                <w:color w:val="auto"/>
              </w:rPr>
              <w:t>324,57</w:t>
            </w:r>
          </w:p>
        </w:tc>
        <w:tc>
          <w:tcPr>
            <w:tcW w:w="1696" w:type="dxa"/>
            <w:noWrap/>
            <w:hideMark/>
          </w:tcPr>
          <w:p w14:paraId="5B36D704" w14:textId="77777777" w:rsidR="005C4144" w:rsidRPr="00810EE7" w:rsidRDefault="005C4144">
            <w:pPr>
              <w:pStyle w:val="Tabele"/>
              <w:jc w:val="right"/>
              <w:rPr>
                <w:color w:val="auto"/>
              </w:rPr>
            </w:pPr>
            <w:r w:rsidRPr="00810EE7">
              <w:rPr>
                <w:color w:val="auto"/>
              </w:rPr>
              <w:t>127,83</w:t>
            </w:r>
          </w:p>
        </w:tc>
      </w:tr>
      <w:tr w:rsidR="00810EE7" w:rsidRPr="00810EE7" w14:paraId="3535ED3E" w14:textId="77777777">
        <w:trPr>
          <w:trHeight w:val="227"/>
        </w:trPr>
        <w:tc>
          <w:tcPr>
            <w:tcW w:w="4248" w:type="dxa"/>
            <w:noWrap/>
            <w:hideMark/>
          </w:tcPr>
          <w:p w14:paraId="744948B9" w14:textId="77777777" w:rsidR="005C4144" w:rsidRPr="00810EE7" w:rsidRDefault="005C4144">
            <w:pPr>
              <w:pStyle w:val="Tabele"/>
              <w:rPr>
                <w:color w:val="auto"/>
              </w:rPr>
            </w:pPr>
            <w:r w:rsidRPr="00810EE7">
              <w:rPr>
                <w:color w:val="auto"/>
              </w:rPr>
              <w:t>Gazociąg Lwówek-Odolanów</w:t>
            </w:r>
          </w:p>
        </w:tc>
        <w:tc>
          <w:tcPr>
            <w:tcW w:w="3118" w:type="dxa"/>
            <w:noWrap/>
            <w:hideMark/>
          </w:tcPr>
          <w:p w14:paraId="3A77D0ED" w14:textId="77777777" w:rsidR="005C4144" w:rsidRPr="00810EE7" w:rsidRDefault="005C4144">
            <w:pPr>
              <w:pStyle w:val="Tabele"/>
              <w:jc w:val="right"/>
              <w:rPr>
                <w:color w:val="auto"/>
              </w:rPr>
            </w:pPr>
            <w:r w:rsidRPr="00810EE7">
              <w:rPr>
                <w:color w:val="auto"/>
              </w:rPr>
              <w:t>765,02</w:t>
            </w:r>
          </w:p>
        </w:tc>
        <w:tc>
          <w:tcPr>
            <w:tcW w:w="1696" w:type="dxa"/>
            <w:noWrap/>
            <w:hideMark/>
          </w:tcPr>
          <w:p w14:paraId="2196E758" w14:textId="77777777" w:rsidR="005C4144" w:rsidRPr="00810EE7" w:rsidRDefault="005C4144">
            <w:pPr>
              <w:pStyle w:val="Tabele"/>
              <w:jc w:val="right"/>
              <w:rPr>
                <w:color w:val="auto"/>
              </w:rPr>
            </w:pPr>
            <w:r w:rsidRPr="00810EE7">
              <w:rPr>
                <w:color w:val="auto"/>
              </w:rPr>
              <w:t>350,77</w:t>
            </w:r>
          </w:p>
        </w:tc>
      </w:tr>
      <w:tr w:rsidR="00810EE7" w:rsidRPr="00810EE7" w14:paraId="12CB7C6E" w14:textId="77777777">
        <w:trPr>
          <w:trHeight w:val="227"/>
        </w:trPr>
        <w:tc>
          <w:tcPr>
            <w:tcW w:w="4248" w:type="dxa"/>
            <w:noWrap/>
            <w:hideMark/>
          </w:tcPr>
          <w:p w14:paraId="70DB27EE" w14:textId="77777777" w:rsidR="005C4144" w:rsidRPr="00810EE7" w:rsidRDefault="005C4144">
            <w:pPr>
              <w:pStyle w:val="Tabele"/>
              <w:rPr>
                <w:color w:val="auto"/>
              </w:rPr>
            </w:pPr>
            <w:r w:rsidRPr="00810EE7">
              <w:rPr>
                <w:color w:val="auto"/>
              </w:rPr>
              <w:t>Gazociąg Zdzieszowice-Wrocław</w:t>
            </w:r>
          </w:p>
        </w:tc>
        <w:tc>
          <w:tcPr>
            <w:tcW w:w="3118" w:type="dxa"/>
            <w:noWrap/>
            <w:hideMark/>
          </w:tcPr>
          <w:p w14:paraId="2297CF72" w14:textId="77777777" w:rsidR="005C4144" w:rsidRPr="00810EE7" w:rsidRDefault="005C4144">
            <w:pPr>
              <w:pStyle w:val="Tabele"/>
              <w:jc w:val="right"/>
              <w:rPr>
                <w:color w:val="auto"/>
              </w:rPr>
            </w:pPr>
            <w:r w:rsidRPr="00810EE7">
              <w:rPr>
                <w:color w:val="auto"/>
              </w:rPr>
              <w:t>822,11</w:t>
            </w:r>
          </w:p>
        </w:tc>
        <w:tc>
          <w:tcPr>
            <w:tcW w:w="1696" w:type="dxa"/>
            <w:noWrap/>
            <w:hideMark/>
          </w:tcPr>
          <w:p w14:paraId="34FE172A" w14:textId="77777777" w:rsidR="005C4144" w:rsidRPr="00810EE7" w:rsidRDefault="005C4144">
            <w:pPr>
              <w:pStyle w:val="Tabele"/>
              <w:jc w:val="right"/>
              <w:rPr>
                <w:color w:val="auto"/>
              </w:rPr>
            </w:pPr>
            <w:r w:rsidRPr="00810EE7">
              <w:rPr>
                <w:color w:val="auto"/>
              </w:rPr>
              <w:t>340,28</w:t>
            </w:r>
          </w:p>
        </w:tc>
      </w:tr>
      <w:tr w:rsidR="00810EE7" w:rsidRPr="00810EE7" w14:paraId="7BD8B906" w14:textId="77777777">
        <w:trPr>
          <w:trHeight w:val="227"/>
        </w:trPr>
        <w:tc>
          <w:tcPr>
            <w:tcW w:w="4248" w:type="dxa"/>
            <w:noWrap/>
            <w:hideMark/>
          </w:tcPr>
          <w:p w14:paraId="23713718" w14:textId="77777777" w:rsidR="005C4144" w:rsidRPr="00810EE7" w:rsidRDefault="005C4144">
            <w:pPr>
              <w:pStyle w:val="Tabele"/>
              <w:rPr>
                <w:color w:val="auto"/>
              </w:rPr>
            </w:pPr>
            <w:r w:rsidRPr="00810EE7">
              <w:rPr>
                <w:color w:val="auto"/>
              </w:rPr>
              <w:t>Modernizacja systemu przesyłowego na Dolnym Śląsku</w:t>
            </w:r>
          </w:p>
        </w:tc>
        <w:tc>
          <w:tcPr>
            <w:tcW w:w="3118" w:type="dxa"/>
            <w:noWrap/>
            <w:hideMark/>
          </w:tcPr>
          <w:p w14:paraId="495B50DC" w14:textId="77777777" w:rsidR="005C4144" w:rsidRPr="00810EE7" w:rsidRDefault="005C4144">
            <w:pPr>
              <w:pStyle w:val="Tabele"/>
              <w:jc w:val="right"/>
              <w:rPr>
                <w:color w:val="auto"/>
              </w:rPr>
            </w:pPr>
            <w:r w:rsidRPr="00810EE7">
              <w:rPr>
                <w:color w:val="auto"/>
              </w:rPr>
              <w:t>83,58</w:t>
            </w:r>
          </w:p>
        </w:tc>
        <w:tc>
          <w:tcPr>
            <w:tcW w:w="1696" w:type="dxa"/>
            <w:noWrap/>
            <w:hideMark/>
          </w:tcPr>
          <w:p w14:paraId="4F39EA27" w14:textId="77777777" w:rsidR="005C4144" w:rsidRPr="00810EE7" w:rsidRDefault="005C4144">
            <w:pPr>
              <w:pStyle w:val="Tabele"/>
              <w:jc w:val="right"/>
              <w:rPr>
                <w:color w:val="auto"/>
              </w:rPr>
            </w:pPr>
            <w:r w:rsidRPr="00810EE7">
              <w:rPr>
                <w:color w:val="auto"/>
              </w:rPr>
              <w:t>38,06</w:t>
            </w:r>
          </w:p>
        </w:tc>
      </w:tr>
      <w:tr w:rsidR="00810EE7" w:rsidRPr="00810EE7" w14:paraId="484AD9F2" w14:textId="77777777">
        <w:trPr>
          <w:trHeight w:val="227"/>
        </w:trPr>
        <w:tc>
          <w:tcPr>
            <w:tcW w:w="4248" w:type="dxa"/>
            <w:noWrap/>
            <w:hideMark/>
          </w:tcPr>
          <w:p w14:paraId="443F19BC" w14:textId="77777777" w:rsidR="005C4144" w:rsidRPr="00810EE7" w:rsidRDefault="005C4144">
            <w:pPr>
              <w:pStyle w:val="Tabele"/>
              <w:rPr>
                <w:color w:val="auto"/>
              </w:rPr>
            </w:pPr>
            <w:r w:rsidRPr="00810EE7">
              <w:rPr>
                <w:color w:val="auto"/>
              </w:rPr>
              <w:t>Gazociąg Czeszów - Kiełczów</w:t>
            </w:r>
          </w:p>
        </w:tc>
        <w:tc>
          <w:tcPr>
            <w:tcW w:w="3118" w:type="dxa"/>
            <w:noWrap/>
            <w:hideMark/>
          </w:tcPr>
          <w:p w14:paraId="43CB1332" w14:textId="77777777" w:rsidR="005C4144" w:rsidRPr="00810EE7" w:rsidRDefault="005C4144">
            <w:pPr>
              <w:pStyle w:val="Tabele"/>
              <w:jc w:val="right"/>
              <w:rPr>
                <w:color w:val="auto"/>
              </w:rPr>
            </w:pPr>
            <w:r w:rsidRPr="00810EE7">
              <w:rPr>
                <w:color w:val="auto"/>
              </w:rPr>
              <w:t>152,38</w:t>
            </w:r>
          </w:p>
        </w:tc>
        <w:tc>
          <w:tcPr>
            <w:tcW w:w="1696" w:type="dxa"/>
            <w:noWrap/>
            <w:hideMark/>
          </w:tcPr>
          <w:p w14:paraId="60AC2D18" w14:textId="77777777" w:rsidR="005C4144" w:rsidRPr="00810EE7" w:rsidRDefault="005C4144">
            <w:pPr>
              <w:pStyle w:val="Tabele"/>
              <w:jc w:val="right"/>
              <w:rPr>
                <w:color w:val="auto"/>
              </w:rPr>
            </w:pPr>
            <w:r w:rsidRPr="00810EE7">
              <w:rPr>
                <w:color w:val="auto"/>
              </w:rPr>
              <w:t>68,95</w:t>
            </w:r>
          </w:p>
        </w:tc>
      </w:tr>
      <w:tr w:rsidR="00810EE7" w:rsidRPr="00810EE7" w14:paraId="574F6E29" w14:textId="77777777">
        <w:trPr>
          <w:trHeight w:val="227"/>
        </w:trPr>
        <w:tc>
          <w:tcPr>
            <w:tcW w:w="4248" w:type="dxa"/>
            <w:noWrap/>
            <w:hideMark/>
          </w:tcPr>
          <w:p w14:paraId="7A97E5CA" w14:textId="77777777" w:rsidR="005C4144" w:rsidRPr="00810EE7" w:rsidRDefault="005C4144">
            <w:pPr>
              <w:pStyle w:val="Tabele"/>
              <w:rPr>
                <w:color w:val="auto"/>
              </w:rPr>
            </w:pPr>
            <w:r w:rsidRPr="00810EE7">
              <w:rPr>
                <w:color w:val="auto"/>
              </w:rPr>
              <w:t>Gazociąg Tworóg - Kędzierzyn</w:t>
            </w:r>
          </w:p>
        </w:tc>
        <w:tc>
          <w:tcPr>
            <w:tcW w:w="3118" w:type="dxa"/>
            <w:noWrap/>
            <w:hideMark/>
          </w:tcPr>
          <w:p w14:paraId="30575E29" w14:textId="77777777" w:rsidR="005C4144" w:rsidRPr="00810EE7" w:rsidRDefault="005C4144">
            <w:pPr>
              <w:pStyle w:val="Tabele"/>
              <w:jc w:val="right"/>
              <w:rPr>
                <w:color w:val="auto"/>
              </w:rPr>
            </w:pPr>
            <w:r w:rsidRPr="00810EE7">
              <w:rPr>
                <w:color w:val="auto"/>
              </w:rPr>
              <w:t>286,15</w:t>
            </w:r>
          </w:p>
        </w:tc>
        <w:tc>
          <w:tcPr>
            <w:tcW w:w="1696" w:type="dxa"/>
            <w:noWrap/>
            <w:hideMark/>
          </w:tcPr>
          <w:p w14:paraId="22C41467" w14:textId="77777777" w:rsidR="005C4144" w:rsidRPr="00810EE7" w:rsidRDefault="005C4144">
            <w:pPr>
              <w:pStyle w:val="Tabele"/>
              <w:jc w:val="right"/>
              <w:rPr>
                <w:color w:val="auto"/>
              </w:rPr>
            </w:pPr>
            <w:r w:rsidRPr="00810EE7">
              <w:rPr>
                <w:color w:val="auto"/>
              </w:rPr>
              <w:t>147,12</w:t>
            </w:r>
          </w:p>
        </w:tc>
      </w:tr>
      <w:tr w:rsidR="00810EE7" w:rsidRPr="00810EE7" w14:paraId="249F0D73" w14:textId="77777777">
        <w:trPr>
          <w:trHeight w:val="227"/>
        </w:trPr>
        <w:tc>
          <w:tcPr>
            <w:tcW w:w="4248" w:type="dxa"/>
            <w:noWrap/>
            <w:hideMark/>
          </w:tcPr>
          <w:p w14:paraId="1D420452" w14:textId="77777777" w:rsidR="005C4144" w:rsidRPr="00810EE7" w:rsidRDefault="005C4144">
            <w:pPr>
              <w:pStyle w:val="Tabele"/>
              <w:rPr>
                <w:color w:val="auto"/>
              </w:rPr>
            </w:pPr>
            <w:r w:rsidRPr="00810EE7">
              <w:rPr>
                <w:color w:val="auto"/>
              </w:rPr>
              <w:t>Gazociąg Strachocina - Pogórska Wola</w:t>
            </w:r>
          </w:p>
        </w:tc>
        <w:tc>
          <w:tcPr>
            <w:tcW w:w="3118" w:type="dxa"/>
            <w:noWrap/>
            <w:hideMark/>
          </w:tcPr>
          <w:p w14:paraId="08AC8713" w14:textId="77777777" w:rsidR="005C4144" w:rsidRPr="00810EE7" w:rsidRDefault="005C4144">
            <w:pPr>
              <w:pStyle w:val="Tabele"/>
              <w:jc w:val="right"/>
              <w:rPr>
                <w:color w:val="auto"/>
              </w:rPr>
            </w:pPr>
            <w:r w:rsidRPr="00810EE7">
              <w:rPr>
                <w:color w:val="auto"/>
              </w:rPr>
              <w:t>664,47</w:t>
            </w:r>
          </w:p>
        </w:tc>
        <w:tc>
          <w:tcPr>
            <w:tcW w:w="1696" w:type="dxa"/>
            <w:noWrap/>
            <w:hideMark/>
          </w:tcPr>
          <w:p w14:paraId="5DC689BD" w14:textId="77777777" w:rsidR="005C4144" w:rsidRPr="00810EE7" w:rsidRDefault="005C4144">
            <w:pPr>
              <w:pStyle w:val="Tabele"/>
              <w:jc w:val="right"/>
              <w:rPr>
                <w:color w:val="auto"/>
              </w:rPr>
            </w:pPr>
            <w:r w:rsidRPr="00810EE7">
              <w:rPr>
                <w:color w:val="auto"/>
              </w:rPr>
              <w:t>236,68</w:t>
            </w:r>
          </w:p>
        </w:tc>
      </w:tr>
      <w:tr w:rsidR="00810EE7" w:rsidRPr="00810EE7" w14:paraId="119BC4D6" w14:textId="77777777">
        <w:trPr>
          <w:trHeight w:val="227"/>
        </w:trPr>
        <w:tc>
          <w:tcPr>
            <w:tcW w:w="4248" w:type="dxa"/>
            <w:noWrap/>
            <w:hideMark/>
          </w:tcPr>
          <w:p w14:paraId="04D3BCF0" w14:textId="77777777" w:rsidR="005C4144" w:rsidRPr="00810EE7" w:rsidRDefault="005C4144">
            <w:pPr>
              <w:pStyle w:val="Tabele"/>
              <w:rPr>
                <w:color w:val="auto"/>
              </w:rPr>
            </w:pPr>
            <w:r w:rsidRPr="00810EE7">
              <w:rPr>
                <w:color w:val="auto"/>
              </w:rPr>
              <w:t>Gazociąg Pogórska Wola - Tworzeń</w:t>
            </w:r>
          </w:p>
        </w:tc>
        <w:tc>
          <w:tcPr>
            <w:tcW w:w="3118" w:type="dxa"/>
            <w:noWrap/>
            <w:hideMark/>
          </w:tcPr>
          <w:p w14:paraId="4A03F397" w14:textId="77777777" w:rsidR="005C4144" w:rsidRPr="00810EE7" w:rsidRDefault="005C4144">
            <w:pPr>
              <w:pStyle w:val="Tabele"/>
              <w:jc w:val="right"/>
              <w:rPr>
                <w:color w:val="auto"/>
              </w:rPr>
            </w:pPr>
            <w:r w:rsidRPr="00810EE7">
              <w:rPr>
                <w:color w:val="auto"/>
              </w:rPr>
              <w:t>1 235,46</w:t>
            </w:r>
          </w:p>
        </w:tc>
        <w:tc>
          <w:tcPr>
            <w:tcW w:w="1696" w:type="dxa"/>
            <w:noWrap/>
            <w:hideMark/>
          </w:tcPr>
          <w:p w14:paraId="14A4CEBC" w14:textId="77777777" w:rsidR="005C4144" w:rsidRPr="00810EE7" w:rsidRDefault="005C4144">
            <w:pPr>
              <w:pStyle w:val="Tabele"/>
              <w:jc w:val="right"/>
              <w:rPr>
                <w:color w:val="auto"/>
              </w:rPr>
            </w:pPr>
            <w:r w:rsidRPr="00810EE7">
              <w:rPr>
                <w:color w:val="auto"/>
              </w:rPr>
              <w:t>616,61</w:t>
            </w:r>
          </w:p>
        </w:tc>
      </w:tr>
      <w:tr w:rsidR="00810EE7" w:rsidRPr="00810EE7" w14:paraId="069F7885" w14:textId="77777777">
        <w:trPr>
          <w:trHeight w:val="227"/>
        </w:trPr>
        <w:tc>
          <w:tcPr>
            <w:tcW w:w="4248" w:type="dxa"/>
            <w:noWrap/>
            <w:hideMark/>
          </w:tcPr>
          <w:p w14:paraId="1FDB049C" w14:textId="77777777" w:rsidR="005C4144" w:rsidRPr="00810EE7" w:rsidRDefault="005C4144">
            <w:pPr>
              <w:pStyle w:val="Tabele"/>
              <w:rPr>
                <w:color w:val="auto"/>
              </w:rPr>
            </w:pPr>
            <w:r w:rsidRPr="00810EE7">
              <w:rPr>
                <w:color w:val="auto"/>
              </w:rPr>
              <w:t>Gazociąg Tworóg - Tworzeń</w:t>
            </w:r>
          </w:p>
        </w:tc>
        <w:tc>
          <w:tcPr>
            <w:tcW w:w="3118" w:type="dxa"/>
            <w:noWrap/>
            <w:hideMark/>
          </w:tcPr>
          <w:p w14:paraId="304C975C" w14:textId="77777777" w:rsidR="005C4144" w:rsidRPr="00810EE7" w:rsidRDefault="005C4144">
            <w:pPr>
              <w:pStyle w:val="Tabele"/>
              <w:jc w:val="right"/>
              <w:rPr>
                <w:color w:val="auto"/>
              </w:rPr>
            </w:pPr>
            <w:r w:rsidRPr="00810EE7">
              <w:rPr>
                <w:color w:val="auto"/>
              </w:rPr>
              <w:t>440,67</w:t>
            </w:r>
          </w:p>
        </w:tc>
        <w:tc>
          <w:tcPr>
            <w:tcW w:w="1696" w:type="dxa"/>
            <w:noWrap/>
            <w:hideMark/>
          </w:tcPr>
          <w:p w14:paraId="0557713A" w14:textId="77777777" w:rsidR="005C4144" w:rsidRPr="00810EE7" w:rsidRDefault="005C4144">
            <w:pPr>
              <w:pStyle w:val="Tabele"/>
              <w:jc w:val="right"/>
              <w:rPr>
                <w:color w:val="auto"/>
              </w:rPr>
            </w:pPr>
            <w:r w:rsidRPr="00810EE7">
              <w:rPr>
                <w:color w:val="auto"/>
              </w:rPr>
              <w:t>218,67</w:t>
            </w:r>
          </w:p>
        </w:tc>
      </w:tr>
      <w:tr w:rsidR="00810EE7" w:rsidRPr="00810EE7" w14:paraId="2F1D9350" w14:textId="77777777">
        <w:trPr>
          <w:trHeight w:val="227"/>
        </w:trPr>
        <w:tc>
          <w:tcPr>
            <w:tcW w:w="4248" w:type="dxa"/>
            <w:noWrap/>
          </w:tcPr>
          <w:p w14:paraId="2EDF2D81" w14:textId="61ABA897" w:rsidR="005C4144" w:rsidRPr="00810EE7" w:rsidRDefault="005C4144">
            <w:pPr>
              <w:pStyle w:val="Tabele"/>
              <w:rPr>
                <w:color w:val="auto"/>
              </w:rPr>
            </w:pPr>
            <w:r w:rsidRPr="00810EE7">
              <w:rPr>
                <w:color w:val="auto"/>
              </w:rPr>
              <w:t>Gazociąg Gustorzyn-Wronów</w:t>
            </w:r>
          </w:p>
        </w:tc>
        <w:tc>
          <w:tcPr>
            <w:tcW w:w="3118" w:type="dxa"/>
            <w:noWrap/>
          </w:tcPr>
          <w:p w14:paraId="42E187A1" w14:textId="77777777" w:rsidR="005C4144" w:rsidRPr="00810EE7" w:rsidRDefault="005C4144">
            <w:pPr>
              <w:pStyle w:val="Tabele"/>
              <w:jc w:val="right"/>
              <w:rPr>
                <w:color w:val="auto"/>
              </w:rPr>
            </w:pPr>
            <w:r w:rsidRPr="00810EE7">
              <w:rPr>
                <w:color w:val="auto"/>
              </w:rPr>
              <w:t>2 230,28</w:t>
            </w:r>
          </w:p>
        </w:tc>
        <w:tc>
          <w:tcPr>
            <w:tcW w:w="1696" w:type="dxa"/>
            <w:noWrap/>
          </w:tcPr>
          <w:p w14:paraId="611CF631" w14:textId="77777777" w:rsidR="005C4144" w:rsidRPr="00810EE7" w:rsidRDefault="005C4144">
            <w:pPr>
              <w:pStyle w:val="Tabele"/>
              <w:jc w:val="right"/>
              <w:rPr>
                <w:color w:val="auto"/>
              </w:rPr>
            </w:pPr>
            <w:r w:rsidRPr="00810EE7">
              <w:rPr>
                <w:color w:val="auto"/>
              </w:rPr>
              <w:t>744,15</w:t>
            </w:r>
          </w:p>
        </w:tc>
      </w:tr>
      <w:tr w:rsidR="00810EE7" w:rsidRPr="00810EE7" w14:paraId="678AC8AB" w14:textId="77777777">
        <w:trPr>
          <w:trHeight w:val="227"/>
        </w:trPr>
        <w:tc>
          <w:tcPr>
            <w:tcW w:w="4248" w:type="dxa"/>
            <w:noWrap/>
            <w:hideMark/>
          </w:tcPr>
          <w:p w14:paraId="1CA931EA" w14:textId="1F413566" w:rsidR="005C4144" w:rsidRPr="00810EE7" w:rsidRDefault="005C4144">
            <w:pPr>
              <w:pStyle w:val="Tabele"/>
              <w:rPr>
                <w:color w:val="auto"/>
              </w:rPr>
            </w:pPr>
            <w:r w:rsidRPr="00810EE7">
              <w:rPr>
                <w:color w:val="auto"/>
              </w:rPr>
              <w:t>Rozbudowa Terminalu LNG w Świnoujściu</w:t>
            </w:r>
            <w:r w:rsidR="00965426" w:rsidRPr="00810EE7">
              <w:rPr>
                <w:color w:val="auto"/>
                <w:vertAlign w:val="superscript"/>
              </w:rPr>
              <w:t>1)</w:t>
            </w:r>
          </w:p>
        </w:tc>
        <w:tc>
          <w:tcPr>
            <w:tcW w:w="3118" w:type="dxa"/>
            <w:noWrap/>
            <w:hideMark/>
          </w:tcPr>
          <w:p w14:paraId="21ECAD49" w14:textId="77777777" w:rsidR="005C4144" w:rsidRPr="00810EE7" w:rsidRDefault="005C4144">
            <w:pPr>
              <w:pStyle w:val="Tabele"/>
              <w:jc w:val="right"/>
              <w:rPr>
                <w:color w:val="auto"/>
              </w:rPr>
            </w:pPr>
            <w:r w:rsidRPr="00810EE7">
              <w:rPr>
                <w:color w:val="auto"/>
              </w:rPr>
              <w:t>2 259,96</w:t>
            </w:r>
          </w:p>
        </w:tc>
        <w:tc>
          <w:tcPr>
            <w:tcW w:w="1696" w:type="dxa"/>
            <w:noWrap/>
            <w:hideMark/>
          </w:tcPr>
          <w:p w14:paraId="0FC083BE" w14:textId="77777777" w:rsidR="005C4144" w:rsidRPr="00810EE7" w:rsidRDefault="005C4144">
            <w:pPr>
              <w:pStyle w:val="Tabele"/>
              <w:jc w:val="right"/>
              <w:rPr>
                <w:color w:val="auto"/>
              </w:rPr>
            </w:pPr>
            <w:r w:rsidRPr="00810EE7">
              <w:rPr>
                <w:color w:val="auto"/>
              </w:rPr>
              <w:t>461,0</w:t>
            </w:r>
          </w:p>
        </w:tc>
      </w:tr>
    </w:tbl>
    <w:p w14:paraId="52412E3F" w14:textId="77777777" w:rsidR="005C4144" w:rsidRDefault="005C4144" w:rsidP="005C4144">
      <w:pPr>
        <w:pStyle w:val="adnotacje"/>
      </w:pPr>
      <w:r>
        <w:t>1) Realizacja projektu zostanie zakończona w 2024 r.</w:t>
      </w:r>
    </w:p>
    <w:p w14:paraId="299816D5" w14:textId="40A9C1F8" w:rsidR="005C4144" w:rsidRPr="00055616" w:rsidRDefault="005C4144" w:rsidP="005C4144">
      <w:pPr>
        <w:pStyle w:val="ardo"/>
      </w:pPr>
      <w:r w:rsidRPr="00055616">
        <w:t>Źródło: Lista Projektów Strategicznych dla infrastruktury energetycznej w ramach</w:t>
      </w:r>
      <w:r>
        <w:t xml:space="preserve"> </w:t>
      </w:r>
      <w:r w:rsidRPr="00055616">
        <w:t>PO</w:t>
      </w:r>
      <w:r>
        <w:t>IiŚ</w:t>
      </w:r>
      <w:r w:rsidRPr="00055616">
        <w:t xml:space="preserve"> 2014-2020</w:t>
      </w:r>
    </w:p>
    <w:p w14:paraId="4AB0AB17" w14:textId="52F41848" w:rsidR="00A63E35" w:rsidRPr="00F85B97" w:rsidRDefault="00A63E35" w:rsidP="00A63E35">
      <w:r>
        <w:t>W</w:t>
      </w:r>
      <w:r w:rsidRPr="00F85B97">
        <w:t>ymienione 1</w:t>
      </w:r>
      <w:r>
        <w:t>2</w:t>
      </w:r>
      <w:r w:rsidRPr="00F85B97">
        <w:t xml:space="preserve"> projektów, </w:t>
      </w:r>
      <w:r>
        <w:t xml:space="preserve">kosztowało </w:t>
      </w:r>
      <w:r w:rsidRPr="00DC5A2A">
        <w:rPr>
          <w:b/>
          <w:bCs/>
        </w:rPr>
        <w:t>9</w:t>
      </w:r>
      <w:r w:rsidRPr="00F85B97">
        <w:rPr>
          <w:b/>
        </w:rPr>
        <w:t>,4 mld PLN</w:t>
      </w:r>
      <w:r w:rsidRPr="00F85B97">
        <w:t xml:space="preserve">. </w:t>
      </w:r>
      <w:r>
        <w:t>Większość dużych inwestycji w krajowe systemy przesyłu gazu zostało już zakończone i GAZ-SYSTEM w najbliższej perspektywie inwestycyjnej będzie skupiać się na modernizacji i rozbudowie infrastruktury przesyłowej.</w:t>
      </w:r>
      <w:r w:rsidRPr="00F85B97">
        <w:t xml:space="preserve"> </w:t>
      </w:r>
    </w:p>
    <w:p w14:paraId="4B59E12D" w14:textId="334EC356" w:rsidR="00A63E35" w:rsidRDefault="00A63E35" w:rsidP="00A63E35">
      <w:r w:rsidRPr="00F85B97">
        <w:t>W Polsce funkcjonuje 5</w:t>
      </w:r>
      <w:r>
        <w:t>0</w:t>
      </w:r>
      <w:r w:rsidRPr="00F85B97">
        <w:t xml:space="preserve"> koncesjonowanych dystrybutorów gazu ziemnego. </w:t>
      </w:r>
      <w:r w:rsidRPr="008F410D">
        <w:t>w tym zdecydowana większość prowadzi działalność dystrybucyjną o charakterze lokalnym</w:t>
      </w:r>
      <w:r w:rsidRPr="00F85B97">
        <w:t xml:space="preserve">. Największym dystrybutorem gazu w Polsce jest firma Polska Spółka Gazownictwa Sp. z o. o., należąca do GK </w:t>
      </w:r>
      <w:r>
        <w:t>ORLEN</w:t>
      </w:r>
      <w:r w:rsidRPr="00F85B97">
        <w:t xml:space="preserve">. W </w:t>
      </w:r>
      <w:r>
        <w:rPr>
          <w:i/>
        </w:rPr>
        <w:t>Planie Rozwoju Polskiej Spółki Gazownictwa sp. z o.o.</w:t>
      </w:r>
      <w:r w:rsidRPr="00F85B97">
        <w:rPr>
          <w:i/>
        </w:rPr>
        <w:t xml:space="preserve"> </w:t>
      </w:r>
      <w:r>
        <w:rPr>
          <w:i/>
        </w:rPr>
        <w:t>na lata 2024-2028</w:t>
      </w:r>
      <w:r w:rsidRPr="00F85B97">
        <w:t xml:space="preserve"> </w:t>
      </w:r>
      <w:r>
        <w:t xml:space="preserve">przedstawiono ponad 1000 przedsięwzięć inwestycyjnych mających na celu rozbudowę sieci dystrybucyjnej gazu ziemnego, przyłączanie nowych odbiorców do sieci oraz modernizacje istniejącej infrastruktury. </w:t>
      </w:r>
    </w:p>
    <w:p w14:paraId="49FD3FDE" w14:textId="0EBE1FFC" w:rsidR="001D6FD7" w:rsidRDefault="005C4144" w:rsidP="001D6FD7">
      <w:r>
        <w:t>W tabeli (</w:t>
      </w:r>
      <w:r w:rsidR="009C12E9">
        <w:fldChar w:fldCharType="begin"/>
      </w:r>
      <w:r w:rsidR="009C12E9">
        <w:instrText xml:space="preserve"> REF _Ref195777466 \h </w:instrText>
      </w:r>
      <w:r w:rsidR="009C12E9">
        <w:fldChar w:fldCharType="separate"/>
      </w:r>
      <w:r w:rsidR="00F27D6F" w:rsidRPr="00DA7510">
        <w:t xml:space="preserve">Tabela </w:t>
      </w:r>
      <w:r w:rsidR="00F27D6F">
        <w:rPr>
          <w:noProof/>
        </w:rPr>
        <w:t>4</w:t>
      </w:r>
      <w:r w:rsidR="00F27D6F">
        <w:t>.</w:t>
      </w:r>
      <w:r w:rsidR="00F27D6F">
        <w:rPr>
          <w:noProof/>
        </w:rPr>
        <w:t>12</w:t>
      </w:r>
      <w:r w:rsidR="009C12E9">
        <w:fldChar w:fldCharType="end"/>
      </w:r>
      <w:r>
        <w:t xml:space="preserve">) </w:t>
      </w:r>
      <w:r w:rsidR="001D6FD7">
        <w:t>zaprezentowano prognozowane nakłady</w:t>
      </w:r>
      <w:r w:rsidR="001D6FD7" w:rsidRPr="00BB5C74">
        <w:t xml:space="preserve"> inwestycyjne w sektorach paliwowo</w:t>
      </w:r>
      <w:r w:rsidR="001D6FD7">
        <w:t>-</w:t>
      </w:r>
      <w:r w:rsidR="001D6FD7" w:rsidRPr="00BB5C74">
        <w:t>energetycznych w podziale na sektory</w:t>
      </w:r>
      <w:r w:rsidR="001D6FD7">
        <w:t>. Obejmują one:</w:t>
      </w:r>
    </w:p>
    <w:p w14:paraId="13880889" w14:textId="0AC62EE6" w:rsidR="001D6FD7" w:rsidRDefault="001D6FD7" w:rsidP="001D6FD7">
      <w:pPr>
        <w:pStyle w:val="Akapitzlist"/>
        <w:numPr>
          <w:ilvl w:val="0"/>
          <w:numId w:val="34"/>
        </w:numPr>
      </w:pPr>
      <w:r>
        <w:t xml:space="preserve">w przemyśle – </w:t>
      </w:r>
      <w:r w:rsidR="00E5519D" w:rsidRPr="00E5519D">
        <w:t>elektryfikację procesów przemysłowych, w tym ciepła przemysłowego z</w:t>
      </w:r>
      <w:r w:rsidR="00B6518A">
        <w:t> </w:t>
      </w:r>
      <w:r w:rsidR="00E5519D" w:rsidRPr="00E5519D">
        <w:t>uwzględnieniem magazynowania ciepła, pod kątem dostosowania procesów przemysłowych do pracy z systemem energetycznym z dominującym udziałem źródeł pogodozależnych, tam gdzie nie jest możliwa bezpośrednia elektryfikacja wykorzystanie wodoru do celów energetycznych a także jako wsadu procesowego (np. w hutnictwie do redukcji żelaza pierwotnego czy procesach rafineryjnych), popraw</w:t>
      </w:r>
      <w:r w:rsidR="00200805">
        <w:t>ę</w:t>
      </w:r>
      <w:r w:rsidR="00E5519D" w:rsidRPr="00E5519D">
        <w:t xml:space="preserve"> efektywności energetycznej,</w:t>
      </w:r>
      <w:r w:rsidR="00E31D03">
        <w:t xml:space="preserve"> </w:t>
      </w:r>
      <w:r w:rsidR="00E31D03" w:rsidRPr="00E31D03">
        <w:t>wymian</w:t>
      </w:r>
      <w:r w:rsidR="00200805">
        <w:t>ę</w:t>
      </w:r>
      <w:r w:rsidR="00E31D03" w:rsidRPr="00E31D03">
        <w:t xml:space="preserve"> lub modernizacj</w:t>
      </w:r>
      <w:r w:rsidR="00200805">
        <w:t>ę</w:t>
      </w:r>
      <w:r w:rsidR="00E31D03" w:rsidRPr="00E31D03">
        <w:t xml:space="preserve"> kotłów przemysłowych i pieców, wymian</w:t>
      </w:r>
      <w:r w:rsidR="00200805">
        <w:t>ę</w:t>
      </w:r>
      <w:r w:rsidR="00E31D03" w:rsidRPr="00E31D03">
        <w:t xml:space="preserve"> i modernizacj</w:t>
      </w:r>
      <w:r w:rsidR="00200805">
        <w:t>ę</w:t>
      </w:r>
      <w:r w:rsidR="00E31D03" w:rsidRPr="00E31D03">
        <w:t xml:space="preserve"> napędów elektrycznych oraz źródeł światła</w:t>
      </w:r>
      <w:r w:rsidR="00E5519D" w:rsidRPr="00E5519D">
        <w:t>, maksymalizacj</w:t>
      </w:r>
      <w:r w:rsidR="00200805">
        <w:t>ę</w:t>
      </w:r>
      <w:r w:rsidR="00E5519D" w:rsidRPr="00E5519D">
        <w:t xml:space="preserve"> wykorzystania ciepła odpadowego zarówno w samych zakładach jak i na potrzeby zewnętrzne (np. sieci ciepłownicze lub zakłady potrzebujące ciepła o</w:t>
      </w:r>
      <w:r w:rsidR="00B6518A">
        <w:t> </w:t>
      </w:r>
      <w:r w:rsidR="00E5519D" w:rsidRPr="00E5519D">
        <w:t>niższej temperaturze), instalacje CCS tam gdzie inn</w:t>
      </w:r>
      <w:r w:rsidR="00DA0EE2">
        <w:t>a</w:t>
      </w:r>
      <w:r w:rsidR="00E5519D" w:rsidRPr="00E5519D">
        <w:t xml:space="preserve"> redukcja emisji innymi metodami byłaby technicznie niemożliwa lub zbyt kosztowna</w:t>
      </w:r>
      <w:r>
        <w:t>,</w:t>
      </w:r>
    </w:p>
    <w:p w14:paraId="64BC1DEC" w14:textId="7A0B1781" w:rsidR="001D6FD7" w:rsidRDefault="001D6FD7" w:rsidP="001D6FD7">
      <w:pPr>
        <w:pStyle w:val="Akapitzlist"/>
        <w:numPr>
          <w:ilvl w:val="0"/>
          <w:numId w:val="34"/>
        </w:numPr>
      </w:pPr>
      <w:r>
        <w:t xml:space="preserve">w transporcie - </w:t>
      </w:r>
      <w:r w:rsidR="00EE5A1B" w:rsidRPr="00EE5A1B">
        <w:t xml:space="preserve">rozwój infrastruktury do ładowania pojazdów i in. działania na rzecz elektryfikacji transportu drogowego, modernizacja infrastruktury drogowej pod kątem zwiększenia udziału efektywnych energetycznie środków transportu (transport zbiorowy, rowery) oraz rozwój transportu publicznego, nakłady na infrastrukturę kolejową (tory, stacje, tabor), rozwój transportu </w:t>
      </w:r>
      <w:r w:rsidRPr="004043C4">
        <w:t>intermodalnego,</w:t>
      </w:r>
    </w:p>
    <w:p w14:paraId="1FD4E2BE" w14:textId="0CA76169" w:rsidR="001D6FD7" w:rsidRDefault="001D6FD7" w:rsidP="001D6FD7">
      <w:pPr>
        <w:pStyle w:val="Akapitzlist"/>
        <w:numPr>
          <w:ilvl w:val="0"/>
          <w:numId w:val="34"/>
        </w:numPr>
      </w:pPr>
      <w:r>
        <w:t xml:space="preserve">w gospodarstwach domowych - </w:t>
      </w:r>
      <w:r w:rsidRPr="004043C4">
        <w:t>nakłady na termomodernizację budynków</w:t>
      </w:r>
      <w:r w:rsidR="009B4FB3" w:rsidRPr="009B4FB3">
        <w:t xml:space="preserve"> z uwzględnieniem rekuperacji, zastąpienie źródeł ogrzewania i c.w.u., ogrzewania gazowego i kuchenek gazowych elektrycznością</w:t>
      </w:r>
      <w:r w:rsidR="009A5103">
        <w:t xml:space="preserve">, </w:t>
      </w:r>
      <w:r w:rsidR="009A5103" w:rsidRPr="009A5103">
        <w:t>głównie w oparciu o pompy ciepła, magazyny ciepła i systemy BEMS</w:t>
      </w:r>
      <w:r>
        <w:t>,</w:t>
      </w:r>
    </w:p>
    <w:p w14:paraId="450B5E1A" w14:textId="142855D0" w:rsidR="001D6FD7" w:rsidRDefault="001D6FD7" w:rsidP="001D6FD7">
      <w:pPr>
        <w:pStyle w:val="Akapitzlist"/>
        <w:numPr>
          <w:ilvl w:val="0"/>
          <w:numId w:val="34"/>
        </w:numPr>
      </w:pPr>
      <w:r>
        <w:t xml:space="preserve">w usługach - </w:t>
      </w:r>
      <w:r w:rsidR="00F3105B" w:rsidRPr="00F3105B">
        <w:t>nakłady na termomodernizację budynków użyteczności publicznej/komercyjnych z</w:t>
      </w:r>
      <w:r w:rsidR="00B6518A">
        <w:t> </w:t>
      </w:r>
      <w:r w:rsidR="00F3105B" w:rsidRPr="00F3105B">
        <w:t>uwzględnieniem rekuperacji, zastąpienie źródeł ogrzewania i c.w.u., ogrzewania gazowego i</w:t>
      </w:r>
      <w:r w:rsidR="00B6518A">
        <w:t> </w:t>
      </w:r>
      <w:r w:rsidR="00F3105B" w:rsidRPr="00F3105B">
        <w:t>kuchenek gazowych elektrycznością, wymiana i modernizacja oświetlenia ulicznego</w:t>
      </w:r>
      <w:r>
        <w:t>,</w:t>
      </w:r>
    </w:p>
    <w:p w14:paraId="6025E56F" w14:textId="6A70C847" w:rsidR="001D6FD7" w:rsidRDefault="001D6FD7" w:rsidP="001D6FD7">
      <w:pPr>
        <w:pStyle w:val="Akapitzlist"/>
        <w:numPr>
          <w:ilvl w:val="0"/>
          <w:numId w:val="34"/>
        </w:numPr>
      </w:pPr>
      <w:r>
        <w:t xml:space="preserve">w rolnictwie - </w:t>
      </w:r>
      <w:r w:rsidR="00362640" w:rsidRPr="00362640">
        <w:t>zastępowanie maszyn i procesów opartych na paliwach kopalnych rozwiązaniami zasilanymi energią elektryczną, nakłady na poprawę efektywności energetycznej poprzez termomodernizację budynków, wymianę i modernizację oświetlenia, zastąpienie źródeł ogrzewania i c.w.u., ogrzewania gazowego i kuchenek gazowych elektrycznością, wdrażanie praktyk ograniczających emisję GHG</w:t>
      </w:r>
      <w:r w:rsidR="009E1CA4">
        <w:t xml:space="preserve"> w produkcji rolniczej</w:t>
      </w:r>
      <w:r w:rsidR="00362640" w:rsidRPr="00362640">
        <w:t xml:space="preserve"> poprzez zmianę </w:t>
      </w:r>
      <w:r w:rsidR="000C5A9E">
        <w:t>technik</w:t>
      </w:r>
      <w:r w:rsidR="00362640" w:rsidRPr="00362640">
        <w:t xml:space="preserve"> uprawy i</w:t>
      </w:r>
      <w:r w:rsidR="00B6518A">
        <w:t> </w:t>
      </w:r>
      <w:r w:rsidR="00362640" w:rsidRPr="00362640">
        <w:t>chowu zwierząt, rozwój rolnictwa ekologicznego</w:t>
      </w:r>
      <w:r>
        <w:t xml:space="preserve">, </w:t>
      </w:r>
    </w:p>
    <w:p w14:paraId="28DFB2EF" w14:textId="1349736D" w:rsidR="001D6FD7" w:rsidRDefault="001D6FD7" w:rsidP="001D6FD7">
      <w:pPr>
        <w:pStyle w:val="Akapitzlist"/>
        <w:numPr>
          <w:ilvl w:val="0"/>
          <w:numId w:val="34"/>
        </w:numPr>
      </w:pPr>
      <w:r>
        <w:t xml:space="preserve">sektorze energetycznym – nakłady na budowę </w:t>
      </w:r>
      <w:r w:rsidR="00234E9B">
        <w:t xml:space="preserve">odnawialnych źródeł energii, biometanowni </w:t>
      </w:r>
      <w:r w:rsidR="001E1D33">
        <w:t>oraz</w:t>
      </w:r>
      <w:r w:rsidR="00D059ED" w:rsidRPr="00D059ED">
        <w:t xml:space="preserve"> modernizację źródeł wytwarzania energii elektrycznej i ciepła w skojarzeniu, a także nakłady na modernizację i budowę sieci przesyłowej i dystrybucyjnej oraz magazynów energii</w:t>
      </w:r>
      <w:r>
        <w:t>,</w:t>
      </w:r>
    </w:p>
    <w:p w14:paraId="28E04BF9" w14:textId="7B90455F" w:rsidR="001D6FD7" w:rsidRDefault="001D6FD7" w:rsidP="001D6FD7">
      <w:pPr>
        <w:pStyle w:val="Akapitzlist"/>
        <w:numPr>
          <w:ilvl w:val="0"/>
          <w:numId w:val="34"/>
        </w:numPr>
      </w:pPr>
      <w:r>
        <w:t xml:space="preserve">w sektorze ciepłowniczym – </w:t>
      </w:r>
      <w:r w:rsidR="005A4985" w:rsidRPr="005A4985">
        <w:t>nakłady na budowę i modernizację ciepłowni komercyjnych, sieci dystrybucji ciepła systemowego oraz magazynów ciepła, a także przyłączy energetycznych do ciepłowni w związku z elektryfikacją ciepła i rozwojem szczytowych źródeł kogeneracyjnych</w:t>
      </w:r>
      <w:r>
        <w:t>,</w:t>
      </w:r>
    </w:p>
    <w:p w14:paraId="3FCF5E6F" w14:textId="019F320F" w:rsidR="001D6FD7" w:rsidRDefault="001D6FD7" w:rsidP="001D6FD7">
      <w:pPr>
        <w:pStyle w:val="Akapitzlist"/>
        <w:numPr>
          <w:ilvl w:val="0"/>
          <w:numId w:val="34"/>
        </w:numPr>
      </w:pPr>
      <w:r>
        <w:t xml:space="preserve">w sektorze gazowym – </w:t>
      </w:r>
      <w:r w:rsidRPr="0096014A">
        <w:t>nakłady na rozbudowę i modernizację sieci gazowniczych, magazynów gazu</w:t>
      </w:r>
      <w:r w:rsidR="00D82745" w:rsidRPr="00D82745">
        <w:t xml:space="preserve"> i instalacji </w:t>
      </w:r>
      <w:r w:rsidRPr="0096014A">
        <w:t>regazyfikacyjnych</w:t>
      </w:r>
      <w:r>
        <w:t>,</w:t>
      </w:r>
    </w:p>
    <w:p w14:paraId="11668D09" w14:textId="41D51CAA" w:rsidR="001D6FD7" w:rsidRDefault="001D6FD7" w:rsidP="001D6FD7">
      <w:pPr>
        <w:pStyle w:val="Akapitzlist"/>
        <w:numPr>
          <w:ilvl w:val="0"/>
          <w:numId w:val="34"/>
        </w:numPr>
      </w:pPr>
      <w:r>
        <w:t xml:space="preserve">w sektorze paliw płynnych – nakłady na budowę zakładów produkcji </w:t>
      </w:r>
      <w:r w:rsidR="00775D36" w:rsidRPr="00775D36">
        <w:t xml:space="preserve">RFNBO oraz </w:t>
      </w:r>
      <w:r w:rsidR="000C5A9E">
        <w:t>biokomponentów II generacji</w:t>
      </w:r>
      <w:r w:rsidR="00775D36" w:rsidRPr="00775D36">
        <w:t>, instalacji do blendowania paliw, rozwój infrastruktury dystrybucji paliw</w:t>
      </w:r>
      <w:r>
        <w:t>,</w:t>
      </w:r>
    </w:p>
    <w:p w14:paraId="263D5B67" w14:textId="77777777" w:rsidR="001D6FD7" w:rsidRDefault="001D6FD7" w:rsidP="001D6FD7">
      <w:pPr>
        <w:pStyle w:val="Akapitzlist"/>
        <w:numPr>
          <w:ilvl w:val="0"/>
          <w:numId w:val="34"/>
        </w:numPr>
      </w:pPr>
      <w:r>
        <w:t xml:space="preserve">w górnictwie – koszty </w:t>
      </w:r>
      <w:r w:rsidRPr="0096014A">
        <w:t>zamykania kopalń i rekultywacji terenów pogórniczych</w:t>
      </w:r>
      <w:r>
        <w:t>.</w:t>
      </w:r>
    </w:p>
    <w:p w14:paraId="44DF5A0F" w14:textId="03C04315" w:rsidR="001D6FD7" w:rsidRDefault="001D6FD7" w:rsidP="005C4144">
      <w:r>
        <w:t xml:space="preserve">Zgodnie z zaprezentowanymi wynikami analiz, łączne skumulowane nakłady inwestycyjne w sektorze paliwowo-energetycznym w scenariuszu WAM wynoszą ok. </w:t>
      </w:r>
      <w:r w:rsidR="00646CC2">
        <w:t>400</w:t>
      </w:r>
      <w:r>
        <w:t xml:space="preserve"> mld EUR do 2030 r. </w:t>
      </w:r>
      <w:r w:rsidRPr="00856E59">
        <w:t>oraz</w:t>
      </w:r>
      <w:r w:rsidR="002A532C">
        <w:t xml:space="preserve"> </w:t>
      </w:r>
      <w:r w:rsidR="00856E59" w:rsidRPr="00856E59">
        <w:t>ok.</w:t>
      </w:r>
      <w:r w:rsidR="00F0146F">
        <w:t>845</w:t>
      </w:r>
      <w:r w:rsidRPr="00856E59">
        <w:t xml:space="preserve"> mld EUR w perspektywie 20</w:t>
      </w:r>
      <w:r w:rsidR="00982276" w:rsidRPr="00856E59">
        <w:t>4</w:t>
      </w:r>
      <w:r w:rsidRPr="00856E59">
        <w:t>0</w:t>
      </w:r>
      <w:r>
        <w:t xml:space="preserve"> r. Do przedstawionych tutaj szacunków należy podchodzić z pewna rezerwą, ponieważ precyzyjne oszacowanie łącznych nakładów inwestycyjnych na poszczególne działania z</w:t>
      </w:r>
      <w:r w:rsidR="00B6518A">
        <w:t> </w:t>
      </w:r>
      <w:r>
        <w:t>zakresu transformacji energetycznej jest niemożliwe.</w:t>
      </w:r>
      <w:r>
        <w:tab/>
      </w:r>
    </w:p>
    <w:p w14:paraId="698DEFDA" w14:textId="3D523E1C" w:rsidR="0017697C" w:rsidRDefault="003D3A69" w:rsidP="0017697C">
      <w:pPr>
        <w:pStyle w:val="Legenda"/>
        <w:keepNext/>
      </w:pPr>
      <w:bookmarkStart w:id="566" w:name="_Ref195777466"/>
      <w:bookmarkStart w:id="567" w:name="_Toc202967013"/>
      <w:r w:rsidRPr="00DA7510">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4</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12</w:t>
      </w:r>
      <w:r w:rsidR="00653D9A">
        <w:rPr>
          <w:noProof/>
        </w:rPr>
        <w:fldChar w:fldCharType="end"/>
      </w:r>
      <w:bookmarkEnd w:id="566"/>
      <w:r w:rsidR="005C4144">
        <w:t xml:space="preserve"> </w:t>
      </w:r>
      <w:r w:rsidR="0017697C" w:rsidRPr="00BB5C74">
        <w:t>Nakłady inwestycyjne w sektorach paliwowo</w:t>
      </w:r>
      <w:r w:rsidR="0017697C">
        <w:t>-</w:t>
      </w:r>
      <w:r w:rsidR="0017697C" w:rsidRPr="00BB5C74">
        <w:t>energetycznych w podziale na sektory [</w:t>
      </w:r>
      <w:r w:rsidR="0017697C">
        <w:t>mln EUR'202</w:t>
      </w:r>
      <w:r w:rsidR="000E24E1">
        <w:t>4</w:t>
      </w:r>
      <w:r w:rsidR="0017697C">
        <w:t>] dla scenariusza WA</w:t>
      </w:r>
      <w:r w:rsidR="0017697C" w:rsidRPr="00BB5C74">
        <w:t>M</w:t>
      </w:r>
      <w:bookmarkEnd w:id="567"/>
    </w:p>
    <w:tbl>
      <w:tblPr>
        <w:tblW w:w="9232" w:type="dxa"/>
        <w:tblCellMar>
          <w:left w:w="70" w:type="dxa"/>
          <w:right w:w="70" w:type="dxa"/>
        </w:tblCellMar>
        <w:tblLook w:val="04A0" w:firstRow="1" w:lastRow="0" w:firstColumn="1" w:lastColumn="0" w:noHBand="0" w:noVBand="1"/>
      </w:tblPr>
      <w:tblGrid>
        <w:gridCol w:w="1895"/>
        <w:gridCol w:w="2010"/>
        <w:gridCol w:w="1065"/>
        <w:gridCol w:w="1066"/>
        <w:gridCol w:w="1065"/>
        <w:gridCol w:w="1066"/>
        <w:gridCol w:w="1065"/>
      </w:tblGrid>
      <w:tr w:rsidR="00C527CB" w:rsidRPr="00975B6F" w14:paraId="07831C9F" w14:textId="77777777" w:rsidTr="00AA0214">
        <w:trPr>
          <w:trHeight w:val="343"/>
        </w:trPr>
        <w:tc>
          <w:tcPr>
            <w:tcW w:w="3905" w:type="dxa"/>
            <w:gridSpan w:val="2"/>
            <w:tcBorders>
              <w:top w:val="single" w:sz="4" w:space="0" w:color="auto"/>
              <w:left w:val="single" w:sz="4" w:space="0" w:color="auto"/>
              <w:bottom w:val="single" w:sz="4" w:space="0" w:color="auto"/>
              <w:right w:val="single" w:sz="4" w:space="0" w:color="000000"/>
            </w:tcBorders>
            <w:shd w:val="clear" w:color="000000" w:fill="70AD47"/>
            <w:noWrap/>
            <w:vAlign w:val="center"/>
            <w:hideMark/>
          </w:tcPr>
          <w:p w14:paraId="4B168DC1" w14:textId="77777777" w:rsidR="00C527CB" w:rsidRPr="00975B6F" w:rsidRDefault="00C527CB">
            <w:pPr>
              <w:spacing w:after="0" w:line="240" w:lineRule="auto"/>
              <w:jc w:val="center"/>
              <w:rPr>
                <w:rFonts w:eastAsia="Times New Roman" w:cs="Arial"/>
                <w:b/>
                <w:bCs/>
                <w:color w:val="FFFFFF"/>
                <w:sz w:val="16"/>
                <w:szCs w:val="16"/>
                <w:lang w:eastAsia="pl-PL"/>
              </w:rPr>
            </w:pPr>
            <w:r w:rsidRPr="00975B6F">
              <w:rPr>
                <w:rFonts w:eastAsia="Times New Roman" w:cs="Arial"/>
                <w:b/>
                <w:bCs/>
                <w:color w:val="FFFFFF"/>
                <w:sz w:val="16"/>
                <w:szCs w:val="16"/>
                <w:lang w:eastAsia="pl-PL"/>
              </w:rPr>
              <w:t>sektor</w:t>
            </w:r>
          </w:p>
        </w:tc>
        <w:tc>
          <w:tcPr>
            <w:tcW w:w="1065" w:type="dxa"/>
            <w:tcBorders>
              <w:top w:val="single" w:sz="4" w:space="0" w:color="auto"/>
              <w:left w:val="nil"/>
              <w:bottom w:val="single" w:sz="4" w:space="0" w:color="auto"/>
              <w:right w:val="single" w:sz="4" w:space="0" w:color="auto"/>
            </w:tcBorders>
            <w:shd w:val="clear" w:color="000000" w:fill="70AD47"/>
            <w:noWrap/>
            <w:vAlign w:val="center"/>
            <w:hideMark/>
          </w:tcPr>
          <w:p w14:paraId="3B48F9A2" w14:textId="77777777" w:rsidR="00C527CB" w:rsidRPr="00975B6F" w:rsidRDefault="00C527CB">
            <w:pPr>
              <w:spacing w:after="0" w:line="240" w:lineRule="auto"/>
              <w:jc w:val="center"/>
              <w:rPr>
                <w:rFonts w:eastAsia="Times New Roman" w:cs="Arial"/>
                <w:b/>
                <w:bCs/>
                <w:color w:val="FFFFFF"/>
                <w:sz w:val="16"/>
                <w:szCs w:val="16"/>
                <w:lang w:eastAsia="pl-PL"/>
              </w:rPr>
            </w:pPr>
            <w:r w:rsidRPr="00975B6F">
              <w:rPr>
                <w:rFonts w:eastAsia="Times New Roman" w:cs="Arial"/>
                <w:b/>
                <w:bCs/>
                <w:color w:val="FFFFFF"/>
                <w:sz w:val="16"/>
                <w:szCs w:val="16"/>
                <w:lang w:eastAsia="pl-PL"/>
              </w:rPr>
              <w:t>2021-2025</w:t>
            </w:r>
          </w:p>
        </w:tc>
        <w:tc>
          <w:tcPr>
            <w:tcW w:w="1066" w:type="dxa"/>
            <w:tcBorders>
              <w:top w:val="single" w:sz="4" w:space="0" w:color="auto"/>
              <w:left w:val="nil"/>
              <w:bottom w:val="single" w:sz="4" w:space="0" w:color="auto"/>
              <w:right w:val="single" w:sz="4" w:space="0" w:color="auto"/>
            </w:tcBorders>
            <w:shd w:val="clear" w:color="000000" w:fill="70AD47"/>
            <w:noWrap/>
            <w:vAlign w:val="center"/>
            <w:hideMark/>
          </w:tcPr>
          <w:p w14:paraId="799D917E" w14:textId="77777777" w:rsidR="00C527CB" w:rsidRPr="00975B6F" w:rsidRDefault="00C527CB">
            <w:pPr>
              <w:spacing w:after="0" w:line="240" w:lineRule="auto"/>
              <w:jc w:val="center"/>
              <w:rPr>
                <w:rFonts w:eastAsia="Times New Roman" w:cs="Arial"/>
                <w:b/>
                <w:bCs/>
                <w:color w:val="FFFFFF"/>
                <w:sz w:val="16"/>
                <w:szCs w:val="16"/>
                <w:lang w:eastAsia="pl-PL"/>
              </w:rPr>
            </w:pPr>
            <w:r w:rsidRPr="00975B6F">
              <w:rPr>
                <w:rFonts w:eastAsia="Times New Roman" w:cs="Arial"/>
                <w:b/>
                <w:bCs/>
                <w:color w:val="FFFFFF"/>
                <w:sz w:val="16"/>
                <w:szCs w:val="16"/>
                <w:lang w:eastAsia="pl-PL"/>
              </w:rPr>
              <w:t>2026-2030</w:t>
            </w:r>
          </w:p>
        </w:tc>
        <w:tc>
          <w:tcPr>
            <w:tcW w:w="1065" w:type="dxa"/>
            <w:tcBorders>
              <w:top w:val="single" w:sz="4" w:space="0" w:color="auto"/>
              <w:left w:val="nil"/>
              <w:bottom w:val="single" w:sz="4" w:space="0" w:color="auto"/>
              <w:right w:val="single" w:sz="4" w:space="0" w:color="auto"/>
            </w:tcBorders>
            <w:shd w:val="clear" w:color="000000" w:fill="70AD47"/>
            <w:noWrap/>
            <w:vAlign w:val="center"/>
            <w:hideMark/>
          </w:tcPr>
          <w:p w14:paraId="2CE38037" w14:textId="77777777" w:rsidR="00C527CB" w:rsidRPr="00975B6F" w:rsidRDefault="00C527CB">
            <w:pPr>
              <w:spacing w:after="0" w:line="240" w:lineRule="auto"/>
              <w:jc w:val="center"/>
              <w:rPr>
                <w:rFonts w:eastAsia="Times New Roman" w:cs="Arial"/>
                <w:b/>
                <w:bCs/>
                <w:color w:val="FFFFFF"/>
                <w:sz w:val="16"/>
                <w:szCs w:val="16"/>
                <w:lang w:eastAsia="pl-PL"/>
              </w:rPr>
            </w:pPr>
            <w:r w:rsidRPr="00975B6F">
              <w:rPr>
                <w:rFonts w:eastAsia="Times New Roman" w:cs="Arial"/>
                <w:b/>
                <w:bCs/>
                <w:color w:val="FFFFFF"/>
                <w:sz w:val="16"/>
                <w:szCs w:val="16"/>
                <w:lang w:eastAsia="pl-PL"/>
              </w:rPr>
              <w:t>2031-2035</w:t>
            </w:r>
          </w:p>
        </w:tc>
        <w:tc>
          <w:tcPr>
            <w:tcW w:w="1066" w:type="dxa"/>
            <w:tcBorders>
              <w:top w:val="single" w:sz="4" w:space="0" w:color="auto"/>
              <w:left w:val="nil"/>
              <w:bottom w:val="single" w:sz="4" w:space="0" w:color="auto"/>
              <w:right w:val="single" w:sz="4" w:space="0" w:color="auto"/>
            </w:tcBorders>
            <w:shd w:val="clear" w:color="000000" w:fill="70AD47"/>
            <w:noWrap/>
            <w:vAlign w:val="center"/>
            <w:hideMark/>
          </w:tcPr>
          <w:p w14:paraId="2EBA981F" w14:textId="77777777" w:rsidR="00C527CB" w:rsidRPr="00975B6F" w:rsidRDefault="00C527CB">
            <w:pPr>
              <w:spacing w:after="0" w:line="240" w:lineRule="auto"/>
              <w:jc w:val="center"/>
              <w:rPr>
                <w:rFonts w:eastAsia="Times New Roman" w:cs="Arial"/>
                <w:b/>
                <w:bCs/>
                <w:color w:val="FFFFFF"/>
                <w:sz w:val="16"/>
                <w:szCs w:val="16"/>
                <w:lang w:eastAsia="pl-PL"/>
              </w:rPr>
            </w:pPr>
            <w:r w:rsidRPr="00975B6F">
              <w:rPr>
                <w:rFonts w:eastAsia="Times New Roman" w:cs="Arial"/>
                <w:b/>
                <w:bCs/>
                <w:color w:val="FFFFFF"/>
                <w:sz w:val="16"/>
                <w:szCs w:val="16"/>
                <w:lang w:eastAsia="pl-PL"/>
              </w:rPr>
              <w:t>2036-2040</w:t>
            </w:r>
          </w:p>
        </w:tc>
        <w:tc>
          <w:tcPr>
            <w:tcW w:w="1065" w:type="dxa"/>
            <w:tcBorders>
              <w:top w:val="single" w:sz="4" w:space="0" w:color="auto"/>
              <w:left w:val="nil"/>
              <w:bottom w:val="single" w:sz="4" w:space="0" w:color="auto"/>
              <w:right w:val="single" w:sz="4" w:space="0" w:color="auto"/>
            </w:tcBorders>
            <w:shd w:val="clear" w:color="000000" w:fill="70AD47"/>
            <w:noWrap/>
            <w:vAlign w:val="center"/>
            <w:hideMark/>
          </w:tcPr>
          <w:p w14:paraId="0DB58384" w14:textId="77777777" w:rsidR="00C527CB" w:rsidRPr="00975B6F" w:rsidRDefault="00C527CB">
            <w:pPr>
              <w:spacing w:after="0" w:line="240" w:lineRule="auto"/>
              <w:jc w:val="center"/>
              <w:rPr>
                <w:rFonts w:eastAsia="Times New Roman" w:cs="Arial"/>
                <w:b/>
                <w:bCs/>
                <w:color w:val="FFFFFF"/>
                <w:sz w:val="16"/>
                <w:szCs w:val="16"/>
                <w:lang w:eastAsia="pl-PL"/>
              </w:rPr>
            </w:pPr>
            <w:r w:rsidRPr="00975B6F">
              <w:rPr>
                <w:rFonts w:eastAsia="Times New Roman" w:cs="Arial"/>
                <w:b/>
                <w:bCs/>
                <w:color w:val="FFFFFF"/>
                <w:sz w:val="16"/>
                <w:szCs w:val="16"/>
                <w:lang w:eastAsia="pl-PL"/>
              </w:rPr>
              <w:t>suma</w:t>
            </w:r>
          </w:p>
        </w:tc>
      </w:tr>
      <w:tr w:rsidR="00136C0E" w:rsidRPr="00975B6F" w14:paraId="373BF032" w14:textId="77777777">
        <w:trPr>
          <w:trHeight w:val="343"/>
        </w:trPr>
        <w:tc>
          <w:tcPr>
            <w:tcW w:w="3905" w:type="dxa"/>
            <w:gridSpan w:val="2"/>
            <w:tcBorders>
              <w:top w:val="single" w:sz="4" w:space="0" w:color="auto"/>
              <w:left w:val="single" w:sz="4" w:space="0" w:color="auto"/>
              <w:bottom w:val="single" w:sz="4" w:space="0" w:color="auto"/>
              <w:right w:val="single" w:sz="4" w:space="0" w:color="000000"/>
            </w:tcBorders>
            <w:noWrap/>
            <w:vAlign w:val="center"/>
            <w:hideMark/>
          </w:tcPr>
          <w:p w14:paraId="4BEDC60B" w14:textId="77777777" w:rsidR="00136C0E" w:rsidRPr="00975B6F" w:rsidRDefault="00136C0E" w:rsidP="00136C0E">
            <w:pPr>
              <w:spacing w:after="0" w:line="240" w:lineRule="auto"/>
              <w:jc w:val="left"/>
              <w:rPr>
                <w:rFonts w:eastAsia="Times New Roman" w:cs="Arial"/>
                <w:color w:val="000000"/>
                <w:sz w:val="16"/>
                <w:szCs w:val="16"/>
                <w:lang w:eastAsia="pl-PL"/>
              </w:rPr>
            </w:pPr>
            <w:r w:rsidRPr="00975B6F">
              <w:rPr>
                <w:rFonts w:eastAsia="Times New Roman" w:cs="Arial"/>
                <w:color w:val="000000"/>
                <w:sz w:val="16"/>
                <w:szCs w:val="16"/>
                <w:lang w:eastAsia="pl-PL"/>
              </w:rPr>
              <w:t>Łączne nakłady inwestycyjne</w:t>
            </w:r>
          </w:p>
        </w:tc>
        <w:tc>
          <w:tcPr>
            <w:tcW w:w="1065" w:type="dxa"/>
            <w:tcBorders>
              <w:top w:val="single" w:sz="4" w:space="0" w:color="auto"/>
              <w:left w:val="single" w:sz="4" w:space="0" w:color="auto"/>
              <w:bottom w:val="single" w:sz="4" w:space="0" w:color="auto"/>
              <w:right w:val="single" w:sz="4" w:space="0" w:color="auto"/>
            </w:tcBorders>
            <w:noWrap/>
            <w:vAlign w:val="center"/>
            <w:hideMark/>
          </w:tcPr>
          <w:p w14:paraId="7BD37C5E" w14:textId="434771DB" w:rsidR="00136C0E" w:rsidRPr="00F60DE5" w:rsidRDefault="00136C0E" w:rsidP="00136C0E">
            <w:pPr>
              <w:spacing w:after="0" w:line="240" w:lineRule="auto"/>
              <w:jc w:val="right"/>
              <w:rPr>
                <w:rFonts w:eastAsia="Times New Roman" w:cs="Arial"/>
                <w:b/>
                <w:bCs/>
                <w:color w:val="000000"/>
                <w:sz w:val="16"/>
                <w:szCs w:val="16"/>
                <w:lang w:eastAsia="pl-PL"/>
              </w:rPr>
            </w:pPr>
            <w:r>
              <w:rPr>
                <w:b/>
                <w:bCs/>
                <w:color w:val="000000"/>
                <w:sz w:val="16"/>
                <w:szCs w:val="16"/>
              </w:rPr>
              <w:t>188 070</w:t>
            </w:r>
          </w:p>
        </w:tc>
        <w:tc>
          <w:tcPr>
            <w:tcW w:w="1066" w:type="dxa"/>
            <w:tcBorders>
              <w:top w:val="single" w:sz="4" w:space="0" w:color="auto"/>
              <w:left w:val="nil"/>
              <w:bottom w:val="single" w:sz="4" w:space="0" w:color="auto"/>
              <w:right w:val="single" w:sz="4" w:space="0" w:color="auto"/>
            </w:tcBorders>
            <w:noWrap/>
            <w:vAlign w:val="center"/>
            <w:hideMark/>
          </w:tcPr>
          <w:p w14:paraId="7B572352" w14:textId="252C351D" w:rsidR="00136C0E" w:rsidRPr="00F60DE5" w:rsidRDefault="00136C0E" w:rsidP="00136C0E">
            <w:pPr>
              <w:spacing w:after="0" w:line="240" w:lineRule="auto"/>
              <w:jc w:val="right"/>
              <w:rPr>
                <w:rFonts w:eastAsia="Times New Roman" w:cs="Arial"/>
                <w:b/>
                <w:bCs/>
                <w:color w:val="000000"/>
                <w:sz w:val="16"/>
                <w:szCs w:val="16"/>
                <w:lang w:eastAsia="pl-PL"/>
              </w:rPr>
            </w:pPr>
            <w:r>
              <w:rPr>
                <w:b/>
                <w:bCs/>
                <w:color w:val="000000"/>
                <w:sz w:val="16"/>
                <w:szCs w:val="16"/>
              </w:rPr>
              <w:t>212 968</w:t>
            </w:r>
          </w:p>
        </w:tc>
        <w:tc>
          <w:tcPr>
            <w:tcW w:w="1065" w:type="dxa"/>
            <w:tcBorders>
              <w:top w:val="single" w:sz="4" w:space="0" w:color="auto"/>
              <w:left w:val="nil"/>
              <w:bottom w:val="single" w:sz="4" w:space="0" w:color="auto"/>
              <w:right w:val="single" w:sz="4" w:space="0" w:color="auto"/>
            </w:tcBorders>
            <w:noWrap/>
            <w:vAlign w:val="center"/>
            <w:hideMark/>
          </w:tcPr>
          <w:p w14:paraId="58F306AF" w14:textId="58194406" w:rsidR="00136C0E" w:rsidRPr="00F60DE5" w:rsidRDefault="00136C0E" w:rsidP="00136C0E">
            <w:pPr>
              <w:spacing w:after="0" w:line="240" w:lineRule="auto"/>
              <w:jc w:val="right"/>
              <w:rPr>
                <w:rFonts w:eastAsia="Times New Roman" w:cs="Arial"/>
                <w:b/>
                <w:bCs/>
                <w:color w:val="000000"/>
                <w:sz w:val="16"/>
                <w:szCs w:val="16"/>
                <w:lang w:eastAsia="pl-PL"/>
              </w:rPr>
            </w:pPr>
            <w:r>
              <w:rPr>
                <w:b/>
                <w:bCs/>
                <w:color w:val="000000"/>
                <w:sz w:val="16"/>
                <w:szCs w:val="16"/>
              </w:rPr>
              <w:t>210 059</w:t>
            </w:r>
          </w:p>
        </w:tc>
        <w:tc>
          <w:tcPr>
            <w:tcW w:w="1066" w:type="dxa"/>
            <w:tcBorders>
              <w:top w:val="single" w:sz="4" w:space="0" w:color="auto"/>
              <w:left w:val="nil"/>
              <w:bottom w:val="single" w:sz="4" w:space="0" w:color="auto"/>
              <w:right w:val="single" w:sz="4" w:space="0" w:color="auto"/>
            </w:tcBorders>
            <w:noWrap/>
            <w:vAlign w:val="center"/>
            <w:hideMark/>
          </w:tcPr>
          <w:p w14:paraId="7E545830" w14:textId="0C1A6D03" w:rsidR="00136C0E" w:rsidRPr="00F60DE5" w:rsidRDefault="00136C0E" w:rsidP="00136C0E">
            <w:pPr>
              <w:spacing w:after="0" w:line="240" w:lineRule="auto"/>
              <w:jc w:val="right"/>
              <w:rPr>
                <w:rFonts w:eastAsia="Times New Roman" w:cs="Arial"/>
                <w:b/>
                <w:bCs/>
                <w:color w:val="000000"/>
                <w:sz w:val="16"/>
                <w:szCs w:val="16"/>
                <w:lang w:eastAsia="pl-PL"/>
              </w:rPr>
            </w:pPr>
            <w:r>
              <w:rPr>
                <w:b/>
                <w:bCs/>
                <w:color w:val="000000"/>
                <w:sz w:val="16"/>
                <w:szCs w:val="16"/>
              </w:rPr>
              <w:t>234 061</w:t>
            </w:r>
          </w:p>
        </w:tc>
        <w:tc>
          <w:tcPr>
            <w:tcW w:w="1065" w:type="dxa"/>
            <w:tcBorders>
              <w:top w:val="single" w:sz="4" w:space="0" w:color="auto"/>
              <w:left w:val="nil"/>
              <w:bottom w:val="single" w:sz="4" w:space="0" w:color="auto"/>
              <w:right w:val="single" w:sz="4" w:space="0" w:color="auto"/>
            </w:tcBorders>
            <w:noWrap/>
            <w:vAlign w:val="center"/>
            <w:hideMark/>
          </w:tcPr>
          <w:p w14:paraId="6DF0500D" w14:textId="14D92E7B" w:rsidR="00136C0E" w:rsidRPr="00F60DE5" w:rsidRDefault="00136C0E" w:rsidP="00136C0E">
            <w:pPr>
              <w:spacing w:after="0" w:line="240" w:lineRule="auto"/>
              <w:jc w:val="right"/>
              <w:rPr>
                <w:rFonts w:eastAsia="Times New Roman" w:cs="Arial"/>
                <w:b/>
                <w:bCs/>
                <w:color w:val="000000"/>
                <w:sz w:val="16"/>
                <w:szCs w:val="16"/>
                <w:lang w:eastAsia="pl-PL"/>
              </w:rPr>
            </w:pPr>
            <w:r>
              <w:rPr>
                <w:b/>
                <w:bCs/>
                <w:color w:val="000000"/>
                <w:sz w:val="16"/>
                <w:szCs w:val="16"/>
              </w:rPr>
              <w:t>845 157</w:t>
            </w:r>
          </w:p>
        </w:tc>
      </w:tr>
      <w:tr w:rsidR="00136C0E" w:rsidRPr="00975B6F" w14:paraId="05173B25" w14:textId="77777777">
        <w:trPr>
          <w:trHeight w:val="343"/>
        </w:trPr>
        <w:tc>
          <w:tcPr>
            <w:tcW w:w="1895" w:type="dxa"/>
            <w:tcBorders>
              <w:top w:val="nil"/>
              <w:left w:val="single" w:sz="4" w:space="0" w:color="auto"/>
              <w:bottom w:val="single" w:sz="4" w:space="0" w:color="auto"/>
              <w:right w:val="nil"/>
            </w:tcBorders>
            <w:noWrap/>
            <w:vAlign w:val="center"/>
            <w:hideMark/>
          </w:tcPr>
          <w:p w14:paraId="117A702E" w14:textId="77777777" w:rsidR="00136C0E" w:rsidRPr="00975B6F" w:rsidRDefault="00136C0E" w:rsidP="00136C0E">
            <w:pPr>
              <w:spacing w:after="0" w:line="240" w:lineRule="auto"/>
              <w:jc w:val="left"/>
              <w:rPr>
                <w:rFonts w:eastAsia="Times New Roman" w:cs="Arial"/>
                <w:color w:val="000000"/>
                <w:sz w:val="16"/>
                <w:szCs w:val="16"/>
                <w:lang w:eastAsia="pl-PL"/>
              </w:rPr>
            </w:pPr>
            <w:r w:rsidRPr="00975B6F">
              <w:rPr>
                <w:rFonts w:eastAsia="Times New Roman" w:cs="Arial"/>
                <w:color w:val="000000"/>
                <w:sz w:val="16"/>
                <w:szCs w:val="16"/>
                <w:lang w:eastAsia="pl-PL"/>
              </w:rPr>
              <w:t>Przemysł</w:t>
            </w:r>
          </w:p>
        </w:tc>
        <w:tc>
          <w:tcPr>
            <w:tcW w:w="2010" w:type="dxa"/>
            <w:tcBorders>
              <w:top w:val="nil"/>
              <w:left w:val="nil"/>
              <w:bottom w:val="single" w:sz="4" w:space="0" w:color="auto"/>
              <w:right w:val="single" w:sz="4" w:space="0" w:color="auto"/>
            </w:tcBorders>
            <w:noWrap/>
            <w:vAlign w:val="center"/>
            <w:hideMark/>
          </w:tcPr>
          <w:p w14:paraId="212E492A" w14:textId="0AE2F178" w:rsidR="00136C0E" w:rsidRPr="00975B6F" w:rsidRDefault="00136C0E" w:rsidP="00136C0E">
            <w:pPr>
              <w:spacing w:after="0" w:line="240" w:lineRule="auto"/>
              <w:jc w:val="left"/>
              <w:rPr>
                <w:rFonts w:eastAsia="Times New Roman" w:cs="Arial"/>
                <w:color w:val="000000"/>
                <w:sz w:val="16"/>
                <w:szCs w:val="16"/>
                <w:lang w:eastAsia="pl-PL"/>
              </w:rPr>
            </w:pPr>
            <w:r>
              <w:rPr>
                <w:color w:val="000000"/>
                <w:sz w:val="16"/>
                <w:szCs w:val="16"/>
              </w:rPr>
              <w:t>8 196</w:t>
            </w:r>
          </w:p>
        </w:tc>
        <w:tc>
          <w:tcPr>
            <w:tcW w:w="1065" w:type="dxa"/>
            <w:tcBorders>
              <w:top w:val="nil"/>
              <w:left w:val="single" w:sz="4" w:space="0" w:color="auto"/>
              <w:bottom w:val="single" w:sz="4" w:space="0" w:color="auto"/>
              <w:right w:val="single" w:sz="4" w:space="0" w:color="auto"/>
            </w:tcBorders>
            <w:noWrap/>
            <w:vAlign w:val="center"/>
            <w:hideMark/>
          </w:tcPr>
          <w:p w14:paraId="07B9896F" w14:textId="6A2E9180"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7 301</w:t>
            </w:r>
          </w:p>
        </w:tc>
        <w:tc>
          <w:tcPr>
            <w:tcW w:w="1066" w:type="dxa"/>
            <w:tcBorders>
              <w:top w:val="nil"/>
              <w:left w:val="nil"/>
              <w:bottom w:val="single" w:sz="4" w:space="0" w:color="auto"/>
              <w:right w:val="single" w:sz="4" w:space="0" w:color="auto"/>
            </w:tcBorders>
            <w:noWrap/>
            <w:vAlign w:val="center"/>
            <w:hideMark/>
          </w:tcPr>
          <w:p w14:paraId="73DA0B23" w14:textId="2BA555ED"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9 373</w:t>
            </w:r>
          </w:p>
        </w:tc>
        <w:tc>
          <w:tcPr>
            <w:tcW w:w="1065" w:type="dxa"/>
            <w:tcBorders>
              <w:top w:val="nil"/>
              <w:left w:val="nil"/>
              <w:bottom w:val="single" w:sz="4" w:space="0" w:color="auto"/>
              <w:right w:val="single" w:sz="4" w:space="0" w:color="auto"/>
            </w:tcBorders>
            <w:noWrap/>
            <w:vAlign w:val="center"/>
            <w:hideMark/>
          </w:tcPr>
          <w:p w14:paraId="0EEA372D" w14:textId="668C2C9A"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11 886</w:t>
            </w:r>
          </w:p>
        </w:tc>
        <w:tc>
          <w:tcPr>
            <w:tcW w:w="1066" w:type="dxa"/>
            <w:tcBorders>
              <w:top w:val="nil"/>
              <w:left w:val="nil"/>
              <w:bottom w:val="single" w:sz="4" w:space="0" w:color="auto"/>
              <w:right w:val="single" w:sz="4" w:space="0" w:color="auto"/>
            </w:tcBorders>
            <w:noWrap/>
            <w:vAlign w:val="center"/>
            <w:hideMark/>
          </w:tcPr>
          <w:p w14:paraId="4A537DC2" w14:textId="1D8A3BD1"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36 756</w:t>
            </w:r>
          </w:p>
        </w:tc>
        <w:tc>
          <w:tcPr>
            <w:tcW w:w="1065" w:type="dxa"/>
            <w:tcBorders>
              <w:top w:val="nil"/>
              <w:left w:val="nil"/>
              <w:bottom w:val="single" w:sz="4" w:space="0" w:color="auto"/>
              <w:right w:val="single" w:sz="4" w:space="0" w:color="auto"/>
            </w:tcBorders>
            <w:noWrap/>
            <w:vAlign w:val="center"/>
            <w:hideMark/>
          </w:tcPr>
          <w:p w14:paraId="761B018B" w14:textId="074BA94A" w:rsidR="00136C0E" w:rsidRPr="00F60DE5" w:rsidRDefault="00136C0E" w:rsidP="00136C0E">
            <w:pPr>
              <w:spacing w:after="0" w:line="240" w:lineRule="auto"/>
              <w:jc w:val="right"/>
              <w:rPr>
                <w:rFonts w:eastAsia="Times New Roman" w:cs="Arial"/>
                <w:b/>
                <w:bCs/>
                <w:color w:val="000000"/>
                <w:sz w:val="16"/>
                <w:szCs w:val="16"/>
                <w:lang w:eastAsia="pl-PL"/>
              </w:rPr>
            </w:pPr>
            <w:r w:rsidRPr="00F60DE5">
              <w:rPr>
                <w:b/>
                <w:bCs/>
                <w:color w:val="000000"/>
                <w:sz w:val="16"/>
                <w:szCs w:val="16"/>
              </w:rPr>
              <w:t>36 756</w:t>
            </w:r>
          </w:p>
        </w:tc>
      </w:tr>
      <w:tr w:rsidR="00136C0E" w:rsidRPr="00975B6F" w14:paraId="752257CB" w14:textId="77777777">
        <w:trPr>
          <w:trHeight w:val="343"/>
        </w:trPr>
        <w:tc>
          <w:tcPr>
            <w:tcW w:w="1895" w:type="dxa"/>
            <w:tcBorders>
              <w:top w:val="nil"/>
              <w:left w:val="single" w:sz="4" w:space="0" w:color="auto"/>
              <w:bottom w:val="single" w:sz="4" w:space="0" w:color="auto"/>
              <w:right w:val="nil"/>
            </w:tcBorders>
            <w:noWrap/>
            <w:vAlign w:val="center"/>
            <w:hideMark/>
          </w:tcPr>
          <w:p w14:paraId="6744A17A" w14:textId="77777777" w:rsidR="00136C0E" w:rsidRPr="00975B6F" w:rsidRDefault="00136C0E" w:rsidP="00136C0E">
            <w:pPr>
              <w:spacing w:after="0" w:line="240" w:lineRule="auto"/>
              <w:jc w:val="left"/>
              <w:rPr>
                <w:rFonts w:eastAsia="Times New Roman" w:cs="Arial"/>
                <w:color w:val="000000"/>
                <w:sz w:val="16"/>
                <w:szCs w:val="16"/>
                <w:lang w:eastAsia="pl-PL"/>
              </w:rPr>
            </w:pPr>
            <w:r w:rsidRPr="00975B6F">
              <w:rPr>
                <w:rFonts w:eastAsia="Times New Roman" w:cs="Arial"/>
                <w:color w:val="000000"/>
                <w:sz w:val="16"/>
                <w:szCs w:val="16"/>
                <w:lang w:eastAsia="pl-PL"/>
              </w:rPr>
              <w:t>Transport</w:t>
            </w:r>
          </w:p>
        </w:tc>
        <w:tc>
          <w:tcPr>
            <w:tcW w:w="2010" w:type="dxa"/>
            <w:tcBorders>
              <w:top w:val="nil"/>
              <w:left w:val="nil"/>
              <w:bottom w:val="single" w:sz="4" w:space="0" w:color="auto"/>
              <w:right w:val="single" w:sz="4" w:space="0" w:color="auto"/>
            </w:tcBorders>
            <w:noWrap/>
            <w:vAlign w:val="center"/>
            <w:hideMark/>
          </w:tcPr>
          <w:p w14:paraId="4EF3B783" w14:textId="74A9A5FB" w:rsidR="00136C0E" w:rsidRPr="00975B6F" w:rsidRDefault="00136C0E" w:rsidP="00136C0E">
            <w:pPr>
              <w:spacing w:after="0" w:line="240" w:lineRule="auto"/>
              <w:jc w:val="left"/>
              <w:rPr>
                <w:rFonts w:eastAsia="Times New Roman" w:cs="Arial"/>
                <w:color w:val="000000"/>
                <w:sz w:val="16"/>
                <w:szCs w:val="16"/>
                <w:lang w:eastAsia="pl-PL"/>
              </w:rPr>
            </w:pPr>
            <w:r>
              <w:rPr>
                <w:color w:val="000000"/>
                <w:sz w:val="16"/>
                <w:szCs w:val="16"/>
              </w:rPr>
              <w:t>50 108</w:t>
            </w:r>
          </w:p>
        </w:tc>
        <w:tc>
          <w:tcPr>
            <w:tcW w:w="1065" w:type="dxa"/>
            <w:tcBorders>
              <w:top w:val="nil"/>
              <w:left w:val="single" w:sz="4" w:space="0" w:color="auto"/>
              <w:bottom w:val="single" w:sz="4" w:space="0" w:color="auto"/>
              <w:right w:val="single" w:sz="4" w:space="0" w:color="auto"/>
            </w:tcBorders>
            <w:noWrap/>
            <w:vAlign w:val="center"/>
            <w:hideMark/>
          </w:tcPr>
          <w:p w14:paraId="76D3EF88" w14:textId="6FA2C23C"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40 791</w:t>
            </w:r>
          </w:p>
        </w:tc>
        <w:tc>
          <w:tcPr>
            <w:tcW w:w="1066" w:type="dxa"/>
            <w:tcBorders>
              <w:top w:val="nil"/>
              <w:left w:val="nil"/>
              <w:bottom w:val="single" w:sz="4" w:space="0" w:color="auto"/>
              <w:right w:val="single" w:sz="4" w:space="0" w:color="auto"/>
            </w:tcBorders>
            <w:noWrap/>
            <w:vAlign w:val="center"/>
            <w:hideMark/>
          </w:tcPr>
          <w:p w14:paraId="3B993788" w14:textId="403EB24D"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36 018</w:t>
            </w:r>
          </w:p>
        </w:tc>
        <w:tc>
          <w:tcPr>
            <w:tcW w:w="1065" w:type="dxa"/>
            <w:tcBorders>
              <w:top w:val="nil"/>
              <w:left w:val="nil"/>
              <w:bottom w:val="single" w:sz="4" w:space="0" w:color="auto"/>
              <w:right w:val="single" w:sz="4" w:space="0" w:color="auto"/>
            </w:tcBorders>
            <w:noWrap/>
            <w:vAlign w:val="center"/>
            <w:hideMark/>
          </w:tcPr>
          <w:p w14:paraId="7FF43172" w14:textId="1A3857EB"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30 015</w:t>
            </w:r>
          </w:p>
        </w:tc>
        <w:tc>
          <w:tcPr>
            <w:tcW w:w="1066" w:type="dxa"/>
            <w:tcBorders>
              <w:top w:val="nil"/>
              <w:left w:val="nil"/>
              <w:bottom w:val="single" w:sz="4" w:space="0" w:color="auto"/>
              <w:right w:val="single" w:sz="4" w:space="0" w:color="auto"/>
            </w:tcBorders>
            <w:noWrap/>
            <w:vAlign w:val="center"/>
            <w:hideMark/>
          </w:tcPr>
          <w:p w14:paraId="5619E8D6" w14:textId="4950C9AC"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156 932</w:t>
            </w:r>
          </w:p>
        </w:tc>
        <w:tc>
          <w:tcPr>
            <w:tcW w:w="1065" w:type="dxa"/>
            <w:tcBorders>
              <w:top w:val="nil"/>
              <w:left w:val="nil"/>
              <w:bottom w:val="single" w:sz="4" w:space="0" w:color="auto"/>
              <w:right w:val="single" w:sz="4" w:space="0" w:color="auto"/>
            </w:tcBorders>
            <w:noWrap/>
            <w:vAlign w:val="center"/>
            <w:hideMark/>
          </w:tcPr>
          <w:p w14:paraId="5C3EED4C" w14:textId="2AD02C9A" w:rsidR="00136C0E" w:rsidRPr="00F60DE5" w:rsidRDefault="00136C0E" w:rsidP="00136C0E">
            <w:pPr>
              <w:spacing w:after="0" w:line="240" w:lineRule="auto"/>
              <w:jc w:val="right"/>
              <w:rPr>
                <w:rFonts w:eastAsia="Times New Roman" w:cs="Arial"/>
                <w:b/>
                <w:bCs/>
                <w:color w:val="000000"/>
                <w:sz w:val="16"/>
                <w:szCs w:val="16"/>
                <w:lang w:eastAsia="pl-PL"/>
              </w:rPr>
            </w:pPr>
            <w:r w:rsidRPr="00F60DE5">
              <w:rPr>
                <w:b/>
                <w:bCs/>
                <w:color w:val="000000"/>
                <w:sz w:val="16"/>
                <w:szCs w:val="16"/>
              </w:rPr>
              <w:t>156 932</w:t>
            </w:r>
          </w:p>
        </w:tc>
      </w:tr>
      <w:tr w:rsidR="00136C0E" w:rsidRPr="00975B6F" w14:paraId="70DC3375" w14:textId="77777777">
        <w:trPr>
          <w:trHeight w:val="343"/>
        </w:trPr>
        <w:tc>
          <w:tcPr>
            <w:tcW w:w="3905" w:type="dxa"/>
            <w:gridSpan w:val="2"/>
            <w:tcBorders>
              <w:top w:val="single" w:sz="4" w:space="0" w:color="auto"/>
              <w:left w:val="single" w:sz="4" w:space="0" w:color="auto"/>
              <w:bottom w:val="single" w:sz="4" w:space="0" w:color="auto"/>
              <w:right w:val="single" w:sz="4" w:space="0" w:color="000000"/>
            </w:tcBorders>
            <w:noWrap/>
            <w:vAlign w:val="center"/>
            <w:hideMark/>
          </w:tcPr>
          <w:p w14:paraId="418F091F" w14:textId="77777777" w:rsidR="00136C0E" w:rsidRPr="00975B6F" w:rsidRDefault="00136C0E" w:rsidP="00136C0E">
            <w:pPr>
              <w:spacing w:after="0" w:line="240" w:lineRule="auto"/>
              <w:jc w:val="left"/>
              <w:rPr>
                <w:rFonts w:eastAsia="Times New Roman" w:cs="Arial"/>
                <w:color w:val="000000"/>
                <w:sz w:val="16"/>
                <w:szCs w:val="16"/>
                <w:lang w:eastAsia="pl-PL"/>
              </w:rPr>
            </w:pPr>
            <w:r w:rsidRPr="00975B6F">
              <w:rPr>
                <w:rFonts w:eastAsia="Times New Roman" w:cs="Arial"/>
                <w:color w:val="000000"/>
                <w:sz w:val="16"/>
                <w:szCs w:val="16"/>
                <w:lang w:eastAsia="pl-PL"/>
              </w:rPr>
              <w:t>Gospodarstwa domowe</w:t>
            </w:r>
          </w:p>
        </w:tc>
        <w:tc>
          <w:tcPr>
            <w:tcW w:w="1065" w:type="dxa"/>
            <w:tcBorders>
              <w:top w:val="nil"/>
              <w:left w:val="single" w:sz="4" w:space="0" w:color="auto"/>
              <w:bottom w:val="single" w:sz="4" w:space="0" w:color="auto"/>
              <w:right w:val="single" w:sz="4" w:space="0" w:color="auto"/>
            </w:tcBorders>
            <w:noWrap/>
            <w:vAlign w:val="center"/>
            <w:hideMark/>
          </w:tcPr>
          <w:p w14:paraId="275DC633" w14:textId="072DF8A8"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21 399</w:t>
            </w:r>
          </w:p>
        </w:tc>
        <w:tc>
          <w:tcPr>
            <w:tcW w:w="1066" w:type="dxa"/>
            <w:tcBorders>
              <w:top w:val="nil"/>
              <w:left w:val="nil"/>
              <w:bottom w:val="single" w:sz="4" w:space="0" w:color="auto"/>
              <w:right w:val="single" w:sz="4" w:space="0" w:color="auto"/>
            </w:tcBorders>
            <w:noWrap/>
            <w:vAlign w:val="center"/>
            <w:hideMark/>
          </w:tcPr>
          <w:p w14:paraId="5389677F" w14:textId="34DC07AC"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19 457</w:t>
            </w:r>
          </w:p>
        </w:tc>
        <w:tc>
          <w:tcPr>
            <w:tcW w:w="1065" w:type="dxa"/>
            <w:tcBorders>
              <w:top w:val="nil"/>
              <w:left w:val="nil"/>
              <w:bottom w:val="single" w:sz="4" w:space="0" w:color="auto"/>
              <w:right w:val="single" w:sz="4" w:space="0" w:color="auto"/>
            </w:tcBorders>
            <w:noWrap/>
            <w:vAlign w:val="center"/>
            <w:hideMark/>
          </w:tcPr>
          <w:p w14:paraId="59544C3A" w14:textId="5D2473F7"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20 822</w:t>
            </w:r>
          </w:p>
        </w:tc>
        <w:tc>
          <w:tcPr>
            <w:tcW w:w="1066" w:type="dxa"/>
            <w:tcBorders>
              <w:top w:val="nil"/>
              <w:left w:val="nil"/>
              <w:bottom w:val="single" w:sz="4" w:space="0" w:color="auto"/>
              <w:right w:val="single" w:sz="4" w:space="0" w:color="auto"/>
            </w:tcBorders>
            <w:noWrap/>
            <w:vAlign w:val="center"/>
            <w:hideMark/>
          </w:tcPr>
          <w:p w14:paraId="11FD25CA" w14:textId="39F24DF4"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25 594</w:t>
            </w:r>
          </w:p>
        </w:tc>
        <w:tc>
          <w:tcPr>
            <w:tcW w:w="1065" w:type="dxa"/>
            <w:tcBorders>
              <w:top w:val="nil"/>
              <w:left w:val="nil"/>
              <w:bottom w:val="single" w:sz="4" w:space="0" w:color="auto"/>
              <w:right w:val="single" w:sz="4" w:space="0" w:color="auto"/>
            </w:tcBorders>
            <w:noWrap/>
            <w:vAlign w:val="center"/>
            <w:hideMark/>
          </w:tcPr>
          <w:p w14:paraId="4317531C" w14:textId="60F06499" w:rsidR="00136C0E" w:rsidRPr="00F60DE5" w:rsidRDefault="00136C0E" w:rsidP="00136C0E">
            <w:pPr>
              <w:spacing w:after="0" w:line="240" w:lineRule="auto"/>
              <w:jc w:val="right"/>
              <w:rPr>
                <w:rFonts w:eastAsia="Times New Roman" w:cs="Arial"/>
                <w:b/>
                <w:bCs/>
                <w:color w:val="000000"/>
                <w:sz w:val="16"/>
                <w:szCs w:val="16"/>
                <w:lang w:eastAsia="pl-PL"/>
              </w:rPr>
            </w:pPr>
            <w:r>
              <w:rPr>
                <w:b/>
                <w:bCs/>
                <w:color w:val="000000"/>
                <w:sz w:val="16"/>
                <w:szCs w:val="16"/>
              </w:rPr>
              <w:t>87 273</w:t>
            </w:r>
          </w:p>
        </w:tc>
      </w:tr>
      <w:tr w:rsidR="00136C0E" w:rsidRPr="00975B6F" w14:paraId="055C261C" w14:textId="77777777">
        <w:trPr>
          <w:trHeight w:val="343"/>
        </w:trPr>
        <w:tc>
          <w:tcPr>
            <w:tcW w:w="1895" w:type="dxa"/>
            <w:tcBorders>
              <w:top w:val="nil"/>
              <w:left w:val="single" w:sz="4" w:space="0" w:color="auto"/>
              <w:bottom w:val="single" w:sz="4" w:space="0" w:color="auto"/>
              <w:right w:val="nil"/>
            </w:tcBorders>
            <w:noWrap/>
            <w:vAlign w:val="center"/>
            <w:hideMark/>
          </w:tcPr>
          <w:p w14:paraId="4AAF0AFC" w14:textId="77777777" w:rsidR="00136C0E" w:rsidRPr="00975B6F" w:rsidRDefault="00136C0E" w:rsidP="00136C0E">
            <w:pPr>
              <w:spacing w:after="0" w:line="240" w:lineRule="auto"/>
              <w:jc w:val="left"/>
              <w:rPr>
                <w:rFonts w:eastAsia="Times New Roman" w:cs="Arial"/>
                <w:color w:val="000000"/>
                <w:sz w:val="16"/>
                <w:szCs w:val="16"/>
                <w:lang w:eastAsia="pl-PL"/>
              </w:rPr>
            </w:pPr>
            <w:r w:rsidRPr="00975B6F">
              <w:rPr>
                <w:rFonts w:eastAsia="Times New Roman" w:cs="Arial"/>
                <w:color w:val="000000"/>
                <w:sz w:val="16"/>
                <w:szCs w:val="16"/>
                <w:lang w:eastAsia="pl-PL"/>
              </w:rPr>
              <w:t>Usługi</w:t>
            </w:r>
          </w:p>
        </w:tc>
        <w:tc>
          <w:tcPr>
            <w:tcW w:w="2010" w:type="dxa"/>
            <w:tcBorders>
              <w:top w:val="nil"/>
              <w:left w:val="nil"/>
              <w:bottom w:val="single" w:sz="4" w:space="0" w:color="auto"/>
              <w:right w:val="single" w:sz="4" w:space="0" w:color="auto"/>
            </w:tcBorders>
            <w:noWrap/>
            <w:vAlign w:val="center"/>
            <w:hideMark/>
          </w:tcPr>
          <w:p w14:paraId="38454C93" w14:textId="7319E568" w:rsidR="00136C0E" w:rsidRPr="00975B6F" w:rsidRDefault="00136C0E" w:rsidP="00136C0E">
            <w:pPr>
              <w:spacing w:after="0" w:line="240" w:lineRule="auto"/>
              <w:jc w:val="left"/>
              <w:rPr>
                <w:rFonts w:eastAsia="Times New Roman" w:cs="Arial"/>
                <w:color w:val="000000"/>
                <w:sz w:val="16"/>
                <w:szCs w:val="16"/>
                <w:lang w:eastAsia="pl-PL"/>
              </w:rPr>
            </w:pPr>
            <w:r>
              <w:rPr>
                <w:color w:val="000000"/>
                <w:sz w:val="16"/>
                <w:szCs w:val="16"/>
              </w:rPr>
              <w:t>2 746</w:t>
            </w:r>
          </w:p>
        </w:tc>
        <w:tc>
          <w:tcPr>
            <w:tcW w:w="1065" w:type="dxa"/>
            <w:tcBorders>
              <w:top w:val="nil"/>
              <w:left w:val="single" w:sz="4" w:space="0" w:color="auto"/>
              <w:bottom w:val="single" w:sz="4" w:space="0" w:color="auto"/>
              <w:right w:val="single" w:sz="4" w:space="0" w:color="auto"/>
            </w:tcBorders>
            <w:noWrap/>
            <w:vAlign w:val="center"/>
            <w:hideMark/>
          </w:tcPr>
          <w:p w14:paraId="559773E0" w14:textId="07EDE7C4"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2 191</w:t>
            </w:r>
          </w:p>
        </w:tc>
        <w:tc>
          <w:tcPr>
            <w:tcW w:w="1066" w:type="dxa"/>
            <w:tcBorders>
              <w:top w:val="nil"/>
              <w:left w:val="nil"/>
              <w:bottom w:val="single" w:sz="4" w:space="0" w:color="auto"/>
              <w:right w:val="single" w:sz="4" w:space="0" w:color="auto"/>
            </w:tcBorders>
            <w:noWrap/>
            <w:vAlign w:val="center"/>
            <w:hideMark/>
          </w:tcPr>
          <w:p w14:paraId="2E45355D" w14:textId="711A0F3B"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1 922</w:t>
            </w:r>
          </w:p>
        </w:tc>
        <w:tc>
          <w:tcPr>
            <w:tcW w:w="1065" w:type="dxa"/>
            <w:tcBorders>
              <w:top w:val="nil"/>
              <w:left w:val="nil"/>
              <w:bottom w:val="single" w:sz="4" w:space="0" w:color="auto"/>
              <w:right w:val="single" w:sz="4" w:space="0" w:color="auto"/>
            </w:tcBorders>
            <w:noWrap/>
            <w:vAlign w:val="center"/>
            <w:hideMark/>
          </w:tcPr>
          <w:p w14:paraId="301CF439" w14:textId="68D26034"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1 853</w:t>
            </w:r>
          </w:p>
        </w:tc>
        <w:tc>
          <w:tcPr>
            <w:tcW w:w="1066" w:type="dxa"/>
            <w:tcBorders>
              <w:top w:val="nil"/>
              <w:left w:val="nil"/>
              <w:bottom w:val="single" w:sz="4" w:space="0" w:color="auto"/>
              <w:right w:val="single" w:sz="4" w:space="0" w:color="auto"/>
            </w:tcBorders>
            <w:noWrap/>
            <w:vAlign w:val="center"/>
            <w:hideMark/>
          </w:tcPr>
          <w:p w14:paraId="61D1F477" w14:textId="7A35C486"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8 712</w:t>
            </w:r>
          </w:p>
        </w:tc>
        <w:tc>
          <w:tcPr>
            <w:tcW w:w="1065" w:type="dxa"/>
            <w:tcBorders>
              <w:top w:val="nil"/>
              <w:left w:val="nil"/>
              <w:bottom w:val="single" w:sz="4" w:space="0" w:color="auto"/>
              <w:right w:val="single" w:sz="4" w:space="0" w:color="auto"/>
            </w:tcBorders>
            <w:noWrap/>
            <w:vAlign w:val="center"/>
            <w:hideMark/>
          </w:tcPr>
          <w:p w14:paraId="7D74CFFD" w14:textId="698C0CC8" w:rsidR="00136C0E" w:rsidRPr="00F60DE5" w:rsidRDefault="00136C0E" w:rsidP="00136C0E">
            <w:pPr>
              <w:spacing w:after="0" w:line="240" w:lineRule="auto"/>
              <w:jc w:val="right"/>
              <w:rPr>
                <w:rFonts w:eastAsia="Times New Roman" w:cs="Arial"/>
                <w:b/>
                <w:bCs/>
                <w:color w:val="000000"/>
                <w:sz w:val="16"/>
                <w:szCs w:val="16"/>
                <w:lang w:eastAsia="pl-PL"/>
              </w:rPr>
            </w:pPr>
            <w:r w:rsidRPr="00F60DE5">
              <w:rPr>
                <w:b/>
                <w:bCs/>
                <w:color w:val="000000"/>
                <w:sz w:val="16"/>
                <w:szCs w:val="16"/>
              </w:rPr>
              <w:t>8 712</w:t>
            </w:r>
          </w:p>
        </w:tc>
      </w:tr>
      <w:tr w:rsidR="00136C0E" w:rsidRPr="00975B6F" w14:paraId="073347F3" w14:textId="77777777">
        <w:trPr>
          <w:trHeight w:val="343"/>
        </w:trPr>
        <w:tc>
          <w:tcPr>
            <w:tcW w:w="1895" w:type="dxa"/>
            <w:tcBorders>
              <w:top w:val="nil"/>
              <w:left w:val="single" w:sz="4" w:space="0" w:color="auto"/>
              <w:bottom w:val="single" w:sz="4" w:space="0" w:color="auto"/>
              <w:right w:val="nil"/>
            </w:tcBorders>
            <w:noWrap/>
            <w:vAlign w:val="center"/>
            <w:hideMark/>
          </w:tcPr>
          <w:p w14:paraId="3B2EA3C3" w14:textId="77777777" w:rsidR="00136C0E" w:rsidRPr="00975B6F" w:rsidRDefault="00136C0E" w:rsidP="00136C0E">
            <w:pPr>
              <w:spacing w:after="0" w:line="240" w:lineRule="auto"/>
              <w:jc w:val="left"/>
              <w:rPr>
                <w:rFonts w:eastAsia="Times New Roman" w:cs="Arial"/>
                <w:color w:val="000000"/>
                <w:sz w:val="16"/>
                <w:szCs w:val="16"/>
                <w:lang w:eastAsia="pl-PL"/>
              </w:rPr>
            </w:pPr>
            <w:r w:rsidRPr="00975B6F">
              <w:rPr>
                <w:rFonts w:eastAsia="Times New Roman" w:cs="Arial"/>
                <w:color w:val="000000"/>
                <w:sz w:val="16"/>
                <w:szCs w:val="16"/>
                <w:lang w:eastAsia="pl-PL"/>
              </w:rPr>
              <w:t>Rolnictwo</w:t>
            </w:r>
          </w:p>
        </w:tc>
        <w:tc>
          <w:tcPr>
            <w:tcW w:w="2010" w:type="dxa"/>
            <w:tcBorders>
              <w:top w:val="nil"/>
              <w:left w:val="nil"/>
              <w:bottom w:val="single" w:sz="4" w:space="0" w:color="auto"/>
              <w:right w:val="single" w:sz="4" w:space="0" w:color="auto"/>
            </w:tcBorders>
            <w:noWrap/>
            <w:vAlign w:val="center"/>
            <w:hideMark/>
          </w:tcPr>
          <w:p w14:paraId="074D5466" w14:textId="56727431" w:rsidR="00136C0E" w:rsidRPr="00975B6F" w:rsidRDefault="00136C0E" w:rsidP="00136C0E">
            <w:pPr>
              <w:spacing w:after="0" w:line="240" w:lineRule="auto"/>
              <w:jc w:val="left"/>
              <w:rPr>
                <w:rFonts w:eastAsia="Times New Roman" w:cs="Arial"/>
                <w:color w:val="000000"/>
                <w:sz w:val="16"/>
                <w:szCs w:val="16"/>
                <w:lang w:eastAsia="pl-PL"/>
              </w:rPr>
            </w:pPr>
            <w:r>
              <w:rPr>
                <w:color w:val="000000"/>
                <w:sz w:val="16"/>
                <w:szCs w:val="16"/>
              </w:rPr>
              <w:t>6 709</w:t>
            </w:r>
          </w:p>
        </w:tc>
        <w:tc>
          <w:tcPr>
            <w:tcW w:w="1065" w:type="dxa"/>
            <w:tcBorders>
              <w:top w:val="nil"/>
              <w:left w:val="single" w:sz="4" w:space="0" w:color="auto"/>
              <w:bottom w:val="single" w:sz="4" w:space="0" w:color="auto"/>
              <w:right w:val="single" w:sz="4" w:space="0" w:color="auto"/>
            </w:tcBorders>
            <w:noWrap/>
            <w:vAlign w:val="center"/>
            <w:hideMark/>
          </w:tcPr>
          <w:p w14:paraId="3CAB7764" w14:textId="5E394F9E"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6 188</w:t>
            </w:r>
          </w:p>
        </w:tc>
        <w:tc>
          <w:tcPr>
            <w:tcW w:w="1066" w:type="dxa"/>
            <w:tcBorders>
              <w:top w:val="nil"/>
              <w:left w:val="nil"/>
              <w:bottom w:val="single" w:sz="4" w:space="0" w:color="auto"/>
              <w:right w:val="single" w:sz="4" w:space="0" w:color="auto"/>
            </w:tcBorders>
            <w:noWrap/>
            <w:vAlign w:val="center"/>
            <w:hideMark/>
          </w:tcPr>
          <w:p w14:paraId="191002DC" w14:textId="1FD0BB29"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5 490</w:t>
            </w:r>
          </w:p>
        </w:tc>
        <w:tc>
          <w:tcPr>
            <w:tcW w:w="1065" w:type="dxa"/>
            <w:tcBorders>
              <w:top w:val="nil"/>
              <w:left w:val="nil"/>
              <w:bottom w:val="single" w:sz="4" w:space="0" w:color="auto"/>
              <w:right w:val="single" w:sz="4" w:space="0" w:color="auto"/>
            </w:tcBorders>
            <w:noWrap/>
            <w:vAlign w:val="center"/>
            <w:hideMark/>
          </w:tcPr>
          <w:p w14:paraId="164A68FF" w14:textId="599BBAA9"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4 752</w:t>
            </w:r>
          </w:p>
        </w:tc>
        <w:tc>
          <w:tcPr>
            <w:tcW w:w="1066" w:type="dxa"/>
            <w:tcBorders>
              <w:top w:val="nil"/>
              <w:left w:val="nil"/>
              <w:bottom w:val="single" w:sz="4" w:space="0" w:color="auto"/>
              <w:right w:val="single" w:sz="4" w:space="0" w:color="auto"/>
            </w:tcBorders>
            <w:noWrap/>
            <w:vAlign w:val="center"/>
            <w:hideMark/>
          </w:tcPr>
          <w:p w14:paraId="3FAAC585" w14:textId="3E69C22B"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23 139</w:t>
            </w:r>
          </w:p>
        </w:tc>
        <w:tc>
          <w:tcPr>
            <w:tcW w:w="1065" w:type="dxa"/>
            <w:tcBorders>
              <w:top w:val="nil"/>
              <w:left w:val="nil"/>
              <w:bottom w:val="single" w:sz="4" w:space="0" w:color="auto"/>
              <w:right w:val="single" w:sz="4" w:space="0" w:color="auto"/>
            </w:tcBorders>
            <w:noWrap/>
            <w:vAlign w:val="center"/>
            <w:hideMark/>
          </w:tcPr>
          <w:p w14:paraId="6FC582AE" w14:textId="10FB5E27" w:rsidR="00136C0E" w:rsidRPr="00F60DE5" w:rsidRDefault="00136C0E" w:rsidP="00136C0E">
            <w:pPr>
              <w:spacing w:after="0" w:line="240" w:lineRule="auto"/>
              <w:jc w:val="right"/>
              <w:rPr>
                <w:rFonts w:eastAsia="Times New Roman" w:cs="Arial"/>
                <w:b/>
                <w:bCs/>
                <w:color w:val="000000"/>
                <w:sz w:val="16"/>
                <w:szCs w:val="16"/>
                <w:lang w:eastAsia="pl-PL"/>
              </w:rPr>
            </w:pPr>
            <w:r w:rsidRPr="00F60DE5">
              <w:rPr>
                <w:b/>
                <w:bCs/>
                <w:color w:val="000000"/>
                <w:sz w:val="16"/>
                <w:szCs w:val="16"/>
              </w:rPr>
              <w:t>23 139</w:t>
            </w:r>
          </w:p>
        </w:tc>
      </w:tr>
      <w:tr w:rsidR="00136C0E" w:rsidRPr="00975B6F" w14:paraId="5A2CE0D0" w14:textId="77777777">
        <w:trPr>
          <w:trHeight w:val="343"/>
        </w:trPr>
        <w:tc>
          <w:tcPr>
            <w:tcW w:w="1895" w:type="dxa"/>
            <w:vMerge w:val="restart"/>
            <w:tcBorders>
              <w:top w:val="nil"/>
              <w:left w:val="single" w:sz="4" w:space="0" w:color="auto"/>
              <w:bottom w:val="single" w:sz="4" w:space="0" w:color="000000"/>
              <w:right w:val="single" w:sz="4" w:space="0" w:color="auto"/>
            </w:tcBorders>
            <w:noWrap/>
            <w:vAlign w:val="center"/>
            <w:hideMark/>
          </w:tcPr>
          <w:p w14:paraId="555BD6C5" w14:textId="77777777" w:rsidR="00136C0E" w:rsidRPr="00975B6F" w:rsidRDefault="00136C0E" w:rsidP="00136C0E">
            <w:pPr>
              <w:spacing w:after="0" w:line="240" w:lineRule="auto"/>
              <w:jc w:val="left"/>
              <w:rPr>
                <w:rFonts w:eastAsia="Times New Roman" w:cs="Arial"/>
                <w:color w:val="000000"/>
                <w:sz w:val="16"/>
                <w:szCs w:val="16"/>
                <w:lang w:eastAsia="pl-PL"/>
              </w:rPr>
            </w:pPr>
            <w:r w:rsidRPr="00975B6F">
              <w:rPr>
                <w:rFonts w:eastAsia="Times New Roman" w:cs="Arial"/>
                <w:color w:val="000000"/>
                <w:sz w:val="16"/>
                <w:szCs w:val="16"/>
                <w:lang w:eastAsia="pl-PL"/>
              </w:rPr>
              <w:t>Sektor energetyczny</w:t>
            </w:r>
          </w:p>
        </w:tc>
        <w:tc>
          <w:tcPr>
            <w:tcW w:w="2010" w:type="dxa"/>
            <w:tcBorders>
              <w:top w:val="single" w:sz="4" w:space="0" w:color="auto"/>
              <w:left w:val="single" w:sz="4" w:space="0" w:color="auto"/>
              <w:bottom w:val="single" w:sz="4" w:space="0" w:color="auto"/>
              <w:right w:val="single" w:sz="4" w:space="0" w:color="auto"/>
            </w:tcBorders>
            <w:noWrap/>
            <w:vAlign w:val="center"/>
            <w:hideMark/>
          </w:tcPr>
          <w:p w14:paraId="3F4B24D3" w14:textId="0CDDF9E1" w:rsidR="00136C0E" w:rsidRPr="00975B6F" w:rsidRDefault="00136C0E" w:rsidP="00136C0E">
            <w:pPr>
              <w:spacing w:after="0" w:line="240" w:lineRule="auto"/>
              <w:jc w:val="left"/>
              <w:rPr>
                <w:rFonts w:eastAsia="Times New Roman" w:cs="Arial"/>
                <w:color w:val="000000"/>
                <w:sz w:val="16"/>
                <w:szCs w:val="16"/>
                <w:lang w:eastAsia="pl-PL"/>
              </w:rPr>
            </w:pPr>
            <w:r>
              <w:rPr>
                <w:color w:val="000000"/>
                <w:sz w:val="16"/>
                <w:szCs w:val="16"/>
              </w:rPr>
              <w:t>44 338</w:t>
            </w:r>
          </w:p>
        </w:tc>
        <w:tc>
          <w:tcPr>
            <w:tcW w:w="1065" w:type="dxa"/>
            <w:tcBorders>
              <w:top w:val="nil"/>
              <w:left w:val="nil"/>
              <w:bottom w:val="single" w:sz="4" w:space="0" w:color="auto"/>
              <w:right w:val="single" w:sz="4" w:space="0" w:color="auto"/>
            </w:tcBorders>
            <w:noWrap/>
            <w:vAlign w:val="center"/>
            <w:hideMark/>
          </w:tcPr>
          <w:p w14:paraId="40D083A6" w14:textId="1F42430E"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56 951</w:t>
            </w:r>
          </w:p>
        </w:tc>
        <w:tc>
          <w:tcPr>
            <w:tcW w:w="1066" w:type="dxa"/>
            <w:tcBorders>
              <w:top w:val="nil"/>
              <w:left w:val="nil"/>
              <w:bottom w:val="single" w:sz="4" w:space="0" w:color="auto"/>
              <w:right w:val="single" w:sz="4" w:space="0" w:color="auto"/>
            </w:tcBorders>
            <w:noWrap/>
            <w:vAlign w:val="center"/>
            <w:hideMark/>
          </w:tcPr>
          <w:p w14:paraId="1A575EB5" w14:textId="15DD9643"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69 559</w:t>
            </w:r>
          </w:p>
        </w:tc>
        <w:tc>
          <w:tcPr>
            <w:tcW w:w="1065" w:type="dxa"/>
            <w:tcBorders>
              <w:top w:val="nil"/>
              <w:left w:val="nil"/>
              <w:bottom w:val="single" w:sz="4" w:space="0" w:color="auto"/>
              <w:right w:val="single" w:sz="4" w:space="0" w:color="auto"/>
            </w:tcBorders>
            <w:noWrap/>
            <w:vAlign w:val="center"/>
            <w:hideMark/>
          </w:tcPr>
          <w:p w14:paraId="24D912B5" w14:textId="0185B7F6"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102 158</w:t>
            </w:r>
          </w:p>
        </w:tc>
        <w:tc>
          <w:tcPr>
            <w:tcW w:w="1066" w:type="dxa"/>
            <w:tcBorders>
              <w:top w:val="nil"/>
              <w:left w:val="nil"/>
              <w:bottom w:val="single" w:sz="4" w:space="0" w:color="auto"/>
              <w:right w:val="single" w:sz="4" w:space="0" w:color="auto"/>
            </w:tcBorders>
            <w:noWrap/>
            <w:vAlign w:val="center"/>
            <w:hideMark/>
          </w:tcPr>
          <w:p w14:paraId="36AF7223" w14:textId="1FDCA4AE"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273 006</w:t>
            </w:r>
          </w:p>
        </w:tc>
        <w:tc>
          <w:tcPr>
            <w:tcW w:w="1065" w:type="dxa"/>
            <w:tcBorders>
              <w:top w:val="nil"/>
              <w:left w:val="nil"/>
              <w:bottom w:val="single" w:sz="4" w:space="0" w:color="auto"/>
              <w:right w:val="single" w:sz="4" w:space="0" w:color="auto"/>
            </w:tcBorders>
            <w:noWrap/>
            <w:vAlign w:val="center"/>
            <w:hideMark/>
          </w:tcPr>
          <w:p w14:paraId="1C3C8E54" w14:textId="3BC5A9F2" w:rsidR="00136C0E" w:rsidRPr="00F60DE5" w:rsidRDefault="00136C0E" w:rsidP="00136C0E">
            <w:pPr>
              <w:spacing w:after="0" w:line="240" w:lineRule="auto"/>
              <w:jc w:val="right"/>
              <w:rPr>
                <w:rFonts w:eastAsia="Times New Roman" w:cs="Arial"/>
                <w:b/>
                <w:bCs/>
                <w:color w:val="000000"/>
                <w:sz w:val="16"/>
                <w:szCs w:val="16"/>
                <w:lang w:eastAsia="pl-PL"/>
              </w:rPr>
            </w:pPr>
            <w:r w:rsidRPr="00F60DE5">
              <w:rPr>
                <w:b/>
                <w:bCs/>
                <w:color w:val="000000"/>
                <w:sz w:val="16"/>
                <w:szCs w:val="16"/>
              </w:rPr>
              <w:t>273 006</w:t>
            </w:r>
          </w:p>
        </w:tc>
      </w:tr>
      <w:tr w:rsidR="00136C0E" w:rsidRPr="00975B6F" w14:paraId="3368C32B" w14:textId="77777777">
        <w:trPr>
          <w:trHeight w:val="343"/>
        </w:trPr>
        <w:tc>
          <w:tcPr>
            <w:tcW w:w="1895" w:type="dxa"/>
            <w:vMerge/>
            <w:tcBorders>
              <w:top w:val="nil"/>
              <w:left w:val="single" w:sz="4" w:space="0" w:color="auto"/>
              <w:bottom w:val="single" w:sz="4" w:space="0" w:color="000000"/>
              <w:right w:val="single" w:sz="4" w:space="0" w:color="auto"/>
            </w:tcBorders>
            <w:vAlign w:val="center"/>
            <w:hideMark/>
          </w:tcPr>
          <w:p w14:paraId="06B98387" w14:textId="77777777" w:rsidR="00136C0E" w:rsidRPr="00975B6F" w:rsidRDefault="00136C0E" w:rsidP="00136C0E">
            <w:pPr>
              <w:spacing w:after="0" w:line="240" w:lineRule="auto"/>
              <w:jc w:val="left"/>
              <w:rPr>
                <w:rFonts w:eastAsia="Times New Roman" w:cs="Arial"/>
                <w:color w:val="000000"/>
                <w:sz w:val="16"/>
                <w:szCs w:val="16"/>
                <w:lang w:eastAsia="pl-PL"/>
              </w:rPr>
            </w:pPr>
          </w:p>
        </w:tc>
        <w:tc>
          <w:tcPr>
            <w:tcW w:w="2010" w:type="dxa"/>
            <w:tcBorders>
              <w:top w:val="nil"/>
              <w:left w:val="single" w:sz="4" w:space="0" w:color="auto"/>
              <w:bottom w:val="single" w:sz="4" w:space="0" w:color="auto"/>
              <w:right w:val="single" w:sz="4" w:space="0" w:color="auto"/>
            </w:tcBorders>
            <w:noWrap/>
            <w:vAlign w:val="center"/>
            <w:hideMark/>
          </w:tcPr>
          <w:p w14:paraId="15F77E1B" w14:textId="1863CD68" w:rsidR="00136C0E" w:rsidRPr="00975B6F" w:rsidRDefault="00136C0E" w:rsidP="00136C0E">
            <w:pPr>
              <w:spacing w:after="0" w:line="240" w:lineRule="auto"/>
              <w:jc w:val="left"/>
              <w:rPr>
                <w:rFonts w:eastAsia="Times New Roman" w:cs="Arial"/>
                <w:color w:val="000000"/>
                <w:sz w:val="16"/>
                <w:szCs w:val="16"/>
                <w:lang w:eastAsia="pl-PL"/>
              </w:rPr>
            </w:pPr>
            <w:r>
              <w:rPr>
                <w:color w:val="000000"/>
                <w:sz w:val="16"/>
                <w:szCs w:val="16"/>
              </w:rPr>
              <w:t>5 163</w:t>
            </w:r>
          </w:p>
        </w:tc>
        <w:tc>
          <w:tcPr>
            <w:tcW w:w="1065" w:type="dxa"/>
            <w:tcBorders>
              <w:top w:val="nil"/>
              <w:left w:val="nil"/>
              <w:bottom w:val="single" w:sz="4" w:space="0" w:color="auto"/>
              <w:right w:val="single" w:sz="4" w:space="0" w:color="auto"/>
            </w:tcBorders>
            <w:noWrap/>
            <w:vAlign w:val="center"/>
            <w:hideMark/>
          </w:tcPr>
          <w:p w14:paraId="52AD7DCA" w14:textId="6F5E0A58"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31 480</w:t>
            </w:r>
          </w:p>
        </w:tc>
        <w:tc>
          <w:tcPr>
            <w:tcW w:w="1066" w:type="dxa"/>
            <w:tcBorders>
              <w:top w:val="nil"/>
              <w:left w:val="nil"/>
              <w:bottom w:val="single" w:sz="4" w:space="0" w:color="auto"/>
              <w:right w:val="single" w:sz="4" w:space="0" w:color="auto"/>
            </w:tcBorders>
            <w:noWrap/>
            <w:vAlign w:val="center"/>
            <w:hideMark/>
          </w:tcPr>
          <w:p w14:paraId="64BFA01F" w14:textId="288A6F5B"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22 091</w:t>
            </w:r>
          </w:p>
        </w:tc>
        <w:tc>
          <w:tcPr>
            <w:tcW w:w="1065" w:type="dxa"/>
            <w:tcBorders>
              <w:top w:val="nil"/>
              <w:left w:val="nil"/>
              <w:bottom w:val="single" w:sz="4" w:space="0" w:color="auto"/>
              <w:right w:val="single" w:sz="4" w:space="0" w:color="auto"/>
            </w:tcBorders>
            <w:noWrap/>
            <w:vAlign w:val="center"/>
            <w:hideMark/>
          </w:tcPr>
          <w:p w14:paraId="266EBB20" w14:textId="3770CF0D"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19 210</w:t>
            </w:r>
          </w:p>
        </w:tc>
        <w:tc>
          <w:tcPr>
            <w:tcW w:w="1066" w:type="dxa"/>
            <w:tcBorders>
              <w:top w:val="nil"/>
              <w:left w:val="nil"/>
              <w:bottom w:val="single" w:sz="4" w:space="0" w:color="auto"/>
              <w:right w:val="single" w:sz="4" w:space="0" w:color="auto"/>
            </w:tcBorders>
            <w:noWrap/>
            <w:vAlign w:val="center"/>
            <w:hideMark/>
          </w:tcPr>
          <w:p w14:paraId="010D89C1" w14:textId="0410A8A4"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77 943</w:t>
            </w:r>
          </w:p>
        </w:tc>
        <w:tc>
          <w:tcPr>
            <w:tcW w:w="1065" w:type="dxa"/>
            <w:tcBorders>
              <w:top w:val="nil"/>
              <w:left w:val="nil"/>
              <w:bottom w:val="single" w:sz="4" w:space="0" w:color="auto"/>
              <w:right w:val="single" w:sz="4" w:space="0" w:color="auto"/>
            </w:tcBorders>
            <w:noWrap/>
            <w:vAlign w:val="center"/>
            <w:hideMark/>
          </w:tcPr>
          <w:p w14:paraId="11E25879" w14:textId="35B9A0A7" w:rsidR="00136C0E" w:rsidRPr="00F60DE5" w:rsidRDefault="00136C0E" w:rsidP="00136C0E">
            <w:pPr>
              <w:spacing w:after="0" w:line="240" w:lineRule="auto"/>
              <w:jc w:val="right"/>
              <w:rPr>
                <w:rFonts w:eastAsia="Times New Roman" w:cs="Arial"/>
                <w:b/>
                <w:bCs/>
                <w:color w:val="000000"/>
                <w:sz w:val="16"/>
                <w:szCs w:val="16"/>
                <w:lang w:eastAsia="pl-PL"/>
              </w:rPr>
            </w:pPr>
            <w:r w:rsidRPr="00F60DE5">
              <w:rPr>
                <w:b/>
                <w:bCs/>
                <w:color w:val="000000"/>
                <w:sz w:val="16"/>
                <w:szCs w:val="16"/>
              </w:rPr>
              <w:t>77 943</w:t>
            </w:r>
          </w:p>
        </w:tc>
      </w:tr>
      <w:tr w:rsidR="00136C0E" w:rsidRPr="00975B6F" w14:paraId="1020EBFE" w14:textId="77777777">
        <w:trPr>
          <w:trHeight w:val="343"/>
        </w:trPr>
        <w:tc>
          <w:tcPr>
            <w:tcW w:w="1895" w:type="dxa"/>
            <w:vMerge w:val="restart"/>
            <w:tcBorders>
              <w:top w:val="nil"/>
              <w:left w:val="single" w:sz="4" w:space="0" w:color="auto"/>
              <w:bottom w:val="single" w:sz="4" w:space="0" w:color="000000"/>
              <w:right w:val="single" w:sz="4" w:space="0" w:color="auto"/>
            </w:tcBorders>
            <w:noWrap/>
            <w:vAlign w:val="center"/>
            <w:hideMark/>
          </w:tcPr>
          <w:p w14:paraId="55141EB6" w14:textId="77777777" w:rsidR="00136C0E" w:rsidRPr="00975B6F" w:rsidRDefault="00136C0E" w:rsidP="00136C0E">
            <w:pPr>
              <w:spacing w:after="0" w:line="240" w:lineRule="auto"/>
              <w:jc w:val="left"/>
              <w:rPr>
                <w:rFonts w:eastAsia="Times New Roman" w:cs="Arial"/>
                <w:color w:val="000000"/>
                <w:sz w:val="16"/>
                <w:szCs w:val="16"/>
                <w:lang w:eastAsia="pl-PL"/>
              </w:rPr>
            </w:pPr>
            <w:r w:rsidRPr="00975B6F">
              <w:rPr>
                <w:rFonts w:eastAsia="Times New Roman" w:cs="Arial"/>
                <w:color w:val="000000"/>
                <w:sz w:val="16"/>
                <w:szCs w:val="16"/>
                <w:lang w:eastAsia="pl-PL"/>
              </w:rPr>
              <w:t>Sektor ciepłowniczy</w:t>
            </w:r>
          </w:p>
        </w:tc>
        <w:tc>
          <w:tcPr>
            <w:tcW w:w="2010" w:type="dxa"/>
            <w:tcBorders>
              <w:top w:val="nil"/>
              <w:left w:val="single" w:sz="4" w:space="0" w:color="auto"/>
              <w:bottom w:val="single" w:sz="4" w:space="0" w:color="auto"/>
              <w:right w:val="single" w:sz="4" w:space="0" w:color="auto"/>
            </w:tcBorders>
            <w:noWrap/>
            <w:vAlign w:val="center"/>
            <w:hideMark/>
          </w:tcPr>
          <w:p w14:paraId="7FEB2100" w14:textId="28A97E93" w:rsidR="00136C0E" w:rsidRPr="00975B6F" w:rsidRDefault="00136C0E" w:rsidP="00136C0E">
            <w:pPr>
              <w:spacing w:after="0" w:line="240" w:lineRule="auto"/>
              <w:jc w:val="left"/>
              <w:rPr>
                <w:rFonts w:eastAsia="Times New Roman" w:cs="Arial"/>
                <w:color w:val="000000"/>
                <w:sz w:val="16"/>
                <w:szCs w:val="16"/>
                <w:lang w:eastAsia="pl-PL"/>
              </w:rPr>
            </w:pPr>
            <w:r>
              <w:rPr>
                <w:color w:val="000000"/>
                <w:sz w:val="16"/>
                <w:szCs w:val="16"/>
              </w:rPr>
              <w:t>1 568</w:t>
            </w:r>
          </w:p>
        </w:tc>
        <w:tc>
          <w:tcPr>
            <w:tcW w:w="1065" w:type="dxa"/>
            <w:tcBorders>
              <w:top w:val="nil"/>
              <w:left w:val="nil"/>
              <w:bottom w:val="single" w:sz="4" w:space="0" w:color="auto"/>
              <w:right w:val="single" w:sz="4" w:space="0" w:color="auto"/>
            </w:tcBorders>
            <w:noWrap/>
            <w:vAlign w:val="center"/>
            <w:hideMark/>
          </w:tcPr>
          <w:p w14:paraId="7A5E0AFC" w14:textId="34A0CE70"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1 548</w:t>
            </w:r>
          </w:p>
        </w:tc>
        <w:tc>
          <w:tcPr>
            <w:tcW w:w="1066" w:type="dxa"/>
            <w:tcBorders>
              <w:top w:val="nil"/>
              <w:left w:val="nil"/>
              <w:bottom w:val="single" w:sz="4" w:space="0" w:color="auto"/>
              <w:right w:val="single" w:sz="4" w:space="0" w:color="auto"/>
            </w:tcBorders>
            <w:noWrap/>
            <w:vAlign w:val="center"/>
            <w:hideMark/>
          </w:tcPr>
          <w:p w14:paraId="04D86DD8" w14:textId="174E6475"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3 294</w:t>
            </w:r>
          </w:p>
        </w:tc>
        <w:tc>
          <w:tcPr>
            <w:tcW w:w="1065" w:type="dxa"/>
            <w:tcBorders>
              <w:top w:val="nil"/>
              <w:left w:val="nil"/>
              <w:bottom w:val="single" w:sz="4" w:space="0" w:color="auto"/>
              <w:right w:val="single" w:sz="4" w:space="0" w:color="auto"/>
            </w:tcBorders>
            <w:noWrap/>
            <w:vAlign w:val="center"/>
            <w:hideMark/>
          </w:tcPr>
          <w:p w14:paraId="7DFABA87" w14:textId="3EC2AEA5"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4 377</w:t>
            </w:r>
          </w:p>
        </w:tc>
        <w:tc>
          <w:tcPr>
            <w:tcW w:w="1066" w:type="dxa"/>
            <w:tcBorders>
              <w:top w:val="nil"/>
              <w:left w:val="nil"/>
              <w:bottom w:val="single" w:sz="4" w:space="0" w:color="auto"/>
              <w:right w:val="single" w:sz="4" w:space="0" w:color="auto"/>
            </w:tcBorders>
            <w:noWrap/>
            <w:vAlign w:val="center"/>
            <w:hideMark/>
          </w:tcPr>
          <w:p w14:paraId="16D2BCB0" w14:textId="554B1D3D"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10 787</w:t>
            </w:r>
          </w:p>
        </w:tc>
        <w:tc>
          <w:tcPr>
            <w:tcW w:w="1065" w:type="dxa"/>
            <w:tcBorders>
              <w:top w:val="nil"/>
              <w:left w:val="nil"/>
              <w:bottom w:val="single" w:sz="4" w:space="0" w:color="auto"/>
              <w:right w:val="single" w:sz="4" w:space="0" w:color="auto"/>
            </w:tcBorders>
            <w:noWrap/>
            <w:vAlign w:val="center"/>
            <w:hideMark/>
          </w:tcPr>
          <w:p w14:paraId="1B3D0CCE" w14:textId="309F914C" w:rsidR="00136C0E" w:rsidRPr="00F60DE5" w:rsidRDefault="00136C0E" w:rsidP="00136C0E">
            <w:pPr>
              <w:spacing w:after="0" w:line="240" w:lineRule="auto"/>
              <w:jc w:val="right"/>
              <w:rPr>
                <w:rFonts w:eastAsia="Times New Roman" w:cs="Arial"/>
                <w:b/>
                <w:bCs/>
                <w:color w:val="000000"/>
                <w:sz w:val="16"/>
                <w:szCs w:val="16"/>
                <w:lang w:eastAsia="pl-PL"/>
              </w:rPr>
            </w:pPr>
            <w:r w:rsidRPr="00F60DE5">
              <w:rPr>
                <w:b/>
                <w:bCs/>
                <w:color w:val="000000"/>
                <w:sz w:val="16"/>
                <w:szCs w:val="16"/>
              </w:rPr>
              <w:t>10 787</w:t>
            </w:r>
          </w:p>
        </w:tc>
      </w:tr>
      <w:tr w:rsidR="00136C0E" w:rsidRPr="00975B6F" w14:paraId="4BDA40E4" w14:textId="77777777">
        <w:trPr>
          <w:trHeight w:val="343"/>
        </w:trPr>
        <w:tc>
          <w:tcPr>
            <w:tcW w:w="1895" w:type="dxa"/>
            <w:vMerge/>
            <w:tcBorders>
              <w:top w:val="nil"/>
              <w:left w:val="single" w:sz="4" w:space="0" w:color="auto"/>
              <w:bottom w:val="single" w:sz="4" w:space="0" w:color="000000"/>
              <w:right w:val="single" w:sz="4" w:space="0" w:color="auto"/>
            </w:tcBorders>
            <w:vAlign w:val="center"/>
            <w:hideMark/>
          </w:tcPr>
          <w:p w14:paraId="5A0A28BE" w14:textId="77777777" w:rsidR="00136C0E" w:rsidRPr="00975B6F" w:rsidRDefault="00136C0E" w:rsidP="00136C0E">
            <w:pPr>
              <w:spacing w:after="0" w:line="240" w:lineRule="auto"/>
              <w:jc w:val="left"/>
              <w:rPr>
                <w:rFonts w:eastAsia="Times New Roman" w:cs="Arial"/>
                <w:color w:val="000000"/>
                <w:sz w:val="16"/>
                <w:szCs w:val="16"/>
                <w:lang w:eastAsia="pl-PL"/>
              </w:rPr>
            </w:pPr>
          </w:p>
        </w:tc>
        <w:tc>
          <w:tcPr>
            <w:tcW w:w="2010" w:type="dxa"/>
            <w:tcBorders>
              <w:top w:val="nil"/>
              <w:left w:val="single" w:sz="4" w:space="0" w:color="auto"/>
              <w:bottom w:val="single" w:sz="4" w:space="0" w:color="auto"/>
              <w:right w:val="single" w:sz="4" w:space="0" w:color="auto"/>
            </w:tcBorders>
            <w:noWrap/>
            <w:vAlign w:val="center"/>
            <w:hideMark/>
          </w:tcPr>
          <w:p w14:paraId="52C9E713" w14:textId="16171354" w:rsidR="00136C0E" w:rsidRPr="00975B6F" w:rsidRDefault="00136C0E" w:rsidP="00136C0E">
            <w:pPr>
              <w:spacing w:after="0" w:line="240" w:lineRule="auto"/>
              <w:jc w:val="left"/>
              <w:rPr>
                <w:rFonts w:eastAsia="Times New Roman" w:cs="Arial"/>
                <w:color w:val="000000"/>
                <w:sz w:val="16"/>
                <w:szCs w:val="16"/>
                <w:lang w:eastAsia="pl-PL"/>
              </w:rPr>
            </w:pPr>
            <w:r>
              <w:rPr>
                <w:color w:val="000000"/>
                <w:sz w:val="16"/>
                <w:szCs w:val="16"/>
              </w:rPr>
              <w:t>9 605</w:t>
            </w:r>
          </w:p>
        </w:tc>
        <w:tc>
          <w:tcPr>
            <w:tcW w:w="1065" w:type="dxa"/>
            <w:tcBorders>
              <w:top w:val="nil"/>
              <w:left w:val="nil"/>
              <w:bottom w:val="single" w:sz="4" w:space="0" w:color="auto"/>
              <w:right w:val="single" w:sz="4" w:space="0" w:color="auto"/>
            </w:tcBorders>
            <w:noWrap/>
            <w:vAlign w:val="center"/>
            <w:hideMark/>
          </w:tcPr>
          <w:p w14:paraId="26B2ACE1" w14:textId="4559EF8B"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13 207</w:t>
            </w:r>
          </w:p>
        </w:tc>
        <w:tc>
          <w:tcPr>
            <w:tcW w:w="1066" w:type="dxa"/>
            <w:tcBorders>
              <w:top w:val="nil"/>
              <w:left w:val="nil"/>
              <w:bottom w:val="single" w:sz="4" w:space="0" w:color="auto"/>
              <w:right w:val="single" w:sz="4" w:space="0" w:color="auto"/>
            </w:tcBorders>
            <w:noWrap/>
            <w:vAlign w:val="center"/>
            <w:hideMark/>
          </w:tcPr>
          <w:p w14:paraId="2F9EF993" w14:textId="2295AA3E"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13 207</w:t>
            </w:r>
          </w:p>
        </w:tc>
        <w:tc>
          <w:tcPr>
            <w:tcW w:w="1065" w:type="dxa"/>
            <w:tcBorders>
              <w:top w:val="nil"/>
              <w:left w:val="nil"/>
              <w:bottom w:val="single" w:sz="4" w:space="0" w:color="auto"/>
              <w:right w:val="single" w:sz="4" w:space="0" w:color="auto"/>
            </w:tcBorders>
            <w:noWrap/>
            <w:vAlign w:val="center"/>
            <w:hideMark/>
          </w:tcPr>
          <w:p w14:paraId="00D93AF9" w14:textId="4FB25D44"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12 006</w:t>
            </w:r>
          </w:p>
        </w:tc>
        <w:tc>
          <w:tcPr>
            <w:tcW w:w="1066" w:type="dxa"/>
            <w:tcBorders>
              <w:top w:val="nil"/>
              <w:left w:val="nil"/>
              <w:bottom w:val="single" w:sz="4" w:space="0" w:color="auto"/>
              <w:right w:val="single" w:sz="4" w:space="0" w:color="auto"/>
            </w:tcBorders>
            <w:noWrap/>
            <w:vAlign w:val="center"/>
            <w:hideMark/>
          </w:tcPr>
          <w:p w14:paraId="28B80946" w14:textId="4856F7AF"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48 024</w:t>
            </w:r>
          </w:p>
        </w:tc>
        <w:tc>
          <w:tcPr>
            <w:tcW w:w="1065" w:type="dxa"/>
            <w:tcBorders>
              <w:top w:val="nil"/>
              <w:left w:val="nil"/>
              <w:bottom w:val="single" w:sz="4" w:space="0" w:color="auto"/>
              <w:right w:val="single" w:sz="4" w:space="0" w:color="auto"/>
            </w:tcBorders>
            <w:noWrap/>
            <w:vAlign w:val="center"/>
            <w:hideMark/>
          </w:tcPr>
          <w:p w14:paraId="0F3DAB1D" w14:textId="343F273F" w:rsidR="00136C0E" w:rsidRPr="00F60DE5" w:rsidRDefault="00136C0E" w:rsidP="00136C0E">
            <w:pPr>
              <w:spacing w:after="0" w:line="240" w:lineRule="auto"/>
              <w:jc w:val="right"/>
              <w:rPr>
                <w:rFonts w:eastAsia="Times New Roman" w:cs="Arial"/>
                <w:b/>
                <w:bCs/>
                <w:color w:val="000000"/>
                <w:sz w:val="16"/>
                <w:szCs w:val="16"/>
                <w:lang w:eastAsia="pl-PL"/>
              </w:rPr>
            </w:pPr>
            <w:r w:rsidRPr="00F60DE5">
              <w:rPr>
                <w:b/>
                <w:bCs/>
                <w:color w:val="000000"/>
                <w:sz w:val="16"/>
                <w:szCs w:val="16"/>
              </w:rPr>
              <w:t>48 024</w:t>
            </w:r>
          </w:p>
        </w:tc>
      </w:tr>
      <w:tr w:rsidR="00136C0E" w:rsidRPr="00975B6F" w14:paraId="6E4557F6" w14:textId="77777777">
        <w:trPr>
          <w:trHeight w:val="343"/>
        </w:trPr>
        <w:tc>
          <w:tcPr>
            <w:tcW w:w="3905" w:type="dxa"/>
            <w:gridSpan w:val="2"/>
            <w:tcBorders>
              <w:top w:val="single" w:sz="4" w:space="0" w:color="auto"/>
              <w:left w:val="single" w:sz="4" w:space="0" w:color="auto"/>
              <w:bottom w:val="single" w:sz="4" w:space="0" w:color="auto"/>
              <w:right w:val="single" w:sz="4" w:space="0" w:color="000000"/>
            </w:tcBorders>
            <w:noWrap/>
            <w:vAlign w:val="center"/>
            <w:hideMark/>
          </w:tcPr>
          <w:p w14:paraId="0EF83E00" w14:textId="77777777" w:rsidR="00136C0E" w:rsidRPr="00975B6F" w:rsidRDefault="00136C0E" w:rsidP="00136C0E">
            <w:pPr>
              <w:spacing w:after="0" w:line="240" w:lineRule="auto"/>
              <w:jc w:val="left"/>
              <w:rPr>
                <w:rFonts w:eastAsia="Times New Roman" w:cs="Arial"/>
                <w:color w:val="000000"/>
                <w:sz w:val="16"/>
                <w:szCs w:val="16"/>
                <w:lang w:eastAsia="pl-PL"/>
              </w:rPr>
            </w:pPr>
            <w:r w:rsidRPr="00975B6F">
              <w:rPr>
                <w:rFonts w:eastAsia="Times New Roman" w:cs="Arial"/>
                <w:color w:val="000000"/>
                <w:sz w:val="16"/>
                <w:szCs w:val="16"/>
                <w:lang w:eastAsia="pl-PL"/>
              </w:rPr>
              <w:t>Sektor gazowy (w tym biometan)</w:t>
            </w:r>
          </w:p>
        </w:tc>
        <w:tc>
          <w:tcPr>
            <w:tcW w:w="1065" w:type="dxa"/>
            <w:tcBorders>
              <w:top w:val="nil"/>
              <w:left w:val="single" w:sz="4" w:space="0" w:color="auto"/>
              <w:bottom w:val="single" w:sz="4" w:space="0" w:color="auto"/>
              <w:right w:val="single" w:sz="4" w:space="0" w:color="auto"/>
            </w:tcBorders>
            <w:noWrap/>
            <w:vAlign w:val="center"/>
            <w:hideMark/>
          </w:tcPr>
          <w:p w14:paraId="646F514D" w14:textId="28B28729"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24 012</w:t>
            </w:r>
          </w:p>
        </w:tc>
        <w:tc>
          <w:tcPr>
            <w:tcW w:w="1066" w:type="dxa"/>
            <w:tcBorders>
              <w:top w:val="nil"/>
              <w:left w:val="nil"/>
              <w:bottom w:val="single" w:sz="4" w:space="0" w:color="auto"/>
              <w:right w:val="single" w:sz="4" w:space="0" w:color="auto"/>
            </w:tcBorders>
            <w:noWrap/>
            <w:vAlign w:val="center"/>
            <w:hideMark/>
          </w:tcPr>
          <w:p w14:paraId="1D8EE5DE" w14:textId="3B0AE075"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17 649</w:t>
            </w:r>
          </w:p>
        </w:tc>
        <w:tc>
          <w:tcPr>
            <w:tcW w:w="1065" w:type="dxa"/>
            <w:tcBorders>
              <w:top w:val="nil"/>
              <w:left w:val="nil"/>
              <w:bottom w:val="single" w:sz="4" w:space="0" w:color="auto"/>
              <w:right w:val="single" w:sz="4" w:space="0" w:color="auto"/>
            </w:tcBorders>
            <w:noWrap/>
            <w:vAlign w:val="center"/>
            <w:hideMark/>
          </w:tcPr>
          <w:p w14:paraId="0E1548E6" w14:textId="779CDE0A"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12 006</w:t>
            </w:r>
          </w:p>
        </w:tc>
        <w:tc>
          <w:tcPr>
            <w:tcW w:w="1066" w:type="dxa"/>
            <w:tcBorders>
              <w:top w:val="nil"/>
              <w:left w:val="nil"/>
              <w:bottom w:val="single" w:sz="4" w:space="0" w:color="auto"/>
              <w:right w:val="single" w:sz="4" w:space="0" w:color="auto"/>
            </w:tcBorders>
            <w:noWrap/>
            <w:vAlign w:val="center"/>
            <w:hideMark/>
          </w:tcPr>
          <w:p w14:paraId="619A4B76" w14:textId="6FD77175"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9 605</w:t>
            </w:r>
          </w:p>
        </w:tc>
        <w:tc>
          <w:tcPr>
            <w:tcW w:w="1065" w:type="dxa"/>
            <w:tcBorders>
              <w:top w:val="nil"/>
              <w:left w:val="nil"/>
              <w:bottom w:val="single" w:sz="4" w:space="0" w:color="auto"/>
              <w:right w:val="single" w:sz="4" w:space="0" w:color="auto"/>
            </w:tcBorders>
            <w:noWrap/>
            <w:vAlign w:val="center"/>
            <w:hideMark/>
          </w:tcPr>
          <w:p w14:paraId="518B7647" w14:textId="104A7898" w:rsidR="00136C0E" w:rsidRPr="00F60DE5" w:rsidRDefault="00136C0E" w:rsidP="00136C0E">
            <w:pPr>
              <w:spacing w:after="0" w:line="240" w:lineRule="auto"/>
              <w:jc w:val="right"/>
              <w:rPr>
                <w:rFonts w:eastAsia="Times New Roman" w:cs="Arial"/>
                <w:b/>
                <w:bCs/>
                <w:color w:val="000000"/>
                <w:sz w:val="16"/>
                <w:szCs w:val="16"/>
                <w:lang w:eastAsia="pl-PL"/>
              </w:rPr>
            </w:pPr>
            <w:r>
              <w:rPr>
                <w:b/>
                <w:bCs/>
                <w:color w:val="000000"/>
                <w:sz w:val="16"/>
                <w:szCs w:val="16"/>
              </w:rPr>
              <w:t>63 271</w:t>
            </w:r>
          </w:p>
        </w:tc>
      </w:tr>
      <w:tr w:rsidR="00136C0E" w:rsidRPr="00975B6F" w14:paraId="3381908D" w14:textId="77777777">
        <w:trPr>
          <w:trHeight w:val="343"/>
        </w:trPr>
        <w:tc>
          <w:tcPr>
            <w:tcW w:w="3905" w:type="dxa"/>
            <w:gridSpan w:val="2"/>
            <w:tcBorders>
              <w:top w:val="single" w:sz="4" w:space="0" w:color="auto"/>
              <w:left w:val="single" w:sz="4" w:space="0" w:color="auto"/>
              <w:bottom w:val="single" w:sz="4" w:space="0" w:color="auto"/>
              <w:right w:val="single" w:sz="4" w:space="0" w:color="000000"/>
            </w:tcBorders>
            <w:noWrap/>
            <w:vAlign w:val="center"/>
            <w:hideMark/>
          </w:tcPr>
          <w:p w14:paraId="754C5952" w14:textId="77777777" w:rsidR="00136C0E" w:rsidRPr="00975B6F" w:rsidRDefault="00136C0E" w:rsidP="00136C0E">
            <w:pPr>
              <w:spacing w:after="0" w:line="240" w:lineRule="auto"/>
              <w:jc w:val="left"/>
              <w:rPr>
                <w:rFonts w:eastAsia="Times New Roman" w:cs="Arial"/>
                <w:color w:val="000000"/>
                <w:sz w:val="16"/>
                <w:szCs w:val="16"/>
                <w:lang w:eastAsia="pl-PL"/>
              </w:rPr>
            </w:pPr>
            <w:r w:rsidRPr="00975B6F">
              <w:rPr>
                <w:rFonts w:eastAsia="Times New Roman" w:cs="Arial"/>
                <w:color w:val="000000"/>
                <w:sz w:val="16"/>
                <w:szCs w:val="16"/>
                <w:lang w:eastAsia="pl-PL"/>
              </w:rPr>
              <w:t>Sektor paliw płynnych</w:t>
            </w:r>
          </w:p>
        </w:tc>
        <w:tc>
          <w:tcPr>
            <w:tcW w:w="1065" w:type="dxa"/>
            <w:tcBorders>
              <w:top w:val="nil"/>
              <w:left w:val="single" w:sz="4" w:space="0" w:color="auto"/>
              <w:bottom w:val="single" w:sz="4" w:space="0" w:color="auto"/>
              <w:right w:val="single" w:sz="4" w:space="0" w:color="auto"/>
            </w:tcBorders>
            <w:noWrap/>
            <w:vAlign w:val="center"/>
            <w:hideMark/>
          </w:tcPr>
          <w:p w14:paraId="0D0BA0CB" w14:textId="4B82443B"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11 917</w:t>
            </w:r>
          </w:p>
        </w:tc>
        <w:tc>
          <w:tcPr>
            <w:tcW w:w="1066" w:type="dxa"/>
            <w:tcBorders>
              <w:top w:val="nil"/>
              <w:left w:val="nil"/>
              <w:bottom w:val="single" w:sz="4" w:space="0" w:color="auto"/>
              <w:right w:val="single" w:sz="4" w:space="0" w:color="auto"/>
            </w:tcBorders>
            <w:noWrap/>
            <w:vAlign w:val="center"/>
            <w:hideMark/>
          </w:tcPr>
          <w:p w14:paraId="122444EB" w14:textId="5A2A7214"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12 004</w:t>
            </w:r>
          </w:p>
        </w:tc>
        <w:tc>
          <w:tcPr>
            <w:tcW w:w="1065" w:type="dxa"/>
            <w:tcBorders>
              <w:top w:val="nil"/>
              <w:left w:val="nil"/>
              <w:bottom w:val="single" w:sz="4" w:space="0" w:color="auto"/>
              <w:right w:val="single" w:sz="4" w:space="0" w:color="auto"/>
            </w:tcBorders>
            <w:noWrap/>
            <w:vAlign w:val="center"/>
            <w:hideMark/>
          </w:tcPr>
          <w:p w14:paraId="1474B58E" w14:textId="791059C8"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12 074</w:t>
            </w:r>
          </w:p>
        </w:tc>
        <w:tc>
          <w:tcPr>
            <w:tcW w:w="1066" w:type="dxa"/>
            <w:tcBorders>
              <w:top w:val="nil"/>
              <w:left w:val="nil"/>
              <w:bottom w:val="single" w:sz="4" w:space="0" w:color="auto"/>
              <w:right w:val="single" w:sz="4" w:space="0" w:color="auto"/>
            </w:tcBorders>
            <w:noWrap/>
            <w:vAlign w:val="center"/>
            <w:hideMark/>
          </w:tcPr>
          <w:p w14:paraId="5C65B551" w14:textId="5DA6CAD0"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9 605</w:t>
            </w:r>
          </w:p>
        </w:tc>
        <w:tc>
          <w:tcPr>
            <w:tcW w:w="1065" w:type="dxa"/>
            <w:tcBorders>
              <w:top w:val="nil"/>
              <w:left w:val="nil"/>
              <w:bottom w:val="single" w:sz="4" w:space="0" w:color="auto"/>
              <w:right w:val="single" w:sz="4" w:space="0" w:color="auto"/>
            </w:tcBorders>
            <w:noWrap/>
            <w:vAlign w:val="center"/>
            <w:hideMark/>
          </w:tcPr>
          <w:p w14:paraId="377235AA" w14:textId="0A64AF40" w:rsidR="00136C0E" w:rsidRPr="00F60DE5" w:rsidRDefault="00136C0E" w:rsidP="00136C0E">
            <w:pPr>
              <w:spacing w:after="0" w:line="240" w:lineRule="auto"/>
              <w:jc w:val="right"/>
              <w:rPr>
                <w:rFonts w:eastAsia="Times New Roman" w:cs="Arial"/>
                <w:b/>
                <w:bCs/>
                <w:sz w:val="16"/>
                <w:szCs w:val="16"/>
                <w:lang w:eastAsia="pl-PL"/>
              </w:rPr>
            </w:pPr>
            <w:r>
              <w:rPr>
                <w:b/>
                <w:bCs/>
                <w:color w:val="000000"/>
                <w:sz w:val="16"/>
                <w:szCs w:val="16"/>
              </w:rPr>
              <w:t>45 600</w:t>
            </w:r>
          </w:p>
        </w:tc>
      </w:tr>
      <w:tr w:rsidR="00136C0E" w:rsidRPr="00975B6F" w14:paraId="51D9B242" w14:textId="77777777">
        <w:trPr>
          <w:trHeight w:val="343"/>
        </w:trPr>
        <w:tc>
          <w:tcPr>
            <w:tcW w:w="1895" w:type="dxa"/>
            <w:tcBorders>
              <w:top w:val="nil"/>
              <w:left w:val="single" w:sz="4" w:space="0" w:color="auto"/>
              <w:bottom w:val="single" w:sz="4" w:space="0" w:color="auto"/>
              <w:right w:val="nil"/>
            </w:tcBorders>
            <w:noWrap/>
            <w:vAlign w:val="center"/>
            <w:hideMark/>
          </w:tcPr>
          <w:p w14:paraId="0C934A3E" w14:textId="77777777" w:rsidR="00136C0E" w:rsidRPr="00975B6F" w:rsidRDefault="00136C0E" w:rsidP="00136C0E">
            <w:pPr>
              <w:spacing w:after="0" w:line="240" w:lineRule="auto"/>
              <w:jc w:val="left"/>
              <w:rPr>
                <w:rFonts w:eastAsia="Times New Roman" w:cs="Arial"/>
                <w:color w:val="000000"/>
                <w:sz w:val="16"/>
                <w:szCs w:val="16"/>
                <w:lang w:eastAsia="pl-PL"/>
              </w:rPr>
            </w:pPr>
            <w:r w:rsidRPr="00975B6F">
              <w:rPr>
                <w:rFonts w:eastAsia="Times New Roman" w:cs="Arial"/>
                <w:color w:val="000000"/>
                <w:sz w:val="16"/>
                <w:szCs w:val="16"/>
                <w:lang w:eastAsia="pl-PL"/>
              </w:rPr>
              <w:t>Górnictwo</w:t>
            </w:r>
          </w:p>
        </w:tc>
        <w:tc>
          <w:tcPr>
            <w:tcW w:w="2010" w:type="dxa"/>
            <w:tcBorders>
              <w:top w:val="nil"/>
              <w:left w:val="nil"/>
              <w:bottom w:val="single" w:sz="4" w:space="0" w:color="auto"/>
              <w:right w:val="single" w:sz="4" w:space="0" w:color="auto"/>
            </w:tcBorders>
            <w:noWrap/>
            <w:vAlign w:val="center"/>
            <w:hideMark/>
          </w:tcPr>
          <w:p w14:paraId="0993D7E9" w14:textId="368C4E35" w:rsidR="00136C0E" w:rsidRPr="00975B6F" w:rsidRDefault="00136C0E" w:rsidP="00136C0E">
            <w:pPr>
              <w:spacing w:after="0" w:line="240" w:lineRule="auto"/>
              <w:jc w:val="left"/>
              <w:rPr>
                <w:rFonts w:eastAsia="Times New Roman" w:cs="Arial"/>
                <w:color w:val="000000"/>
                <w:sz w:val="16"/>
                <w:szCs w:val="16"/>
                <w:lang w:eastAsia="pl-PL"/>
              </w:rPr>
            </w:pPr>
            <w:r>
              <w:rPr>
                <w:color w:val="000000"/>
                <w:sz w:val="16"/>
                <w:szCs w:val="16"/>
              </w:rPr>
              <w:t>2 309</w:t>
            </w:r>
          </w:p>
        </w:tc>
        <w:tc>
          <w:tcPr>
            <w:tcW w:w="1065" w:type="dxa"/>
            <w:tcBorders>
              <w:top w:val="nil"/>
              <w:left w:val="single" w:sz="4" w:space="0" w:color="auto"/>
              <w:bottom w:val="single" w:sz="4" w:space="0" w:color="auto"/>
              <w:right w:val="single" w:sz="4" w:space="0" w:color="auto"/>
            </w:tcBorders>
            <w:noWrap/>
            <w:vAlign w:val="center"/>
            <w:hideMark/>
          </w:tcPr>
          <w:p w14:paraId="07CEBFA5" w14:textId="2379A7A7"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4 202</w:t>
            </w:r>
          </w:p>
        </w:tc>
        <w:tc>
          <w:tcPr>
            <w:tcW w:w="1066" w:type="dxa"/>
            <w:tcBorders>
              <w:top w:val="nil"/>
              <w:left w:val="nil"/>
              <w:bottom w:val="single" w:sz="4" w:space="0" w:color="auto"/>
              <w:right w:val="single" w:sz="4" w:space="0" w:color="auto"/>
            </w:tcBorders>
            <w:noWrap/>
            <w:vAlign w:val="center"/>
            <w:hideMark/>
          </w:tcPr>
          <w:p w14:paraId="219AC0AF" w14:textId="46622130" w:rsidR="00136C0E" w:rsidRPr="00F60DE5" w:rsidRDefault="00136C0E" w:rsidP="00136C0E">
            <w:pPr>
              <w:spacing w:after="0" w:line="240" w:lineRule="auto"/>
              <w:jc w:val="right"/>
              <w:rPr>
                <w:rFonts w:eastAsia="Times New Roman" w:cs="Arial"/>
                <w:color w:val="000000"/>
                <w:sz w:val="16"/>
                <w:szCs w:val="16"/>
                <w:lang w:eastAsia="pl-PL"/>
              </w:rPr>
            </w:pPr>
            <w:r>
              <w:rPr>
                <w:color w:val="000000"/>
                <w:sz w:val="16"/>
                <w:szCs w:val="16"/>
              </w:rPr>
              <w:t>4 202</w:t>
            </w:r>
          </w:p>
        </w:tc>
        <w:tc>
          <w:tcPr>
            <w:tcW w:w="1065" w:type="dxa"/>
            <w:tcBorders>
              <w:top w:val="nil"/>
              <w:left w:val="nil"/>
              <w:bottom w:val="single" w:sz="4" w:space="0" w:color="auto"/>
              <w:right w:val="single" w:sz="4" w:space="0" w:color="auto"/>
            </w:tcBorders>
            <w:noWrap/>
            <w:vAlign w:val="center"/>
            <w:hideMark/>
          </w:tcPr>
          <w:p w14:paraId="48DEC5B3" w14:textId="1F58B26A"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3 001</w:t>
            </w:r>
          </w:p>
        </w:tc>
        <w:tc>
          <w:tcPr>
            <w:tcW w:w="1066" w:type="dxa"/>
            <w:tcBorders>
              <w:top w:val="nil"/>
              <w:left w:val="nil"/>
              <w:bottom w:val="single" w:sz="4" w:space="0" w:color="auto"/>
              <w:right w:val="single" w:sz="4" w:space="0" w:color="auto"/>
            </w:tcBorders>
            <w:noWrap/>
            <w:vAlign w:val="center"/>
            <w:hideMark/>
          </w:tcPr>
          <w:p w14:paraId="255352D9" w14:textId="5158706A" w:rsidR="00136C0E" w:rsidRPr="00136C0E" w:rsidRDefault="00136C0E" w:rsidP="00136C0E">
            <w:pPr>
              <w:spacing w:after="0" w:line="240" w:lineRule="auto"/>
              <w:jc w:val="right"/>
              <w:rPr>
                <w:rFonts w:eastAsia="Times New Roman" w:cs="Arial"/>
                <w:color w:val="000000"/>
                <w:sz w:val="16"/>
                <w:szCs w:val="16"/>
                <w:lang w:eastAsia="pl-PL"/>
              </w:rPr>
            </w:pPr>
            <w:r w:rsidRPr="00136C0E">
              <w:rPr>
                <w:color w:val="000000"/>
                <w:sz w:val="16"/>
                <w:szCs w:val="16"/>
              </w:rPr>
              <w:t>13 714</w:t>
            </w:r>
          </w:p>
        </w:tc>
        <w:tc>
          <w:tcPr>
            <w:tcW w:w="1065" w:type="dxa"/>
            <w:tcBorders>
              <w:top w:val="nil"/>
              <w:left w:val="nil"/>
              <w:bottom w:val="single" w:sz="4" w:space="0" w:color="auto"/>
              <w:right w:val="single" w:sz="4" w:space="0" w:color="auto"/>
            </w:tcBorders>
            <w:noWrap/>
            <w:vAlign w:val="center"/>
            <w:hideMark/>
          </w:tcPr>
          <w:p w14:paraId="1A9499B7" w14:textId="7E39C246" w:rsidR="00136C0E" w:rsidRPr="00F60DE5" w:rsidRDefault="00136C0E" w:rsidP="00136C0E">
            <w:pPr>
              <w:spacing w:after="0" w:line="240" w:lineRule="auto"/>
              <w:jc w:val="right"/>
              <w:rPr>
                <w:rFonts w:eastAsia="Times New Roman" w:cs="Arial"/>
                <w:b/>
                <w:bCs/>
                <w:color w:val="000000"/>
                <w:sz w:val="16"/>
                <w:szCs w:val="16"/>
                <w:lang w:eastAsia="pl-PL"/>
              </w:rPr>
            </w:pPr>
            <w:r w:rsidRPr="00F60DE5">
              <w:rPr>
                <w:b/>
                <w:bCs/>
                <w:color w:val="000000"/>
                <w:sz w:val="16"/>
                <w:szCs w:val="16"/>
              </w:rPr>
              <w:t>13 714</w:t>
            </w:r>
          </w:p>
        </w:tc>
      </w:tr>
    </w:tbl>
    <w:p w14:paraId="18E31306" w14:textId="77777777" w:rsidR="0017697C" w:rsidRPr="000921D8" w:rsidRDefault="0017697C" w:rsidP="0017697C"/>
    <w:p w14:paraId="11F7FDEF" w14:textId="07D51356" w:rsidR="00447CCF" w:rsidRPr="00DC1A13" w:rsidRDefault="0093023C" w:rsidP="00447CCF">
      <w:pPr>
        <w:pStyle w:val="Nagwek1"/>
      </w:pPr>
      <w:bookmarkStart w:id="568" w:name="_Toc171580768"/>
      <w:bookmarkStart w:id="569" w:name="_Toc197959073"/>
      <w:bookmarkStart w:id="570" w:name="_Toc198115393"/>
      <w:bookmarkStart w:id="571" w:name="_Toc202966910"/>
      <w:bookmarkStart w:id="572" w:name="_Toc167443538"/>
      <w:bookmarkStart w:id="573" w:name="_Toc171587343"/>
      <w:bookmarkStart w:id="574" w:name="_Toc174710915"/>
      <w:bookmarkStart w:id="575" w:name="_Toc171587341"/>
      <w:r>
        <w:t>B</w:t>
      </w:r>
      <w:r w:rsidR="00447CCF">
        <w:t xml:space="preserve">adania naukowe, </w:t>
      </w:r>
      <w:r w:rsidR="00B63349">
        <w:t xml:space="preserve">technologie i </w:t>
      </w:r>
      <w:r w:rsidR="00447CCF">
        <w:t>innowacje</w:t>
      </w:r>
      <w:bookmarkEnd w:id="568"/>
      <w:bookmarkEnd w:id="569"/>
      <w:bookmarkEnd w:id="570"/>
      <w:bookmarkEnd w:id="571"/>
    </w:p>
    <w:p w14:paraId="71D57038" w14:textId="55CBFE2C" w:rsidR="00447CCF" w:rsidRPr="00F85B97" w:rsidRDefault="00B42FB0" w:rsidP="00447CCF">
      <w:pPr>
        <w:pStyle w:val="Nagwek2"/>
        <w:ind w:left="567"/>
      </w:pPr>
      <w:bookmarkStart w:id="576" w:name="_Toc507408737"/>
      <w:bookmarkStart w:id="577" w:name="_Toc156465119"/>
      <w:bookmarkStart w:id="578" w:name="_Toc171580769"/>
      <w:bookmarkStart w:id="579" w:name="_Toc202966911"/>
      <w:bookmarkStart w:id="580" w:name="_Toc197959074"/>
      <w:bookmarkStart w:id="581" w:name="_Toc198115394"/>
      <w:r>
        <w:t>Obecna s</w:t>
      </w:r>
      <w:r w:rsidR="00447CCF" w:rsidRPr="00F85B97">
        <w:t>ytuacja sektora technologii ograniczających emisje</w:t>
      </w:r>
      <w:r w:rsidR="00447CCF">
        <w:t xml:space="preserve"> i </w:t>
      </w:r>
      <w:r w:rsidR="00447CCF" w:rsidRPr="00F85B97">
        <w:t>jego pozycja</w:t>
      </w:r>
      <w:r w:rsidR="00447CCF">
        <w:t xml:space="preserve"> </w:t>
      </w:r>
      <w:r w:rsidR="00447CCF" w:rsidRPr="00F85B97">
        <w:t>na rynku globalnym</w:t>
      </w:r>
      <w:bookmarkEnd w:id="576"/>
      <w:bookmarkEnd w:id="577"/>
      <w:bookmarkEnd w:id="578"/>
      <w:bookmarkEnd w:id="579"/>
      <w:r w:rsidR="00447CCF">
        <w:t xml:space="preserve"> </w:t>
      </w:r>
      <w:bookmarkEnd w:id="580"/>
      <w:bookmarkEnd w:id="581"/>
    </w:p>
    <w:p w14:paraId="243F0F9A" w14:textId="081895C6" w:rsidR="00447CCF" w:rsidRPr="00F85B97" w:rsidRDefault="00447CCF" w:rsidP="00447CCF">
      <w:bookmarkStart w:id="582" w:name="_bookmark55"/>
      <w:bookmarkStart w:id="583" w:name="_bookmark59"/>
      <w:bookmarkStart w:id="584" w:name="_bookmark60"/>
      <w:bookmarkStart w:id="585" w:name="_bookmark69"/>
      <w:bookmarkStart w:id="586" w:name="_Hlk197518143"/>
      <w:bookmarkEnd w:id="582"/>
      <w:bookmarkEnd w:id="583"/>
      <w:bookmarkEnd w:id="584"/>
      <w:bookmarkEnd w:id="585"/>
      <w:r w:rsidRPr="00351565">
        <w:t>W rozdziale oceniono konkurencyjność strategicznych technologii neutralnych emisyjnie określonych</w:t>
      </w:r>
      <w:r>
        <w:t xml:space="preserve"> w </w:t>
      </w:r>
      <w:r w:rsidRPr="00351565">
        <w:t>akcie Unii Europejskiej pn. „Plan przemysłowy Zielonego Ładu”</w:t>
      </w:r>
      <w:r>
        <w:t xml:space="preserve"> w </w:t>
      </w:r>
      <w:r w:rsidRPr="00351565">
        <w:t>sprawie przemysłu neutralnego emisyjnie. Zawiera ona przegląd przeobrażeń, jakim podlegają technologie</w:t>
      </w:r>
      <w:r>
        <w:t xml:space="preserve"> i </w:t>
      </w:r>
      <w:r w:rsidRPr="00351565">
        <w:t>rynki, aby możliwe stało się osiągnięcie celów Europejskiego Zielonego Ładu</w:t>
      </w:r>
      <w:r>
        <w:t xml:space="preserve"> i </w:t>
      </w:r>
      <w:r w:rsidRPr="00351565">
        <w:t>planu REPowerEU.</w:t>
      </w:r>
      <w:r>
        <w:t xml:space="preserve"> </w:t>
      </w:r>
      <w:r w:rsidR="00B42FB0">
        <w:t>Określono</w:t>
      </w:r>
      <w:r w:rsidR="00A90355">
        <w:t xml:space="preserve"> </w:t>
      </w:r>
      <w:r w:rsidRPr="00351565">
        <w:t>osiem strategicznych technologii neutralnych emisyjnie służących osiągnięciu celu „Fit for 55” na 2030</w:t>
      </w:r>
      <w:r>
        <w:t> r.</w:t>
      </w:r>
      <w:r w:rsidRPr="00351565">
        <w:t>, jakim jest redukcja emisji gazów cieplarnianych netto</w:t>
      </w:r>
      <w:r>
        <w:t xml:space="preserve"> o</w:t>
      </w:r>
      <w:r w:rsidR="001B727E">
        <w:t xml:space="preserve"> </w:t>
      </w:r>
      <w:r w:rsidRPr="00351565">
        <w:t>co najmniej 55</w:t>
      </w:r>
      <w:r>
        <w:t>% w </w:t>
      </w:r>
      <w:r w:rsidRPr="00351565">
        <w:t>porównaniu</w:t>
      </w:r>
      <w:r>
        <w:t xml:space="preserve"> z </w:t>
      </w:r>
      <w:r w:rsidRPr="00351565">
        <w:t>poziomami</w:t>
      </w:r>
      <w:r>
        <w:t xml:space="preserve"> z </w:t>
      </w:r>
      <w:r w:rsidRPr="00351565">
        <w:t>1990</w:t>
      </w:r>
      <w:r>
        <w:t> r.</w:t>
      </w:r>
      <w:r w:rsidRPr="00351565">
        <w:t xml:space="preserve"> Są to technologie dotyczące energii słonecznej (technologie fotowoltaiczne</w:t>
      </w:r>
      <w:r>
        <w:t xml:space="preserve"> i </w:t>
      </w:r>
      <w:r w:rsidRPr="00351565">
        <w:t>technologie słonecznej energii cieplnej), technologie lądowej energii wiatrowej</w:t>
      </w:r>
      <w:r>
        <w:t xml:space="preserve"> i</w:t>
      </w:r>
      <w:r w:rsidR="001B727E">
        <w:t xml:space="preserve"> </w:t>
      </w:r>
      <w:r w:rsidRPr="00351565">
        <w:t>technologie wytwarzania energii ze źródeł odnawialnych na morzu, elektrolizery</w:t>
      </w:r>
      <w:r>
        <w:t xml:space="preserve"> i</w:t>
      </w:r>
      <w:r w:rsidR="001B727E">
        <w:t xml:space="preserve"> </w:t>
      </w:r>
      <w:r w:rsidRPr="00351565">
        <w:t>ogniwa paliwowe, technologie magazynowania energii</w:t>
      </w:r>
      <w:r>
        <w:t xml:space="preserve"> w </w:t>
      </w:r>
      <w:r w:rsidRPr="00351565">
        <w:t>akumulatorach</w:t>
      </w:r>
      <w:r>
        <w:t xml:space="preserve"> i w postaci ciepła</w:t>
      </w:r>
      <w:r w:rsidRPr="00351565">
        <w:t>, zrównoważone technologie biogazu/biometanu, technologie wychwytywania</w:t>
      </w:r>
      <w:r>
        <w:t xml:space="preserve"> i </w:t>
      </w:r>
      <w:r w:rsidRPr="00351565">
        <w:t>składowania dwutlenku węgla, pompy ciepła</w:t>
      </w:r>
      <w:r>
        <w:t xml:space="preserve"> i </w:t>
      </w:r>
      <w:r w:rsidRPr="00351565">
        <w:t>technologie energii geotermicznej oraz technologie sieciowe.</w:t>
      </w:r>
      <w:r>
        <w:t xml:space="preserve"> </w:t>
      </w:r>
      <w:r w:rsidRPr="00351565">
        <w:t>UE określa ogólny główny poziom referencyjny dla każdej</w:t>
      </w:r>
      <w:r>
        <w:t xml:space="preserve"> z </w:t>
      </w:r>
      <w:r w:rsidRPr="00351565">
        <w:t>wymienionych strategicznych technologii neutralnych emisyjnie, którego celem jest zapewnienie, aby do 2030</w:t>
      </w:r>
      <w:r>
        <w:t> r.</w:t>
      </w:r>
      <w:r w:rsidRPr="00351565">
        <w:t xml:space="preserve"> unijna moc produkcyjna strategicznych technologii neutralnych emisyjnie zbliżyła się do poziomu lub osiągnęła poziom co najmniej 40</w:t>
      </w:r>
      <w:r>
        <w:t>%</w:t>
      </w:r>
      <w:r w:rsidRPr="00351565">
        <w:t xml:space="preserve"> rocznych potrzeb Unii</w:t>
      </w:r>
      <w:r>
        <w:t xml:space="preserve"> w </w:t>
      </w:r>
      <w:r w:rsidRPr="00351565">
        <w:t>zakresie wdrażania.</w:t>
      </w:r>
    </w:p>
    <w:p w14:paraId="4561B872" w14:textId="77777777" w:rsidR="00B42FB0" w:rsidRDefault="00B42FB0" w:rsidP="00447CCF">
      <w:pPr>
        <w:pStyle w:val="podtytu2"/>
      </w:pPr>
    </w:p>
    <w:p w14:paraId="4A55410F" w14:textId="77777777" w:rsidR="00B42FB0" w:rsidRDefault="00B42FB0" w:rsidP="00447CCF">
      <w:pPr>
        <w:pStyle w:val="podtytu2"/>
      </w:pPr>
    </w:p>
    <w:p w14:paraId="22465925" w14:textId="47ACC6D9" w:rsidR="00447CCF" w:rsidRPr="00FA5BD0" w:rsidRDefault="00447CCF" w:rsidP="00447CCF">
      <w:pPr>
        <w:pStyle w:val="podtytu2"/>
      </w:pPr>
      <w:r w:rsidRPr="00FA5BD0">
        <w:t>Fotowoltaika</w:t>
      </w:r>
    </w:p>
    <w:p w14:paraId="7FD69DE1" w14:textId="543AEB84" w:rsidR="00447CCF" w:rsidRDefault="00447CCF" w:rsidP="00B42FB0">
      <w:pPr>
        <w:spacing w:before="120"/>
      </w:pPr>
      <w:r>
        <w:t xml:space="preserve">Fotowoltaika jest najszybciej rozwijającą się technologią wytwarzania energii elektrycznej. Zapewnia ona tańszą energię elektryczną niż elektrownie na paliwa kopalne w większości państw. Odgrywa kluczową rolę we wszystkich scenariuszach osiągnięcia neutralnego dla klimatu systemu energetycznego. W 2022 r. w UE za pomocą energii fotowoltaicznej wygenerowano już 7% produkcji energii elektrycznej z łącznej mocy zainstalowanej wynoszącej 212 GW. Celem strategii UE na rzecz energii słonecznej jest osiągnięcie mocy 720 GW zainstalowanej do 2030 r., co stanowi czterokrotny wzrost w stosunku do poziomów z 2021 r. Łańcuch wartości związany z fotowoltaiką jest zdominowany przez kraje azjatyckie, w szczególności Chiny. Europejski sojusz na rzecz przemysłu fotowoltaicznego uruchomiony 9 grudnia 2022 r. ma jednak na celu zwiększenie mocy produkcyjnej UE. Istnieje jednak silna konkurencja międzynarodowa w przyciąganiu inwestycji produkcyjnych. </w:t>
      </w:r>
    </w:p>
    <w:p w14:paraId="6773BED7" w14:textId="23B01AD1" w:rsidR="00447CCF" w:rsidRDefault="00447CCF" w:rsidP="00447CCF">
      <w:r>
        <w:t>Instalacje fotowoltaiczne w</w:t>
      </w:r>
      <w:r w:rsidR="001274A5">
        <w:t xml:space="preserve"> </w:t>
      </w:r>
      <w:r>
        <w:t xml:space="preserve">bardzo dużym stopniu opierają się na technologii płytek z krzemu krystalicznego (polikrzemu), która nadal zwiększa efektywność konwersji energii i ogranicza zużycie materiałów. W 2022 r. moduły komercyjne zapewniały średnią efektywność na poziomie 21,1%, a maksymalnie 24,7%. </w:t>
      </w:r>
    </w:p>
    <w:p w14:paraId="5E6D32EB" w14:textId="77777777" w:rsidR="00447CCF" w:rsidRDefault="00447CCF" w:rsidP="00447CCF">
      <w:r>
        <w:t>W 2022 r. przedsiębiorstwa unijne prowadziły działalność w zakresie produkcji krzemu, wlewków/płytek, ogniw, modułów i falowników oraz oferowały produkty komercyjne. Produkcja falowników pozostaje zdecydowanie największym segmentem w produkcji energii słonecznej w UE, a zdolności produkcyjne osiągają prawie 70 GW, czyli o około 5 GW więcej niż w 2021 r. W UE znajduje się również jeden z głównych producentów polikrzemu, który prowadzi wywóz głównie do Chin. Na początku 2023 r. nominalne zdolności produkcyjne w zakresie modułów w UE wyniosły 8,28 GW rocznie, w zakresie ogniw – 0,86 GW rocznie, a w zakresie wlewków i płytek – 1,4 GW rocznie. Szacuje się, że w 2022 r. producenci unijni zmontowali moduły o mocy około 4 GW, głównie z importowanych ogniw. Stanowi to 10% rynku UE.</w:t>
      </w:r>
    </w:p>
    <w:p w14:paraId="1E474208" w14:textId="1C09384B" w:rsidR="00447CCF" w:rsidRDefault="00447CCF" w:rsidP="00447CCF">
      <w:r>
        <w:t xml:space="preserve">W 2022 r. chińskie przedsiębiorstwa zapewniły co najmniej trzy czwarte światowych mocy produkcyjnych na wszystkich etapach łańcucha dostaw fotowoltaiki i były głównymi eksporterami płytek, ogniw i modułów. Chińskie przedsiębiorstwa odpowiadają ponadto za ponad 80% światowej produkcji polikrzemu. W 2022 r. ceny energii fotowoltaicznej utrzymywały się zasadniczo na stabilnym poziomie. Cena głównych modułów wynosiła 0,35 EUR/W – ale w pierwszej połowie 2023 r. zaczęły ponownie spadać ze względu na ogromną konkurencję i nadwyżkę podaży komponentów w całym łańcuchu wartości. We wrześniu 2023 r. cena osiągnęła rekordowo niski poziom niemal 0,22 EUR/W, co utrudnia unijnym producentom opłacalną produkcję. </w:t>
      </w:r>
    </w:p>
    <w:p w14:paraId="2EBCEC86" w14:textId="4B1CA339" w:rsidR="00447CCF" w:rsidRDefault="00447CCF" w:rsidP="00447CCF">
      <w:r>
        <w:t>W 2022 r. rynek fotowoltaiki nadal znacząco rósł, a globalna moc zainstalowana wynosiła 1 185 GW (wzrost o 230 GW w ujęciu rok do roku). Chiny były największym jednolitym rynkiem odpowiadającym za moc na poziomie około 90 GW. Był to rekordowy rok dla UE, w której moc zainstalowana wyniosła 41 GW (udział na poziomie 18%). Za ten wzrost odpowiadały głównie Hiszpania (8,1 GW), Niemcy (7,5 GW), Polska (4,9 GW) i Niderlandy (3,9 GW). Szczególnie silny był sektor budynków mieszkalnych, którego udział przekroczył 50%. Wysokie ceny energii elektrycznej przyczyniły się do zwiększenia konkurencyjności fotowoltaicznej energii elektrycznej (której uśredniony koszt użytkowania na skalę przemysłową jest najniższy w przypadku dowolnej technologii na niemal wszystkich rynkach).</w:t>
      </w:r>
    </w:p>
    <w:p w14:paraId="1576161C" w14:textId="77777777" w:rsidR="00447CCF" w:rsidRDefault="00447CCF" w:rsidP="00447CCF">
      <w:pPr>
        <w:pStyle w:val="podtytu2"/>
      </w:pPr>
      <w:r>
        <w:t xml:space="preserve">Lądowa i morska energia wiatrowa </w:t>
      </w:r>
    </w:p>
    <w:p w14:paraId="6E3AEE5C" w14:textId="77777777" w:rsidR="00447CCF" w:rsidRDefault="00447CCF" w:rsidP="00B42FB0">
      <w:pPr>
        <w:spacing w:before="120"/>
      </w:pPr>
      <w:r>
        <w:t>Energia wiatrowa odgrywa istotną rolę w osiągnięciu przez UE neutralności pod względem emisji dwutlenku węgla. W planie REPowerEU wezwano do szybszej instalacji mocy w zakresie energii wiatrowej w celu zainstalowania do 2030 r. 510 GW mocy w zakresie energii wiatrowej. Według prognoz, udział energii wiatrowej w zdolnościach wytwórczych energii elektrycznej w UE w 2030 r. wyniesie 31%. Jednocześnie unijny sektor energii wiatrowej stoi w obliczu szeregu wyzwań. Aby rozwiązać te problemy i zwiększyć konkurencyjność UE w tym sektorze, Komisja przyjęła plan działania na rzecz energii wiatrowej.</w:t>
      </w:r>
    </w:p>
    <w:p w14:paraId="0C51FEA7" w14:textId="1971BA84" w:rsidR="00447CCF" w:rsidRDefault="00447CCF" w:rsidP="00447CCF">
      <w:r>
        <w:t>Unijny sektor energii wiatrowej pozostaje jednym z najsilniejszych podmiotów na rynku światowym. W 2022 r. udział unijnych producentów w unijnym rynku energii wiatrowej wyniósł 85%, a w rynku światowym – 30%, co stanowi spadek z poziomu 42% osiągniętego w 2019 r. W szczególności w przypadku sektora morskiego udział unijnych przedsiębiorstw w rynku instalacji w UE w 2022 r. wyniósł 94%.</w:t>
      </w:r>
    </w:p>
    <w:p w14:paraId="40A30AB5" w14:textId="77777777" w:rsidR="00447CCF" w:rsidRDefault="00447CCF" w:rsidP="00447CCF">
      <w:pPr>
        <w:pStyle w:val="podtytu2"/>
      </w:pPr>
      <w:r>
        <w:t>Baterie</w:t>
      </w:r>
    </w:p>
    <w:p w14:paraId="49DEAAE1" w14:textId="77777777" w:rsidR="00447CCF" w:rsidRDefault="00447CCF" w:rsidP="00DC6232">
      <w:pPr>
        <w:spacing w:before="120"/>
      </w:pPr>
      <w:r>
        <w:t>Baterie odgrywają kluczową rolę w przejściu na czystą energię, zarówno w transporcie, jak i w zastosowaniach stacjonarnych. W ramach realizacji unijnych celów takich jak przejście w UE wyłącznie na bezemisyjne nowe pojazdy lekkie do 2035 r, zwiększenie</w:t>
      </w:r>
      <w:r w:rsidRPr="0065650C">
        <w:t xml:space="preserve"> </w:t>
      </w:r>
      <w:r>
        <w:t xml:space="preserve">konkurencyjności w skali globalnej, osiąganie unijnych celów politycznych i zapobieganiu powstawaniu nowych zależności od paliw kopalnych. UE znacznie zwiększa wewnętrzną produkcję baterii. </w:t>
      </w:r>
    </w:p>
    <w:p w14:paraId="7E4E4D81" w14:textId="52EF6E43" w:rsidR="00447CCF" w:rsidRDefault="00447CCF" w:rsidP="00447CCF">
      <w:r>
        <w:t xml:space="preserve">Produkcja baterii w UE ma osiągnąć </w:t>
      </w:r>
      <w:r w:rsidR="00534C14">
        <w:t xml:space="preserve">roczny </w:t>
      </w:r>
      <w:r>
        <w:t xml:space="preserve">poziom 1 083 GWh do 2030 r., co ma pozwolić na zaspokojenie prognozowanego zapotrzebowania w UE. </w:t>
      </w:r>
    </w:p>
    <w:p w14:paraId="1D0050EA" w14:textId="0E77D406" w:rsidR="00447CCF" w:rsidRDefault="00A62AB6" w:rsidP="00447CCF">
      <w:r>
        <w:t>W celu</w:t>
      </w:r>
      <w:r w:rsidR="00447CCF">
        <w:t xml:space="preserve"> osiągn</w:t>
      </w:r>
      <w:r>
        <w:t>ięcia</w:t>
      </w:r>
      <w:r w:rsidR="00447CCF">
        <w:t xml:space="preserve"> unijn</w:t>
      </w:r>
      <w:r>
        <w:t>ych</w:t>
      </w:r>
      <w:r w:rsidR="00447CCF">
        <w:t xml:space="preserve"> </w:t>
      </w:r>
      <w:r w:rsidR="00A239D3">
        <w:t>założeń</w:t>
      </w:r>
      <w:r w:rsidR="00447CCF">
        <w:t xml:space="preserve"> pakietu „Fit for 55” i REPowerEU, należy szybko wprowadzić wdrażanie stacjonarnego magazynowania energii, aby osiągnąć prognozowane zapotrzebowanie na poziomie 200 GW do 2030 r. </w:t>
      </w:r>
    </w:p>
    <w:p w14:paraId="302CEF02" w14:textId="77777777" w:rsidR="00447CCF" w:rsidRDefault="00447CCF" w:rsidP="00447CCF">
      <w:r>
        <w:t xml:space="preserve">Obecnie szacuje się, że do 2030 r. zapotrzebowanie UE na baterie litowe wyniesie około 1 TWh. Chociaż Chiny nadal pokrywają większość nadmiernego popytu w UE, unijne inwestycje prywatne w lokalną produkcję baterii skłonią przedsiębiorstwa do budowy zakładów w pobliżu linii produkcyjnych pojazdów elektrycznych w celu obniżenia kosztów transportu. Pomimo potencjalnie negatywnego wpływu ustawy o obniżeniu inflacji na rozwój łańcuchów wartości baterii w UE, tempo budowy fabryk baterii w całej Europie rośnie i przewiduje się, że do 2030 r. zaspokoją one większość popytu w UE. </w:t>
      </w:r>
    </w:p>
    <w:p w14:paraId="46D9FCF0" w14:textId="77777777" w:rsidR="00447CCF" w:rsidRDefault="00447CCF" w:rsidP="00447CCF">
      <w:pPr>
        <w:pStyle w:val="podtytu2"/>
      </w:pPr>
      <w:r>
        <w:t xml:space="preserve">Pompy ciepła </w:t>
      </w:r>
    </w:p>
    <w:p w14:paraId="33C95B87" w14:textId="2B0AF47F" w:rsidR="00447CCF" w:rsidRDefault="00F1318E" w:rsidP="00DC6232">
      <w:pPr>
        <w:spacing w:before="120"/>
      </w:pPr>
      <w:r>
        <w:t>Opracowane przez KE scenariusze</w:t>
      </w:r>
      <w:r w:rsidR="00447CCF">
        <w:t xml:space="preserve"> dekarbonizacji oparte na modelach wykazały wysoki potencjał wzrostu</w:t>
      </w:r>
      <w:r>
        <w:t xml:space="preserve"> wykorzystania pomp ciepła w UE</w:t>
      </w:r>
      <w:r w:rsidR="00447CCF">
        <w:t>. Na przykład według modelu POTENCIA opracowanego przez JRC liczba indywidualnych pomp ciepła wykorzystywanych głównie do ogrzewania w UE (13 mln w 2020 r.) ma wzrosnąć 2,5-krotnie do 2030 r. i prawie 10-krotnie do 2050 r. Oczekuje się, że do 2050 r. moc urządzeń spadnie o połowę dzięki lepszej izolacji budynków. co przyczyni się do realizacji ambitnego cele zawartego w planie REPowerEU, polegającym na zainstalowaniu co najmniej 30 mln pomp ciepła do 2030 r.</w:t>
      </w:r>
    </w:p>
    <w:p w14:paraId="4EC929CD" w14:textId="77777777" w:rsidR="00447CCF" w:rsidRDefault="00447CCF" w:rsidP="00447CCF">
      <w:r>
        <w:t>System ciepłowniczy może być preferowanym wariantem ogrzewania na gęsto zaludnionych obszarach miejskich, na których duże pompy ciepła mogą pozyskiwać energię słoneczną, geotermalną lub nadmiar ciepła z procesów przemysłowych lub miejskich. W projekcie Europejski program działań w związku z ociepleniem szacuje się, że do 2050 r. potencjalny udział w rynku systemów ciepłowniczych w Europie wyniesie 50%, przy czym około 25–30% mocy wytwórczych będzie się opierać się na dużych elektrycznych pompach ciepła. Mogłoby to pokryć aż do 38% całkowitej produkcji ciepła w systemach ciepłowniczych.</w:t>
      </w:r>
    </w:p>
    <w:p w14:paraId="16557C8F" w14:textId="77777777" w:rsidR="00447CCF" w:rsidRDefault="00447CCF" w:rsidP="00447CCF">
      <w:r>
        <w:t>Potencjał techniczny przemysłowych pomp ciepła różni się w zależności od sektora – od około 65% ciepła technologicznego w przemyśle papierniczym, 40% w przemyśle spożywczym do 25% w przemyśle chemicznym. W samej Europie można by zastosować pompy ciepła o łącznej mocy 15 GW w prawie 3 000 instalacji.</w:t>
      </w:r>
    </w:p>
    <w:p w14:paraId="689840AE" w14:textId="77777777" w:rsidR="00447CCF" w:rsidRDefault="00447CCF" w:rsidP="00447CCF">
      <w:r>
        <w:t>W przypadku dużych pomp ciepła do zastosowań komercyjnych i sieciowych europejski przemysł ma dominującą pozycję na rynku. Również w przypadku przemysłowych pomp ciepła na rynku działa 17 producentów z UE, 8 z Norwegii i tylko 3 producentów spoza Europy (wszyscy z siedzibą w Japonii). Ich główne komponenty (np. sprężarki) są produkowane lokalnie.</w:t>
      </w:r>
    </w:p>
    <w:p w14:paraId="37269884" w14:textId="77777777" w:rsidR="003F121B" w:rsidRDefault="003F121B" w:rsidP="00447CCF">
      <w:pPr>
        <w:pStyle w:val="podtytu2"/>
      </w:pPr>
    </w:p>
    <w:p w14:paraId="33F63F09" w14:textId="4DEA78BC" w:rsidR="00447CCF" w:rsidRDefault="00447CCF" w:rsidP="00447CCF">
      <w:pPr>
        <w:pStyle w:val="podtytu2"/>
      </w:pPr>
      <w:r>
        <w:t>Elektroliza wody do produkcji wodoru odnawialnego</w:t>
      </w:r>
    </w:p>
    <w:p w14:paraId="08DCFE5C" w14:textId="77777777" w:rsidR="00447CCF" w:rsidRDefault="00447CCF" w:rsidP="003F121B">
      <w:pPr>
        <w:spacing w:before="120"/>
      </w:pPr>
      <w:r w:rsidRPr="0051645B">
        <w:t>Elektroliza wody jest obecnie jedyną technologią umożliwiającą produkcję wodoru odnawialnego na dużą skalę. Może przyczynić się do dekarbonizacji sektorów,</w:t>
      </w:r>
      <w:r>
        <w:t xml:space="preserve"> w </w:t>
      </w:r>
      <w:r w:rsidRPr="0051645B">
        <w:t>których trudno jest zmniejszyć emisje,</w:t>
      </w:r>
      <w:r>
        <w:t xml:space="preserve"> </w:t>
      </w:r>
      <w:r w:rsidRPr="0051645B">
        <w:t>jak przemysł, transport ciężki, morski</w:t>
      </w:r>
      <w:r>
        <w:t xml:space="preserve"> i </w:t>
      </w:r>
      <w:r w:rsidRPr="0051645B">
        <w:t>lotniczy, lub być wykorzystywana do innych zastosowań, takich jak magazynowanie energii.</w:t>
      </w:r>
      <w:r>
        <w:t xml:space="preserve"> W UE w zmienionej dyrektywie w sprawie energii odnawialnej określono szczegółowe cele cząstkowe dotyczące stosowania paliw odnawialnych pochodzenia niebiologicznego do wytwarzania wodoru odnawialnego w przemyśle (42%) i transporcie (1% paliw odnawialnych pochodzenia niebiologicznego i 5,5% w połączeniu z zaawansowanymi biopaliwami) do 2030 r. W nowym rozporządzeniu delegowanym w sprawie definicji paliw odnawialnych pochodzenia niebiologicznego, określono wymogi dotyczące produkcji paliw odnawialnych pochodzenia niebiologicznego, w tym wodoru odnawialnego, takie jak korelacja czasowa i geograficzna oraz zasada dodatkowości. </w:t>
      </w:r>
    </w:p>
    <w:p w14:paraId="2116CAD8" w14:textId="77777777" w:rsidR="00447CCF" w:rsidRDefault="00447CCF" w:rsidP="00447CCF">
      <w:r>
        <w:t xml:space="preserve">W Europie Wspólne Przedsięwzięcie na rzecz Czystego Wodoru inwestuje 2,4 mld EUR w cały łańcuch wartości wodoru. Inwestycje, do których przyczyniły się ważne projekty stanowiące przedmiot wspólnego europejskiego zainteresowania w dziedzinie wodoru, umożliwiły kilku producentom budowę nowych fabryk elektrolizerów w Europie, zwiększając autonomię technologiczną UE, branżowe know-how i tworząc miejsca pracy. Produkcja wodoru ze źródeł odnawialnych wiąże się z pewnymi wyzwaniami. Pojawia się kwestia utraty efektywności energetycznej, co oznacza, że produkcja musi być połączona ze znacznym wytwarzaniem energii elektrycznej ze źródeł odnawialnych. Ponadto przy rozpoczynaniu nowych projektów elektrolizy wody, które mogą pogłębić lokalny deficyt wody w UE i w państwach trzecich, należy wziąć pod uwagę dostęp do zasobów wody słodkiej, aby uniknąć niedoboru kolejnego elementu istotnego dla życia ludzkiego. </w:t>
      </w:r>
    </w:p>
    <w:p w14:paraId="02707586" w14:textId="468680F4" w:rsidR="00447CCF" w:rsidRDefault="00447CCF" w:rsidP="00447CCF">
      <w:r>
        <w:t>Wodór odnawialny</w:t>
      </w:r>
      <w:r w:rsidR="00524EEC">
        <w:t>, w tym pochodzenia niebiologicznego</w:t>
      </w:r>
      <w:r>
        <w:t xml:space="preserve"> i jego pochodne nie są jeszcze przedmiotem handlu światowego, pomimo wzrostu liczby projektów, których celem jest transport wodoru na całym świecie, z regionów bogatych w odnawialne źródła energii, ale o stosunkowo niskim popycie, do regionów o wysokim popycie, takich jak Europa i Japonia. Nie ma jeszcze specjalnego kodeksu handlowego dotyczącego wodoru odnawialnego. Komisji zgłoszono niektóre dobrowolne systemy certyfikacji.</w:t>
      </w:r>
    </w:p>
    <w:p w14:paraId="2F5939DF" w14:textId="77777777" w:rsidR="00447CCF" w:rsidRDefault="00447CCF" w:rsidP="00447CCF">
      <w:r>
        <w:t>Budowanie zdolności produkcyjnych w Europie musi być powiązane z odpowiednią infrastrukturą recyklingu. Konieczne będą dodatkowe badania i inwestycje w zakresie recyklingu, w tym surowców krytycznych niezbędnych do produkcji elektrolizerów. Nowym wyzwaniem będzie opracowanie materiałów zastępczych dla membran, których poziom trwałości i wydajności będzie porównywalny z poziomem zapewnianym dzięki obecnemu stanowi techniki, zazwyczaj opartych na substancjach perfluoroalkilowych i polifluoroalkilowych. Potrzebne są badania w celu znalezienia zadowalających rozwiązań zastępczych.</w:t>
      </w:r>
    </w:p>
    <w:p w14:paraId="0D0DEF97" w14:textId="77777777" w:rsidR="00447CCF" w:rsidRDefault="00447CCF" w:rsidP="00447CCF">
      <w:pPr>
        <w:pStyle w:val="podtytu2"/>
      </w:pPr>
      <w:r>
        <w:t xml:space="preserve">Zrównoważone technologie biometanu </w:t>
      </w:r>
    </w:p>
    <w:p w14:paraId="6AAD3A96" w14:textId="01DA36B4" w:rsidR="00447CCF" w:rsidRDefault="00447CCF" w:rsidP="003F121B">
      <w:pPr>
        <w:spacing w:before="120"/>
      </w:pPr>
      <w:r>
        <w:t>Zrównoważony biometan wnoszą istotny wkład w szybkie i opłacalne osiągnięcie przez UE autonomii energetycznej i neutralności klimatycznej. Komisja zaproponowała w ramach REPowerEU plan działania na rzecz biometanu wspierany przez partnerstwo przemysłowe na rzecz biometanu, którego celem jest zastąpienie około 10% gazu ziemnego rocznie zrównoważoną produkcją biometanu do 2030 r.</w:t>
      </w:r>
      <w:r w:rsidRPr="00B17B63">
        <w:t xml:space="preserve"> </w:t>
      </w:r>
      <w:r>
        <w:t>Uzgodnione rozporządzenie UE w sprawie rynków wewnętrznych gazów ze źródeł odnawialnych i gazu ziemnego oraz wodoru, jak również dyrektywa UE w sprawie wspólnych zasad rynków wewnętrznych gazów odnawialnych i gazu ziemnego oraz wodoru ułatwią działania na rzecz włączenia biometanu do sieci gazowej. W ramach krajowej legislacji w 2022 r. przyjęto znowelizowane przepisy r</w:t>
      </w:r>
      <w:r w:rsidRPr="0097198C">
        <w:t>ozporządzeni</w:t>
      </w:r>
      <w:r>
        <w:t>a</w:t>
      </w:r>
      <w:r w:rsidRPr="0097198C">
        <w:t xml:space="preserve"> w</w:t>
      </w:r>
      <w:r w:rsidR="00B6518A">
        <w:t> </w:t>
      </w:r>
      <w:r w:rsidRPr="0097198C">
        <w:t>sprawie szczegółowych warunków funkcjonowania systemu gazowego</w:t>
      </w:r>
      <w:r>
        <w:t>, które gwarantują biometanowi równouprawniony dostęp do sieci gazowej</w:t>
      </w:r>
      <w:r>
        <w:rPr>
          <w:rStyle w:val="Odwoanieprzypisudolnego"/>
        </w:rPr>
        <w:footnoteReference w:id="29"/>
      </w:r>
      <w:r>
        <w:t>.</w:t>
      </w:r>
    </w:p>
    <w:p w14:paraId="12AD7851" w14:textId="77777777" w:rsidR="00447CCF" w:rsidRDefault="00447CCF" w:rsidP="00447CCF">
      <w:r>
        <w:t xml:space="preserve">Komercyjną technologią produkcji biometanu jest fermentacja beztlenowa, ale wydajność biometanu jest niska. Innowacyjne technologie produkcji biometanu, takie jak zgazowanie pozostałości i odpadów biomasy oraz biologiczna metanizacja biogazu, są bliskie gotowości rynkowej. Obecnie opracowywane są również nowatorskie ścieżki oparte zarówno na procesach termochemicznych, jak i biologicznych. Obecna tendencja do zwiększania produkcji biometanu polega na budowie nowych zakładów i przekształceniu istniejących wytwórni biogazu wytwarzających skojarzoną energię cieplną i elektryczną w zakłady produkujące biometan. </w:t>
      </w:r>
    </w:p>
    <w:p w14:paraId="23ED7D84" w14:textId="77777777" w:rsidR="00447CCF" w:rsidRDefault="00447CCF" w:rsidP="00447CCF">
      <w:r>
        <w:t>Surowce do produkcji biometanu są zróżnicowane i pozyskiwane lokalnie w Europie, bez ryzyka uzależnienia od importu. UE jest liderem w rozwoju technologicznym tego sektora, ale będzie musiała stawić czoła wyzwaniom związanym ze zwiększeniem skali ze względu na wysokie koszty kapitałowe i operacyjne, konkurencyjność kosztową w stosunku do gazu ziemnego oraz dostęp do sieci gazowej. innowacje technologiczne, powielanie pierwszych w swoim rodzaju innowacyjnych technologii biometanu i zachęty rynkowe przy wsparciu UE w postaci stabilnych ram regulacyjnych i inwestycyjnych mogłyby jednak przyczynić się do obniżenia kosztów produkcji o 25–50%. Mogłoby to zwiększyć konkurencyjność UE w tym sektorze. Przejście na pozostałości i surowce odpadowe ogranicza dostępność, ale również zmniejsza koszty nakładów. Obecne instalacje są małe i średnie ze względu na dostępność surowców, logistykę i koszty. Modernizacja istniejących instalacji biogazowych w celu przejścia na biometan wymaga od małych podmiotów (rolników lub MŚP) wysokich kosztów inwestycyjnych, co oznacza, że potrzebne są zachęty dla przedsiębiorstw. Zatłaczanie do sieci nie zawsze jest możliwe, ponieważ elektrownie są budowane tam, gdzie dostępne są surowce, a sieć gazowa nie jest dobrze rozwinięta we wszystkich regionach UE, co wymaga wspierania dostępu do sieci gazowej. Obecnie około połowa wszystkich instalacji produkcji biometanu jest podłączonych do sieci gazu ziemnego.</w:t>
      </w:r>
    </w:p>
    <w:p w14:paraId="68F4EC5E" w14:textId="77777777" w:rsidR="00447CCF" w:rsidRDefault="00447CCF" w:rsidP="00447CCF">
      <w:r>
        <w:t xml:space="preserve">Osiągnięcie celu REPowerEU wynoszącego 35 mld m³ w 2030 r. wymagałoby zarówno budowy nowych instalacji, jak i modernizacji elektrowni biogazowych w celu przejścia na biometan lub około 5 000 mniejszych dodatkowych instalacji produkcji biometanu. Potencjalna produkcja do 2050 r. może osiągnąć 165 mld m³. </w:t>
      </w:r>
    </w:p>
    <w:p w14:paraId="171CD3ED" w14:textId="77777777" w:rsidR="00447CCF" w:rsidRDefault="00447CCF" w:rsidP="00447CCF">
      <w:pPr>
        <w:pStyle w:val="podtytu2"/>
        <w:keepNext/>
      </w:pPr>
      <w:r>
        <w:t xml:space="preserve">Wychwytywanie i składowanie dwutlenku węgla (CCS) </w:t>
      </w:r>
    </w:p>
    <w:p w14:paraId="47FAF5A7" w14:textId="77777777" w:rsidR="00447CCF" w:rsidRDefault="00447CCF" w:rsidP="003F121B">
      <w:pPr>
        <w:spacing w:before="120"/>
      </w:pPr>
      <w:r>
        <w:t xml:space="preserve">Ze scenariuszy Komisji Europejskiej dotyczących osiągnięcia neutralności klimatycznej do 2050 r. wynika, że UE będzie wymagać wychwytywania do 477 mln ton </w:t>
      </w:r>
      <w:r w:rsidRPr="009C2A9D">
        <w:t>CO</w:t>
      </w:r>
      <w:r w:rsidRPr="00EE4725">
        <w:rPr>
          <w:vertAlign w:val="subscript"/>
        </w:rPr>
        <w:t>2</w:t>
      </w:r>
      <w:r>
        <w:t>. Najwyższą wydajność wychwytywania CO</w:t>
      </w:r>
      <w:r w:rsidRPr="00EE4725">
        <w:rPr>
          <w:vertAlign w:val="subscript"/>
        </w:rPr>
        <w:t xml:space="preserve">2 </w:t>
      </w:r>
      <w:r>
        <w:t xml:space="preserve">zapewnią zakłady produkujące cement, biomasę stałą i spalarnie odpadów. </w:t>
      </w:r>
    </w:p>
    <w:p w14:paraId="01AED73F" w14:textId="16AD0060" w:rsidR="00447CCF" w:rsidRDefault="00447CCF" w:rsidP="00447CCF">
      <w:r>
        <w:t xml:space="preserve">Komisja wspiera i reguluje wdrażanie CCS przez ramy legislacyjne, w tym dyrektywy w sprawie CCS i dyrektywy EU ETS. Rozporządzenie </w:t>
      </w:r>
      <w:r w:rsidR="00697CB8">
        <w:t>PE i Rady</w:t>
      </w:r>
      <w:r>
        <w:t xml:space="preserve"> </w:t>
      </w:r>
      <w:r w:rsidRPr="00DF7A90">
        <w:t xml:space="preserve">(UE) 2024/1735 z dnia 13 czerwca 2024 r. </w:t>
      </w:r>
      <w:r>
        <w:t>w sprawie ustanowienia ram środków na rzecz wzmocnienia europejskiego ekosystemu produkcji produktów technologii neutralnych emisyjnie, określa cel dla UE wynoszący co najmniej 50 mln ton zatłaczania CO</w:t>
      </w:r>
      <w:r w:rsidRPr="00BC0452">
        <w:rPr>
          <w:vertAlign w:val="subscript"/>
        </w:rPr>
        <w:t>2</w:t>
      </w:r>
      <w:r>
        <w:t xml:space="preserve"> rocznie do 2030 r. i</w:t>
      </w:r>
      <w:r w:rsidR="002A532C">
        <w:t xml:space="preserve"> </w:t>
      </w:r>
      <w:r>
        <w:t xml:space="preserve">nakłada na unijnych producentów ropy i gazu obowiązek przyczynienia się do osiągnięcia tego celu. </w:t>
      </w:r>
    </w:p>
    <w:p w14:paraId="2B843B9E" w14:textId="77777777" w:rsidR="00447CCF" w:rsidRDefault="00447CCF" w:rsidP="00447CCF">
      <w:r>
        <w:t xml:space="preserve">Rozwijając pełne przemysłowe łańcuchy wartości w zakresie technologii CCS, UE pozostaje w tyle za innymi gospodarkami, takimi jak USA i Kanada. </w:t>
      </w:r>
    </w:p>
    <w:p w14:paraId="0AEFEAEE" w14:textId="6181ECF9" w:rsidR="00447CCF" w:rsidRDefault="00447CCF" w:rsidP="00447CCF">
      <w:r>
        <w:t>Popyt i podaż materiałów wymaganych w łańcuchach wartości CCS są dziedzin</w:t>
      </w:r>
      <w:r w:rsidR="00021DB5">
        <w:t>ami</w:t>
      </w:r>
      <w:r>
        <w:t xml:space="preserve"> wymagając</w:t>
      </w:r>
      <w:r w:rsidR="00021DB5">
        <w:t>ymi</w:t>
      </w:r>
      <w:r>
        <w:t xml:space="preserve"> dalszych badań. CCS jest jednak mniej narażone na ryzyko związane z surowcami krytycznymi niż inne technologie. </w:t>
      </w:r>
    </w:p>
    <w:p w14:paraId="31145E5D" w14:textId="77777777" w:rsidR="00447CCF" w:rsidRDefault="00447CCF" w:rsidP="00447CCF">
      <w:r>
        <w:t xml:space="preserve">CCS to stosunkowo dojrzała i dostępna technologia, jest jednak nadal bardzo kosztowna i wciąż istnieje wiele niepewności z nią związanych np. kwestia akceptacji społecznej. Aby przyczynić się do osiągnięcia neutralności klimatycznej do 2050 r., CCS musi jednak zostać wdrożone na dużą skalę. Nadal niezbędne są dalsze badania naukowe i innowacje w celu poprawy dostępnych technologii lub opracowania nowych innowacyjnych rozwiązań. Głównymi barierami utrudniającymi wprowadzanie CCS są wysokie początkowe koszty inwestycyjne i operacyjne, rozdrobnione ramy regulacyjne, złożoność projektów infrastrukturalnych związanych z pełnym łańcuchem, a także świadomość społeczna. </w:t>
      </w:r>
    </w:p>
    <w:p w14:paraId="4094DF86" w14:textId="77777777" w:rsidR="00A76AA4" w:rsidRDefault="00A76AA4" w:rsidP="00447CCF">
      <w:pPr>
        <w:rPr>
          <w:rFonts w:cstheme="minorHAnsi"/>
        </w:rPr>
      </w:pPr>
      <w:bookmarkStart w:id="587" w:name="_Hlk197526326"/>
    </w:p>
    <w:p w14:paraId="7574EE92" w14:textId="7EA04E33" w:rsidR="00447CCF" w:rsidRPr="001E0DAD" w:rsidRDefault="00447CCF" w:rsidP="00447CCF">
      <w:pPr>
        <w:rPr>
          <w:rFonts w:cstheme="minorHAnsi"/>
        </w:rPr>
      </w:pPr>
      <w:r w:rsidRPr="001E0DAD">
        <w:rPr>
          <w:rFonts w:cstheme="minorHAnsi"/>
        </w:rPr>
        <w:t xml:space="preserve">Technologie omówione w niniejszym opracowaniu należy traktować jedynie jako przykłady możliwych rozwiązań, gdyż </w:t>
      </w:r>
      <w:r>
        <w:rPr>
          <w:rFonts w:cstheme="minorHAnsi"/>
        </w:rPr>
        <w:t>skuteczna</w:t>
      </w:r>
      <w:r w:rsidRPr="001E0DAD">
        <w:rPr>
          <w:rFonts w:cstheme="minorHAnsi"/>
        </w:rPr>
        <w:t xml:space="preserve"> transformacja </w:t>
      </w:r>
      <w:r>
        <w:rPr>
          <w:rFonts w:cstheme="minorHAnsi"/>
        </w:rPr>
        <w:t>energetyczna</w:t>
      </w:r>
      <w:r w:rsidRPr="001E0DAD">
        <w:rPr>
          <w:rFonts w:cstheme="minorHAnsi"/>
        </w:rPr>
        <w:t xml:space="preserve"> wymaga rozwoju znacznie szerszego spektrum innowacyjnych technologii. Wiele z nich jest już rozwijanych w ramach krajowych programów badawczo-rozwojowych. Priorytetowe obszary badawcze obejmują przede wszystkim sektor energetyczny (rozwój rozproszonych źródeł OZE, inteligentnych sieci przesyłowych, magazynowanie energii, systemy zarządzania popytem oraz integrację prosumentów), ciepłownictwo (pompy ciepła, niskoemisyjne źródła ciepła, odzysk ciepła odpadowego, lokalne sieci grzewcze), transport (elektryfikację pojazdów osobowych i ciężarowych, rozbudowę infrastruktury ładowania, systemy transportu publicznego i intermodalnego oraz logistykę o zerowej emisji) oraz rolnictwo i sektor spożywczy (rolnictwo precyzyjne, innowacyjne technologie upraw i hodowli, biogazownie, odzysk składników pokarmowych, nowe źródła białka). Równie istotne są działania w obszarze gospodarki o obiegu zamkniętym (recykling, odzysk surowców z</w:t>
      </w:r>
      <w:r w:rsidR="00B6518A">
        <w:rPr>
          <w:rFonts w:cstheme="minorHAnsi"/>
        </w:rPr>
        <w:t> </w:t>
      </w:r>
      <w:r w:rsidRPr="001E0DAD">
        <w:rPr>
          <w:rFonts w:cstheme="minorHAnsi"/>
        </w:rPr>
        <w:t>produktów złożonych, ograniczanie ilości odpadów i ponowne użycie surowców), gospodarki wodno-ściekowej (technologie oszczędzania wody, odzysk wody i pierwiastków, ograniczanie mikrozanieczyszczeń, inteligentne systemy kanalizacyjne) oraz budownictwa (budynki nisko- i</w:t>
      </w:r>
      <w:r w:rsidR="00B6518A">
        <w:rPr>
          <w:rFonts w:cstheme="minorHAnsi"/>
        </w:rPr>
        <w:t> </w:t>
      </w:r>
      <w:r w:rsidRPr="001E0DAD">
        <w:rPr>
          <w:rFonts w:cstheme="minorHAnsi"/>
        </w:rPr>
        <w:t>zeroemisyjne, prefabrykacja, materiały o niskim śladzie węglowym, automatyka budynków, systemy retencji wody deszczowej).</w:t>
      </w:r>
    </w:p>
    <w:p w14:paraId="44140708" w14:textId="38119344" w:rsidR="00447CCF" w:rsidRDefault="00447CCF" w:rsidP="00447CCF">
      <w:r w:rsidRPr="001E0DAD">
        <w:rPr>
          <w:rFonts w:cstheme="minorHAnsi"/>
        </w:rPr>
        <w:t xml:space="preserve">Kluczowe znaczenie ma także kompleksowa transformacja przemysłu, obejmująca zarówno </w:t>
      </w:r>
      <w:r>
        <w:rPr>
          <w:rFonts w:cstheme="minorHAnsi"/>
        </w:rPr>
        <w:t>przemysł</w:t>
      </w:r>
      <w:r w:rsidRPr="001E0DAD">
        <w:rPr>
          <w:rFonts w:cstheme="minorHAnsi"/>
        </w:rPr>
        <w:t xml:space="preserve"> ciężki, jak i przetwórcz</w:t>
      </w:r>
      <w:r>
        <w:rPr>
          <w:rFonts w:cstheme="minorHAnsi"/>
        </w:rPr>
        <w:t>y</w:t>
      </w:r>
      <w:r w:rsidRPr="001E0DAD">
        <w:rPr>
          <w:rFonts w:cstheme="minorHAnsi"/>
        </w:rPr>
        <w:t>. W hutnictwie, cementowniach i przemyśle chemicznym priorytetem jest elektryfikacja i dekarbonizacja procesów produkcyjnych oraz zastępowanie paliw kopalnych energią odnawialną</w:t>
      </w:r>
      <w:r>
        <w:rPr>
          <w:rFonts w:cstheme="minorHAnsi"/>
        </w:rPr>
        <w:t xml:space="preserve"> i wodorem</w:t>
      </w:r>
      <w:r w:rsidR="007947E1">
        <w:rPr>
          <w:rFonts w:cstheme="minorHAnsi"/>
        </w:rPr>
        <w:t xml:space="preserve"> odnawialnym, w tym pochodzenia niebiologicznego</w:t>
      </w:r>
      <w:r>
        <w:rPr>
          <w:rFonts w:cstheme="minorHAnsi"/>
        </w:rPr>
        <w:t>. Istotną rolę będą grać też</w:t>
      </w:r>
      <w:r w:rsidR="002A532C">
        <w:rPr>
          <w:rFonts w:cstheme="minorHAnsi"/>
        </w:rPr>
        <w:t xml:space="preserve"> </w:t>
      </w:r>
      <w:r>
        <w:rPr>
          <w:rFonts w:cstheme="minorHAnsi"/>
        </w:rPr>
        <w:t>wysokotemperaturowe</w:t>
      </w:r>
      <w:r w:rsidRPr="001E0DAD">
        <w:rPr>
          <w:rFonts w:cstheme="minorHAnsi"/>
        </w:rPr>
        <w:t xml:space="preserve"> pomp</w:t>
      </w:r>
      <w:r>
        <w:rPr>
          <w:rFonts w:cstheme="minorHAnsi"/>
        </w:rPr>
        <w:t>y</w:t>
      </w:r>
      <w:r w:rsidRPr="001E0DAD">
        <w:rPr>
          <w:rFonts w:cstheme="minorHAnsi"/>
        </w:rPr>
        <w:t xml:space="preserve"> ciepła</w:t>
      </w:r>
      <w:r>
        <w:rPr>
          <w:rFonts w:cstheme="minorHAnsi"/>
        </w:rPr>
        <w:t xml:space="preserve"> i magazyny ciepła</w:t>
      </w:r>
      <w:r w:rsidRPr="001E0DAD">
        <w:rPr>
          <w:rFonts w:cstheme="minorHAnsi"/>
        </w:rPr>
        <w:t>, a także rozwój niskoemisyjnych surowców i</w:t>
      </w:r>
      <w:r w:rsidR="00B6518A">
        <w:rPr>
          <w:rFonts w:cstheme="minorHAnsi"/>
        </w:rPr>
        <w:t> </w:t>
      </w:r>
      <w:r w:rsidRPr="001E0DAD">
        <w:rPr>
          <w:rFonts w:cstheme="minorHAnsi"/>
        </w:rPr>
        <w:t>zamkniętych obiegów materiałowych</w:t>
      </w:r>
      <w:r>
        <w:rPr>
          <w:rFonts w:cstheme="minorHAnsi"/>
        </w:rPr>
        <w:t xml:space="preserve">. </w:t>
      </w:r>
      <w:r w:rsidR="00534F4D">
        <w:rPr>
          <w:rFonts w:cstheme="minorHAnsi"/>
        </w:rPr>
        <w:t>Tam,</w:t>
      </w:r>
      <w:r w:rsidRPr="001E0DAD">
        <w:t xml:space="preserve"> </w:t>
      </w:r>
      <w:r>
        <w:t>gdzie redukcja emisji innymi metodami byłaby technicznie niemożliwa lub zbyt kosztowna,</w:t>
      </w:r>
      <w:r w:rsidRPr="001E0DAD" w:rsidDel="001E0DAD">
        <w:rPr>
          <w:rFonts w:cstheme="minorHAnsi"/>
        </w:rPr>
        <w:t xml:space="preserve"> </w:t>
      </w:r>
      <w:r>
        <w:rPr>
          <w:rFonts w:cstheme="minorHAnsi"/>
        </w:rPr>
        <w:t>k</w:t>
      </w:r>
      <w:r w:rsidRPr="001E0DAD">
        <w:rPr>
          <w:rFonts w:cstheme="minorHAnsi"/>
        </w:rPr>
        <w:t>onieczne jest wdrażanie technologii wychwytu, wykorzystania lub składowania dwutlenku węgla. W przemyśle lekkim szczególny nacisk kładzie się na efektywność energetyczną linii technologicznych, odzysk ciepła odpadowego, automatyzację i cyfryzację produkcji, a</w:t>
      </w:r>
      <w:r w:rsidR="00B6518A">
        <w:rPr>
          <w:rFonts w:cstheme="minorHAnsi"/>
        </w:rPr>
        <w:t> </w:t>
      </w:r>
      <w:r w:rsidRPr="001E0DAD">
        <w:rPr>
          <w:rFonts w:cstheme="minorHAnsi"/>
        </w:rPr>
        <w:t xml:space="preserve">także na stosowanie odnawialnych źródeł energii i paliw </w:t>
      </w:r>
      <w:r>
        <w:rPr>
          <w:rFonts w:cstheme="minorHAnsi"/>
        </w:rPr>
        <w:t>zero</w:t>
      </w:r>
      <w:r w:rsidRPr="001E0DAD">
        <w:rPr>
          <w:rFonts w:cstheme="minorHAnsi"/>
        </w:rPr>
        <w:t>emisyjnych. We wszystkich zakładach produkcyjnych rośnie znaczenie zaawansowanych systemów zarządzania energią i materiałami, integrujących lokalne źródła OZE, magazyny energii i recykling surowców w ramach inteligentnych, niskoemisyjnych fabryk.</w:t>
      </w:r>
    </w:p>
    <w:p w14:paraId="21B2EE78" w14:textId="4A52C62A" w:rsidR="005C387C" w:rsidRPr="00F85B97" w:rsidRDefault="00080B39" w:rsidP="005C387C">
      <w:pPr>
        <w:pStyle w:val="Nagwek2"/>
        <w:ind w:left="567"/>
        <w:rPr>
          <w:lang w:bidi="pl-PL"/>
        </w:rPr>
      </w:pPr>
      <w:bookmarkStart w:id="588" w:name="_Toc197959174"/>
      <w:bookmarkStart w:id="589" w:name="_Toc198115494"/>
      <w:bookmarkEnd w:id="586"/>
      <w:bookmarkEnd w:id="587"/>
      <w:r>
        <w:t xml:space="preserve"> </w:t>
      </w:r>
      <w:bookmarkStart w:id="590" w:name="_Toc202966912"/>
      <w:r w:rsidR="005C387C">
        <w:t>N</w:t>
      </w:r>
      <w:r w:rsidR="005C387C" w:rsidRPr="000D4703">
        <w:t>akład</w:t>
      </w:r>
      <w:r w:rsidR="005C387C">
        <w:t>y</w:t>
      </w:r>
      <w:r w:rsidR="005C387C" w:rsidRPr="000D4703">
        <w:t xml:space="preserve"> inwestycyjn</w:t>
      </w:r>
      <w:r w:rsidR="005C387C">
        <w:t>e</w:t>
      </w:r>
      <w:r w:rsidR="005C387C" w:rsidRPr="000D4703">
        <w:t xml:space="preserve"> na </w:t>
      </w:r>
      <w:r w:rsidR="00A11AC4">
        <w:t>badania naukowe i rozwojowe</w:t>
      </w:r>
      <w:r w:rsidR="005C387C" w:rsidRPr="000D4703">
        <w:t xml:space="preserve"> nad ograniczeniem</w:t>
      </w:r>
      <w:r w:rsidR="005C387C">
        <w:rPr>
          <w:lang w:bidi="pl-PL"/>
        </w:rPr>
        <w:t xml:space="preserve"> emisji</w:t>
      </w:r>
      <w:bookmarkEnd w:id="588"/>
      <w:bookmarkEnd w:id="589"/>
      <w:bookmarkEnd w:id="590"/>
    </w:p>
    <w:p w14:paraId="687341B1" w14:textId="154B5E97" w:rsidR="005C387C" w:rsidRPr="00A270E0" w:rsidRDefault="005C387C" w:rsidP="005C387C">
      <w:r w:rsidRPr="00A270E0">
        <w:t xml:space="preserve">Innowacje w zakresie zielonych technologii energetycznych odgrywają ważną rolę dla osiągnięcia celów w ochronie klimatu. Liczba patentów w tym obszarze stale wzrasta, Tempo wprowadzania innowacji w obszarze technologii czystej energii ostatnio uległo pewnemu </w:t>
      </w:r>
      <w:r w:rsidR="00534F4D" w:rsidRPr="00A270E0">
        <w:t>przyspieszeniu.</w:t>
      </w:r>
      <w:r w:rsidRPr="00A270E0">
        <w:t xml:space="preserve"> Wynika to ze wspólnych badań Europejskiego Urzędu Patentowego i Międzynarodowej Agencji Energetycznej. Raport Europejskiego Urzędu Patentowego (EPO) i Międzynarodowej Agencji Energetycznej (IEA) „Patents and Energy transition” pokazuje istotne zmiany w światowych trendach innowacji w energetyce. </w:t>
      </w:r>
    </w:p>
    <w:p w14:paraId="28AC03CF" w14:textId="2AD05B7F" w:rsidR="005C387C" w:rsidRDefault="005C387C" w:rsidP="005C387C">
      <w:pPr>
        <w:pStyle w:val="Legenda"/>
        <w:keepNext/>
      </w:pPr>
      <w:bookmarkStart w:id="591" w:name="_Toc195280201"/>
      <w:bookmarkStart w:id="592" w:name="_Toc198627350"/>
      <w:bookmarkStart w:id="593" w:name="_Toc202967014"/>
      <w:r>
        <w:t xml:space="preserve">Tabela </w:t>
      </w:r>
      <w:r w:rsidR="006A0B5C">
        <w:rPr>
          <w:noProof/>
        </w:rPr>
        <w:fldChar w:fldCharType="begin"/>
      </w:r>
      <w:r w:rsidR="006A0B5C">
        <w:rPr>
          <w:noProof/>
        </w:rPr>
        <w:instrText xml:space="preserve"> STYLEREF 1 \s </w:instrText>
      </w:r>
      <w:r w:rsidR="006A0B5C">
        <w:rPr>
          <w:noProof/>
        </w:rPr>
        <w:fldChar w:fldCharType="separate"/>
      </w:r>
      <w:r w:rsidR="00F27D6F">
        <w:rPr>
          <w:noProof/>
        </w:rPr>
        <w:t>5</w:t>
      </w:r>
      <w:r w:rsidR="006A0B5C">
        <w:rPr>
          <w:noProof/>
        </w:rPr>
        <w:fldChar w:fldCharType="end"/>
      </w:r>
      <w:r>
        <w:t>.</w:t>
      </w:r>
      <w:r w:rsidR="006A0B5C">
        <w:rPr>
          <w:noProof/>
        </w:rPr>
        <w:fldChar w:fldCharType="begin"/>
      </w:r>
      <w:r w:rsidR="006A0B5C">
        <w:rPr>
          <w:noProof/>
        </w:rPr>
        <w:instrText xml:space="preserve"> SEQ Tabela \* ARABIC \s 1 </w:instrText>
      </w:r>
      <w:r w:rsidR="006A0B5C">
        <w:rPr>
          <w:noProof/>
        </w:rPr>
        <w:fldChar w:fldCharType="separate"/>
      </w:r>
      <w:r w:rsidR="00F27D6F">
        <w:rPr>
          <w:noProof/>
        </w:rPr>
        <w:t>1</w:t>
      </w:r>
      <w:r w:rsidR="006A0B5C">
        <w:rPr>
          <w:noProof/>
        </w:rPr>
        <w:fldChar w:fldCharType="end"/>
      </w:r>
      <w:r>
        <w:t xml:space="preserve">. </w:t>
      </w:r>
      <w:r w:rsidRPr="002A31E9">
        <w:t>Nakłady na badania naukowe</w:t>
      </w:r>
      <w:r>
        <w:t xml:space="preserve"> i prace rozwojowe (mln EUR’2024</w:t>
      </w:r>
      <w:r w:rsidRPr="002A31E9">
        <w:t>)</w:t>
      </w:r>
      <w:bookmarkEnd w:id="591"/>
      <w:bookmarkEnd w:id="592"/>
      <w:bookmarkEnd w:id="593"/>
    </w:p>
    <w:tbl>
      <w:tblPr>
        <w:tblStyle w:val="KPEiK"/>
        <w:tblW w:w="5000" w:type="pct"/>
        <w:tblLook w:val="04A0" w:firstRow="1" w:lastRow="0" w:firstColumn="1" w:lastColumn="0" w:noHBand="0" w:noVBand="1"/>
      </w:tblPr>
      <w:tblGrid>
        <w:gridCol w:w="2046"/>
        <w:gridCol w:w="877"/>
        <w:gridCol w:w="877"/>
        <w:gridCol w:w="877"/>
        <w:gridCol w:w="877"/>
        <w:gridCol w:w="877"/>
        <w:gridCol w:w="877"/>
        <w:gridCol w:w="877"/>
        <w:gridCol w:w="877"/>
      </w:tblGrid>
      <w:tr w:rsidR="005C387C" w:rsidRPr="00CA307A" w14:paraId="7D521384" w14:textId="77777777">
        <w:trPr>
          <w:cnfStyle w:val="100000000000" w:firstRow="1" w:lastRow="0" w:firstColumn="0" w:lastColumn="0" w:oddVBand="0" w:evenVBand="0" w:oddHBand="0" w:evenHBand="0" w:firstRowFirstColumn="0" w:firstRowLastColumn="0" w:lastRowFirstColumn="0" w:lastRowLastColumn="0"/>
          <w:trHeight w:val="227"/>
        </w:trPr>
        <w:tc>
          <w:tcPr>
            <w:tcW w:w="2046" w:type="dxa"/>
            <w:noWrap/>
            <w:hideMark/>
          </w:tcPr>
          <w:p w14:paraId="6A1AF43D" w14:textId="77777777" w:rsidR="005C387C" w:rsidRPr="00D96CC6" w:rsidRDefault="005C387C">
            <w:pPr>
              <w:pStyle w:val="Tabele"/>
              <w:jc w:val="center"/>
            </w:pPr>
          </w:p>
        </w:tc>
        <w:tc>
          <w:tcPr>
            <w:tcW w:w="877" w:type="dxa"/>
            <w:noWrap/>
            <w:hideMark/>
          </w:tcPr>
          <w:p w14:paraId="2718B269" w14:textId="77777777" w:rsidR="005C387C" w:rsidRPr="00D96CC6" w:rsidRDefault="005C387C">
            <w:pPr>
              <w:pStyle w:val="Tabele"/>
              <w:jc w:val="center"/>
              <w:rPr>
                <w:b w:val="0"/>
              </w:rPr>
            </w:pPr>
            <w:r w:rsidRPr="00D96CC6">
              <w:t>2005</w:t>
            </w:r>
          </w:p>
        </w:tc>
        <w:tc>
          <w:tcPr>
            <w:tcW w:w="877" w:type="dxa"/>
            <w:noWrap/>
            <w:hideMark/>
          </w:tcPr>
          <w:p w14:paraId="79812F59" w14:textId="77777777" w:rsidR="005C387C" w:rsidRPr="00D96CC6" w:rsidRDefault="005C387C">
            <w:pPr>
              <w:pStyle w:val="Tabele"/>
              <w:jc w:val="center"/>
              <w:rPr>
                <w:b w:val="0"/>
              </w:rPr>
            </w:pPr>
            <w:r w:rsidRPr="00D96CC6">
              <w:t>2010</w:t>
            </w:r>
          </w:p>
        </w:tc>
        <w:tc>
          <w:tcPr>
            <w:tcW w:w="877" w:type="dxa"/>
            <w:noWrap/>
            <w:hideMark/>
          </w:tcPr>
          <w:p w14:paraId="6C0254ED" w14:textId="77777777" w:rsidR="005C387C" w:rsidRPr="00D96CC6" w:rsidRDefault="005C387C">
            <w:pPr>
              <w:pStyle w:val="Tabele"/>
              <w:jc w:val="center"/>
              <w:rPr>
                <w:b w:val="0"/>
              </w:rPr>
            </w:pPr>
            <w:r w:rsidRPr="00D96CC6">
              <w:t>2015</w:t>
            </w:r>
          </w:p>
        </w:tc>
        <w:tc>
          <w:tcPr>
            <w:tcW w:w="877" w:type="dxa"/>
            <w:noWrap/>
            <w:hideMark/>
          </w:tcPr>
          <w:p w14:paraId="30810202" w14:textId="77777777" w:rsidR="005C387C" w:rsidRPr="00D96CC6" w:rsidRDefault="005C387C">
            <w:pPr>
              <w:pStyle w:val="Tabele"/>
              <w:jc w:val="center"/>
              <w:rPr>
                <w:b w:val="0"/>
              </w:rPr>
            </w:pPr>
            <w:r w:rsidRPr="00D96CC6">
              <w:t>2020</w:t>
            </w:r>
          </w:p>
        </w:tc>
        <w:tc>
          <w:tcPr>
            <w:tcW w:w="877" w:type="dxa"/>
            <w:noWrap/>
            <w:hideMark/>
          </w:tcPr>
          <w:p w14:paraId="6036CE95" w14:textId="77777777" w:rsidR="005C387C" w:rsidRPr="00D96CC6" w:rsidRDefault="005C387C">
            <w:pPr>
              <w:pStyle w:val="Tabele"/>
              <w:jc w:val="center"/>
              <w:rPr>
                <w:b w:val="0"/>
              </w:rPr>
            </w:pPr>
            <w:r w:rsidRPr="00D96CC6">
              <w:t>2025</w:t>
            </w:r>
          </w:p>
        </w:tc>
        <w:tc>
          <w:tcPr>
            <w:tcW w:w="877" w:type="dxa"/>
            <w:noWrap/>
            <w:hideMark/>
          </w:tcPr>
          <w:p w14:paraId="31A00B63" w14:textId="77777777" w:rsidR="005C387C" w:rsidRPr="00D96CC6" w:rsidRDefault="005C387C">
            <w:pPr>
              <w:pStyle w:val="Tabele"/>
              <w:jc w:val="center"/>
              <w:rPr>
                <w:b w:val="0"/>
              </w:rPr>
            </w:pPr>
            <w:r w:rsidRPr="00D96CC6">
              <w:t>2030</w:t>
            </w:r>
          </w:p>
        </w:tc>
        <w:tc>
          <w:tcPr>
            <w:tcW w:w="877" w:type="dxa"/>
            <w:noWrap/>
            <w:hideMark/>
          </w:tcPr>
          <w:p w14:paraId="63E1A5F6" w14:textId="77777777" w:rsidR="005C387C" w:rsidRPr="00D96CC6" w:rsidRDefault="005C387C">
            <w:pPr>
              <w:pStyle w:val="Tabele"/>
              <w:jc w:val="center"/>
              <w:rPr>
                <w:b w:val="0"/>
              </w:rPr>
            </w:pPr>
            <w:r w:rsidRPr="00D96CC6">
              <w:t>2035</w:t>
            </w:r>
          </w:p>
        </w:tc>
        <w:tc>
          <w:tcPr>
            <w:tcW w:w="877" w:type="dxa"/>
            <w:noWrap/>
            <w:hideMark/>
          </w:tcPr>
          <w:p w14:paraId="62A8B5C4" w14:textId="77777777" w:rsidR="005C387C" w:rsidRPr="00D96CC6" w:rsidRDefault="005C387C">
            <w:pPr>
              <w:pStyle w:val="Tabele"/>
              <w:jc w:val="center"/>
              <w:rPr>
                <w:b w:val="0"/>
              </w:rPr>
            </w:pPr>
            <w:r w:rsidRPr="00D96CC6">
              <w:t>2040</w:t>
            </w:r>
          </w:p>
        </w:tc>
      </w:tr>
      <w:tr w:rsidR="005C387C" w:rsidRPr="00CA307A" w14:paraId="5CAF8884" w14:textId="77777777">
        <w:trPr>
          <w:trHeight w:val="227"/>
        </w:trPr>
        <w:tc>
          <w:tcPr>
            <w:tcW w:w="2046" w:type="dxa"/>
            <w:noWrap/>
            <w:hideMark/>
          </w:tcPr>
          <w:p w14:paraId="50C39DB2" w14:textId="2653C0B2" w:rsidR="005C387C" w:rsidRPr="00CA307A" w:rsidRDefault="005C387C">
            <w:pPr>
              <w:pStyle w:val="Tabele"/>
              <w:rPr>
                <w:color w:val="auto"/>
              </w:rPr>
            </w:pPr>
            <w:r w:rsidRPr="00CA307A">
              <w:rPr>
                <w:color w:val="auto"/>
              </w:rPr>
              <w:t>Nakłady</w:t>
            </w:r>
          </w:p>
        </w:tc>
        <w:tc>
          <w:tcPr>
            <w:tcW w:w="877" w:type="dxa"/>
            <w:shd w:val="clear" w:color="auto" w:fill="C5E0B3"/>
            <w:noWrap/>
            <w:hideMark/>
          </w:tcPr>
          <w:p w14:paraId="7B85A17C" w14:textId="77777777" w:rsidR="005C387C" w:rsidRPr="00CA307A" w:rsidRDefault="005C387C">
            <w:pPr>
              <w:pStyle w:val="Tabele"/>
              <w:jc w:val="right"/>
              <w:rPr>
                <w:color w:val="auto"/>
              </w:rPr>
            </w:pPr>
            <w:r w:rsidRPr="00707EC0">
              <w:rPr>
                <w:color w:val="auto"/>
                <w:szCs w:val="16"/>
              </w:rPr>
              <w:t>2 054</w:t>
            </w:r>
          </w:p>
        </w:tc>
        <w:tc>
          <w:tcPr>
            <w:tcW w:w="877" w:type="dxa"/>
            <w:shd w:val="clear" w:color="auto" w:fill="C5E0B3"/>
            <w:noWrap/>
            <w:hideMark/>
          </w:tcPr>
          <w:p w14:paraId="5090FA7F" w14:textId="77777777" w:rsidR="005C387C" w:rsidRPr="00CA307A" w:rsidRDefault="005C387C">
            <w:pPr>
              <w:pStyle w:val="Tabele"/>
              <w:jc w:val="right"/>
              <w:rPr>
                <w:color w:val="auto"/>
              </w:rPr>
            </w:pPr>
            <w:r w:rsidRPr="00707EC0">
              <w:rPr>
                <w:color w:val="auto"/>
                <w:szCs w:val="16"/>
              </w:rPr>
              <w:t>3 359</w:t>
            </w:r>
          </w:p>
        </w:tc>
        <w:tc>
          <w:tcPr>
            <w:tcW w:w="877" w:type="dxa"/>
            <w:shd w:val="clear" w:color="auto" w:fill="C5E0B3"/>
            <w:noWrap/>
            <w:hideMark/>
          </w:tcPr>
          <w:p w14:paraId="64E6BC11" w14:textId="77777777" w:rsidR="005C387C" w:rsidRPr="00CA307A" w:rsidRDefault="005C387C">
            <w:pPr>
              <w:pStyle w:val="Tabele"/>
              <w:jc w:val="right"/>
              <w:rPr>
                <w:color w:val="auto"/>
              </w:rPr>
            </w:pPr>
            <w:r w:rsidRPr="00707EC0">
              <w:rPr>
                <w:color w:val="auto"/>
                <w:szCs w:val="16"/>
              </w:rPr>
              <w:t>5 103</w:t>
            </w:r>
          </w:p>
        </w:tc>
        <w:tc>
          <w:tcPr>
            <w:tcW w:w="877" w:type="dxa"/>
            <w:shd w:val="clear" w:color="auto" w:fill="C5E0B3"/>
            <w:noWrap/>
            <w:hideMark/>
          </w:tcPr>
          <w:p w14:paraId="02C9C187" w14:textId="77777777" w:rsidR="005C387C" w:rsidRPr="00CA307A" w:rsidRDefault="005C387C">
            <w:pPr>
              <w:pStyle w:val="Tabele"/>
              <w:jc w:val="right"/>
              <w:rPr>
                <w:color w:val="auto"/>
              </w:rPr>
            </w:pPr>
            <w:r w:rsidRPr="00707EC0">
              <w:rPr>
                <w:color w:val="auto"/>
                <w:szCs w:val="16"/>
              </w:rPr>
              <w:t>11 251</w:t>
            </w:r>
          </w:p>
        </w:tc>
        <w:tc>
          <w:tcPr>
            <w:tcW w:w="877" w:type="dxa"/>
            <w:noWrap/>
            <w:hideMark/>
          </w:tcPr>
          <w:p w14:paraId="11121A5C" w14:textId="77777777" w:rsidR="005C387C" w:rsidRPr="00CA307A" w:rsidRDefault="005C387C">
            <w:pPr>
              <w:pStyle w:val="Tabele"/>
              <w:jc w:val="right"/>
              <w:rPr>
                <w:color w:val="auto"/>
              </w:rPr>
            </w:pPr>
            <w:r w:rsidRPr="00707EC0">
              <w:rPr>
                <w:color w:val="auto"/>
                <w:szCs w:val="16"/>
              </w:rPr>
              <w:t>13 259</w:t>
            </w:r>
          </w:p>
        </w:tc>
        <w:tc>
          <w:tcPr>
            <w:tcW w:w="877" w:type="dxa"/>
            <w:noWrap/>
            <w:hideMark/>
          </w:tcPr>
          <w:p w14:paraId="7E89E561" w14:textId="77777777" w:rsidR="005C387C" w:rsidRPr="00CA307A" w:rsidRDefault="005C387C">
            <w:pPr>
              <w:pStyle w:val="Tabele"/>
              <w:jc w:val="right"/>
              <w:rPr>
                <w:color w:val="auto"/>
              </w:rPr>
            </w:pPr>
            <w:r w:rsidRPr="00707EC0">
              <w:rPr>
                <w:color w:val="auto"/>
                <w:szCs w:val="16"/>
              </w:rPr>
              <w:t>15 267</w:t>
            </w:r>
          </w:p>
        </w:tc>
        <w:tc>
          <w:tcPr>
            <w:tcW w:w="877" w:type="dxa"/>
            <w:noWrap/>
            <w:hideMark/>
          </w:tcPr>
          <w:p w14:paraId="0B31C6A8" w14:textId="77777777" w:rsidR="005C387C" w:rsidRPr="00CA307A" w:rsidRDefault="005C387C">
            <w:pPr>
              <w:pStyle w:val="Tabele"/>
              <w:jc w:val="right"/>
              <w:rPr>
                <w:color w:val="auto"/>
              </w:rPr>
            </w:pPr>
            <w:r w:rsidRPr="00707EC0">
              <w:rPr>
                <w:color w:val="auto"/>
                <w:szCs w:val="16"/>
              </w:rPr>
              <w:t>17 223</w:t>
            </w:r>
          </w:p>
        </w:tc>
        <w:tc>
          <w:tcPr>
            <w:tcW w:w="877" w:type="dxa"/>
            <w:noWrap/>
            <w:hideMark/>
          </w:tcPr>
          <w:p w14:paraId="0F9EDDCC" w14:textId="77777777" w:rsidR="005C387C" w:rsidRPr="00CA307A" w:rsidRDefault="005C387C">
            <w:pPr>
              <w:pStyle w:val="Tabele"/>
              <w:jc w:val="right"/>
              <w:rPr>
                <w:color w:val="auto"/>
              </w:rPr>
            </w:pPr>
            <w:r w:rsidRPr="00707EC0">
              <w:rPr>
                <w:color w:val="auto"/>
                <w:szCs w:val="16"/>
              </w:rPr>
              <w:t>19 147</w:t>
            </w:r>
          </w:p>
        </w:tc>
      </w:tr>
    </w:tbl>
    <w:p w14:paraId="55150CA3" w14:textId="77777777" w:rsidR="005C387C" w:rsidRPr="00F85B97" w:rsidRDefault="005C387C" w:rsidP="005C387C">
      <w:pPr>
        <w:pStyle w:val="ardo"/>
      </w:pPr>
      <w:r w:rsidRPr="00335169">
        <w:t>Źródło: GUS: http://stat.gov.pl/wskazniki-makroekonomiczne/</w:t>
      </w:r>
    </w:p>
    <w:p w14:paraId="29963B94" w14:textId="77777777" w:rsidR="005C387C" w:rsidRPr="00D96CC6" w:rsidRDefault="005C387C" w:rsidP="005C387C">
      <w:r w:rsidRPr="00F85B97">
        <w:t>W prognozie nakładów inwestycyjnych ponoszonych na badania i rozwój w sektorach ograniczających emisje założono, że tempo wzrostu tych nakładów w latach 2015-2040 proporcjonalne do tempa wzrostu nakładów na badania i prace rozwojowe ogółem.</w:t>
      </w:r>
    </w:p>
    <w:p w14:paraId="08ABB529" w14:textId="77777777" w:rsidR="00D53FDC" w:rsidRDefault="00D53FDC" w:rsidP="005C387C">
      <w:pPr>
        <w:pStyle w:val="Legenda"/>
      </w:pPr>
      <w:bookmarkStart w:id="594" w:name="_Toc195280203"/>
      <w:bookmarkStart w:id="595" w:name="_Toc198627352"/>
    </w:p>
    <w:p w14:paraId="03787436" w14:textId="54B5CAA4" w:rsidR="005C387C" w:rsidRPr="00D96CC6" w:rsidRDefault="005C387C" w:rsidP="005C387C">
      <w:pPr>
        <w:pStyle w:val="Legenda"/>
      </w:pPr>
      <w:bookmarkStart w:id="596" w:name="_Toc202967015"/>
      <w:r>
        <w:t xml:space="preserve">Tabela </w:t>
      </w:r>
      <w:r w:rsidR="006A0B5C">
        <w:rPr>
          <w:noProof/>
        </w:rPr>
        <w:fldChar w:fldCharType="begin"/>
      </w:r>
      <w:r w:rsidR="006A0B5C">
        <w:rPr>
          <w:noProof/>
        </w:rPr>
        <w:instrText xml:space="preserve"> STYLEREF 1 \s </w:instrText>
      </w:r>
      <w:r w:rsidR="006A0B5C">
        <w:rPr>
          <w:noProof/>
        </w:rPr>
        <w:fldChar w:fldCharType="separate"/>
      </w:r>
      <w:r w:rsidR="00F27D6F">
        <w:rPr>
          <w:noProof/>
        </w:rPr>
        <w:t>5</w:t>
      </w:r>
      <w:r w:rsidR="006A0B5C">
        <w:rPr>
          <w:noProof/>
        </w:rPr>
        <w:fldChar w:fldCharType="end"/>
      </w:r>
      <w:r>
        <w:t>.</w:t>
      </w:r>
      <w:r w:rsidR="006A0B5C">
        <w:rPr>
          <w:noProof/>
        </w:rPr>
        <w:fldChar w:fldCharType="begin"/>
      </w:r>
      <w:r w:rsidR="006A0B5C">
        <w:rPr>
          <w:noProof/>
        </w:rPr>
        <w:instrText xml:space="preserve"> SEQ Tabela \* ARABIC \s 1 </w:instrText>
      </w:r>
      <w:r w:rsidR="006A0B5C">
        <w:rPr>
          <w:noProof/>
        </w:rPr>
        <w:fldChar w:fldCharType="separate"/>
      </w:r>
      <w:r w:rsidR="00F27D6F">
        <w:rPr>
          <w:noProof/>
        </w:rPr>
        <w:t>2</w:t>
      </w:r>
      <w:r w:rsidR="006A0B5C">
        <w:rPr>
          <w:noProof/>
        </w:rPr>
        <w:fldChar w:fldCharType="end"/>
      </w:r>
      <w:r>
        <w:t xml:space="preserve">. </w:t>
      </w:r>
      <w:r w:rsidRPr="00D96CC6">
        <w:t>Prognoza sumarycznych nakładów ponoszonych na badania nad ogr</w:t>
      </w:r>
      <w:r>
        <w:t xml:space="preserve">aniczaniem emisji do </w:t>
      </w:r>
      <w:r w:rsidR="00F128CB">
        <w:t>2040 r.</w:t>
      </w:r>
      <w:r>
        <w:t xml:space="preserve"> </w:t>
      </w:r>
      <w:r w:rsidRPr="00D96CC6">
        <w:t>(mln</w:t>
      </w:r>
      <w:r>
        <w:t> EUR’2024</w:t>
      </w:r>
      <w:r w:rsidRPr="00D96CC6">
        <w:t>)</w:t>
      </w:r>
      <w:bookmarkEnd w:id="594"/>
      <w:bookmarkEnd w:id="595"/>
      <w:bookmarkEnd w:id="596"/>
    </w:p>
    <w:tbl>
      <w:tblPr>
        <w:tblW w:w="5000" w:type="pct"/>
        <w:tblCellMar>
          <w:top w:w="28" w:type="dxa"/>
          <w:left w:w="70" w:type="dxa"/>
          <w:bottom w:w="28" w:type="dxa"/>
          <w:right w:w="70" w:type="dxa"/>
        </w:tblCellMar>
        <w:tblLook w:val="04A0" w:firstRow="1" w:lastRow="0" w:firstColumn="1" w:lastColumn="0" w:noHBand="0" w:noVBand="1"/>
      </w:tblPr>
      <w:tblGrid>
        <w:gridCol w:w="3029"/>
        <w:gridCol w:w="754"/>
        <w:gridCol w:w="752"/>
        <w:gridCol w:w="753"/>
        <w:gridCol w:w="753"/>
        <w:gridCol w:w="753"/>
        <w:gridCol w:w="752"/>
        <w:gridCol w:w="753"/>
        <w:gridCol w:w="753"/>
      </w:tblGrid>
      <w:tr w:rsidR="005C387C" w:rsidRPr="00CA307A" w14:paraId="778A416A" w14:textId="77777777">
        <w:trPr>
          <w:cantSplit/>
          <w:trHeight w:val="227"/>
          <w:tblHeader/>
        </w:trPr>
        <w:tc>
          <w:tcPr>
            <w:tcW w:w="3029" w:type="dxa"/>
            <w:tcBorders>
              <w:top w:val="single" w:sz="8" w:space="0" w:color="808080"/>
              <w:left w:val="single" w:sz="8" w:space="0" w:color="808080"/>
              <w:bottom w:val="single" w:sz="8" w:space="0" w:color="808080"/>
              <w:right w:val="single" w:sz="8" w:space="0" w:color="808080"/>
            </w:tcBorders>
            <w:shd w:val="clear" w:color="000000" w:fill="70AD47"/>
            <w:noWrap/>
            <w:vAlign w:val="center"/>
            <w:hideMark/>
          </w:tcPr>
          <w:p w14:paraId="3F0EEE1F" w14:textId="77777777" w:rsidR="005C387C" w:rsidRPr="00832F9A" w:rsidRDefault="005C387C">
            <w:pPr>
              <w:pStyle w:val="Tabele"/>
              <w:spacing w:after="0"/>
              <w:jc w:val="center"/>
              <w:rPr>
                <w:lang w:eastAsia="pl-PL"/>
              </w:rPr>
            </w:pPr>
          </w:p>
        </w:tc>
        <w:tc>
          <w:tcPr>
            <w:tcW w:w="754" w:type="dxa"/>
            <w:tcBorders>
              <w:top w:val="single" w:sz="8" w:space="0" w:color="808080"/>
              <w:left w:val="nil"/>
              <w:bottom w:val="single" w:sz="8" w:space="0" w:color="808080"/>
              <w:right w:val="single" w:sz="8" w:space="0" w:color="808080"/>
            </w:tcBorders>
            <w:shd w:val="clear" w:color="000000" w:fill="70AD47"/>
            <w:noWrap/>
            <w:vAlign w:val="center"/>
            <w:hideMark/>
          </w:tcPr>
          <w:p w14:paraId="3AD1DF13" w14:textId="77777777" w:rsidR="005C387C" w:rsidRPr="00832F9A" w:rsidRDefault="005C387C">
            <w:pPr>
              <w:pStyle w:val="Tabele"/>
              <w:spacing w:after="0"/>
              <w:jc w:val="center"/>
              <w:rPr>
                <w:b/>
                <w:color w:val="FFFFFF"/>
                <w:lang w:eastAsia="pl-PL"/>
              </w:rPr>
            </w:pPr>
            <w:r w:rsidRPr="00832F9A">
              <w:rPr>
                <w:b/>
                <w:color w:val="FFFFFF"/>
                <w:lang w:eastAsia="pl-PL"/>
              </w:rPr>
              <w:t>2005</w:t>
            </w:r>
          </w:p>
        </w:tc>
        <w:tc>
          <w:tcPr>
            <w:tcW w:w="752" w:type="dxa"/>
            <w:tcBorders>
              <w:top w:val="single" w:sz="8" w:space="0" w:color="808080"/>
              <w:left w:val="nil"/>
              <w:bottom w:val="single" w:sz="8" w:space="0" w:color="808080"/>
              <w:right w:val="single" w:sz="8" w:space="0" w:color="808080"/>
            </w:tcBorders>
            <w:shd w:val="clear" w:color="000000" w:fill="70AD47"/>
            <w:noWrap/>
            <w:vAlign w:val="center"/>
            <w:hideMark/>
          </w:tcPr>
          <w:p w14:paraId="20679E24" w14:textId="77777777" w:rsidR="005C387C" w:rsidRPr="00832F9A" w:rsidRDefault="005C387C">
            <w:pPr>
              <w:pStyle w:val="Tabele"/>
              <w:spacing w:after="0"/>
              <w:jc w:val="center"/>
              <w:rPr>
                <w:b/>
                <w:color w:val="FFFFFF"/>
                <w:lang w:eastAsia="pl-PL"/>
              </w:rPr>
            </w:pPr>
            <w:r w:rsidRPr="00832F9A">
              <w:rPr>
                <w:b/>
                <w:color w:val="FFFFFF"/>
                <w:lang w:eastAsia="pl-PL"/>
              </w:rPr>
              <w:t>2010</w:t>
            </w:r>
          </w:p>
        </w:tc>
        <w:tc>
          <w:tcPr>
            <w:tcW w:w="753" w:type="dxa"/>
            <w:tcBorders>
              <w:top w:val="single" w:sz="8" w:space="0" w:color="808080"/>
              <w:left w:val="nil"/>
              <w:bottom w:val="single" w:sz="8" w:space="0" w:color="808080"/>
              <w:right w:val="single" w:sz="8" w:space="0" w:color="808080"/>
            </w:tcBorders>
            <w:shd w:val="clear" w:color="000000" w:fill="70AD47"/>
            <w:noWrap/>
            <w:vAlign w:val="center"/>
            <w:hideMark/>
          </w:tcPr>
          <w:p w14:paraId="422A946F" w14:textId="77777777" w:rsidR="005C387C" w:rsidRPr="00832F9A" w:rsidRDefault="005C387C">
            <w:pPr>
              <w:pStyle w:val="Tabele"/>
              <w:spacing w:after="0"/>
              <w:jc w:val="center"/>
              <w:rPr>
                <w:b/>
                <w:color w:val="FFFFFF"/>
                <w:lang w:eastAsia="pl-PL"/>
              </w:rPr>
            </w:pPr>
            <w:r w:rsidRPr="00832F9A">
              <w:rPr>
                <w:b/>
                <w:color w:val="FFFFFF"/>
                <w:lang w:eastAsia="pl-PL"/>
              </w:rPr>
              <w:t>2015</w:t>
            </w:r>
          </w:p>
        </w:tc>
        <w:tc>
          <w:tcPr>
            <w:tcW w:w="753" w:type="dxa"/>
            <w:tcBorders>
              <w:top w:val="single" w:sz="8" w:space="0" w:color="808080"/>
              <w:left w:val="nil"/>
              <w:bottom w:val="single" w:sz="8" w:space="0" w:color="808080"/>
              <w:right w:val="single" w:sz="8" w:space="0" w:color="808080"/>
            </w:tcBorders>
            <w:shd w:val="clear" w:color="000000" w:fill="70AD47"/>
            <w:noWrap/>
            <w:vAlign w:val="center"/>
            <w:hideMark/>
          </w:tcPr>
          <w:p w14:paraId="768D397E" w14:textId="77777777" w:rsidR="005C387C" w:rsidRPr="00832F9A" w:rsidRDefault="005C387C">
            <w:pPr>
              <w:pStyle w:val="Tabele"/>
              <w:spacing w:after="0"/>
              <w:jc w:val="center"/>
              <w:rPr>
                <w:b/>
                <w:color w:val="FFFFFF"/>
                <w:lang w:eastAsia="pl-PL"/>
              </w:rPr>
            </w:pPr>
            <w:r w:rsidRPr="00832F9A">
              <w:rPr>
                <w:b/>
                <w:color w:val="FFFFFF"/>
                <w:lang w:eastAsia="pl-PL"/>
              </w:rPr>
              <w:t>2020</w:t>
            </w:r>
          </w:p>
        </w:tc>
        <w:tc>
          <w:tcPr>
            <w:tcW w:w="753" w:type="dxa"/>
            <w:tcBorders>
              <w:top w:val="single" w:sz="8" w:space="0" w:color="808080"/>
              <w:left w:val="nil"/>
              <w:bottom w:val="single" w:sz="8" w:space="0" w:color="808080"/>
              <w:right w:val="single" w:sz="8" w:space="0" w:color="808080"/>
            </w:tcBorders>
            <w:shd w:val="clear" w:color="000000" w:fill="70AD47"/>
            <w:noWrap/>
            <w:vAlign w:val="center"/>
            <w:hideMark/>
          </w:tcPr>
          <w:p w14:paraId="22E38871" w14:textId="77777777" w:rsidR="005C387C" w:rsidRPr="00832F9A" w:rsidRDefault="005C387C">
            <w:pPr>
              <w:pStyle w:val="Tabele"/>
              <w:spacing w:after="0"/>
              <w:jc w:val="center"/>
              <w:rPr>
                <w:b/>
                <w:color w:val="FFFFFF"/>
                <w:lang w:eastAsia="pl-PL"/>
              </w:rPr>
            </w:pPr>
            <w:r w:rsidRPr="00832F9A">
              <w:rPr>
                <w:b/>
                <w:color w:val="FFFFFF"/>
                <w:lang w:eastAsia="pl-PL"/>
              </w:rPr>
              <w:t>2025</w:t>
            </w:r>
          </w:p>
        </w:tc>
        <w:tc>
          <w:tcPr>
            <w:tcW w:w="752" w:type="dxa"/>
            <w:tcBorders>
              <w:top w:val="single" w:sz="8" w:space="0" w:color="808080"/>
              <w:left w:val="nil"/>
              <w:bottom w:val="single" w:sz="8" w:space="0" w:color="808080"/>
              <w:right w:val="single" w:sz="8" w:space="0" w:color="808080"/>
            </w:tcBorders>
            <w:shd w:val="clear" w:color="000000" w:fill="70AD47"/>
            <w:noWrap/>
            <w:vAlign w:val="center"/>
            <w:hideMark/>
          </w:tcPr>
          <w:p w14:paraId="0DF61FA9" w14:textId="77777777" w:rsidR="005C387C" w:rsidRPr="00832F9A" w:rsidRDefault="005C387C">
            <w:pPr>
              <w:pStyle w:val="Tabele"/>
              <w:spacing w:after="0"/>
              <w:jc w:val="center"/>
              <w:rPr>
                <w:b/>
                <w:color w:val="FFFFFF"/>
                <w:lang w:eastAsia="pl-PL"/>
              </w:rPr>
            </w:pPr>
            <w:r w:rsidRPr="00832F9A">
              <w:rPr>
                <w:b/>
                <w:color w:val="FFFFFF"/>
                <w:lang w:eastAsia="pl-PL"/>
              </w:rPr>
              <w:t>2030</w:t>
            </w:r>
          </w:p>
        </w:tc>
        <w:tc>
          <w:tcPr>
            <w:tcW w:w="753" w:type="dxa"/>
            <w:tcBorders>
              <w:top w:val="single" w:sz="8" w:space="0" w:color="808080"/>
              <w:left w:val="nil"/>
              <w:bottom w:val="single" w:sz="8" w:space="0" w:color="808080"/>
              <w:right w:val="single" w:sz="8" w:space="0" w:color="808080"/>
            </w:tcBorders>
            <w:shd w:val="clear" w:color="000000" w:fill="70AD47"/>
            <w:noWrap/>
            <w:vAlign w:val="center"/>
            <w:hideMark/>
          </w:tcPr>
          <w:p w14:paraId="36294A3F" w14:textId="77777777" w:rsidR="005C387C" w:rsidRPr="00832F9A" w:rsidRDefault="005C387C">
            <w:pPr>
              <w:pStyle w:val="Tabele"/>
              <w:spacing w:after="0"/>
              <w:jc w:val="center"/>
              <w:rPr>
                <w:b/>
                <w:color w:val="FFFFFF"/>
                <w:lang w:eastAsia="pl-PL"/>
              </w:rPr>
            </w:pPr>
            <w:r w:rsidRPr="00832F9A">
              <w:rPr>
                <w:b/>
                <w:color w:val="FFFFFF"/>
                <w:lang w:eastAsia="pl-PL"/>
              </w:rPr>
              <w:t>2035</w:t>
            </w:r>
          </w:p>
        </w:tc>
        <w:tc>
          <w:tcPr>
            <w:tcW w:w="753" w:type="dxa"/>
            <w:tcBorders>
              <w:top w:val="single" w:sz="8" w:space="0" w:color="808080"/>
              <w:left w:val="nil"/>
              <w:bottom w:val="single" w:sz="8" w:space="0" w:color="808080"/>
              <w:right w:val="single" w:sz="8" w:space="0" w:color="808080"/>
            </w:tcBorders>
            <w:shd w:val="clear" w:color="000000" w:fill="70AD47"/>
            <w:noWrap/>
            <w:vAlign w:val="center"/>
            <w:hideMark/>
          </w:tcPr>
          <w:p w14:paraId="69122109" w14:textId="77777777" w:rsidR="005C387C" w:rsidRPr="00832F9A" w:rsidRDefault="005C387C">
            <w:pPr>
              <w:pStyle w:val="Tabele"/>
              <w:spacing w:after="0"/>
              <w:jc w:val="center"/>
              <w:rPr>
                <w:b/>
                <w:color w:val="FFFFFF"/>
                <w:lang w:eastAsia="pl-PL"/>
              </w:rPr>
            </w:pPr>
            <w:r w:rsidRPr="00832F9A">
              <w:rPr>
                <w:b/>
                <w:color w:val="FFFFFF"/>
                <w:lang w:eastAsia="pl-PL"/>
              </w:rPr>
              <w:t>2040</w:t>
            </w:r>
          </w:p>
        </w:tc>
      </w:tr>
      <w:tr w:rsidR="005C387C" w:rsidRPr="00CA307A" w14:paraId="298F7F47" w14:textId="77777777">
        <w:trPr>
          <w:cantSplit/>
          <w:trHeight w:val="227"/>
        </w:trPr>
        <w:tc>
          <w:tcPr>
            <w:tcW w:w="3029" w:type="dxa"/>
            <w:tcBorders>
              <w:top w:val="nil"/>
              <w:left w:val="single" w:sz="8" w:space="0" w:color="808080"/>
              <w:bottom w:val="single" w:sz="8" w:space="0" w:color="808080"/>
              <w:right w:val="single" w:sz="8" w:space="0" w:color="808080"/>
            </w:tcBorders>
            <w:noWrap/>
            <w:vAlign w:val="center"/>
            <w:hideMark/>
          </w:tcPr>
          <w:p w14:paraId="0DFC75F9" w14:textId="77777777" w:rsidR="005C387C" w:rsidRPr="00CA307A" w:rsidRDefault="005C387C">
            <w:pPr>
              <w:pStyle w:val="Tabele"/>
              <w:spacing w:after="0"/>
              <w:rPr>
                <w:color w:val="auto"/>
              </w:rPr>
            </w:pPr>
            <w:r w:rsidRPr="00CA307A">
              <w:rPr>
                <w:color w:val="auto"/>
              </w:rPr>
              <w:t>Efektywność energetyczna</w:t>
            </w:r>
          </w:p>
        </w:tc>
        <w:tc>
          <w:tcPr>
            <w:tcW w:w="754" w:type="dxa"/>
            <w:tcBorders>
              <w:top w:val="nil"/>
              <w:left w:val="nil"/>
              <w:bottom w:val="single" w:sz="8" w:space="0" w:color="808080"/>
              <w:right w:val="single" w:sz="8" w:space="0" w:color="808080"/>
            </w:tcBorders>
            <w:shd w:val="clear" w:color="auto" w:fill="C5E0B3"/>
            <w:noWrap/>
            <w:vAlign w:val="center"/>
            <w:hideMark/>
          </w:tcPr>
          <w:p w14:paraId="29468BAE" w14:textId="77777777" w:rsidR="005C387C" w:rsidRPr="00CA307A" w:rsidRDefault="005C387C">
            <w:pPr>
              <w:pStyle w:val="Tabele"/>
              <w:spacing w:after="0"/>
              <w:jc w:val="right"/>
              <w:rPr>
                <w:color w:val="auto"/>
              </w:rPr>
            </w:pPr>
            <w:r w:rsidRPr="00CA307A">
              <w:rPr>
                <w:color w:val="auto"/>
              </w:rPr>
              <w:t>b.d.</w:t>
            </w:r>
          </w:p>
        </w:tc>
        <w:tc>
          <w:tcPr>
            <w:tcW w:w="752" w:type="dxa"/>
            <w:tcBorders>
              <w:top w:val="nil"/>
              <w:left w:val="nil"/>
              <w:bottom w:val="single" w:sz="8" w:space="0" w:color="808080"/>
              <w:right w:val="single" w:sz="8" w:space="0" w:color="808080"/>
            </w:tcBorders>
            <w:shd w:val="clear" w:color="auto" w:fill="C5E0B3"/>
            <w:noWrap/>
            <w:vAlign w:val="center"/>
            <w:hideMark/>
          </w:tcPr>
          <w:p w14:paraId="12694ADC" w14:textId="77777777" w:rsidR="005C387C" w:rsidRPr="00CA307A" w:rsidRDefault="005C387C">
            <w:pPr>
              <w:pStyle w:val="Tabele"/>
              <w:spacing w:after="0"/>
              <w:jc w:val="right"/>
              <w:rPr>
                <w:color w:val="auto"/>
              </w:rPr>
            </w:pPr>
            <w:r w:rsidRPr="00CC201F">
              <w:rPr>
                <w:color w:val="auto"/>
                <w:szCs w:val="16"/>
              </w:rPr>
              <w:t>59,11</w:t>
            </w:r>
          </w:p>
        </w:tc>
        <w:tc>
          <w:tcPr>
            <w:tcW w:w="753" w:type="dxa"/>
            <w:tcBorders>
              <w:top w:val="nil"/>
              <w:left w:val="nil"/>
              <w:bottom w:val="single" w:sz="8" w:space="0" w:color="808080"/>
              <w:right w:val="single" w:sz="8" w:space="0" w:color="808080"/>
            </w:tcBorders>
            <w:shd w:val="clear" w:color="auto" w:fill="C5E0B3"/>
            <w:noWrap/>
            <w:vAlign w:val="center"/>
            <w:hideMark/>
          </w:tcPr>
          <w:p w14:paraId="6C6999AF" w14:textId="77777777" w:rsidR="005C387C" w:rsidRPr="00CA307A" w:rsidRDefault="005C387C">
            <w:pPr>
              <w:pStyle w:val="Tabele"/>
              <w:spacing w:after="0"/>
              <w:jc w:val="right"/>
              <w:rPr>
                <w:color w:val="auto"/>
              </w:rPr>
            </w:pPr>
            <w:r w:rsidRPr="00CC201F">
              <w:rPr>
                <w:color w:val="auto"/>
                <w:szCs w:val="16"/>
              </w:rPr>
              <w:t>20,95</w:t>
            </w:r>
          </w:p>
        </w:tc>
        <w:tc>
          <w:tcPr>
            <w:tcW w:w="753" w:type="dxa"/>
            <w:tcBorders>
              <w:top w:val="nil"/>
              <w:left w:val="nil"/>
              <w:bottom w:val="single" w:sz="8" w:space="0" w:color="808080"/>
              <w:right w:val="single" w:sz="8" w:space="0" w:color="808080"/>
            </w:tcBorders>
            <w:shd w:val="clear" w:color="auto" w:fill="C5E0B3"/>
            <w:vAlign w:val="center"/>
            <w:hideMark/>
          </w:tcPr>
          <w:p w14:paraId="2A39BE85" w14:textId="77777777" w:rsidR="005C387C" w:rsidRPr="00CA307A" w:rsidRDefault="005C387C">
            <w:pPr>
              <w:pStyle w:val="Tabele"/>
              <w:spacing w:after="0"/>
              <w:jc w:val="right"/>
              <w:rPr>
                <w:color w:val="auto"/>
              </w:rPr>
            </w:pPr>
            <w:r w:rsidRPr="00CC201F">
              <w:rPr>
                <w:color w:val="auto"/>
                <w:szCs w:val="16"/>
              </w:rPr>
              <w:t>68,59</w:t>
            </w:r>
          </w:p>
        </w:tc>
        <w:tc>
          <w:tcPr>
            <w:tcW w:w="753" w:type="dxa"/>
            <w:tcBorders>
              <w:top w:val="nil"/>
              <w:left w:val="nil"/>
              <w:bottom w:val="single" w:sz="8" w:space="0" w:color="808080"/>
              <w:right w:val="single" w:sz="8" w:space="0" w:color="808080"/>
            </w:tcBorders>
            <w:noWrap/>
            <w:vAlign w:val="center"/>
            <w:hideMark/>
          </w:tcPr>
          <w:p w14:paraId="044EB62F" w14:textId="77777777" w:rsidR="005C387C" w:rsidRPr="00CC201F" w:rsidRDefault="005C387C">
            <w:pPr>
              <w:pStyle w:val="Tabele"/>
              <w:spacing w:after="0"/>
              <w:jc w:val="right"/>
              <w:rPr>
                <w:color w:val="auto"/>
              </w:rPr>
            </w:pPr>
            <w:r w:rsidRPr="00CC201F">
              <w:rPr>
                <w:color w:val="auto"/>
                <w:szCs w:val="16"/>
              </w:rPr>
              <w:t>80,55</w:t>
            </w:r>
          </w:p>
        </w:tc>
        <w:tc>
          <w:tcPr>
            <w:tcW w:w="752" w:type="dxa"/>
            <w:tcBorders>
              <w:top w:val="nil"/>
              <w:left w:val="nil"/>
              <w:bottom w:val="single" w:sz="8" w:space="0" w:color="808080"/>
              <w:right w:val="single" w:sz="8" w:space="0" w:color="808080"/>
            </w:tcBorders>
            <w:noWrap/>
            <w:vAlign w:val="center"/>
            <w:hideMark/>
          </w:tcPr>
          <w:p w14:paraId="5AAFCF96" w14:textId="77777777" w:rsidR="005C387C" w:rsidRPr="00CC201F" w:rsidRDefault="005C387C">
            <w:pPr>
              <w:pStyle w:val="Tabele"/>
              <w:spacing w:after="0"/>
              <w:jc w:val="right"/>
              <w:rPr>
                <w:color w:val="auto"/>
              </w:rPr>
            </w:pPr>
            <w:r w:rsidRPr="00CC201F">
              <w:rPr>
                <w:color w:val="auto"/>
                <w:szCs w:val="16"/>
              </w:rPr>
              <w:t>92,85</w:t>
            </w:r>
          </w:p>
        </w:tc>
        <w:tc>
          <w:tcPr>
            <w:tcW w:w="753" w:type="dxa"/>
            <w:tcBorders>
              <w:top w:val="nil"/>
              <w:left w:val="nil"/>
              <w:bottom w:val="single" w:sz="8" w:space="0" w:color="808080"/>
              <w:right w:val="single" w:sz="8" w:space="0" w:color="808080"/>
            </w:tcBorders>
            <w:noWrap/>
            <w:vAlign w:val="center"/>
            <w:hideMark/>
          </w:tcPr>
          <w:p w14:paraId="25BB9545" w14:textId="77777777" w:rsidR="005C387C" w:rsidRPr="00CC201F" w:rsidRDefault="005C387C">
            <w:pPr>
              <w:pStyle w:val="Tabele"/>
              <w:spacing w:after="0"/>
              <w:jc w:val="right"/>
              <w:rPr>
                <w:color w:val="auto"/>
              </w:rPr>
            </w:pPr>
            <w:r w:rsidRPr="00CC201F">
              <w:rPr>
                <w:color w:val="auto"/>
                <w:szCs w:val="16"/>
              </w:rPr>
              <w:t>104,81</w:t>
            </w:r>
          </w:p>
        </w:tc>
        <w:tc>
          <w:tcPr>
            <w:tcW w:w="753" w:type="dxa"/>
            <w:tcBorders>
              <w:top w:val="nil"/>
              <w:left w:val="nil"/>
              <w:bottom w:val="single" w:sz="8" w:space="0" w:color="808080"/>
              <w:right w:val="single" w:sz="8" w:space="0" w:color="808080"/>
            </w:tcBorders>
            <w:noWrap/>
            <w:vAlign w:val="center"/>
            <w:hideMark/>
          </w:tcPr>
          <w:p w14:paraId="285A417F" w14:textId="77777777" w:rsidR="005C387C" w:rsidRPr="00CC201F" w:rsidRDefault="005C387C">
            <w:pPr>
              <w:pStyle w:val="Tabele"/>
              <w:spacing w:after="0"/>
              <w:jc w:val="right"/>
              <w:rPr>
                <w:color w:val="auto"/>
              </w:rPr>
            </w:pPr>
            <w:r w:rsidRPr="00CC201F">
              <w:rPr>
                <w:color w:val="auto"/>
                <w:szCs w:val="16"/>
              </w:rPr>
              <w:t>116,42</w:t>
            </w:r>
          </w:p>
        </w:tc>
      </w:tr>
      <w:tr w:rsidR="005C387C" w:rsidRPr="00CA307A" w14:paraId="64A9E908" w14:textId="77777777">
        <w:trPr>
          <w:cantSplit/>
          <w:trHeight w:val="227"/>
        </w:trPr>
        <w:tc>
          <w:tcPr>
            <w:tcW w:w="3029" w:type="dxa"/>
            <w:tcBorders>
              <w:top w:val="nil"/>
              <w:left w:val="single" w:sz="8" w:space="0" w:color="808080"/>
              <w:bottom w:val="single" w:sz="8" w:space="0" w:color="808080"/>
              <w:right w:val="single" w:sz="8" w:space="0" w:color="808080"/>
            </w:tcBorders>
            <w:noWrap/>
            <w:vAlign w:val="center"/>
            <w:hideMark/>
          </w:tcPr>
          <w:p w14:paraId="01128DFB" w14:textId="77777777" w:rsidR="005C387C" w:rsidRPr="00CA307A" w:rsidRDefault="005C387C">
            <w:pPr>
              <w:pStyle w:val="Tabele"/>
              <w:spacing w:after="0"/>
              <w:rPr>
                <w:color w:val="auto"/>
              </w:rPr>
            </w:pPr>
            <w:r w:rsidRPr="00CA307A">
              <w:rPr>
                <w:color w:val="auto"/>
              </w:rPr>
              <w:t>Paliwa kopalne</w:t>
            </w:r>
          </w:p>
        </w:tc>
        <w:tc>
          <w:tcPr>
            <w:tcW w:w="754" w:type="dxa"/>
            <w:tcBorders>
              <w:top w:val="nil"/>
              <w:left w:val="nil"/>
              <w:bottom w:val="single" w:sz="8" w:space="0" w:color="808080"/>
              <w:right w:val="single" w:sz="8" w:space="0" w:color="808080"/>
            </w:tcBorders>
            <w:shd w:val="clear" w:color="auto" w:fill="C5E0B3"/>
            <w:noWrap/>
            <w:vAlign w:val="center"/>
            <w:hideMark/>
          </w:tcPr>
          <w:p w14:paraId="3FDD78BA" w14:textId="77777777" w:rsidR="005C387C" w:rsidRPr="00CA307A" w:rsidRDefault="005C387C">
            <w:pPr>
              <w:pStyle w:val="Tabele"/>
              <w:spacing w:after="0"/>
              <w:jc w:val="right"/>
              <w:rPr>
                <w:color w:val="auto"/>
              </w:rPr>
            </w:pPr>
            <w:r w:rsidRPr="00CA307A">
              <w:rPr>
                <w:color w:val="auto"/>
              </w:rPr>
              <w:t>b.d.</w:t>
            </w:r>
          </w:p>
        </w:tc>
        <w:tc>
          <w:tcPr>
            <w:tcW w:w="752" w:type="dxa"/>
            <w:tcBorders>
              <w:top w:val="nil"/>
              <w:left w:val="nil"/>
              <w:bottom w:val="single" w:sz="8" w:space="0" w:color="808080"/>
              <w:right w:val="single" w:sz="8" w:space="0" w:color="808080"/>
            </w:tcBorders>
            <w:shd w:val="clear" w:color="auto" w:fill="C5E0B3"/>
            <w:noWrap/>
            <w:vAlign w:val="center"/>
            <w:hideMark/>
          </w:tcPr>
          <w:p w14:paraId="2E6D474C" w14:textId="77777777" w:rsidR="005C387C" w:rsidRPr="00CA307A" w:rsidRDefault="005C387C">
            <w:pPr>
              <w:pStyle w:val="Tabele"/>
              <w:spacing w:after="0"/>
              <w:jc w:val="right"/>
              <w:rPr>
                <w:color w:val="auto"/>
              </w:rPr>
            </w:pPr>
            <w:r w:rsidRPr="00CC201F">
              <w:rPr>
                <w:color w:val="auto"/>
                <w:szCs w:val="16"/>
              </w:rPr>
              <w:t>36,95</w:t>
            </w:r>
          </w:p>
        </w:tc>
        <w:tc>
          <w:tcPr>
            <w:tcW w:w="753" w:type="dxa"/>
            <w:tcBorders>
              <w:top w:val="nil"/>
              <w:left w:val="nil"/>
              <w:bottom w:val="single" w:sz="8" w:space="0" w:color="808080"/>
              <w:right w:val="single" w:sz="8" w:space="0" w:color="808080"/>
            </w:tcBorders>
            <w:shd w:val="clear" w:color="auto" w:fill="C5E0B3"/>
            <w:noWrap/>
            <w:vAlign w:val="center"/>
            <w:hideMark/>
          </w:tcPr>
          <w:p w14:paraId="3154F7BE" w14:textId="77777777" w:rsidR="005C387C" w:rsidRPr="00CA307A" w:rsidRDefault="005C387C">
            <w:pPr>
              <w:pStyle w:val="Tabele"/>
              <w:spacing w:after="0"/>
              <w:jc w:val="right"/>
              <w:rPr>
                <w:color w:val="auto"/>
              </w:rPr>
            </w:pPr>
            <w:r w:rsidRPr="00CC201F">
              <w:rPr>
                <w:color w:val="auto"/>
                <w:szCs w:val="16"/>
              </w:rPr>
              <w:t>36,16</w:t>
            </w:r>
          </w:p>
        </w:tc>
        <w:tc>
          <w:tcPr>
            <w:tcW w:w="753" w:type="dxa"/>
            <w:tcBorders>
              <w:top w:val="nil"/>
              <w:left w:val="nil"/>
              <w:bottom w:val="single" w:sz="8" w:space="0" w:color="808080"/>
              <w:right w:val="single" w:sz="8" w:space="0" w:color="808080"/>
            </w:tcBorders>
            <w:shd w:val="clear" w:color="auto" w:fill="C5E0B3"/>
            <w:vAlign w:val="center"/>
            <w:hideMark/>
          </w:tcPr>
          <w:p w14:paraId="23B0F24A" w14:textId="77777777" w:rsidR="005C387C" w:rsidRPr="00CA307A" w:rsidRDefault="005C387C">
            <w:pPr>
              <w:pStyle w:val="Tabele"/>
              <w:spacing w:after="0"/>
              <w:jc w:val="right"/>
              <w:rPr>
                <w:color w:val="auto"/>
              </w:rPr>
            </w:pPr>
            <w:r w:rsidRPr="00CC201F">
              <w:rPr>
                <w:color w:val="auto"/>
                <w:szCs w:val="16"/>
              </w:rPr>
              <w:t>68,43</w:t>
            </w:r>
          </w:p>
        </w:tc>
        <w:tc>
          <w:tcPr>
            <w:tcW w:w="753" w:type="dxa"/>
            <w:tcBorders>
              <w:top w:val="nil"/>
              <w:left w:val="nil"/>
              <w:bottom w:val="single" w:sz="8" w:space="0" w:color="808080"/>
              <w:right w:val="single" w:sz="8" w:space="0" w:color="808080"/>
            </w:tcBorders>
            <w:noWrap/>
            <w:vAlign w:val="center"/>
            <w:hideMark/>
          </w:tcPr>
          <w:p w14:paraId="564BD88C" w14:textId="77777777" w:rsidR="005C387C" w:rsidRPr="00CC201F" w:rsidRDefault="005C387C">
            <w:pPr>
              <w:pStyle w:val="Tabele"/>
              <w:spacing w:after="0"/>
              <w:jc w:val="right"/>
              <w:rPr>
                <w:color w:val="auto"/>
              </w:rPr>
            </w:pPr>
            <w:r w:rsidRPr="00CC201F">
              <w:rPr>
                <w:color w:val="auto"/>
                <w:szCs w:val="16"/>
              </w:rPr>
              <w:t>80,37</w:t>
            </w:r>
          </w:p>
        </w:tc>
        <w:tc>
          <w:tcPr>
            <w:tcW w:w="752" w:type="dxa"/>
            <w:tcBorders>
              <w:top w:val="nil"/>
              <w:left w:val="nil"/>
              <w:bottom w:val="single" w:sz="8" w:space="0" w:color="808080"/>
              <w:right w:val="single" w:sz="8" w:space="0" w:color="808080"/>
            </w:tcBorders>
            <w:noWrap/>
            <w:vAlign w:val="center"/>
            <w:hideMark/>
          </w:tcPr>
          <w:p w14:paraId="36BF60A1" w14:textId="77777777" w:rsidR="005C387C" w:rsidRPr="00CC201F" w:rsidRDefault="005C387C">
            <w:pPr>
              <w:pStyle w:val="Tabele"/>
              <w:spacing w:after="0"/>
              <w:jc w:val="right"/>
              <w:rPr>
                <w:color w:val="auto"/>
              </w:rPr>
            </w:pPr>
            <w:r w:rsidRPr="00CC201F">
              <w:rPr>
                <w:color w:val="auto"/>
                <w:szCs w:val="16"/>
              </w:rPr>
              <w:t>92,65</w:t>
            </w:r>
          </w:p>
        </w:tc>
        <w:tc>
          <w:tcPr>
            <w:tcW w:w="753" w:type="dxa"/>
            <w:tcBorders>
              <w:top w:val="nil"/>
              <w:left w:val="nil"/>
              <w:bottom w:val="single" w:sz="8" w:space="0" w:color="808080"/>
              <w:right w:val="single" w:sz="8" w:space="0" w:color="808080"/>
            </w:tcBorders>
            <w:noWrap/>
            <w:vAlign w:val="center"/>
            <w:hideMark/>
          </w:tcPr>
          <w:p w14:paraId="66EADE4C" w14:textId="77777777" w:rsidR="005C387C" w:rsidRPr="00CC201F" w:rsidRDefault="005C387C">
            <w:pPr>
              <w:pStyle w:val="Tabele"/>
              <w:spacing w:after="0"/>
              <w:jc w:val="right"/>
              <w:rPr>
                <w:color w:val="auto"/>
              </w:rPr>
            </w:pPr>
            <w:r w:rsidRPr="00CC201F">
              <w:rPr>
                <w:color w:val="auto"/>
                <w:szCs w:val="16"/>
              </w:rPr>
              <w:t>104,58</w:t>
            </w:r>
          </w:p>
        </w:tc>
        <w:tc>
          <w:tcPr>
            <w:tcW w:w="753" w:type="dxa"/>
            <w:tcBorders>
              <w:top w:val="nil"/>
              <w:left w:val="nil"/>
              <w:bottom w:val="single" w:sz="8" w:space="0" w:color="808080"/>
              <w:right w:val="single" w:sz="8" w:space="0" w:color="808080"/>
            </w:tcBorders>
            <w:noWrap/>
            <w:vAlign w:val="center"/>
            <w:hideMark/>
          </w:tcPr>
          <w:p w14:paraId="5B5EF355" w14:textId="77777777" w:rsidR="005C387C" w:rsidRPr="00CC201F" w:rsidRDefault="005C387C">
            <w:pPr>
              <w:pStyle w:val="Tabele"/>
              <w:spacing w:after="0"/>
              <w:jc w:val="right"/>
              <w:rPr>
                <w:color w:val="auto"/>
              </w:rPr>
            </w:pPr>
            <w:r w:rsidRPr="00CC201F">
              <w:rPr>
                <w:color w:val="auto"/>
                <w:szCs w:val="16"/>
              </w:rPr>
              <w:t>116,17</w:t>
            </w:r>
          </w:p>
        </w:tc>
      </w:tr>
      <w:tr w:rsidR="005C387C" w:rsidRPr="00CA307A" w14:paraId="1E94CD20" w14:textId="77777777">
        <w:trPr>
          <w:cantSplit/>
          <w:trHeight w:val="227"/>
        </w:trPr>
        <w:tc>
          <w:tcPr>
            <w:tcW w:w="3029" w:type="dxa"/>
            <w:tcBorders>
              <w:top w:val="nil"/>
              <w:left w:val="single" w:sz="8" w:space="0" w:color="808080"/>
              <w:bottom w:val="single" w:sz="8" w:space="0" w:color="808080"/>
              <w:right w:val="single" w:sz="8" w:space="0" w:color="808080"/>
            </w:tcBorders>
            <w:noWrap/>
            <w:vAlign w:val="center"/>
            <w:hideMark/>
          </w:tcPr>
          <w:p w14:paraId="655DB9FC" w14:textId="77777777" w:rsidR="005C387C" w:rsidRPr="00CA307A" w:rsidRDefault="005C387C">
            <w:pPr>
              <w:pStyle w:val="Tabele"/>
              <w:spacing w:after="0"/>
              <w:rPr>
                <w:color w:val="auto"/>
              </w:rPr>
            </w:pPr>
            <w:r w:rsidRPr="00CA307A">
              <w:rPr>
                <w:color w:val="auto"/>
              </w:rPr>
              <w:t>Odnawialne źródła energii</w:t>
            </w:r>
          </w:p>
        </w:tc>
        <w:tc>
          <w:tcPr>
            <w:tcW w:w="754" w:type="dxa"/>
            <w:tcBorders>
              <w:top w:val="nil"/>
              <w:left w:val="nil"/>
              <w:bottom w:val="single" w:sz="8" w:space="0" w:color="808080"/>
              <w:right w:val="single" w:sz="8" w:space="0" w:color="808080"/>
            </w:tcBorders>
            <w:shd w:val="clear" w:color="auto" w:fill="C5E0B3"/>
            <w:noWrap/>
            <w:vAlign w:val="center"/>
            <w:hideMark/>
          </w:tcPr>
          <w:p w14:paraId="57B4EFD5" w14:textId="77777777" w:rsidR="005C387C" w:rsidRPr="00CA307A" w:rsidRDefault="005C387C">
            <w:pPr>
              <w:pStyle w:val="Tabele"/>
              <w:spacing w:after="0"/>
              <w:jc w:val="right"/>
              <w:rPr>
                <w:color w:val="auto"/>
              </w:rPr>
            </w:pPr>
            <w:r w:rsidRPr="00CA307A">
              <w:rPr>
                <w:color w:val="auto"/>
              </w:rPr>
              <w:t>b.d.</w:t>
            </w:r>
          </w:p>
        </w:tc>
        <w:tc>
          <w:tcPr>
            <w:tcW w:w="752" w:type="dxa"/>
            <w:tcBorders>
              <w:top w:val="nil"/>
              <w:left w:val="nil"/>
              <w:bottom w:val="single" w:sz="8" w:space="0" w:color="808080"/>
              <w:right w:val="single" w:sz="8" w:space="0" w:color="808080"/>
            </w:tcBorders>
            <w:shd w:val="clear" w:color="auto" w:fill="C5E0B3"/>
            <w:noWrap/>
            <w:vAlign w:val="center"/>
            <w:hideMark/>
          </w:tcPr>
          <w:p w14:paraId="53619ED0" w14:textId="77777777" w:rsidR="005C387C" w:rsidRPr="00CA307A" w:rsidRDefault="005C387C">
            <w:pPr>
              <w:pStyle w:val="Tabele"/>
              <w:spacing w:after="0"/>
              <w:jc w:val="right"/>
              <w:rPr>
                <w:color w:val="auto"/>
              </w:rPr>
            </w:pPr>
            <w:r w:rsidRPr="00CC201F">
              <w:rPr>
                <w:color w:val="auto"/>
                <w:szCs w:val="16"/>
              </w:rPr>
              <w:t>26,63</w:t>
            </w:r>
          </w:p>
        </w:tc>
        <w:tc>
          <w:tcPr>
            <w:tcW w:w="753" w:type="dxa"/>
            <w:tcBorders>
              <w:top w:val="nil"/>
              <w:left w:val="nil"/>
              <w:bottom w:val="single" w:sz="8" w:space="0" w:color="808080"/>
              <w:right w:val="single" w:sz="8" w:space="0" w:color="808080"/>
            </w:tcBorders>
            <w:shd w:val="clear" w:color="auto" w:fill="C5E0B3"/>
            <w:noWrap/>
            <w:vAlign w:val="center"/>
            <w:hideMark/>
          </w:tcPr>
          <w:p w14:paraId="631662A2" w14:textId="77777777" w:rsidR="005C387C" w:rsidRPr="00CA307A" w:rsidRDefault="005C387C">
            <w:pPr>
              <w:pStyle w:val="Tabele"/>
              <w:spacing w:after="0"/>
              <w:jc w:val="right"/>
              <w:rPr>
                <w:color w:val="auto"/>
              </w:rPr>
            </w:pPr>
            <w:r w:rsidRPr="00CC201F">
              <w:rPr>
                <w:color w:val="auto"/>
                <w:szCs w:val="16"/>
              </w:rPr>
              <w:t>23,41</w:t>
            </w:r>
          </w:p>
        </w:tc>
        <w:tc>
          <w:tcPr>
            <w:tcW w:w="753" w:type="dxa"/>
            <w:tcBorders>
              <w:top w:val="nil"/>
              <w:left w:val="nil"/>
              <w:bottom w:val="single" w:sz="8" w:space="0" w:color="808080"/>
              <w:right w:val="single" w:sz="8" w:space="0" w:color="808080"/>
            </w:tcBorders>
            <w:shd w:val="clear" w:color="auto" w:fill="C5E0B3"/>
            <w:vAlign w:val="center"/>
            <w:hideMark/>
          </w:tcPr>
          <w:p w14:paraId="6CD2CF38" w14:textId="77777777" w:rsidR="005C387C" w:rsidRPr="00CA307A" w:rsidRDefault="005C387C">
            <w:pPr>
              <w:pStyle w:val="Tabele"/>
              <w:spacing w:after="0"/>
              <w:jc w:val="right"/>
              <w:rPr>
                <w:color w:val="auto"/>
              </w:rPr>
            </w:pPr>
            <w:r w:rsidRPr="00CC201F">
              <w:rPr>
                <w:color w:val="auto"/>
                <w:szCs w:val="16"/>
              </w:rPr>
              <w:t>46,</w:t>
            </w:r>
            <w:r w:rsidRPr="00CA307A">
              <w:rPr>
                <w:color w:val="auto"/>
                <w:szCs w:val="16"/>
              </w:rPr>
              <w:t>38</w:t>
            </w:r>
          </w:p>
        </w:tc>
        <w:tc>
          <w:tcPr>
            <w:tcW w:w="753" w:type="dxa"/>
            <w:tcBorders>
              <w:top w:val="nil"/>
              <w:left w:val="nil"/>
              <w:bottom w:val="single" w:sz="8" w:space="0" w:color="808080"/>
              <w:right w:val="single" w:sz="8" w:space="0" w:color="808080"/>
            </w:tcBorders>
            <w:noWrap/>
            <w:vAlign w:val="center"/>
            <w:hideMark/>
          </w:tcPr>
          <w:p w14:paraId="6E648689" w14:textId="77777777" w:rsidR="005C387C" w:rsidRPr="00CC201F" w:rsidRDefault="005C387C">
            <w:pPr>
              <w:pStyle w:val="Tabele"/>
              <w:spacing w:after="0"/>
              <w:jc w:val="right"/>
              <w:rPr>
                <w:color w:val="auto"/>
              </w:rPr>
            </w:pPr>
            <w:r w:rsidRPr="00CC201F">
              <w:rPr>
                <w:color w:val="auto"/>
                <w:szCs w:val="16"/>
              </w:rPr>
              <w:t>54,47</w:t>
            </w:r>
          </w:p>
        </w:tc>
        <w:tc>
          <w:tcPr>
            <w:tcW w:w="752" w:type="dxa"/>
            <w:tcBorders>
              <w:top w:val="nil"/>
              <w:left w:val="nil"/>
              <w:bottom w:val="single" w:sz="8" w:space="0" w:color="808080"/>
              <w:right w:val="single" w:sz="8" w:space="0" w:color="808080"/>
            </w:tcBorders>
            <w:noWrap/>
            <w:vAlign w:val="center"/>
            <w:hideMark/>
          </w:tcPr>
          <w:p w14:paraId="218A24E4" w14:textId="77777777" w:rsidR="005C387C" w:rsidRPr="00CC201F" w:rsidRDefault="005C387C">
            <w:pPr>
              <w:pStyle w:val="Tabele"/>
              <w:spacing w:after="0"/>
              <w:jc w:val="right"/>
              <w:rPr>
                <w:color w:val="auto"/>
              </w:rPr>
            </w:pPr>
            <w:r w:rsidRPr="00CC201F">
              <w:rPr>
                <w:color w:val="auto"/>
                <w:szCs w:val="16"/>
              </w:rPr>
              <w:t>62,79</w:t>
            </w:r>
          </w:p>
        </w:tc>
        <w:tc>
          <w:tcPr>
            <w:tcW w:w="753" w:type="dxa"/>
            <w:tcBorders>
              <w:top w:val="nil"/>
              <w:left w:val="nil"/>
              <w:bottom w:val="single" w:sz="8" w:space="0" w:color="808080"/>
              <w:right w:val="single" w:sz="8" w:space="0" w:color="808080"/>
            </w:tcBorders>
            <w:noWrap/>
            <w:vAlign w:val="center"/>
            <w:hideMark/>
          </w:tcPr>
          <w:p w14:paraId="4BB600B1" w14:textId="77777777" w:rsidR="005C387C" w:rsidRPr="00CC201F" w:rsidRDefault="005C387C">
            <w:pPr>
              <w:pStyle w:val="Tabele"/>
              <w:spacing w:after="0"/>
              <w:jc w:val="right"/>
              <w:rPr>
                <w:color w:val="auto"/>
              </w:rPr>
            </w:pPr>
            <w:r w:rsidRPr="00CC201F">
              <w:rPr>
                <w:color w:val="auto"/>
                <w:szCs w:val="16"/>
              </w:rPr>
              <w:t>70,88</w:t>
            </w:r>
          </w:p>
        </w:tc>
        <w:tc>
          <w:tcPr>
            <w:tcW w:w="753" w:type="dxa"/>
            <w:tcBorders>
              <w:top w:val="nil"/>
              <w:left w:val="nil"/>
              <w:bottom w:val="single" w:sz="8" w:space="0" w:color="808080"/>
              <w:right w:val="single" w:sz="8" w:space="0" w:color="808080"/>
            </w:tcBorders>
            <w:noWrap/>
            <w:vAlign w:val="center"/>
            <w:hideMark/>
          </w:tcPr>
          <w:p w14:paraId="2045532E" w14:textId="77777777" w:rsidR="005C387C" w:rsidRPr="00CC201F" w:rsidRDefault="005C387C">
            <w:pPr>
              <w:pStyle w:val="Tabele"/>
              <w:spacing w:after="0"/>
              <w:jc w:val="right"/>
              <w:rPr>
                <w:color w:val="auto"/>
              </w:rPr>
            </w:pPr>
            <w:r w:rsidRPr="00CC201F">
              <w:rPr>
                <w:color w:val="auto"/>
                <w:szCs w:val="16"/>
              </w:rPr>
              <w:t>78,74</w:t>
            </w:r>
          </w:p>
        </w:tc>
      </w:tr>
      <w:tr w:rsidR="005C387C" w:rsidRPr="00CA307A" w14:paraId="68EEF0AA" w14:textId="77777777">
        <w:trPr>
          <w:cantSplit/>
          <w:trHeight w:val="227"/>
        </w:trPr>
        <w:tc>
          <w:tcPr>
            <w:tcW w:w="3029" w:type="dxa"/>
            <w:tcBorders>
              <w:top w:val="nil"/>
              <w:left w:val="single" w:sz="8" w:space="0" w:color="808080"/>
              <w:bottom w:val="single" w:sz="8" w:space="0" w:color="808080"/>
              <w:right w:val="single" w:sz="8" w:space="0" w:color="808080"/>
            </w:tcBorders>
            <w:noWrap/>
            <w:vAlign w:val="center"/>
            <w:hideMark/>
          </w:tcPr>
          <w:p w14:paraId="4D8E0E0E" w14:textId="77777777" w:rsidR="005C387C" w:rsidRPr="00CA307A" w:rsidRDefault="005C387C">
            <w:pPr>
              <w:pStyle w:val="Tabele"/>
              <w:spacing w:after="0"/>
              <w:rPr>
                <w:color w:val="auto"/>
              </w:rPr>
            </w:pPr>
            <w:r w:rsidRPr="00CA307A">
              <w:rPr>
                <w:color w:val="auto"/>
              </w:rPr>
              <w:t>Energetyka jądrowa</w:t>
            </w:r>
          </w:p>
        </w:tc>
        <w:tc>
          <w:tcPr>
            <w:tcW w:w="754" w:type="dxa"/>
            <w:tcBorders>
              <w:top w:val="nil"/>
              <w:left w:val="nil"/>
              <w:bottom w:val="single" w:sz="8" w:space="0" w:color="808080"/>
              <w:right w:val="single" w:sz="8" w:space="0" w:color="808080"/>
            </w:tcBorders>
            <w:shd w:val="clear" w:color="auto" w:fill="C5E0B3"/>
            <w:noWrap/>
            <w:vAlign w:val="center"/>
            <w:hideMark/>
          </w:tcPr>
          <w:p w14:paraId="5DBE0939" w14:textId="77777777" w:rsidR="005C387C" w:rsidRPr="00CA307A" w:rsidRDefault="005C387C">
            <w:pPr>
              <w:pStyle w:val="Tabele"/>
              <w:spacing w:after="0"/>
              <w:jc w:val="right"/>
              <w:rPr>
                <w:color w:val="auto"/>
              </w:rPr>
            </w:pPr>
            <w:r w:rsidRPr="00CA307A">
              <w:rPr>
                <w:color w:val="auto"/>
              </w:rPr>
              <w:t>b.d.</w:t>
            </w:r>
          </w:p>
        </w:tc>
        <w:tc>
          <w:tcPr>
            <w:tcW w:w="752" w:type="dxa"/>
            <w:tcBorders>
              <w:top w:val="nil"/>
              <w:left w:val="nil"/>
              <w:bottom w:val="single" w:sz="8" w:space="0" w:color="808080"/>
              <w:right w:val="single" w:sz="8" w:space="0" w:color="808080"/>
            </w:tcBorders>
            <w:shd w:val="clear" w:color="auto" w:fill="C5E0B3"/>
            <w:noWrap/>
            <w:vAlign w:val="center"/>
            <w:hideMark/>
          </w:tcPr>
          <w:p w14:paraId="5E74BD40" w14:textId="77777777" w:rsidR="005C387C" w:rsidRPr="00CA307A" w:rsidRDefault="005C387C">
            <w:pPr>
              <w:pStyle w:val="Tabele"/>
              <w:spacing w:after="0"/>
              <w:jc w:val="right"/>
              <w:rPr>
                <w:color w:val="auto"/>
              </w:rPr>
            </w:pPr>
            <w:r w:rsidRPr="00CC201F">
              <w:rPr>
                <w:color w:val="auto"/>
                <w:szCs w:val="16"/>
              </w:rPr>
              <w:t>5,50</w:t>
            </w:r>
          </w:p>
        </w:tc>
        <w:tc>
          <w:tcPr>
            <w:tcW w:w="753" w:type="dxa"/>
            <w:tcBorders>
              <w:top w:val="nil"/>
              <w:left w:val="nil"/>
              <w:bottom w:val="single" w:sz="8" w:space="0" w:color="808080"/>
              <w:right w:val="single" w:sz="8" w:space="0" w:color="808080"/>
            </w:tcBorders>
            <w:shd w:val="clear" w:color="auto" w:fill="C5E0B3"/>
            <w:noWrap/>
            <w:vAlign w:val="center"/>
            <w:hideMark/>
          </w:tcPr>
          <w:p w14:paraId="3F8D2F85" w14:textId="77777777" w:rsidR="005C387C" w:rsidRPr="00CA307A" w:rsidRDefault="005C387C">
            <w:pPr>
              <w:pStyle w:val="Tabele"/>
              <w:spacing w:after="0"/>
              <w:jc w:val="right"/>
              <w:rPr>
                <w:color w:val="auto"/>
              </w:rPr>
            </w:pPr>
            <w:r w:rsidRPr="00CA307A">
              <w:rPr>
                <w:color w:val="auto"/>
                <w:szCs w:val="16"/>
              </w:rPr>
              <w:t>1,</w:t>
            </w:r>
            <w:r w:rsidRPr="00CC201F">
              <w:rPr>
                <w:color w:val="auto"/>
                <w:szCs w:val="16"/>
              </w:rPr>
              <w:t>28</w:t>
            </w:r>
          </w:p>
        </w:tc>
        <w:tc>
          <w:tcPr>
            <w:tcW w:w="753" w:type="dxa"/>
            <w:tcBorders>
              <w:top w:val="nil"/>
              <w:left w:val="nil"/>
              <w:bottom w:val="single" w:sz="8" w:space="0" w:color="808080"/>
              <w:right w:val="single" w:sz="8" w:space="0" w:color="808080"/>
            </w:tcBorders>
            <w:shd w:val="clear" w:color="auto" w:fill="C5E0B3"/>
            <w:vAlign w:val="center"/>
            <w:hideMark/>
          </w:tcPr>
          <w:p w14:paraId="2664D10B" w14:textId="77777777" w:rsidR="005C387C" w:rsidRPr="00CA307A" w:rsidRDefault="005C387C">
            <w:pPr>
              <w:pStyle w:val="Tabele"/>
              <w:spacing w:after="0"/>
              <w:jc w:val="right"/>
              <w:rPr>
                <w:color w:val="auto"/>
              </w:rPr>
            </w:pPr>
            <w:r w:rsidRPr="00CC201F">
              <w:rPr>
                <w:color w:val="auto"/>
                <w:szCs w:val="16"/>
              </w:rPr>
              <w:t>5,64</w:t>
            </w:r>
          </w:p>
        </w:tc>
        <w:tc>
          <w:tcPr>
            <w:tcW w:w="753" w:type="dxa"/>
            <w:tcBorders>
              <w:top w:val="nil"/>
              <w:left w:val="nil"/>
              <w:bottom w:val="single" w:sz="8" w:space="0" w:color="808080"/>
              <w:right w:val="single" w:sz="8" w:space="0" w:color="808080"/>
            </w:tcBorders>
            <w:noWrap/>
            <w:vAlign w:val="center"/>
            <w:hideMark/>
          </w:tcPr>
          <w:p w14:paraId="04B450AB" w14:textId="77777777" w:rsidR="005C387C" w:rsidRPr="00CC201F" w:rsidRDefault="005C387C">
            <w:pPr>
              <w:pStyle w:val="Tabele"/>
              <w:spacing w:after="0"/>
              <w:jc w:val="right"/>
              <w:rPr>
                <w:color w:val="auto"/>
              </w:rPr>
            </w:pPr>
            <w:r w:rsidRPr="00CC201F">
              <w:rPr>
                <w:color w:val="auto"/>
                <w:szCs w:val="16"/>
              </w:rPr>
              <w:t>6,63</w:t>
            </w:r>
          </w:p>
        </w:tc>
        <w:tc>
          <w:tcPr>
            <w:tcW w:w="752" w:type="dxa"/>
            <w:tcBorders>
              <w:top w:val="nil"/>
              <w:left w:val="nil"/>
              <w:bottom w:val="single" w:sz="8" w:space="0" w:color="808080"/>
              <w:right w:val="single" w:sz="8" w:space="0" w:color="808080"/>
            </w:tcBorders>
            <w:noWrap/>
            <w:vAlign w:val="center"/>
            <w:hideMark/>
          </w:tcPr>
          <w:p w14:paraId="1487500B" w14:textId="77777777" w:rsidR="005C387C" w:rsidRPr="00CC201F" w:rsidRDefault="005C387C">
            <w:pPr>
              <w:pStyle w:val="Tabele"/>
              <w:spacing w:after="0"/>
              <w:jc w:val="right"/>
              <w:rPr>
                <w:color w:val="auto"/>
              </w:rPr>
            </w:pPr>
            <w:r w:rsidRPr="00CC201F">
              <w:rPr>
                <w:color w:val="auto"/>
                <w:szCs w:val="16"/>
              </w:rPr>
              <w:t>7,65</w:t>
            </w:r>
          </w:p>
        </w:tc>
        <w:tc>
          <w:tcPr>
            <w:tcW w:w="753" w:type="dxa"/>
            <w:tcBorders>
              <w:top w:val="nil"/>
              <w:left w:val="nil"/>
              <w:bottom w:val="single" w:sz="8" w:space="0" w:color="808080"/>
              <w:right w:val="single" w:sz="8" w:space="0" w:color="808080"/>
            </w:tcBorders>
            <w:noWrap/>
            <w:vAlign w:val="center"/>
            <w:hideMark/>
          </w:tcPr>
          <w:p w14:paraId="26167803" w14:textId="77777777" w:rsidR="005C387C" w:rsidRPr="00CC201F" w:rsidRDefault="005C387C">
            <w:pPr>
              <w:pStyle w:val="Tabele"/>
              <w:spacing w:after="0"/>
              <w:jc w:val="right"/>
              <w:rPr>
                <w:color w:val="auto"/>
              </w:rPr>
            </w:pPr>
            <w:r w:rsidRPr="00CC201F">
              <w:rPr>
                <w:color w:val="auto"/>
                <w:szCs w:val="16"/>
              </w:rPr>
              <w:t>8,63</w:t>
            </w:r>
          </w:p>
        </w:tc>
        <w:tc>
          <w:tcPr>
            <w:tcW w:w="753" w:type="dxa"/>
            <w:tcBorders>
              <w:top w:val="nil"/>
              <w:left w:val="nil"/>
              <w:bottom w:val="single" w:sz="8" w:space="0" w:color="808080"/>
              <w:right w:val="single" w:sz="8" w:space="0" w:color="808080"/>
            </w:tcBorders>
            <w:noWrap/>
            <w:vAlign w:val="center"/>
            <w:hideMark/>
          </w:tcPr>
          <w:p w14:paraId="4706BF8A" w14:textId="77777777" w:rsidR="005C387C" w:rsidRPr="00CC201F" w:rsidRDefault="005C387C">
            <w:pPr>
              <w:pStyle w:val="Tabele"/>
              <w:spacing w:after="0"/>
              <w:jc w:val="right"/>
              <w:rPr>
                <w:color w:val="auto"/>
              </w:rPr>
            </w:pPr>
            <w:r w:rsidRPr="00CC201F">
              <w:rPr>
                <w:color w:val="auto"/>
                <w:szCs w:val="16"/>
              </w:rPr>
              <w:t>9,58</w:t>
            </w:r>
          </w:p>
        </w:tc>
      </w:tr>
      <w:tr w:rsidR="005C387C" w:rsidRPr="00CA307A" w14:paraId="55C2726E" w14:textId="77777777">
        <w:trPr>
          <w:cantSplit/>
          <w:trHeight w:val="227"/>
        </w:trPr>
        <w:tc>
          <w:tcPr>
            <w:tcW w:w="3029" w:type="dxa"/>
            <w:tcBorders>
              <w:top w:val="nil"/>
              <w:left w:val="single" w:sz="8" w:space="0" w:color="808080"/>
              <w:bottom w:val="single" w:sz="8" w:space="0" w:color="808080"/>
              <w:right w:val="single" w:sz="8" w:space="0" w:color="808080"/>
            </w:tcBorders>
            <w:noWrap/>
            <w:vAlign w:val="center"/>
            <w:hideMark/>
          </w:tcPr>
          <w:p w14:paraId="31939A4D" w14:textId="77777777" w:rsidR="005C387C" w:rsidRPr="00CA307A" w:rsidRDefault="005C387C">
            <w:pPr>
              <w:pStyle w:val="Tabele"/>
              <w:spacing w:after="0"/>
              <w:rPr>
                <w:color w:val="auto"/>
              </w:rPr>
            </w:pPr>
            <w:r w:rsidRPr="00CA307A">
              <w:rPr>
                <w:color w:val="auto"/>
              </w:rPr>
              <w:t>Wodór i ogniwa paliwowe</w:t>
            </w:r>
          </w:p>
        </w:tc>
        <w:tc>
          <w:tcPr>
            <w:tcW w:w="754" w:type="dxa"/>
            <w:tcBorders>
              <w:top w:val="nil"/>
              <w:left w:val="nil"/>
              <w:bottom w:val="single" w:sz="8" w:space="0" w:color="808080"/>
              <w:right w:val="single" w:sz="8" w:space="0" w:color="808080"/>
            </w:tcBorders>
            <w:shd w:val="clear" w:color="auto" w:fill="C5E0B3"/>
            <w:noWrap/>
            <w:vAlign w:val="center"/>
            <w:hideMark/>
          </w:tcPr>
          <w:p w14:paraId="06934F12" w14:textId="77777777" w:rsidR="005C387C" w:rsidRPr="00CA307A" w:rsidRDefault="005C387C">
            <w:pPr>
              <w:pStyle w:val="Tabele"/>
              <w:spacing w:after="0"/>
              <w:jc w:val="right"/>
              <w:rPr>
                <w:color w:val="auto"/>
              </w:rPr>
            </w:pPr>
            <w:r w:rsidRPr="00CA307A">
              <w:rPr>
                <w:color w:val="auto"/>
              </w:rPr>
              <w:t>b.d.</w:t>
            </w:r>
          </w:p>
        </w:tc>
        <w:tc>
          <w:tcPr>
            <w:tcW w:w="752" w:type="dxa"/>
            <w:tcBorders>
              <w:top w:val="nil"/>
              <w:left w:val="nil"/>
              <w:bottom w:val="single" w:sz="8" w:space="0" w:color="808080"/>
              <w:right w:val="single" w:sz="8" w:space="0" w:color="808080"/>
            </w:tcBorders>
            <w:shd w:val="clear" w:color="auto" w:fill="C5E0B3"/>
            <w:noWrap/>
            <w:vAlign w:val="center"/>
            <w:hideMark/>
          </w:tcPr>
          <w:p w14:paraId="5C4D29DF" w14:textId="77777777" w:rsidR="005C387C" w:rsidRPr="00CA307A" w:rsidRDefault="005C387C">
            <w:pPr>
              <w:pStyle w:val="Tabele"/>
              <w:spacing w:after="0"/>
              <w:jc w:val="right"/>
              <w:rPr>
                <w:color w:val="auto"/>
              </w:rPr>
            </w:pPr>
            <w:r w:rsidRPr="00CC201F">
              <w:rPr>
                <w:color w:val="auto"/>
                <w:szCs w:val="16"/>
              </w:rPr>
              <w:t>2,16</w:t>
            </w:r>
          </w:p>
        </w:tc>
        <w:tc>
          <w:tcPr>
            <w:tcW w:w="753" w:type="dxa"/>
            <w:tcBorders>
              <w:top w:val="nil"/>
              <w:left w:val="nil"/>
              <w:bottom w:val="single" w:sz="8" w:space="0" w:color="808080"/>
              <w:right w:val="single" w:sz="8" w:space="0" w:color="808080"/>
            </w:tcBorders>
            <w:shd w:val="clear" w:color="auto" w:fill="C5E0B3"/>
            <w:noWrap/>
            <w:vAlign w:val="center"/>
            <w:hideMark/>
          </w:tcPr>
          <w:p w14:paraId="174C4308" w14:textId="77777777" w:rsidR="005C387C" w:rsidRPr="00CA307A" w:rsidRDefault="005C387C">
            <w:pPr>
              <w:pStyle w:val="Tabele"/>
              <w:spacing w:after="0"/>
              <w:jc w:val="right"/>
              <w:rPr>
                <w:color w:val="auto"/>
              </w:rPr>
            </w:pPr>
            <w:r w:rsidRPr="00CC201F">
              <w:rPr>
                <w:color w:val="auto"/>
                <w:szCs w:val="16"/>
              </w:rPr>
              <w:t>2,33</w:t>
            </w:r>
          </w:p>
        </w:tc>
        <w:tc>
          <w:tcPr>
            <w:tcW w:w="753" w:type="dxa"/>
            <w:tcBorders>
              <w:top w:val="nil"/>
              <w:left w:val="nil"/>
              <w:bottom w:val="single" w:sz="8" w:space="0" w:color="808080"/>
              <w:right w:val="single" w:sz="8" w:space="0" w:color="808080"/>
            </w:tcBorders>
            <w:shd w:val="clear" w:color="auto" w:fill="C5E0B3"/>
            <w:vAlign w:val="center"/>
            <w:hideMark/>
          </w:tcPr>
          <w:p w14:paraId="63B43669" w14:textId="77777777" w:rsidR="005C387C" w:rsidRPr="00CA307A" w:rsidRDefault="005C387C">
            <w:pPr>
              <w:pStyle w:val="Tabele"/>
              <w:spacing w:after="0"/>
              <w:jc w:val="right"/>
              <w:rPr>
                <w:color w:val="auto"/>
              </w:rPr>
            </w:pPr>
            <w:r w:rsidRPr="00CC201F">
              <w:rPr>
                <w:color w:val="auto"/>
                <w:szCs w:val="16"/>
              </w:rPr>
              <w:t>4,24</w:t>
            </w:r>
          </w:p>
        </w:tc>
        <w:tc>
          <w:tcPr>
            <w:tcW w:w="753" w:type="dxa"/>
            <w:tcBorders>
              <w:top w:val="nil"/>
              <w:left w:val="nil"/>
              <w:bottom w:val="single" w:sz="8" w:space="0" w:color="808080"/>
              <w:right w:val="single" w:sz="8" w:space="0" w:color="808080"/>
            </w:tcBorders>
            <w:noWrap/>
            <w:vAlign w:val="center"/>
            <w:hideMark/>
          </w:tcPr>
          <w:p w14:paraId="1398564E" w14:textId="77777777" w:rsidR="005C387C" w:rsidRPr="00CC201F" w:rsidRDefault="005C387C">
            <w:pPr>
              <w:pStyle w:val="Tabele"/>
              <w:spacing w:after="0"/>
              <w:jc w:val="right"/>
              <w:rPr>
                <w:color w:val="auto"/>
              </w:rPr>
            </w:pPr>
            <w:r w:rsidRPr="00CC201F">
              <w:rPr>
                <w:color w:val="auto"/>
                <w:szCs w:val="16"/>
              </w:rPr>
              <w:t>4,98</w:t>
            </w:r>
          </w:p>
        </w:tc>
        <w:tc>
          <w:tcPr>
            <w:tcW w:w="752" w:type="dxa"/>
            <w:tcBorders>
              <w:top w:val="nil"/>
              <w:left w:val="nil"/>
              <w:bottom w:val="single" w:sz="8" w:space="0" w:color="808080"/>
              <w:right w:val="single" w:sz="8" w:space="0" w:color="808080"/>
            </w:tcBorders>
            <w:noWrap/>
            <w:vAlign w:val="center"/>
            <w:hideMark/>
          </w:tcPr>
          <w:p w14:paraId="5633A0FD" w14:textId="77777777" w:rsidR="005C387C" w:rsidRPr="00CC201F" w:rsidRDefault="005C387C">
            <w:pPr>
              <w:pStyle w:val="Tabele"/>
              <w:spacing w:after="0"/>
              <w:jc w:val="right"/>
              <w:rPr>
                <w:color w:val="auto"/>
              </w:rPr>
            </w:pPr>
            <w:r w:rsidRPr="00CC201F">
              <w:rPr>
                <w:color w:val="auto"/>
                <w:szCs w:val="16"/>
              </w:rPr>
              <w:t>5,74</w:t>
            </w:r>
          </w:p>
        </w:tc>
        <w:tc>
          <w:tcPr>
            <w:tcW w:w="753" w:type="dxa"/>
            <w:tcBorders>
              <w:top w:val="nil"/>
              <w:left w:val="nil"/>
              <w:bottom w:val="single" w:sz="8" w:space="0" w:color="808080"/>
              <w:right w:val="single" w:sz="8" w:space="0" w:color="808080"/>
            </w:tcBorders>
            <w:noWrap/>
            <w:vAlign w:val="center"/>
            <w:hideMark/>
          </w:tcPr>
          <w:p w14:paraId="15B3DBA9" w14:textId="77777777" w:rsidR="005C387C" w:rsidRPr="00CC201F" w:rsidRDefault="005C387C">
            <w:pPr>
              <w:pStyle w:val="Tabele"/>
              <w:spacing w:after="0"/>
              <w:jc w:val="right"/>
              <w:rPr>
                <w:color w:val="auto"/>
              </w:rPr>
            </w:pPr>
            <w:r w:rsidRPr="00CC201F">
              <w:rPr>
                <w:color w:val="auto"/>
                <w:szCs w:val="16"/>
              </w:rPr>
              <w:t>6,48</w:t>
            </w:r>
          </w:p>
        </w:tc>
        <w:tc>
          <w:tcPr>
            <w:tcW w:w="753" w:type="dxa"/>
            <w:tcBorders>
              <w:top w:val="nil"/>
              <w:left w:val="nil"/>
              <w:bottom w:val="single" w:sz="8" w:space="0" w:color="808080"/>
              <w:right w:val="single" w:sz="8" w:space="0" w:color="808080"/>
            </w:tcBorders>
            <w:noWrap/>
            <w:vAlign w:val="center"/>
            <w:hideMark/>
          </w:tcPr>
          <w:p w14:paraId="2FFE9C64" w14:textId="77777777" w:rsidR="005C387C" w:rsidRPr="00CC201F" w:rsidRDefault="005C387C">
            <w:pPr>
              <w:pStyle w:val="Tabele"/>
              <w:spacing w:after="0"/>
              <w:jc w:val="right"/>
              <w:rPr>
                <w:color w:val="auto"/>
              </w:rPr>
            </w:pPr>
            <w:r w:rsidRPr="00CC201F">
              <w:rPr>
                <w:color w:val="auto"/>
                <w:szCs w:val="16"/>
              </w:rPr>
              <w:t>7,19</w:t>
            </w:r>
          </w:p>
        </w:tc>
      </w:tr>
      <w:tr w:rsidR="005C387C" w:rsidRPr="00CA307A" w14:paraId="0CD4F48F" w14:textId="77777777">
        <w:trPr>
          <w:cantSplit/>
          <w:trHeight w:val="227"/>
        </w:trPr>
        <w:tc>
          <w:tcPr>
            <w:tcW w:w="3029" w:type="dxa"/>
            <w:tcBorders>
              <w:top w:val="nil"/>
              <w:left w:val="single" w:sz="8" w:space="0" w:color="808080"/>
              <w:bottom w:val="single" w:sz="8" w:space="0" w:color="808080"/>
              <w:right w:val="single" w:sz="8" w:space="0" w:color="808080"/>
            </w:tcBorders>
            <w:noWrap/>
            <w:vAlign w:val="center"/>
            <w:hideMark/>
          </w:tcPr>
          <w:p w14:paraId="1FACD874" w14:textId="77777777" w:rsidR="005C387C" w:rsidRPr="00CA307A" w:rsidRDefault="005C387C">
            <w:pPr>
              <w:pStyle w:val="Tabele"/>
              <w:spacing w:after="0"/>
              <w:rPr>
                <w:color w:val="auto"/>
              </w:rPr>
            </w:pPr>
            <w:r w:rsidRPr="00CA307A">
              <w:rPr>
                <w:color w:val="auto"/>
              </w:rPr>
              <w:t>Inne technologie w energetyce i magazynowaniu energii</w:t>
            </w:r>
          </w:p>
        </w:tc>
        <w:tc>
          <w:tcPr>
            <w:tcW w:w="754" w:type="dxa"/>
            <w:tcBorders>
              <w:top w:val="nil"/>
              <w:left w:val="nil"/>
              <w:bottom w:val="single" w:sz="8" w:space="0" w:color="808080"/>
              <w:right w:val="single" w:sz="8" w:space="0" w:color="808080"/>
            </w:tcBorders>
            <w:shd w:val="clear" w:color="auto" w:fill="C5E0B3"/>
            <w:noWrap/>
            <w:vAlign w:val="center"/>
            <w:hideMark/>
          </w:tcPr>
          <w:p w14:paraId="44F8A299" w14:textId="77777777" w:rsidR="005C387C" w:rsidRPr="00CA307A" w:rsidRDefault="005C387C">
            <w:pPr>
              <w:pStyle w:val="Tabele"/>
              <w:spacing w:after="0"/>
              <w:jc w:val="right"/>
              <w:rPr>
                <w:color w:val="auto"/>
              </w:rPr>
            </w:pPr>
            <w:r w:rsidRPr="00CA307A">
              <w:rPr>
                <w:color w:val="auto"/>
              </w:rPr>
              <w:t>b.d.</w:t>
            </w:r>
          </w:p>
        </w:tc>
        <w:tc>
          <w:tcPr>
            <w:tcW w:w="752" w:type="dxa"/>
            <w:tcBorders>
              <w:top w:val="nil"/>
              <w:left w:val="nil"/>
              <w:bottom w:val="single" w:sz="8" w:space="0" w:color="808080"/>
              <w:right w:val="single" w:sz="8" w:space="0" w:color="808080"/>
            </w:tcBorders>
            <w:shd w:val="clear" w:color="auto" w:fill="C5E0B3"/>
            <w:noWrap/>
            <w:vAlign w:val="center"/>
            <w:hideMark/>
          </w:tcPr>
          <w:p w14:paraId="118293DD" w14:textId="77777777" w:rsidR="005C387C" w:rsidRPr="00CA307A" w:rsidRDefault="005C387C">
            <w:pPr>
              <w:pStyle w:val="Tabele"/>
              <w:spacing w:after="0"/>
              <w:jc w:val="right"/>
              <w:rPr>
                <w:color w:val="auto"/>
              </w:rPr>
            </w:pPr>
            <w:r w:rsidRPr="00CC201F">
              <w:rPr>
                <w:color w:val="auto"/>
                <w:szCs w:val="16"/>
              </w:rPr>
              <w:t>20,71</w:t>
            </w:r>
          </w:p>
        </w:tc>
        <w:tc>
          <w:tcPr>
            <w:tcW w:w="753" w:type="dxa"/>
            <w:tcBorders>
              <w:top w:val="nil"/>
              <w:left w:val="nil"/>
              <w:bottom w:val="single" w:sz="8" w:space="0" w:color="808080"/>
              <w:right w:val="single" w:sz="8" w:space="0" w:color="808080"/>
            </w:tcBorders>
            <w:shd w:val="clear" w:color="auto" w:fill="C5E0B3"/>
            <w:noWrap/>
            <w:vAlign w:val="center"/>
            <w:hideMark/>
          </w:tcPr>
          <w:p w14:paraId="596F3550" w14:textId="77777777" w:rsidR="005C387C" w:rsidRPr="00CA307A" w:rsidRDefault="005C387C">
            <w:pPr>
              <w:pStyle w:val="Tabele"/>
              <w:spacing w:after="0"/>
              <w:jc w:val="right"/>
              <w:rPr>
                <w:color w:val="auto"/>
              </w:rPr>
            </w:pPr>
            <w:r w:rsidRPr="00CC201F">
              <w:rPr>
                <w:color w:val="auto"/>
                <w:szCs w:val="16"/>
              </w:rPr>
              <w:t>20,48</w:t>
            </w:r>
          </w:p>
        </w:tc>
        <w:tc>
          <w:tcPr>
            <w:tcW w:w="753" w:type="dxa"/>
            <w:tcBorders>
              <w:top w:val="nil"/>
              <w:left w:val="nil"/>
              <w:bottom w:val="single" w:sz="8" w:space="0" w:color="808080"/>
              <w:right w:val="single" w:sz="8" w:space="0" w:color="808080"/>
            </w:tcBorders>
            <w:shd w:val="clear" w:color="auto" w:fill="C5E0B3"/>
            <w:vAlign w:val="center"/>
            <w:hideMark/>
          </w:tcPr>
          <w:p w14:paraId="1A5D2877" w14:textId="77777777" w:rsidR="005C387C" w:rsidRPr="00CA307A" w:rsidRDefault="005C387C">
            <w:pPr>
              <w:pStyle w:val="Tabele"/>
              <w:spacing w:after="0"/>
              <w:jc w:val="right"/>
              <w:rPr>
                <w:color w:val="auto"/>
              </w:rPr>
            </w:pPr>
            <w:r w:rsidRPr="00CC201F">
              <w:rPr>
                <w:color w:val="auto"/>
                <w:szCs w:val="16"/>
              </w:rPr>
              <w:t>38,59</w:t>
            </w:r>
          </w:p>
        </w:tc>
        <w:tc>
          <w:tcPr>
            <w:tcW w:w="753" w:type="dxa"/>
            <w:tcBorders>
              <w:top w:val="nil"/>
              <w:left w:val="nil"/>
              <w:bottom w:val="single" w:sz="8" w:space="0" w:color="808080"/>
              <w:right w:val="single" w:sz="8" w:space="0" w:color="808080"/>
            </w:tcBorders>
            <w:noWrap/>
            <w:vAlign w:val="center"/>
            <w:hideMark/>
          </w:tcPr>
          <w:p w14:paraId="02E60E03" w14:textId="77777777" w:rsidR="005C387C" w:rsidRPr="00CC201F" w:rsidRDefault="005C387C">
            <w:pPr>
              <w:pStyle w:val="Tabele"/>
              <w:spacing w:after="0"/>
              <w:jc w:val="right"/>
              <w:rPr>
                <w:color w:val="auto"/>
              </w:rPr>
            </w:pPr>
            <w:r w:rsidRPr="00CC201F">
              <w:rPr>
                <w:color w:val="auto"/>
                <w:szCs w:val="16"/>
              </w:rPr>
              <w:t>45,32</w:t>
            </w:r>
          </w:p>
        </w:tc>
        <w:tc>
          <w:tcPr>
            <w:tcW w:w="752" w:type="dxa"/>
            <w:tcBorders>
              <w:top w:val="nil"/>
              <w:left w:val="nil"/>
              <w:bottom w:val="single" w:sz="8" w:space="0" w:color="808080"/>
              <w:right w:val="single" w:sz="8" w:space="0" w:color="808080"/>
            </w:tcBorders>
            <w:noWrap/>
            <w:vAlign w:val="center"/>
            <w:hideMark/>
          </w:tcPr>
          <w:p w14:paraId="4EB44615" w14:textId="77777777" w:rsidR="005C387C" w:rsidRPr="00CC201F" w:rsidRDefault="005C387C">
            <w:pPr>
              <w:pStyle w:val="Tabele"/>
              <w:spacing w:after="0"/>
              <w:jc w:val="right"/>
              <w:rPr>
                <w:color w:val="auto"/>
              </w:rPr>
            </w:pPr>
            <w:r w:rsidRPr="00CC201F">
              <w:rPr>
                <w:color w:val="auto"/>
                <w:szCs w:val="16"/>
              </w:rPr>
              <w:t>52,25</w:t>
            </w:r>
          </w:p>
        </w:tc>
        <w:tc>
          <w:tcPr>
            <w:tcW w:w="753" w:type="dxa"/>
            <w:tcBorders>
              <w:top w:val="nil"/>
              <w:left w:val="nil"/>
              <w:bottom w:val="single" w:sz="8" w:space="0" w:color="808080"/>
              <w:right w:val="single" w:sz="8" w:space="0" w:color="808080"/>
            </w:tcBorders>
            <w:noWrap/>
            <w:vAlign w:val="center"/>
            <w:hideMark/>
          </w:tcPr>
          <w:p w14:paraId="74F167EC" w14:textId="77777777" w:rsidR="005C387C" w:rsidRPr="00CC201F" w:rsidRDefault="005C387C">
            <w:pPr>
              <w:pStyle w:val="Tabele"/>
              <w:spacing w:after="0"/>
              <w:jc w:val="right"/>
              <w:rPr>
                <w:color w:val="auto"/>
              </w:rPr>
            </w:pPr>
            <w:r w:rsidRPr="00CC201F">
              <w:rPr>
                <w:color w:val="auto"/>
                <w:szCs w:val="16"/>
              </w:rPr>
              <w:t>58,97</w:t>
            </w:r>
          </w:p>
        </w:tc>
        <w:tc>
          <w:tcPr>
            <w:tcW w:w="753" w:type="dxa"/>
            <w:tcBorders>
              <w:top w:val="nil"/>
              <w:left w:val="nil"/>
              <w:bottom w:val="single" w:sz="8" w:space="0" w:color="808080"/>
              <w:right w:val="single" w:sz="8" w:space="0" w:color="808080"/>
            </w:tcBorders>
            <w:noWrap/>
            <w:vAlign w:val="center"/>
            <w:hideMark/>
          </w:tcPr>
          <w:p w14:paraId="6C2CC6D6" w14:textId="77777777" w:rsidR="005C387C" w:rsidRPr="00CC201F" w:rsidRDefault="005C387C">
            <w:pPr>
              <w:pStyle w:val="Tabele"/>
              <w:spacing w:after="0"/>
              <w:jc w:val="right"/>
              <w:rPr>
                <w:color w:val="auto"/>
              </w:rPr>
            </w:pPr>
            <w:r w:rsidRPr="00CC201F">
              <w:rPr>
                <w:color w:val="auto"/>
                <w:szCs w:val="16"/>
              </w:rPr>
              <w:t>65,50</w:t>
            </w:r>
          </w:p>
        </w:tc>
      </w:tr>
      <w:tr w:rsidR="005C387C" w:rsidRPr="00CA307A" w14:paraId="23B9BADA" w14:textId="77777777">
        <w:trPr>
          <w:cantSplit/>
          <w:trHeight w:val="227"/>
        </w:trPr>
        <w:tc>
          <w:tcPr>
            <w:tcW w:w="3029" w:type="dxa"/>
            <w:tcBorders>
              <w:top w:val="nil"/>
              <w:left w:val="single" w:sz="8" w:space="0" w:color="808080"/>
              <w:bottom w:val="single" w:sz="8" w:space="0" w:color="808080"/>
              <w:right w:val="single" w:sz="8" w:space="0" w:color="808080"/>
            </w:tcBorders>
            <w:noWrap/>
            <w:vAlign w:val="center"/>
            <w:hideMark/>
          </w:tcPr>
          <w:p w14:paraId="60B6CC51" w14:textId="77777777" w:rsidR="005C387C" w:rsidRPr="00CA307A" w:rsidRDefault="005C387C">
            <w:pPr>
              <w:pStyle w:val="Tabele"/>
              <w:spacing w:after="0"/>
              <w:rPr>
                <w:color w:val="auto"/>
              </w:rPr>
            </w:pPr>
            <w:r w:rsidRPr="00CA307A">
              <w:rPr>
                <w:color w:val="auto"/>
              </w:rPr>
              <w:t>Inne międzydyscyplinarne technologie w energetyce</w:t>
            </w:r>
          </w:p>
        </w:tc>
        <w:tc>
          <w:tcPr>
            <w:tcW w:w="754" w:type="dxa"/>
            <w:tcBorders>
              <w:top w:val="nil"/>
              <w:left w:val="nil"/>
              <w:bottom w:val="single" w:sz="8" w:space="0" w:color="808080"/>
              <w:right w:val="single" w:sz="8" w:space="0" w:color="808080"/>
            </w:tcBorders>
            <w:shd w:val="clear" w:color="auto" w:fill="C5E0B3"/>
            <w:noWrap/>
            <w:vAlign w:val="center"/>
            <w:hideMark/>
          </w:tcPr>
          <w:p w14:paraId="5FC92C5F" w14:textId="77777777" w:rsidR="005C387C" w:rsidRPr="00CA307A" w:rsidRDefault="005C387C">
            <w:pPr>
              <w:pStyle w:val="Tabele"/>
              <w:spacing w:after="0"/>
              <w:jc w:val="right"/>
              <w:rPr>
                <w:color w:val="auto"/>
              </w:rPr>
            </w:pPr>
            <w:r w:rsidRPr="00CA307A">
              <w:rPr>
                <w:color w:val="auto"/>
              </w:rPr>
              <w:t>b.d.</w:t>
            </w:r>
          </w:p>
        </w:tc>
        <w:tc>
          <w:tcPr>
            <w:tcW w:w="752" w:type="dxa"/>
            <w:tcBorders>
              <w:top w:val="nil"/>
              <w:left w:val="nil"/>
              <w:bottom w:val="single" w:sz="8" w:space="0" w:color="808080"/>
              <w:right w:val="single" w:sz="8" w:space="0" w:color="808080"/>
            </w:tcBorders>
            <w:shd w:val="clear" w:color="auto" w:fill="C5E0B3"/>
            <w:noWrap/>
            <w:vAlign w:val="center"/>
            <w:hideMark/>
          </w:tcPr>
          <w:p w14:paraId="43B81666" w14:textId="77777777" w:rsidR="005C387C" w:rsidRPr="00CA307A" w:rsidRDefault="005C387C">
            <w:pPr>
              <w:pStyle w:val="Tabele"/>
              <w:spacing w:after="0"/>
              <w:jc w:val="right"/>
              <w:rPr>
                <w:color w:val="auto"/>
              </w:rPr>
            </w:pPr>
            <w:r w:rsidRPr="00CC201F">
              <w:rPr>
                <w:color w:val="auto"/>
                <w:szCs w:val="16"/>
              </w:rPr>
              <w:t>1,10</w:t>
            </w:r>
          </w:p>
        </w:tc>
        <w:tc>
          <w:tcPr>
            <w:tcW w:w="753" w:type="dxa"/>
            <w:tcBorders>
              <w:top w:val="nil"/>
              <w:left w:val="nil"/>
              <w:bottom w:val="single" w:sz="8" w:space="0" w:color="808080"/>
              <w:right w:val="single" w:sz="8" w:space="0" w:color="808080"/>
            </w:tcBorders>
            <w:shd w:val="clear" w:color="auto" w:fill="C5E0B3"/>
            <w:noWrap/>
            <w:vAlign w:val="center"/>
            <w:hideMark/>
          </w:tcPr>
          <w:p w14:paraId="08401163" w14:textId="77777777" w:rsidR="005C387C" w:rsidRPr="00CA307A" w:rsidRDefault="005C387C">
            <w:pPr>
              <w:pStyle w:val="Tabele"/>
              <w:spacing w:after="0"/>
              <w:jc w:val="right"/>
              <w:rPr>
                <w:color w:val="auto"/>
              </w:rPr>
            </w:pPr>
            <w:r w:rsidRPr="00CA307A">
              <w:rPr>
                <w:color w:val="auto"/>
                <w:szCs w:val="16"/>
              </w:rPr>
              <w:t>1,</w:t>
            </w:r>
            <w:r w:rsidRPr="00CC201F">
              <w:rPr>
                <w:color w:val="auto"/>
                <w:szCs w:val="16"/>
              </w:rPr>
              <w:t>30</w:t>
            </w:r>
          </w:p>
        </w:tc>
        <w:tc>
          <w:tcPr>
            <w:tcW w:w="753" w:type="dxa"/>
            <w:tcBorders>
              <w:top w:val="nil"/>
              <w:left w:val="nil"/>
              <w:bottom w:val="single" w:sz="8" w:space="0" w:color="808080"/>
              <w:right w:val="single" w:sz="8" w:space="0" w:color="808080"/>
            </w:tcBorders>
            <w:shd w:val="clear" w:color="auto" w:fill="C5E0B3"/>
            <w:vAlign w:val="center"/>
            <w:hideMark/>
          </w:tcPr>
          <w:p w14:paraId="1CE7BDA3" w14:textId="77777777" w:rsidR="005C387C" w:rsidRPr="00CA307A" w:rsidRDefault="005C387C">
            <w:pPr>
              <w:pStyle w:val="Tabele"/>
              <w:spacing w:after="0"/>
              <w:jc w:val="right"/>
              <w:rPr>
                <w:color w:val="auto"/>
              </w:rPr>
            </w:pPr>
            <w:r w:rsidRPr="00CC201F">
              <w:rPr>
                <w:color w:val="auto"/>
                <w:szCs w:val="16"/>
              </w:rPr>
              <w:t>2,28</w:t>
            </w:r>
          </w:p>
        </w:tc>
        <w:tc>
          <w:tcPr>
            <w:tcW w:w="753" w:type="dxa"/>
            <w:tcBorders>
              <w:top w:val="nil"/>
              <w:left w:val="nil"/>
              <w:bottom w:val="single" w:sz="8" w:space="0" w:color="808080"/>
              <w:right w:val="single" w:sz="8" w:space="0" w:color="808080"/>
            </w:tcBorders>
            <w:noWrap/>
            <w:vAlign w:val="center"/>
            <w:hideMark/>
          </w:tcPr>
          <w:p w14:paraId="0162D250" w14:textId="77777777" w:rsidR="005C387C" w:rsidRPr="00CC201F" w:rsidRDefault="005C387C">
            <w:pPr>
              <w:pStyle w:val="Tabele"/>
              <w:spacing w:after="0"/>
              <w:jc w:val="right"/>
              <w:rPr>
                <w:color w:val="auto"/>
              </w:rPr>
            </w:pPr>
            <w:r w:rsidRPr="00CC201F">
              <w:rPr>
                <w:color w:val="auto"/>
                <w:szCs w:val="16"/>
              </w:rPr>
              <w:t>2,68</w:t>
            </w:r>
          </w:p>
        </w:tc>
        <w:tc>
          <w:tcPr>
            <w:tcW w:w="752" w:type="dxa"/>
            <w:tcBorders>
              <w:top w:val="nil"/>
              <w:left w:val="nil"/>
              <w:bottom w:val="single" w:sz="8" w:space="0" w:color="808080"/>
              <w:right w:val="single" w:sz="8" w:space="0" w:color="808080"/>
            </w:tcBorders>
            <w:noWrap/>
            <w:vAlign w:val="center"/>
            <w:hideMark/>
          </w:tcPr>
          <w:p w14:paraId="472AEE1A" w14:textId="77777777" w:rsidR="005C387C" w:rsidRPr="00CC201F" w:rsidRDefault="005C387C">
            <w:pPr>
              <w:pStyle w:val="Tabele"/>
              <w:spacing w:after="0"/>
              <w:jc w:val="right"/>
              <w:rPr>
                <w:color w:val="auto"/>
              </w:rPr>
            </w:pPr>
            <w:r w:rsidRPr="00CC201F">
              <w:rPr>
                <w:color w:val="auto"/>
                <w:szCs w:val="16"/>
              </w:rPr>
              <w:t>3,10</w:t>
            </w:r>
          </w:p>
        </w:tc>
        <w:tc>
          <w:tcPr>
            <w:tcW w:w="753" w:type="dxa"/>
            <w:tcBorders>
              <w:top w:val="nil"/>
              <w:left w:val="nil"/>
              <w:bottom w:val="single" w:sz="8" w:space="0" w:color="808080"/>
              <w:right w:val="single" w:sz="8" w:space="0" w:color="808080"/>
            </w:tcBorders>
            <w:noWrap/>
            <w:vAlign w:val="center"/>
            <w:hideMark/>
          </w:tcPr>
          <w:p w14:paraId="54FD2746" w14:textId="77777777" w:rsidR="005C387C" w:rsidRPr="00CC201F" w:rsidRDefault="005C387C">
            <w:pPr>
              <w:pStyle w:val="Tabele"/>
              <w:spacing w:after="0"/>
              <w:jc w:val="right"/>
              <w:rPr>
                <w:color w:val="auto"/>
              </w:rPr>
            </w:pPr>
            <w:r w:rsidRPr="00CC201F">
              <w:rPr>
                <w:color w:val="auto"/>
                <w:szCs w:val="16"/>
              </w:rPr>
              <w:t>3,49</w:t>
            </w:r>
          </w:p>
        </w:tc>
        <w:tc>
          <w:tcPr>
            <w:tcW w:w="753" w:type="dxa"/>
            <w:tcBorders>
              <w:top w:val="nil"/>
              <w:left w:val="nil"/>
              <w:bottom w:val="single" w:sz="8" w:space="0" w:color="808080"/>
              <w:right w:val="single" w:sz="8" w:space="0" w:color="808080"/>
            </w:tcBorders>
            <w:noWrap/>
            <w:vAlign w:val="center"/>
            <w:hideMark/>
          </w:tcPr>
          <w:p w14:paraId="0ED886D8" w14:textId="77777777" w:rsidR="005C387C" w:rsidRPr="00CC201F" w:rsidRDefault="005C387C">
            <w:pPr>
              <w:pStyle w:val="Tabele"/>
              <w:spacing w:after="0"/>
              <w:jc w:val="right"/>
              <w:rPr>
                <w:color w:val="auto"/>
              </w:rPr>
            </w:pPr>
            <w:r w:rsidRPr="00CC201F">
              <w:rPr>
                <w:color w:val="auto"/>
                <w:szCs w:val="16"/>
              </w:rPr>
              <w:t>3,88</w:t>
            </w:r>
          </w:p>
        </w:tc>
      </w:tr>
      <w:tr w:rsidR="005C387C" w:rsidRPr="00CA307A" w14:paraId="4AE09932" w14:textId="77777777">
        <w:trPr>
          <w:cantSplit/>
          <w:trHeight w:val="227"/>
        </w:trPr>
        <w:tc>
          <w:tcPr>
            <w:tcW w:w="3029" w:type="dxa"/>
            <w:tcBorders>
              <w:top w:val="nil"/>
              <w:left w:val="single" w:sz="8" w:space="0" w:color="808080"/>
              <w:bottom w:val="single" w:sz="8" w:space="0" w:color="808080"/>
              <w:right w:val="single" w:sz="8" w:space="0" w:color="808080"/>
            </w:tcBorders>
            <w:vAlign w:val="center"/>
            <w:hideMark/>
          </w:tcPr>
          <w:p w14:paraId="27420162" w14:textId="77777777" w:rsidR="005C387C" w:rsidRPr="00CA307A" w:rsidRDefault="005C387C">
            <w:pPr>
              <w:pStyle w:val="Tabele"/>
              <w:spacing w:after="0"/>
              <w:rPr>
                <w:b/>
                <w:color w:val="auto"/>
              </w:rPr>
            </w:pPr>
            <w:r w:rsidRPr="00CA307A">
              <w:rPr>
                <w:b/>
                <w:color w:val="auto"/>
              </w:rPr>
              <w:t>Całkowity budżet B+R sektora ograniczania emisji</w:t>
            </w:r>
          </w:p>
        </w:tc>
        <w:tc>
          <w:tcPr>
            <w:tcW w:w="754" w:type="dxa"/>
            <w:tcBorders>
              <w:top w:val="nil"/>
              <w:left w:val="nil"/>
              <w:bottom w:val="single" w:sz="8" w:space="0" w:color="808080"/>
              <w:right w:val="single" w:sz="8" w:space="0" w:color="808080"/>
            </w:tcBorders>
            <w:shd w:val="clear" w:color="auto" w:fill="C5E0B3"/>
            <w:noWrap/>
            <w:vAlign w:val="center"/>
            <w:hideMark/>
          </w:tcPr>
          <w:p w14:paraId="2A3BCB51" w14:textId="77777777" w:rsidR="005C387C" w:rsidRPr="00CA307A" w:rsidRDefault="005C387C">
            <w:pPr>
              <w:pStyle w:val="Tabele"/>
              <w:spacing w:after="0"/>
              <w:jc w:val="right"/>
              <w:rPr>
                <w:b/>
                <w:color w:val="auto"/>
              </w:rPr>
            </w:pPr>
            <w:r w:rsidRPr="00CA307A">
              <w:rPr>
                <w:b/>
                <w:color w:val="auto"/>
              </w:rPr>
              <w:t>b.d.</w:t>
            </w:r>
          </w:p>
        </w:tc>
        <w:tc>
          <w:tcPr>
            <w:tcW w:w="752" w:type="dxa"/>
            <w:tcBorders>
              <w:top w:val="nil"/>
              <w:left w:val="nil"/>
              <w:bottom w:val="single" w:sz="8" w:space="0" w:color="808080"/>
              <w:right w:val="single" w:sz="8" w:space="0" w:color="808080"/>
            </w:tcBorders>
            <w:shd w:val="clear" w:color="auto" w:fill="C5E0B3"/>
            <w:noWrap/>
            <w:vAlign w:val="center"/>
            <w:hideMark/>
          </w:tcPr>
          <w:p w14:paraId="52F3BD8A" w14:textId="77777777" w:rsidR="005C387C" w:rsidRPr="00CA307A" w:rsidRDefault="005C387C">
            <w:pPr>
              <w:pStyle w:val="Tabele"/>
              <w:spacing w:after="0"/>
              <w:jc w:val="right"/>
              <w:rPr>
                <w:b/>
                <w:color w:val="auto"/>
              </w:rPr>
            </w:pPr>
            <w:r w:rsidRPr="00CC201F">
              <w:rPr>
                <w:b/>
                <w:bCs/>
                <w:color w:val="auto"/>
                <w:szCs w:val="16"/>
              </w:rPr>
              <w:t>152,16</w:t>
            </w:r>
          </w:p>
        </w:tc>
        <w:tc>
          <w:tcPr>
            <w:tcW w:w="753" w:type="dxa"/>
            <w:tcBorders>
              <w:top w:val="nil"/>
              <w:left w:val="nil"/>
              <w:bottom w:val="single" w:sz="8" w:space="0" w:color="808080"/>
              <w:right w:val="single" w:sz="8" w:space="0" w:color="808080"/>
            </w:tcBorders>
            <w:shd w:val="clear" w:color="auto" w:fill="C5E0B3"/>
            <w:noWrap/>
            <w:vAlign w:val="center"/>
            <w:hideMark/>
          </w:tcPr>
          <w:p w14:paraId="6BBB2C2D" w14:textId="77777777" w:rsidR="005C387C" w:rsidRPr="00CA307A" w:rsidRDefault="005C387C">
            <w:pPr>
              <w:pStyle w:val="Tabele"/>
              <w:spacing w:after="0"/>
              <w:jc w:val="right"/>
              <w:rPr>
                <w:b/>
                <w:color w:val="auto"/>
              </w:rPr>
            </w:pPr>
            <w:r w:rsidRPr="00CC201F">
              <w:rPr>
                <w:b/>
                <w:bCs/>
                <w:color w:val="auto"/>
                <w:szCs w:val="16"/>
              </w:rPr>
              <w:t>105,92</w:t>
            </w:r>
          </w:p>
        </w:tc>
        <w:tc>
          <w:tcPr>
            <w:tcW w:w="753" w:type="dxa"/>
            <w:tcBorders>
              <w:top w:val="nil"/>
              <w:left w:val="nil"/>
              <w:bottom w:val="single" w:sz="8" w:space="0" w:color="808080"/>
              <w:right w:val="single" w:sz="8" w:space="0" w:color="808080"/>
            </w:tcBorders>
            <w:shd w:val="clear" w:color="auto" w:fill="C5E0B3"/>
            <w:noWrap/>
            <w:vAlign w:val="center"/>
            <w:hideMark/>
          </w:tcPr>
          <w:p w14:paraId="069A9A69" w14:textId="77777777" w:rsidR="005C387C" w:rsidRPr="00CA307A" w:rsidRDefault="005C387C">
            <w:pPr>
              <w:pStyle w:val="Tabele"/>
              <w:spacing w:after="0"/>
              <w:jc w:val="right"/>
              <w:rPr>
                <w:b/>
                <w:color w:val="auto"/>
              </w:rPr>
            </w:pPr>
            <w:r w:rsidRPr="00CC201F">
              <w:rPr>
                <w:b/>
                <w:bCs/>
                <w:color w:val="auto"/>
                <w:szCs w:val="16"/>
              </w:rPr>
              <w:t>234,15</w:t>
            </w:r>
          </w:p>
        </w:tc>
        <w:tc>
          <w:tcPr>
            <w:tcW w:w="753" w:type="dxa"/>
            <w:tcBorders>
              <w:top w:val="nil"/>
              <w:left w:val="nil"/>
              <w:bottom w:val="single" w:sz="8" w:space="0" w:color="808080"/>
              <w:right w:val="single" w:sz="8" w:space="0" w:color="808080"/>
            </w:tcBorders>
            <w:noWrap/>
            <w:vAlign w:val="center"/>
            <w:hideMark/>
          </w:tcPr>
          <w:p w14:paraId="74225C86" w14:textId="77777777" w:rsidR="005C387C" w:rsidRPr="00CC201F" w:rsidRDefault="005C387C">
            <w:pPr>
              <w:pStyle w:val="Tabele"/>
              <w:spacing w:after="0"/>
              <w:jc w:val="right"/>
              <w:rPr>
                <w:b/>
                <w:color w:val="auto"/>
              </w:rPr>
            </w:pPr>
            <w:r w:rsidRPr="00CC201F">
              <w:rPr>
                <w:b/>
                <w:bCs/>
                <w:color w:val="auto"/>
                <w:szCs w:val="16"/>
              </w:rPr>
              <w:t>275</w:t>
            </w:r>
            <w:r w:rsidRPr="00CC201F">
              <w:rPr>
                <w:b/>
                <w:color w:val="auto"/>
                <w:szCs w:val="16"/>
              </w:rPr>
              <w:t>,00</w:t>
            </w:r>
          </w:p>
        </w:tc>
        <w:tc>
          <w:tcPr>
            <w:tcW w:w="752" w:type="dxa"/>
            <w:tcBorders>
              <w:top w:val="nil"/>
              <w:left w:val="nil"/>
              <w:bottom w:val="single" w:sz="8" w:space="0" w:color="808080"/>
              <w:right w:val="single" w:sz="8" w:space="0" w:color="808080"/>
            </w:tcBorders>
            <w:noWrap/>
            <w:vAlign w:val="center"/>
            <w:hideMark/>
          </w:tcPr>
          <w:p w14:paraId="65446B3A" w14:textId="77777777" w:rsidR="005C387C" w:rsidRPr="00CC201F" w:rsidRDefault="005C387C">
            <w:pPr>
              <w:pStyle w:val="Tabele"/>
              <w:spacing w:after="0"/>
              <w:jc w:val="right"/>
              <w:rPr>
                <w:b/>
                <w:color w:val="auto"/>
              </w:rPr>
            </w:pPr>
            <w:r w:rsidRPr="00CC201F">
              <w:rPr>
                <w:b/>
                <w:bCs/>
                <w:color w:val="auto"/>
                <w:szCs w:val="16"/>
              </w:rPr>
              <w:t>317,03</w:t>
            </w:r>
          </w:p>
        </w:tc>
        <w:tc>
          <w:tcPr>
            <w:tcW w:w="753" w:type="dxa"/>
            <w:tcBorders>
              <w:top w:val="nil"/>
              <w:left w:val="nil"/>
              <w:bottom w:val="single" w:sz="8" w:space="0" w:color="808080"/>
              <w:right w:val="single" w:sz="8" w:space="0" w:color="808080"/>
            </w:tcBorders>
            <w:noWrap/>
            <w:vAlign w:val="center"/>
            <w:hideMark/>
          </w:tcPr>
          <w:p w14:paraId="0CD2754D" w14:textId="77777777" w:rsidR="005C387C" w:rsidRPr="00CC201F" w:rsidRDefault="005C387C">
            <w:pPr>
              <w:pStyle w:val="Tabele"/>
              <w:spacing w:after="0"/>
              <w:jc w:val="right"/>
              <w:rPr>
                <w:b/>
                <w:color w:val="auto"/>
              </w:rPr>
            </w:pPr>
            <w:r w:rsidRPr="00CC201F">
              <w:rPr>
                <w:b/>
                <w:bCs/>
                <w:color w:val="auto"/>
                <w:szCs w:val="16"/>
              </w:rPr>
              <w:t>357,86</w:t>
            </w:r>
          </w:p>
        </w:tc>
        <w:tc>
          <w:tcPr>
            <w:tcW w:w="753" w:type="dxa"/>
            <w:tcBorders>
              <w:top w:val="nil"/>
              <w:left w:val="nil"/>
              <w:bottom w:val="single" w:sz="8" w:space="0" w:color="808080"/>
              <w:right w:val="single" w:sz="8" w:space="0" w:color="808080"/>
            </w:tcBorders>
            <w:noWrap/>
            <w:vAlign w:val="center"/>
            <w:hideMark/>
          </w:tcPr>
          <w:p w14:paraId="00EACDAA" w14:textId="77777777" w:rsidR="005C387C" w:rsidRPr="00CC201F" w:rsidRDefault="005C387C">
            <w:pPr>
              <w:pStyle w:val="Tabele"/>
              <w:spacing w:after="0"/>
              <w:jc w:val="right"/>
              <w:rPr>
                <w:b/>
                <w:color w:val="auto"/>
              </w:rPr>
            </w:pPr>
            <w:r w:rsidRPr="00CC201F">
              <w:rPr>
                <w:b/>
                <w:bCs/>
                <w:color w:val="auto"/>
                <w:szCs w:val="16"/>
              </w:rPr>
              <w:t>397,48</w:t>
            </w:r>
          </w:p>
        </w:tc>
      </w:tr>
    </w:tbl>
    <w:p w14:paraId="2561F3F9" w14:textId="77777777" w:rsidR="005C387C" w:rsidRDefault="005C387C" w:rsidP="005C387C">
      <w:pPr>
        <w:rPr>
          <w:i/>
          <w:color w:val="44546A" w:themeColor="text2"/>
          <w:sz w:val="16"/>
          <w:szCs w:val="16"/>
          <w:lang w:val="en-US"/>
        </w:rPr>
      </w:pPr>
      <w:r w:rsidRPr="000F7435">
        <w:rPr>
          <w:i/>
          <w:color w:val="44546A" w:themeColor="text2"/>
          <w:sz w:val="16"/>
          <w:szCs w:val="16"/>
          <w:lang w:val="en-US"/>
        </w:rPr>
        <w:t>Źródło: MAE, ARE SA</w:t>
      </w:r>
    </w:p>
    <w:p w14:paraId="161E4E9B" w14:textId="77777777" w:rsidR="009B3EB2" w:rsidRPr="000F7435" w:rsidRDefault="009B3EB2" w:rsidP="005C387C">
      <w:pPr>
        <w:rPr>
          <w:i/>
          <w:color w:val="44546A" w:themeColor="text2"/>
          <w:sz w:val="16"/>
          <w:szCs w:val="16"/>
          <w:lang w:val="en-US"/>
        </w:rPr>
      </w:pPr>
    </w:p>
    <w:p w14:paraId="56B9D348" w14:textId="31DDFC3E" w:rsidR="00F56B10" w:rsidRDefault="00F56B10" w:rsidP="00797A1F">
      <w:pPr>
        <w:pStyle w:val="Nagwek1"/>
      </w:pPr>
      <w:bookmarkStart w:id="597" w:name="_Toc202966913"/>
      <w:r w:rsidRPr="007679BB">
        <w:t xml:space="preserve">Skutki planowanych polityk i </w:t>
      </w:r>
      <w:r w:rsidR="002D48CA">
        <w:t>działań</w:t>
      </w:r>
      <w:r w:rsidRPr="007679BB">
        <w:t xml:space="preserve"> dla systemu energetycznego oraz emisji i pochłaniania GHG, a także emisji zanieczyszczeń</w:t>
      </w:r>
      <w:bookmarkEnd w:id="572"/>
      <w:bookmarkEnd w:id="573"/>
      <w:bookmarkEnd w:id="574"/>
      <w:bookmarkEnd w:id="597"/>
    </w:p>
    <w:p w14:paraId="2A9A976B" w14:textId="0D020671" w:rsidR="005C4144" w:rsidRPr="007679BB" w:rsidRDefault="005C4144" w:rsidP="00797A1F">
      <w:pPr>
        <w:pStyle w:val="Nagwek2"/>
      </w:pPr>
      <w:bookmarkStart w:id="598" w:name="_Toc167443539"/>
      <w:bookmarkStart w:id="599" w:name="_Toc171587344"/>
      <w:bookmarkStart w:id="600" w:name="_Toc174710916"/>
      <w:bookmarkStart w:id="601" w:name="_Toc202966914"/>
      <w:bookmarkEnd w:id="575"/>
      <w:r>
        <w:t>Ocena wzajemnego</w:t>
      </w:r>
      <w:r w:rsidRPr="007679BB">
        <w:t xml:space="preserve"> </w:t>
      </w:r>
      <w:r>
        <w:t>wpływu istniejących i</w:t>
      </w:r>
      <w:r w:rsidR="00B02F7C">
        <w:t> </w:t>
      </w:r>
      <w:r>
        <w:t xml:space="preserve">planowanych </w:t>
      </w:r>
      <w:r w:rsidRPr="001C3B0D">
        <w:t xml:space="preserve">polityk i </w:t>
      </w:r>
      <w:r w:rsidR="002D48CA">
        <w:t>działań</w:t>
      </w:r>
      <w:r w:rsidRPr="001C3B0D">
        <w:t xml:space="preserve"> oraz pomiędzy tymi politykami i </w:t>
      </w:r>
      <w:r w:rsidR="00A52816">
        <w:t>działaniami</w:t>
      </w:r>
      <w:r w:rsidRPr="001C3B0D">
        <w:t xml:space="preserve"> a środkami polityki Unii w</w:t>
      </w:r>
      <w:r w:rsidR="00CE47CD">
        <w:t> </w:t>
      </w:r>
      <w:r w:rsidRPr="001C3B0D">
        <w:t>dziedzinie klimatu i energii</w:t>
      </w:r>
      <w:bookmarkEnd w:id="598"/>
      <w:bookmarkEnd w:id="599"/>
      <w:bookmarkEnd w:id="600"/>
      <w:bookmarkEnd w:id="601"/>
    </w:p>
    <w:p w14:paraId="558F9A18" w14:textId="77777777" w:rsidR="00153E46" w:rsidRDefault="00153E46" w:rsidP="00153E46">
      <w:r>
        <w:t>W Polsce wszystkie działania w zakresie polityki dot. energii i klimatu są opracowywane i przyjmowane biorąc pod uwagę istniejące i planowane rozwiązania na forum UE. Wszystkie działania wskazane w aKPEiK, czyli działania wdrażane i działania nowe tj. planowane do wdrożenia we wszystkich pięciu wymiarach unii energetycznej, to implementacja regulacji UE, w tym działania dotyczące wkładu Polski w osiągnięcie celów polityki UE w zakresie energii i klimatu. Zapewnią one, że Polska będzie brała udział we wspólnym wysiłku i odpowiednio przyczyni się do realizacji wspólnych celów UE w tym zakresie.</w:t>
      </w:r>
    </w:p>
    <w:p w14:paraId="01175E6B" w14:textId="77777777" w:rsidR="00153E46" w:rsidRDefault="00153E46" w:rsidP="00153E46">
      <w:r>
        <w:t>Planowane działania ujęte w aKPEiK stanowią odpowiedź na najnowsze zmiany w regulacjach UE, tj. wynikające przede wszystkim z pakietu „Fit for 55”. Stanowią one także rozbudowanie lub uzupełnienie już istniejących działań, wdrażanych na mocy dotychczasowych regulacji prawnych i mających na celu zapewnienie realizacji celów w zakresie energii i klimatu na poziomach wcześniej obowiązujących (przed pakietem „Fit for 55”).</w:t>
      </w:r>
    </w:p>
    <w:p w14:paraId="788DDE39" w14:textId="3302ABAD" w:rsidR="00153E46" w:rsidRDefault="00153E46" w:rsidP="00153E46">
      <w:r>
        <w:t xml:space="preserve">W zakresie celu dot. ograniczania emisji GHG w sektorach poza systemem EU ETS, czyli realizacji celu wynikającego z rozporządzenia ESR, planowane są </w:t>
      </w:r>
      <w:r w:rsidRPr="00174820">
        <w:t>działania prowadzące do dalszego ograniczania emisji GHG z tych sektorów, w tym zwłaszcza z transportu drogowego, sektora komunalno-bytowego i</w:t>
      </w:r>
      <w:r>
        <w:t> </w:t>
      </w:r>
      <w:r w:rsidRPr="00174820">
        <w:t xml:space="preserve">rolnictwa. Planowane działania umożliwią dalsze redukcje emisji w GHG </w:t>
      </w:r>
      <w:r>
        <w:t>obszarze non-ETS o ok. 19</w:t>
      </w:r>
      <w:r w:rsidRPr="00331205">
        <w:t>,3 mln t CO</w:t>
      </w:r>
      <w:r w:rsidRPr="00331205">
        <w:rPr>
          <w:vertAlign w:val="subscript"/>
        </w:rPr>
        <w:t>2</w:t>
      </w:r>
      <w:r w:rsidRPr="00331205">
        <w:t xml:space="preserve"> ekw. w 2030 r., w sumie r</w:t>
      </w:r>
      <w:r>
        <w:t>edukcja w 2030 r. osiągnie -22,0</w:t>
      </w:r>
      <w:r w:rsidRPr="00331205">
        <w:t>% w porównaniu do poziomu emisji w 2005 r. Kluczowe planowane działania obejmują dalszy rozwój nisko- i zeroemisyjnego transportu, w</w:t>
      </w:r>
      <w:r w:rsidR="00B6518A">
        <w:t> </w:t>
      </w:r>
      <w:r w:rsidRPr="00331205">
        <w:t>tym zwłaszcza e-mobilności, dalsze wspieranie wykorzystania czystych te</w:t>
      </w:r>
      <w:r w:rsidRPr="00174820">
        <w:t>chnologii produkcji energii, w</w:t>
      </w:r>
      <w:r w:rsidR="00B6518A">
        <w:t> </w:t>
      </w:r>
      <w:r w:rsidRPr="00174820">
        <w:t>tym OZE w sektorze komunalno-bytowym a w sektorze rolnictwa wdrażanie rozwiązań promowanych w WPR 2023-2027</w:t>
      </w:r>
      <w:r>
        <w:t>.</w:t>
      </w:r>
    </w:p>
    <w:p w14:paraId="7593291D" w14:textId="77777777" w:rsidR="00153E46" w:rsidRDefault="00153E46" w:rsidP="00153E46">
      <w:r>
        <w:t xml:space="preserve">W odpowiedzi na reformę systemu EU ETS poprzez nowelizację dyrektywy ETS z 2023 r. (dyrektywa (UE) 2023/958, dyrektywa (UE) 2023/959) i przyjęcie na forum UE innych regulacji dot. funkcjonowania systemu EU ETS (rozporządzenie (UE) 2023/957, decyzja 2023/852), przepisy w tym zakresie będą transponowane do polskiego porządku prawnego poprzez nowelizację odpowiednich przepisów, w tym ustawy z dnia 15 czerwca 2015 r. o systemie handlu uprawnieniami do emisji gazów cieplarnianych. </w:t>
      </w:r>
    </w:p>
    <w:p w14:paraId="299D4562" w14:textId="0880C805" w:rsidR="00153E46" w:rsidRPr="00174820" w:rsidRDefault="00153E46" w:rsidP="00153E46">
      <w:r>
        <w:t>W zakresie rozwoju OZE, dodatkowe planowane działania to odpowiedź na nowelizację dyrektywy OZE tj. przyjęcie dyrektywy (UE) 2023/2413, tzw. RED III, w tym wskazane w niej cele udziału OZE w finalnym zużyciu energii brutto, a także w ciepłownictwie i chłodnictwie oraz transporcie</w:t>
      </w:r>
      <w:r w:rsidRPr="00E97E98">
        <w:t xml:space="preserve">. Nowe działania dotyczą przede wszystkim dalszego rozwoju i wspierania (przez odpowiednie systemy – instrumenty finansowe) wykorzystania </w:t>
      </w:r>
      <w:r w:rsidR="00E97E98" w:rsidRPr="00E97E98">
        <w:t>biometanu</w:t>
      </w:r>
      <w:r w:rsidRPr="00E97E98">
        <w:t xml:space="preserve"> i biogazu, energetyki wiatrowej, w tym na morzu a także energii słonecznej i</w:t>
      </w:r>
      <w:r w:rsidR="00B6518A">
        <w:t> </w:t>
      </w:r>
      <w:r w:rsidRPr="00E97E98">
        <w:t>pomp ciepła. Umożliwią one znaczący wzrost udziału OZE do 2030 r. (wg sc. WAM 32,1% w 2030 r. w odniesieniu do finalnego zużycia energii brutto).</w:t>
      </w:r>
    </w:p>
    <w:p w14:paraId="117B8038" w14:textId="50E919FD" w:rsidR="00153E46" w:rsidRDefault="00153E46" w:rsidP="00153E46">
      <w:r w:rsidRPr="00174820">
        <w:t>W obszarze poprawy efektywności energetycznej, planowane są działania prowadzące do dalszych oszczędności zużycia energii finalnej i pierwotnej, zgodnie z wymaganiami najnowszej dyrektywy UE w</w:t>
      </w:r>
      <w:r>
        <w:t> </w:t>
      </w:r>
      <w:r w:rsidRPr="00174820">
        <w:t xml:space="preserve">tym zakresie (tj. dyrektywy (UE) 2023/1791). Działania te obejmują przede wszystkim kontynuację już wdrażanych działań (system świadectw efektywności energetycznej, tzw. białych certyfikatów) oraz alternatywne </w:t>
      </w:r>
      <w:r w:rsidR="00606F74">
        <w:t xml:space="preserve">działania </w:t>
      </w:r>
      <w:r w:rsidRPr="00174820">
        <w:t>wskazane w </w:t>
      </w:r>
      <w:r w:rsidRPr="00FE0A49">
        <w:t xml:space="preserve">aKPEiK (np. Program Termo). Wg </w:t>
      </w:r>
      <w:r w:rsidR="000E6396">
        <w:t>scenariusza</w:t>
      </w:r>
      <w:r w:rsidRPr="00FE0A49">
        <w:t xml:space="preserve"> WAM oszczędność energii w stosunku do</w:t>
      </w:r>
      <w:r>
        <w:t xml:space="preserve"> </w:t>
      </w:r>
      <w:r w:rsidR="00A92B6D">
        <w:t>scenariusza</w:t>
      </w:r>
      <w:r>
        <w:t xml:space="preserve"> WEM w 2030 r. wyniesie 5348</w:t>
      </w:r>
      <w:r w:rsidRPr="00FE0A49">
        <w:t xml:space="preserve"> kt</w:t>
      </w:r>
      <w:r>
        <w:t>oe dla energii pierwotnej i 2736</w:t>
      </w:r>
      <w:r w:rsidRPr="00FE0A49">
        <w:t xml:space="preserve"> ktoe dla energii finalnej.</w:t>
      </w:r>
    </w:p>
    <w:p w14:paraId="49F29FFD" w14:textId="5FCA7B12" w:rsidR="00153E46" w:rsidRDefault="00153E46" w:rsidP="00153E46">
      <w:r>
        <w:t xml:space="preserve">W wymiarze bezpieczeństwa energetycznego polityki i działania mają na celu przede wszystkim zapewnienie suwerenności energetycznej Polski, w tym </w:t>
      </w:r>
      <w:r w:rsidRPr="00C91095">
        <w:t>dążenie do zapewnienia współczynnika niezależności energetycznej powyżej średniej UE.</w:t>
      </w:r>
      <w:r>
        <w:t xml:space="preserve"> Przyczyni się do tego </w:t>
      </w:r>
      <w:r w:rsidRPr="00C91095">
        <w:t>odpowiednio zdywersyfikowana struktura paliwowa zużycia energii pierwotnej i finalnej w gospodarce oraz zachowanie ograniczonego poziomu zależności importowej.</w:t>
      </w:r>
      <w:r>
        <w:t xml:space="preserve"> Kluczowe polityki i działania, zgodnie z polityką UE, skupiają się na stopniowym zastępowaniu paliw kopalnych przez zeroemisyjne źródła energii. </w:t>
      </w:r>
    </w:p>
    <w:p w14:paraId="7BF076DC" w14:textId="77777777" w:rsidR="00153E46" w:rsidRDefault="00153E46" w:rsidP="00153E46">
      <w:r>
        <w:t xml:space="preserve">W zakresie wymiaru dot. wewnątrzunijnego rynku energii kluczowe znacznie będą miały, zgodnie z regulacjami UE, działania ukierunkowane na zapewnienie odpowiedniego stanu i rozwoju infrastruktury energii elektrycznej, w tym sieci przesyłowych, dystrybucyjnych i połączeń transgranicznych. W kontekście infrastruktury gazowej kluczowe będzie utrzymanie połączeń międzysystemowych i terminalu LNG, jak i dalsza rozbudowa istniejącego gazowego systemu przesyłowego, magazynowania i dystrybucyjnego. Istotne znaczenie będzie też miał dalszy rozwój energetyki rozproszonej, w tym roli prosumentów i społeczności energetycznych, w celu wypełnienia wymagań dyrektywy RED III. Planowane działania, zgodnie z regulacjami UE (dyrektywa (UE) 2019/944, rozporządzenie (UE) 2018/1999, dyrektywa (UE 2023/1791)), będą także przyczyniać się do redukcji ubóstwa energetycznego. </w:t>
      </w:r>
    </w:p>
    <w:p w14:paraId="530CE0D7" w14:textId="7B09F4BB" w:rsidR="00153E46" w:rsidRPr="007F64AD" w:rsidRDefault="00153E46" w:rsidP="00153E46">
      <w:r>
        <w:t>Należy podkreślić, że istotne</w:t>
      </w:r>
      <w:r w:rsidRPr="00B91B24">
        <w:t xml:space="preserve"> jest</w:t>
      </w:r>
      <w:r>
        <w:t xml:space="preserve"> dążenie do osiągania</w:t>
      </w:r>
      <w:r w:rsidRPr="00B91B24">
        <w:t xml:space="preserve"> pozytywnych interakcji pomiędzy poszczególnymi działaniami.</w:t>
      </w:r>
      <w:r>
        <w:t xml:space="preserve"> </w:t>
      </w:r>
      <w:r w:rsidRPr="00B91B24">
        <w:t>Synergie i efekty uboczne mogą wspierać i przyspieszać osiągnięcie krajowych i europejskich celów w</w:t>
      </w:r>
      <w:r>
        <w:t> </w:t>
      </w:r>
      <w:r w:rsidRPr="00B91B24">
        <w:t>zakresie energii i klimatu.</w:t>
      </w:r>
      <w:r>
        <w:t xml:space="preserve"> Należy zaznaczyć, że takie pozytywne relacje istnieją np. pomiędzy działaniami dot. rozwoju OZE (rozwój zeroemisyjnych źródeł energii), poprawy efektywności energetycznej (ograniczenie zużycie energii), poprawy bezpieczeństwa energetycznego (dywersyfikacja dostaw poprzez wzrost udziału mniej- i zero emisyjnych źródeł, w tym energii jądrowej) a redukcją emisji GHG, czyli realizacją celów redukcyjnych ustanowionych w rozporządzeniu ESR, jak i obniżaniu emisji w sektorach energetycznych objętych systemem EU ETS.</w:t>
      </w:r>
    </w:p>
    <w:p w14:paraId="0DAD82D5" w14:textId="77777777" w:rsidR="005C4144" w:rsidRDefault="005C4144" w:rsidP="00797A1F">
      <w:pPr>
        <w:pStyle w:val="Nagwek2"/>
      </w:pPr>
      <w:bookmarkStart w:id="602" w:name="_Toc167795171"/>
      <w:bookmarkStart w:id="603" w:name="_Toc167799342"/>
      <w:bookmarkStart w:id="604" w:name="_Toc167803414"/>
      <w:bookmarkStart w:id="605" w:name="_Toc167804133"/>
      <w:bookmarkStart w:id="606" w:name="_Toc167804160"/>
      <w:bookmarkStart w:id="607" w:name="_Toc171587346"/>
      <w:bookmarkStart w:id="608" w:name="_Toc174710918"/>
      <w:bookmarkStart w:id="609" w:name="_Toc202966915"/>
      <w:r w:rsidRPr="00A240EB">
        <w:t>Założenia</w:t>
      </w:r>
      <w:r>
        <w:t xml:space="preserve"> do analizy</w:t>
      </w:r>
      <w:bookmarkEnd w:id="602"/>
      <w:bookmarkEnd w:id="603"/>
      <w:bookmarkEnd w:id="604"/>
      <w:bookmarkEnd w:id="605"/>
      <w:bookmarkEnd w:id="606"/>
      <w:r>
        <w:t xml:space="preserve"> makroekonomicznej</w:t>
      </w:r>
      <w:bookmarkEnd w:id="607"/>
      <w:bookmarkEnd w:id="608"/>
      <w:bookmarkEnd w:id="609"/>
      <w:r>
        <w:t xml:space="preserve"> </w:t>
      </w:r>
    </w:p>
    <w:p w14:paraId="5480DD33" w14:textId="77777777" w:rsidR="005C4144" w:rsidRPr="00856E59" w:rsidRDefault="005C4144" w:rsidP="005C4144">
      <w:pPr>
        <w:pStyle w:val="Podtytu"/>
        <w:spacing w:after="120"/>
        <w:rPr>
          <w:color w:val="auto"/>
        </w:rPr>
      </w:pPr>
      <w:r w:rsidRPr="00856E59">
        <w:rPr>
          <w:color w:val="auto"/>
        </w:rPr>
        <w:t>Produkt Krajowy Brutto (PKB)</w:t>
      </w:r>
    </w:p>
    <w:p w14:paraId="6EB2D3BA" w14:textId="1E8E1857" w:rsidR="005C4144" w:rsidRDefault="00267BF8" w:rsidP="005C4144">
      <w:r>
        <w:t>Uwzględniając potrzebę zachowania spójności i kompatybilności na potrzeby modelowania za bazowy przyjęto s</w:t>
      </w:r>
      <w:r w:rsidRPr="00525093">
        <w:t>cenariusz makroekonomiczny</w:t>
      </w:r>
      <w:r>
        <w:t xml:space="preserve"> odpowiadający scenariuszowi WEM, pokrywający się z tym</w:t>
      </w:r>
      <w:r w:rsidRPr="00525093">
        <w:t xml:space="preserve">, </w:t>
      </w:r>
      <w:r>
        <w:t xml:space="preserve">który wykorzystano do przygotowania </w:t>
      </w:r>
      <w:r w:rsidRPr="00525093">
        <w:t>projekcj</w:t>
      </w:r>
      <w:r>
        <w:t>i</w:t>
      </w:r>
      <w:r w:rsidRPr="00525093">
        <w:t xml:space="preserve"> zapotrzebowania na energię w Polsce w perspektywie 2040 r.</w:t>
      </w:r>
      <w:r>
        <w:rPr>
          <w:rStyle w:val="Odwoanieprzypisudolnego"/>
        </w:rPr>
        <w:footnoteReference w:id="30"/>
      </w:r>
      <w:r>
        <w:t xml:space="preserve"> Scenariusz ten </w:t>
      </w:r>
      <w:r w:rsidRPr="00771A1B">
        <w:t xml:space="preserve">opracowano w oparciu o wytyczne Komisji Europejskiej (założenia do scenariusza Referencyjnego PRIMES2020). Do obliczeń modelowych przyjęto dynamikę zmian </w:t>
      </w:r>
      <w:r>
        <w:t xml:space="preserve">PKB </w:t>
      </w:r>
      <w:r w:rsidRPr="00771A1B">
        <w:t>przedstawioną w</w:t>
      </w:r>
      <w:r>
        <w:t> </w:t>
      </w:r>
      <w:r w:rsidRPr="00771A1B">
        <w:t>tabeli</w:t>
      </w:r>
      <w:r w:rsidRPr="00525093">
        <w:t xml:space="preserve"> poniżej </w:t>
      </w:r>
      <w:r w:rsidR="005C4144" w:rsidRPr="00525093">
        <w:t>(</w:t>
      </w:r>
      <w:r w:rsidR="00D654FB">
        <w:fldChar w:fldCharType="begin"/>
      </w:r>
      <w:r w:rsidR="00D654FB">
        <w:instrText xml:space="preserve"> REF _Ref195872400 \h </w:instrText>
      </w:r>
      <w:r w:rsidR="00D654FB">
        <w:fldChar w:fldCharType="separate"/>
      </w:r>
      <w:r w:rsidR="00F27D6F">
        <w:t xml:space="preserve">Tabela </w:t>
      </w:r>
      <w:r w:rsidR="00F27D6F">
        <w:rPr>
          <w:noProof/>
        </w:rPr>
        <w:t>6</w:t>
      </w:r>
      <w:r w:rsidR="00F27D6F">
        <w:t>.</w:t>
      </w:r>
      <w:r w:rsidR="00F27D6F">
        <w:rPr>
          <w:noProof/>
        </w:rPr>
        <w:t>1</w:t>
      </w:r>
      <w:r w:rsidR="00D654FB">
        <w:fldChar w:fldCharType="end"/>
      </w:r>
      <w:r w:rsidR="005C4144" w:rsidRPr="00ED7B4B">
        <w:t>).</w:t>
      </w:r>
      <w:r w:rsidR="005C4144">
        <w:t xml:space="preserve"> </w:t>
      </w:r>
      <w:r w:rsidR="00C86531">
        <w:t xml:space="preserve">W całym okresie projekcji założone PKB wykazuje stały wzrost i jego wartość </w:t>
      </w:r>
      <w:r w:rsidR="00C86531" w:rsidRPr="00ED7B4B">
        <w:t>w 20</w:t>
      </w:r>
      <w:r w:rsidR="00ED7B4B" w:rsidRPr="00ED7B4B">
        <w:t>4</w:t>
      </w:r>
      <w:r w:rsidR="00C86531" w:rsidRPr="00ED7B4B">
        <w:t>0 r. jest 1,</w:t>
      </w:r>
      <w:r w:rsidR="00ED7B4B" w:rsidRPr="00ED7B4B">
        <w:t>5</w:t>
      </w:r>
      <w:r w:rsidR="00C86531" w:rsidRPr="00ED7B4B">
        <w:t xml:space="preserve"> krotnie większe niż wartość bazowa w 2020 r.</w:t>
      </w:r>
    </w:p>
    <w:p w14:paraId="5D717D7B" w14:textId="12A25F88" w:rsidR="005C4144" w:rsidRDefault="005C4144" w:rsidP="005C4144">
      <w:pPr>
        <w:pStyle w:val="Legenda"/>
        <w:keepNext/>
      </w:pPr>
      <w:bookmarkStart w:id="610" w:name="_Ref167821559"/>
      <w:bookmarkStart w:id="611" w:name="_Ref195872400"/>
      <w:bookmarkStart w:id="612" w:name="_Ref167403348"/>
      <w:bookmarkStart w:id="613" w:name="_Toc169565485"/>
      <w:bookmarkStart w:id="614" w:name="_Toc171587225"/>
      <w:bookmarkStart w:id="615" w:name="_Toc174711009"/>
      <w:bookmarkStart w:id="616" w:name="_Toc202967016"/>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6</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w:t>
      </w:r>
      <w:r w:rsidR="00653D9A">
        <w:rPr>
          <w:noProof/>
        </w:rPr>
        <w:fldChar w:fldCharType="end"/>
      </w:r>
      <w:bookmarkEnd w:id="610"/>
      <w:bookmarkEnd w:id="611"/>
      <w:r>
        <w:t>.</w:t>
      </w:r>
      <w:bookmarkEnd w:id="612"/>
      <w:r>
        <w:t xml:space="preserve"> Produkt Krajowy Brutto Polski</w:t>
      </w:r>
      <w:bookmarkEnd w:id="613"/>
      <w:bookmarkEnd w:id="614"/>
      <w:bookmarkEnd w:id="615"/>
      <w:bookmarkEnd w:id="616"/>
      <w:r>
        <w:t xml:space="preserve"> </w:t>
      </w:r>
    </w:p>
    <w:tbl>
      <w:tblPr>
        <w:tblStyle w:val="KPEiK"/>
        <w:tblW w:w="5000" w:type="pct"/>
        <w:tblLayout w:type="fixed"/>
        <w:tblLook w:val="04A0" w:firstRow="1" w:lastRow="0" w:firstColumn="1" w:lastColumn="0" w:noHBand="0" w:noVBand="1"/>
      </w:tblPr>
      <w:tblGrid>
        <w:gridCol w:w="1534"/>
        <w:gridCol w:w="941"/>
        <w:gridCol w:w="941"/>
        <w:gridCol w:w="941"/>
        <w:gridCol w:w="941"/>
        <w:gridCol w:w="941"/>
        <w:gridCol w:w="941"/>
        <w:gridCol w:w="941"/>
        <w:gridCol w:w="941"/>
      </w:tblGrid>
      <w:tr w:rsidR="001D0CFF" w:rsidRPr="00CF5896" w14:paraId="12892FE5" w14:textId="77777777" w:rsidTr="00BE5535">
        <w:trPr>
          <w:cnfStyle w:val="100000000000" w:firstRow="1" w:lastRow="0" w:firstColumn="0" w:lastColumn="0" w:oddVBand="0" w:evenVBand="0" w:oddHBand="0" w:evenHBand="0" w:firstRowFirstColumn="0" w:firstRowLastColumn="0" w:lastRowFirstColumn="0" w:lastRowLastColumn="0"/>
          <w:trHeight w:val="230"/>
        </w:trPr>
        <w:tc>
          <w:tcPr>
            <w:tcW w:w="1554" w:type="dxa"/>
          </w:tcPr>
          <w:p w14:paraId="65E7BBB6" w14:textId="77777777" w:rsidR="001D0CFF" w:rsidRPr="00CF5896" w:rsidRDefault="001D0CFF">
            <w:pPr>
              <w:pStyle w:val="Tabele"/>
              <w:jc w:val="center"/>
              <w:rPr>
                <w:rFonts w:ascii="Calibri" w:hAnsi="Calibri" w:cs="Calibri"/>
                <w:color w:val="auto"/>
              </w:rPr>
            </w:pPr>
          </w:p>
        </w:tc>
        <w:tc>
          <w:tcPr>
            <w:tcW w:w="952" w:type="dxa"/>
          </w:tcPr>
          <w:p w14:paraId="061921C4" w14:textId="77777777" w:rsidR="001D0CFF" w:rsidRPr="00BE5535" w:rsidRDefault="001D0CFF">
            <w:pPr>
              <w:pStyle w:val="Tabele"/>
              <w:jc w:val="center"/>
              <w:rPr>
                <w:rFonts w:ascii="Calibri" w:hAnsi="Calibri" w:cs="Calibri"/>
              </w:rPr>
            </w:pPr>
            <w:r w:rsidRPr="00BE5535">
              <w:t>2005</w:t>
            </w:r>
          </w:p>
        </w:tc>
        <w:tc>
          <w:tcPr>
            <w:tcW w:w="952" w:type="dxa"/>
          </w:tcPr>
          <w:p w14:paraId="0D311E38" w14:textId="77777777" w:rsidR="001D0CFF" w:rsidRPr="00BE5535" w:rsidRDefault="001D0CFF">
            <w:pPr>
              <w:pStyle w:val="Tabele"/>
              <w:jc w:val="center"/>
              <w:rPr>
                <w:rFonts w:ascii="Calibri" w:hAnsi="Calibri" w:cs="Calibri"/>
              </w:rPr>
            </w:pPr>
            <w:r w:rsidRPr="00BE5535">
              <w:t>2010</w:t>
            </w:r>
          </w:p>
        </w:tc>
        <w:tc>
          <w:tcPr>
            <w:tcW w:w="952" w:type="dxa"/>
          </w:tcPr>
          <w:p w14:paraId="3060FECB" w14:textId="77777777" w:rsidR="001D0CFF" w:rsidRPr="00BE5535" w:rsidRDefault="001D0CFF">
            <w:pPr>
              <w:pStyle w:val="Tabele"/>
              <w:jc w:val="center"/>
              <w:rPr>
                <w:rFonts w:ascii="Calibri" w:hAnsi="Calibri" w:cs="Calibri"/>
              </w:rPr>
            </w:pPr>
            <w:r w:rsidRPr="00BE5535">
              <w:t>2015</w:t>
            </w:r>
          </w:p>
        </w:tc>
        <w:tc>
          <w:tcPr>
            <w:tcW w:w="952" w:type="dxa"/>
          </w:tcPr>
          <w:p w14:paraId="141B9148" w14:textId="77777777" w:rsidR="001D0CFF" w:rsidRPr="00BE5535" w:rsidRDefault="001D0CFF">
            <w:pPr>
              <w:pStyle w:val="Tabele"/>
              <w:jc w:val="center"/>
              <w:rPr>
                <w:rFonts w:ascii="Calibri" w:hAnsi="Calibri" w:cs="Calibri"/>
              </w:rPr>
            </w:pPr>
            <w:r w:rsidRPr="00BE5535">
              <w:t>2020</w:t>
            </w:r>
          </w:p>
        </w:tc>
        <w:tc>
          <w:tcPr>
            <w:tcW w:w="952" w:type="dxa"/>
          </w:tcPr>
          <w:p w14:paraId="00A14157" w14:textId="77777777" w:rsidR="001D0CFF" w:rsidRPr="00BE5535" w:rsidRDefault="001D0CFF">
            <w:pPr>
              <w:pStyle w:val="Tabele"/>
              <w:jc w:val="center"/>
              <w:rPr>
                <w:rFonts w:ascii="Calibri" w:hAnsi="Calibri" w:cs="Calibri"/>
              </w:rPr>
            </w:pPr>
            <w:r w:rsidRPr="00BE5535">
              <w:t>2025</w:t>
            </w:r>
          </w:p>
        </w:tc>
        <w:tc>
          <w:tcPr>
            <w:tcW w:w="952" w:type="dxa"/>
          </w:tcPr>
          <w:p w14:paraId="45545356" w14:textId="77777777" w:rsidR="001D0CFF" w:rsidRPr="00BE5535" w:rsidRDefault="001D0CFF">
            <w:pPr>
              <w:pStyle w:val="Tabele"/>
              <w:jc w:val="center"/>
              <w:rPr>
                <w:rFonts w:ascii="Calibri" w:hAnsi="Calibri" w:cs="Calibri"/>
              </w:rPr>
            </w:pPr>
            <w:r w:rsidRPr="00BE5535">
              <w:t>2030</w:t>
            </w:r>
          </w:p>
        </w:tc>
        <w:tc>
          <w:tcPr>
            <w:tcW w:w="952" w:type="dxa"/>
          </w:tcPr>
          <w:p w14:paraId="4F0DF4F1" w14:textId="77777777" w:rsidR="001D0CFF" w:rsidRPr="00BE5535" w:rsidRDefault="001D0CFF">
            <w:pPr>
              <w:pStyle w:val="Tabele"/>
              <w:jc w:val="center"/>
              <w:rPr>
                <w:rFonts w:ascii="Calibri" w:hAnsi="Calibri" w:cs="Calibri"/>
              </w:rPr>
            </w:pPr>
            <w:r w:rsidRPr="00BE5535">
              <w:t>2035</w:t>
            </w:r>
          </w:p>
        </w:tc>
        <w:tc>
          <w:tcPr>
            <w:tcW w:w="952" w:type="dxa"/>
          </w:tcPr>
          <w:p w14:paraId="657A99AA" w14:textId="77777777" w:rsidR="001D0CFF" w:rsidRPr="00BE5535" w:rsidRDefault="001D0CFF">
            <w:pPr>
              <w:pStyle w:val="Tabele"/>
              <w:jc w:val="center"/>
              <w:rPr>
                <w:rFonts w:ascii="Calibri" w:hAnsi="Calibri" w:cs="Calibri"/>
              </w:rPr>
            </w:pPr>
            <w:r w:rsidRPr="00BE5535">
              <w:t>2040</w:t>
            </w:r>
          </w:p>
        </w:tc>
      </w:tr>
      <w:tr w:rsidR="001D0CFF" w:rsidRPr="00CF5896" w14:paraId="09EDE4CA" w14:textId="77777777" w:rsidTr="00BE5535">
        <w:trPr>
          <w:trHeight w:val="230"/>
        </w:trPr>
        <w:tc>
          <w:tcPr>
            <w:tcW w:w="1554" w:type="dxa"/>
          </w:tcPr>
          <w:p w14:paraId="33FF0DDB" w14:textId="77777777" w:rsidR="001D0CFF" w:rsidRPr="00CF5896" w:rsidRDefault="001D0CFF">
            <w:pPr>
              <w:pStyle w:val="Tabele"/>
              <w:rPr>
                <w:color w:val="auto"/>
              </w:rPr>
            </w:pPr>
            <w:r w:rsidRPr="00CF5896">
              <w:rPr>
                <w:color w:val="auto"/>
              </w:rPr>
              <w:t>PKB - dynamika</w:t>
            </w:r>
          </w:p>
          <w:p w14:paraId="5AC354BC" w14:textId="77777777" w:rsidR="001D0CFF" w:rsidRPr="00CF5896" w:rsidRDefault="001D0CFF">
            <w:pPr>
              <w:pStyle w:val="Tabele"/>
              <w:rPr>
                <w:color w:val="auto"/>
              </w:rPr>
            </w:pPr>
            <w:r w:rsidRPr="00CF5896">
              <w:rPr>
                <w:color w:val="auto"/>
              </w:rPr>
              <w:t>[2020 = 100]</w:t>
            </w:r>
          </w:p>
        </w:tc>
        <w:tc>
          <w:tcPr>
            <w:tcW w:w="952" w:type="dxa"/>
            <w:shd w:val="clear" w:color="auto" w:fill="C5E0B3" w:themeFill="accent6" w:themeFillTint="66"/>
          </w:tcPr>
          <w:p w14:paraId="1296A9C2" w14:textId="77777777" w:rsidR="001D0CFF" w:rsidRPr="00CF5896" w:rsidRDefault="001D0CFF">
            <w:pPr>
              <w:pStyle w:val="Tabele"/>
              <w:jc w:val="right"/>
              <w:rPr>
                <w:color w:val="auto"/>
              </w:rPr>
            </w:pPr>
            <w:r w:rsidRPr="00CF5896">
              <w:rPr>
                <w:color w:val="auto"/>
              </w:rPr>
              <w:t>60,25</w:t>
            </w:r>
          </w:p>
        </w:tc>
        <w:tc>
          <w:tcPr>
            <w:tcW w:w="952" w:type="dxa"/>
            <w:shd w:val="clear" w:color="auto" w:fill="C5E0B3" w:themeFill="accent6" w:themeFillTint="66"/>
          </w:tcPr>
          <w:p w14:paraId="38FB3BD0" w14:textId="77777777" w:rsidR="001D0CFF" w:rsidRPr="00CF5896" w:rsidRDefault="001D0CFF">
            <w:pPr>
              <w:pStyle w:val="Tabele"/>
              <w:jc w:val="right"/>
              <w:rPr>
                <w:color w:val="auto"/>
              </w:rPr>
            </w:pPr>
            <w:r w:rsidRPr="00CF5896">
              <w:rPr>
                <w:color w:val="auto"/>
              </w:rPr>
              <w:t>76,05</w:t>
            </w:r>
          </w:p>
        </w:tc>
        <w:tc>
          <w:tcPr>
            <w:tcW w:w="952" w:type="dxa"/>
            <w:shd w:val="clear" w:color="auto" w:fill="C5E0B3" w:themeFill="accent6" w:themeFillTint="66"/>
          </w:tcPr>
          <w:p w14:paraId="19326738" w14:textId="77777777" w:rsidR="001D0CFF" w:rsidRPr="00CF5896" w:rsidRDefault="001D0CFF">
            <w:pPr>
              <w:pStyle w:val="Tabele"/>
              <w:jc w:val="right"/>
              <w:rPr>
                <w:color w:val="auto"/>
              </w:rPr>
            </w:pPr>
            <w:r w:rsidRPr="00CF5896">
              <w:rPr>
                <w:color w:val="auto"/>
              </w:rPr>
              <w:t>88,27</w:t>
            </w:r>
          </w:p>
        </w:tc>
        <w:tc>
          <w:tcPr>
            <w:tcW w:w="952" w:type="dxa"/>
            <w:shd w:val="clear" w:color="auto" w:fill="C5E0B3" w:themeFill="accent6" w:themeFillTint="66"/>
          </w:tcPr>
          <w:p w14:paraId="3DAE7BDA" w14:textId="77777777" w:rsidR="001D0CFF" w:rsidRPr="00CF5896" w:rsidRDefault="001D0CFF">
            <w:pPr>
              <w:pStyle w:val="Tabele"/>
              <w:jc w:val="right"/>
              <w:rPr>
                <w:color w:val="auto"/>
              </w:rPr>
            </w:pPr>
            <w:r w:rsidRPr="00CF5896">
              <w:rPr>
                <w:color w:val="auto"/>
              </w:rPr>
              <w:t>100,0</w:t>
            </w:r>
          </w:p>
        </w:tc>
        <w:tc>
          <w:tcPr>
            <w:tcW w:w="952" w:type="dxa"/>
          </w:tcPr>
          <w:p w14:paraId="69D22FFC" w14:textId="77777777" w:rsidR="001D0CFF" w:rsidRPr="00CF5896" w:rsidRDefault="001D0CFF">
            <w:pPr>
              <w:pStyle w:val="Tabele"/>
              <w:jc w:val="right"/>
              <w:rPr>
                <w:color w:val="auto"/>
              </w:rPr>
            </w:pPr>
            <w:r w:rsidRPr="00CF5896">
              <w:rPr>
                <w:color w:val="auto"/>
              </w:rPr>
              <w:t>118,00</w:t>
            </w:r>
          </w:p>
        </w:tc>
        <w:tc>
          <w:tcPr>
            <w:tcW w:w="952" w:type="dxa"/>
          </w:tcPr>
          <w:p w14:paraId="3F87D5ED" w14:textId="77777777" w:rsidR="001D0CFF" w:rsidRPr="00CF5896" w:rsidRDefault="001D0CFF">
            <w:pPr>
              <w:pStyle w:val="Tabele"/>
              <w:jc w:val="right"/>
              <w:rPr>
                <w:color w:val="auto"/>
              </w:rPr>
            </w:pPr>
            <w:r w:rsidRPr="00CF5896">
              <w:rPr>
                <w:color w:val="auto"/>
              </w:rPr>
              <w:t>132,91</w:t>
            </w:r>
          </w:p>
        </w:tc>
        <w:tc>
          <w:tcPr>
            <w:tcW w:w="952" w:type="dxa"/>
          </w:tcPr>
          <w:p w14:paraId="5926B6D8" w14:textId="77777777" w:rsidR="001D0CFF" w:rsidRPr="00CF5896" w:rsidRDefault="001D0CFF">
            <w:pPr>
              <w:pStyle w:val="Tabele"/>
              <w:jc w:val="right"/>
              <w:rPr>
                <w:color w:val="auto"/>
              </w:rPr>
            </w:pPr>
            <w:r w:rsidRPr="00CF5896">
              <w:rPr>
                <w:color w:val="auto"/>
              </w:rPr>
              <w:t>144,99</w:t>
            </w:r>
          </w:p>
        </w:tc>
        <w:tc>
          <w:tcPr>
            <w:tcW w:w="952" w:type="dxa"/>
          </w:tcPr>
          <w:p w14:paraId="3D415CD4" w14:textId="77777777" w:rsidR="001D0CFF" w:rsidRPr="00CF5896" w:rsidRDefault="001D0CFF">
            <w:pPr>
              <w:pStyle w:val="Tabele"/>
              <w:jc w:val="right"/>
              <w:rPr>
                <w:color w:val="auto"/>
              </w:rPr>
            </w:pPr>
            <w:r w:rsidRPr="00CF5896">
              <w:rPr>
                <w:color w:val="auto"/>
              </w:rPr>
              <w:t>155,18</w:t>
            </w:r>
          </w:p>
        </w:tc>
      </w:tr>
    </w:tbl>
    <w:p w14:paraId="066EBF4D" w14:textId="77777777" w:rsidR="005C4144" w:rsidRPr="008E58BB" w:rsidRDefault="005C4144" w:rsidP="005C4144">
      <w:pPr>
        <w:pStyle w:val="ardo"/>
      </w:pPr>
      <w:r>
        <w:t>Źródło: Opracowano na podstawie danych EUROSTAT, PRIMES2020 Scenariusz Referencyjny</w:t>
      </w:r>
    </w:p>
    <w:p w14:paraId="50A22A90" w14:textId="77777777" w:rsidR="0057312F" w:rsidRPr="00ED7B4B" w:rsidRDefault="0057312F" w:rsidP="0057312F">
      <w:pPr>
        <w:pStyle w:val="Podtytu"/>
        <w:spacing w:after="120"/>
        <w:rPr>
          <w:color w:val="auto"/>
        </w:rPr>
      </w:pPr>
      <w:r w:rsidRPr="00ED7B4B">
        <w:rPr>
          <w:color w:val="auto"/>
        </w:rPr>
        <w:t>Ceny uprawnień do emisji gazów cieplarnianych</w:t>
      </w:r>
    </w:p>
    <w:p w14:paraId="7847ADC0" w14:textId="1E97C78A" w:rsidR="0057312F" w:rsidRDefault="0057312F" w:rsidP="0057312F">
      <w:r>
        <w:t>C</w:t>
      </w:r>
      <w:r w:rsidRPr="00E86BA6">
        <w:t>en</w:t>
      </w:r>
      <w:r>
        <w:t>y uprawnień do emisji GHG</w:t>
      </w:r>
      <w:r w:rsidRPr="00E86BA6">
        <w:t xml:space="preserve"> w sektorach objętych systemem handlu emisjami</w:t>
      </w:r>
      <w:r>
        <w:rPr>
          <w:rStyle w:val="Odwoanieprzypisudolnego"/>
        </w:rPr>
        <w:footnoteReference w:id="31"/>
      </w:r>
      <w:r w:rsidRPr="00E86BA6">
        <w:t xml:space="preserve"> założono zgodn</w:t>
      </w:r>
      <w:r>
        <w:t>ie z </w:t>
      </w:r>
      <w:r>
        <w:rPr>
          <w:color w:val="000000" w:themeColor="text1"/>
        </w:rPr>
        <w:t>przedstawionymi w</w:t>
      </w:r>
      <w:r w:rsidR="00D13BC0">
        <w:rPr>
          <w:color w:val="000000" w:themeColor="text1"/>
        </w:rPr>
        <w:t>cześniej</w:t>
      </w:r>
      <w:r w:rsidRPr="00E86BA6">
        <w:t>. Ceny te zostały przyjęte na podstawie dokumentu „Zestawienie założeń liczbowych do aKPEiK i PEP2040”. Zgodnie z prezento</w:t>
      </w:r>
      <w:r>
        <w:t xml:space="preserve">wanymi poniżej </w:t>
      </w:r>
      <w:r w:rsidRPr="00B94D8C">
        <w:t>(</w:t>
      </w:r>
      <w:r w:rsidR="00D13BC0">
        <w:fldChar w:fldCharType="begin"/>
      </w:r>
      <w:r w:rsidR="00D13BC0">
        <w:instrText xml:space="preserve"> REF _Ref195872489 \h </w:instrText>
      </w:r>
      <w:r w:rsidR="00D13BC0">
        <w:fldChar w:fldCharType="separate"/>
      </w:r>
      <w:r w:rsidR="00F27D6F">
        <w:t xml:space="preserve">Tabela </w:t>
      </w:r>
      <w:r w:rsidR="00F27D6F">
        <w:rPr>
          <w:noProof/>
        </w:rPr>
        <w:t>6</w:t>
      </w:r>
      <w:r w:rsidR="00F27D6F">
        <w:t>.</w:t>
      </w:r>
      <w:r w:rsidR="00F27D6F">
        <w:rPr>
          <w:noProof/>
        </w:rPr>
        <w:t>2</w:t>
      </w:r>
      <w:r w:rsidR="00D13BC0">
        <w:fldChar w:fldCharType="end"/>
      </w:r>
      <w:r w:rsidRPr="00B94D8C">
        <w:t>)</w:t>
      </w:r>
      <w:r>
        <w:t xml:space="preserve"> danymi, ceny uprawnień do emisji GHG</w:t>
      </w:r>
      <w:r w:rsidRPr="00E86BA6">
        <w:t xml:space="preserve"> będą stopni</w:t>
      </w:r>
      <w:r>
        <w:t>owo wzrastać do poziomu 1</w:t>
      </w:r>
      <w:r w:rsidR="00816A96">
        <w:t>2</w:t>
      </w:r>
      <w:r>
        <w:t>0 EUR</w:t>
      </w:r>
      <w:r w:rsidRPr="00E86BA6">
        <w:t>'202</w:t>
      </w:r>
      <w:r w:rsidR="00816A96">
        <w:t>4</w:t>
      </w:r>
      <w:r w:rsidRPr="00E86BA6">
        <w:t>/tCO</w:t>
      </w:r>
      <w:r w:rsidRPr="00035A60">
        <w:rPr>
          <w:vertAlign w:val="subscript"/>
        </w:rPr>
        <w:t>2</w:t>
      </w:r>
      <w:r>
        <w:t>eq</w:t>
      </w:r>
      <w:r w:rsidRPr="00E86BA6">
        <w:t xml:space="preserve"> w 2030 r. i będ</w:t>
      </w:r>
      <w:r>
        <w:t xml:space="preserve">ą kontynuować wzrost do </w:t>
      </w:r>
      <w:r w:rsidR="00816A96">
        <w:t>30</w:t>
      </w:r>
      <w:r w:rsidR="00F3196F" w:rsidRPr="00F3196F">
        <w:t xml:space="preserve">0 </w:t>
      </w:r>
      <w:r w:rsidRPr="00F3196F">
        <w:t>EUR'202</w:t>
      </w:r>
      <w:r w:rsidR="00816A96">
        <w:t>4</w:t>
      </w:r>
      <w:r w:rsidRPr="00F3196F">
        <w:t>/tCO</w:t>
      </w:r>
      <w:r w:rsidRPr="00F3196F">
        <w:rPr>
          <w:vertAlign w:val="subscript"/>
        </w:rPr>
        <w:t>2</w:t>
      </w:r>
      <w:r w:rsidRPr="00F3196F">
        <w:t>eq w 20</w:t>
      </w:r>
      <w:r w:rsidR="0081181A" w:rsidRPr="00F3196F">
        <w:t>4</w:t>
      </w:r>
      <w:r w:rsidRPr="00F3196F">
        <w:t>0 r.</w:t>
      </w:r>
    </w:p>
    <w:p w14:paraId="69F51A5A" w14:textId="39200A25" w:rsidR="004B77C6" w:rsidRDefault="000D1A06" w:rsidP="004B77C6">
      <w:pPr>
        <w:pStyle w:val="Legenda"/>
        <w:keepNext/>
      </w:pPr>
      <w:bookmarkStart w:id="617" w:name="_Ref195714879"/>
      <w:bookmarkStart w:id="618" w:name="_Ref195872489"/>
      <w:bookmarkStart w:id="619" w:name="_Ref195714874"/>
      <w:bookmarkStart w:id="620" w:name="_Toc202967017"/>
      <w:r>
        <w:t xml:space="preserve">Tabela </w:t>
      </w:r>
      <w:bookmarkEnd w:id="617"/>
      <w:r>
        <w:fldChar w:fldCharType="begin"/>
      </w:r>
      <w:r>
        <w:instrText xml:space="preserve"> STYLEREF 1 \s </w:instrText>
      </w:r>
      <w:r>
        <w:fldChar w:fldCharType="separate"/>
      </w:r>
      <w:r w:rsidR="00F27D6F">
        <w:rPr>
          <w:noProof/>
        </w:rPr>
        <w:t>6</w:t>
      </w:r>
      <w: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w:t>
      </w:r>
      <w:r w:rsidR="00653D9A">
        <w:rPr>
          <w:noProof/>
        </w:rPr>
        <w:fldChar w:fldCharType="end"/>
      </w:r>
      <w:bookmarkEnd w:id="618"/>
      <w:r w:rsidR="004B77C6">
        <w:t xml:space="preserve"> </w:t>
      </w:r>
      <w:r w:rsidR="004B77C6" w:rsidRPr="0060223A">
        <w:t xml:space="preserve">Ceny uprawnień do emisji </w:t>
      </w:r>
      <w:r w:rsidR="004B77C6">
        <w:t>GHG w systemie EU ETS [EUR’202</w:t>
      </w:r>
      <w:r w:rsidR="008A32CD">
        <w:t>4</w:t>
      </w:r>
      <w:r w:rsidR="004B77C6" w:rsidRPr="0060223A">
        <w:t>/tCO</w:t>
      </w:r>
      <w:r w:rsidR="004B77C6" w:rsidRPr="00F77210">
        <w:rPr>
          <w:vertAlign w:val="subscript"/>
        </w:rPr>
        <w:t>2</w:t>
      </w:r>
      <w:r w:rsidR="004B77C6" w:rsidRPr="002C7DCF">
        <w:t>eq</w:t>
      </w:r>
      <w:r w:rsidR="004B77C6" w:rsidRPr="0060223A">
        <w:t>]</w:t>
      </w:r>
      <w:r w:rsidR="004B77C6">
        <w:t xml:space="preserve"> w scenariuszu WEM</w:t>
      </w:r>
      <w:bookmarkEnd w:id="619"/>
      <w:bookmarkEnd w:id="620"/>
    </w:p>
    <w:tbl>
      <w:tblPr>
        <w:tblStyle w:val="KPEiK"/>
        <w:tblW w:w="5000" w:type="pct"/>
        <w:tblLook w:val="04A0" w:firstRow="1" w:lastRow="0" w:firstColumn="1" w:lastColumn="0" w:noHBand="0" w:noVBand="1"/>
      </w:tblPr>
      <w:tblGrid>
        <w:gridCol w:w="2325"/>
        <w:gridCol w:w="839"/>
        <w:gridCol w:w="841"/>
        <w:gridCol w:w="839"/>
        <w:gridCol w:w="841"/>
        <w:gridCol w:w="842"/>
        <w:gridCol w:w="845"/>
        <w:gridCol w:w="845"/>
        <w:gridCol w:w="845"/>
      </w:tblGrid>
      <w:tr w:rsidR="007428D3" w:rsidRPr="00586E10" w14:paraId="07B67230" w14:textId="77777777" w:rsidTr="004B77C6">
        <w:trPr>
          <w:cnfStyle w:val="100000000000" w:firstRow="1" w:lastRow="0" w:firstColumn="0" w:lastColumn="0" w:oddVBand="0" w:evenVBand="0" w:oddHBand="0" w:evenHBand="0" w:firstRowFirstColumn="0" w:firstRowLastColumn="0" w:lastRowFirstColumn="0" w:lastRowLastColumn="0"/>
          <w:trHeight w:val="218"/>
        </w:trPr>
        <w:tc>
          <w:tcPr>
            <w:tcW w:w="2325" w:type="dxa"/>
          </w:tcPr>
          <w:p w14:paraId="0CE19C72" w14:textId="77777777" w:rsidR="007428D3" w:rsidRPr="00586E10" w:rsidRDefault="007428D3" w:rsidP="00DF6CBC">
            <w:pPr>
              <w:pStyle w:val="Tabele"/>
              <w:jc w:val="center"/>
              <w:rPr>
                <w:rFonts w:ascii="Calibri" w:hAnsi="Calibri" w:cs="Calibri"/>
                <w:b w:val="0"/>
              </w:rPr>
            </w:pPr>
          </w:p>
        </w:tc>
        <w:tc>
          <w:tcPr>
            <w:tcW w:w="839" w:type="dxa"/>
          </w:tcPr>
          <w:p w14:paraId="463B678D" w14:textId="77777777" w:rsidR="007428D3" w:rsidRPr="00586E10" w:rsidRDefault="007428D3" w:rsidP="00DF6CBC">
            <w:pPr>
              <w:pStyle w:val="Tabele"/>
              <w:jc w:val="center"/>
              <w:rPr>
                <w:rFonts w:ascii="Calibri" w:hAnsi="Calibri" w:cs="Calibri"/>
                <w:b w:val="0"/>
              </w:rPr>
            </w:pPr>
            <w:r>
              <w:t>2005</w:t>
            </w:r>
          </w:p>
        </w:tc>
        <w:tc>
          <w:tcPr>
            <w:tcW w:w="841" w:type="dxa"/>
          </w:tcPr>
          <w:p w14:paraId="70007784" w14:textId="77777777" w:rsidR="007428D3" w:rsidRPr="00586E10" w:rsidRDefault="007428D3" w:rsidP="00DF6CBC">
            <w:pPr>
              <w:pStyle w:val="Tabele"/>
              <w:jc w:val="center"/>
              <w:rPr>
                <w:rFonts w:ascii="Calibri" w:hAnsi="Calibri" w:cs="Calibri"/>
                <w:b w:val="0"/>
              </w:rPr>
            </w:pPr>
            <w:r>
              <w:t>2010</w:t>
            </w:r>
          </w:p>
        </w:tc>
        <w:tc>
          <w:tcPr>
            <w:tcW w:w="839" w:type="dxa"/>
          </w:tcPr>
          <w:p w14:paraId="5CF6075A" w14:textId="77777777" w:rsidR="007428D3" w:rsidRPr="00586E10" w:rsidRDefault="007428D3" w:rsidP="00DF6CBC">
            <w:pPr>
              <w:pStyle w:val="Tabele"/>
              <w:jc w:val="center"/>
              <w:rPr>
                <w:rFonts w:ascii="Calibri" w:hAnsi="Calibri" w:cs="Calibri"/>
                <w:b w:val="0"/>
              </w:rPr>
            </w:pPr>
            <w:r>
              <w:t>2015</w:t>
            </w:r>
          </w:p>
        </w:tc>
        <w:tc>
          <w:tcPr>
            <w:tcW w:w="841" w:type="dxa"/>
          </w:tcPr>
          <w:p w14:paraId="6584E009" w14:textId="77777777" w:rsidR="007428D3" w:rsidRPr="00586E10" w:rsidRDefault="007428D3" w:rsidP="00DF6CBC">
            <w:pPr>
              <w:pStyle w:val="Tabele"/>
              <w:jc w:val="center"/>
              <w:rPr>
                <w:rFonts w:ascii="Calibri" w:hAnsi="Calibri" w:cs="Calibri"/>
                <w:b w:val="0"/>
              </w:rPr>
            </w:pPr>
            <w:r>
              <w:t>2020</w:t>
            </w:r>
          </w:p>
        </w:tc>
        <w:tc>
          <w:tcPr>
            <w:tcW w:w="842" w:type="dxa"/>
          </w:tcPr>
          <w:p w14:paraId="35939907" w14:textId="77777777" w:rsidR="007428D3" w:rsidRPr="00586E10" w:rsidRDefault="007428D3" w:rsidP="00DF6CBC">
            <w:pPr>
              <w:pStyle w:val="Tabele"/>
              <w:jc w:val="center"/>
              <w:rPr>
                <w:rFonts w:ascii="Calibri" w:hAnsi="Calibri" w:cs="Calibri"/>
                <w:b w:val="0"/>
              </w:rPr>
            </w:pPr>
            <w:r>
              <w:t>2025</w:t>
            </w:r>
          </w:p>
        </w:tc>
        <w:tc>
          <w:tcPr>
            <w:tcW w:w="845" w:type="dxa"/>
          </w:tcPr>
          <w:p w14:paraId="7A6280A0" w14:textId="77777777" w:rsidR="007428D3" w:rsidRPr="00586E10" w:rsidRDefault="007428D3" w:rsidP="00DF6CBC">
            <w:pPr>
              <w:pStyle w:val="Tabele"/>
              <w:jc w:val="center"/>
              <w:rPr>
                <w:rFonts w:ascii="Calibri" w:hAnsi="Calibri" w:cs="Calibri"/>
                <w:b w:val="0"/>
              </w:rPr>
            </w:pPr>
            <w:r>
              <w:t>2030</w:t>
            </w:r>
          </w:p>
        </w:tc>
        <w:tc>
          <w:tcPr>
            <w:tcW w:w="845" w:type="dxa"/>
          </w:tcPr>
          <w:p w14:paraId="2FED6739" w14:textId="77777777" w:rsidR="007428D3" w:rsidRPr="00586E10" w:rsidRDefault="007428D3" w:rsidP="00DF6CBC">
            <w:pPr>
              <w:pStyle w:val="Tabele"/>
              <w:jc w:val="center"/>
              <w:rPr>
                <w:rFonts w:ascii="Calibri" w:hAnsi="Calibri" w:cs="Calibri"/>
                <w:b w:val="0"/>
              </w:rPr>
            </w:pPr>
            <w:r>
              <w:t>2035</w:t>
            </w:r>
          </w:p>
        </w:tc>
        <w:tc>
          <w:tcPr>
            <w:tcW w:w="845" w:type="dxa"/>
          </w:tcPr>
          <w:p w14:paraId="419DBB2A" w14:textId="77777777" w:rsidR="007428D3" w:rsidRPr="00586E10" w:rsidRDefault="007428D3" w:rsidP="00DF6CBC">
            <w:pPr>
              <w:pStyle w:val="Tabele"/>
              <w:jc w:val="center"/>
              <w:rPr>
                <w:rFonts w:ascii="Calibri" w:hAnsi="Calibri" w:cs="Calibri"/>
                <w:b w:val="0"/>
              </w:rPr>
            </w:pPr>
            <w:r>
              <w:t>2040</w:t>
            </w:r>
          </w:p>
        </w:tc>
      </w:tr>
      <w:tr w:rsidR="00C07B11" w:rsidRPr="00586E10" w14:paraId="5291C566" w14:textId="77777777">
        <w:trPr>
          <w:trHeight w:val="218"/>
        </w:trPr>
        <w:tc>
          <w:tcPr>
            <w:tcW w:w="2325" w:type="dxa"/>
          </w:tcPr>
          <w:p w14:paraId="7D473FA0" w14:textId="77777777" w:rsidR="00C07B11" w:rsidRPr="007428D3" w:rsidRDefault="00C07B11" w:rsidP="00C07B11">
            <w:pPr>
              <w:pStyle w:val="Tabele"/>
              <w:rPr>
                <w:color w:val="auto"/>
              </w:rPr>
            </w:pPr>
            <w:r w:rsidRPr="007428D3">
              <w:rPr>
                <w:color w:val="auto"/>
              </w:rPr>
              <w:t>Cena uprawnienia EUA</w:t>
            </w:r>
          </w:p>
        </w:tc>
        <w:tc>
          <w:tcPr>
            <w:tcW w:w="839" w:type="dxa"/>
            <w:shd w:val="clear" w:color="auto" w:fill="C5E0B3" w:themeFill="accent6" w:themeFillTint="66"/>
            <w:vAlign w:val="top"/>
          </w:tcPr>
          <w:p w14:paraId="3160D310" w14:textId="77777777" w:rsidR="00C07B11" w:rsidRPr="007428D3" w:rsidRDefault="00C07B11" w:rsidP="00C07B11">
            <w:pPr>
              <w:pStyle w:val="Tabele"/>
              <w:jc w:val="right"/>
              <w:rPr>
                <w:color w:val="auto"/>
              </w:rPr>
            </w:pPr>
            <w:r w:rsidRPr="007428D3">
              <w:rPr>
                <w:color w:val="auto"/>
              </w:rPr>
              <w:t>-</w:t>
            </w:r>
          </w:p>
        </w:tc>
        <w:tc>
          <w:tcPr>
            <w:tcW w:w="841" w:type="dxa"/>
            <w:shd w:val="clear" w:color="auto" w:fill="C5E0B3" w:themeFill="accent6" w:themeFillTint="66"/>
          </w:tcPr>
          <w:p w14:paraId="6A8DE30D" w14:textId="3DEDA8EE" w:rsidR="00C07B11" w:rsidRPr="00C07B11" w:rsidRDefault="00C07B11" w:rsidP="00C07B11">
            <w:pPr>
              <w:pStyle w:val="Tabele"/>
              <w:jc w:val="right"/>
              <w:rPr>
                <w:color w:val="auto"/>
              </w:rPr>
            </w:pPr>
            <w:r w:rsidRPr="00C07B11">
              <w:rPr>
                <w:color w:val="auto"/>
                <w:szCs w:val="16"/>
              </w:rPr>
              <w:t>12,43</w:t>
            </w:r>
          </w:p>
        </w:tc>
        <w:tc>
          <w:tcPr>
            <w:tcW w:w="839" w:type="dxa"/>
            <w:shd w:val="clear" w:color="auto" w:fill="C5E0B3" w:themeFill="accent6" w:themeFillTint="66"/>
          </w:tcPr>
          <w:p w14:paraId="604C6C8C" w14:textId="1BC059D8" w:rsidR="00C07B11" w:rsidRPr="00C07B11" w:rsidRDefault="00C07B11" w:rsidP="00C07B11">
            <w:pPr>
              <w:pStyle w:val="Tabele"/>
              <w:jc w:val="right"/>
              <w:rPr>
                <w:color w:val="auto"/>
              </w:rPr>
            </w:pPr>
            <w:r w:rsidRPr="00C07B11">
              <w:rPr>
                <w:color w:val="auto"/>
                <w:szCs w:val="16"/>
              </w:rPr>
              <w:t>8,32</w:t>
            </w:r>
          </w:p>
        </w:tc>
        <w:tc>
          <w:tcPr>
            <w:tcW w:w="841" w:type="dxa"/>
            <w:shd w:val="clear" w:color="auto" w:fill="C5E0B3" w:themeFill="accent6" w:themeFillTint="66"/>
          </w:tcPr>
          <w:p w14:paraId="6EED163E" w14:textId="627FCDA8" w:rsidR="00C07B11" w:rsidRPr="00C07B11" w:rsidRDefault="00C07B11" w:rsidP="00C07B11">
            <w:pPr>
              <w:pStyle w:val="Tabele"/>
              <w:jc w:val="right"/>
              <w:rPr>
                <w:color w:val="auto"/>
              </w:rPr>
            </w:pPr>
            <w:r w:rsidRPr="00C07B11">
              <w:rPr>
                <w:color w:val="auto"/>
                <w:szCs w:val="16"/>
              </w:rPr>
              <w:t>29,74</w:t>
            </w:r>
          </w:p>
        </w:tc>
        <w:tc>
          <w:tcPr>
            <w:tcW w:w="842" w:type="dxa"/>
          </w:tcPr>
          <w:p w14:paraId="187B2B22" w14:textId="41AFF2E1" w:rsidR="00C07B11" w:rsidRPr="00C07B11" w:rsidRDefault="00C07B11" w:rsidP="00C07B11">
            <w:pPr>
              <w:pStyle w:val="Tabele"/>
              <w:jc w:val="right"/>
              <w:rPr>
                <w:color w:val="auto"/>
              </w:rPr>
            </w:pPr>
            <w:r w:rsidRPr="00C07B11">
              <w:rPr>
                <w:color w:val="auto"/>
                <w:szCs w:val="16"/>
              </w:rPr>
              <w:t>108,05</w:t>
            </w:r>
          </w:p>
        </w:tc>
        <w:tc>
          <w:tcPr>
            <w:tcW w:w="845" w:type="dxa"/>
          </w:tcPr>
          <w:p w14:paraId="48326C53" w14:textId="6D6AF707" w:rsidR="00C07B11" w:rsidRPr="00C07B11" w:rsidRDefault="00C07B11" w:rsidP="00C07B11">
            <w:pPr>
              <w:pStyle w:val="Tabele"/>
              <w:jc w:val="right"/>
              <w:rPr>
                <w:color w:val="auto"/>
              </w:rPr>
            </w:pPr>
            <w:r w:rsidRPr="00C07B11">
              <w:rPr>
                <w:color w:val="auto"/>
                <w:szCs w:val="16"/>
              </w:rPr>
              <w:t>120,06</w:t>
            </w:r>
          </w:p>
        </w:tc>
        <w:tc>
          <w:tcPr>
            <w:tcW w:w="845" w:type="dxa"/>
          </w:tcPr>
          <w:p w14:paraId="5172961A" w14:textId="2CC4FA58" w:rsidR="00C07B11" w:rsidRPr="00C07B11" w:rsidRDefault="00C07B11" w:rsidP="00C07B11">
            <w:pPr>
              <w:pStyle w:val="Tabele"/>
              <w:jc w:val="right"/>
              <w:rPr>
                <w:color w:val="auto"/>
              </w:rPr>
            </w:pPr>
            <w:r w:rsidRPr="00C07B11">
              <w:rPr>
                <w:color w:val="auto"/>
                <w:szCs w:val="16"/>
              </w:rPr>
              <w:t>144,07</w:t>
            </w:r>
          </w:p>
        </w:tc>
        <w:tc>
          <w:tcPr>
            <w:tcW w:w="845" w:type="dxa"/>
          </w:tcPr>
          <w:p w14:paraId="33F53724" w14:textId="66A22EDE" w:rsidR="00C07B11" w:rsidRPr="00C07B11" w:rsidRDefault="00C07B11" w:rsidP="00C07B11">
            <w:pPr>
              <w:pStyle w:val="Tabele"/>
              <w:jc w:val="right"/>
              <w:rPr>
                <w:color w:val="auto"/>
              </w:rPr>
            </w:pPr>
            <w:r w:rsidRPr="00C07B11">
              <w:rPr>
                <w:color w:val="auto"/>
                <w:szCs w:val="16"/>
              </w:rPr>
              <w:t>300,15</w:t>
            </w:r>
          </w:p>
        </w:tc>
      </w:tr>
    </w:tbl>
    <w:p w14:paraId="4C3FB3F1" w14:textId="111483C2" w:rsidR="007428D3" w:rsidRPr="00CB4E00" w:rsidRDefault="007428D3" w:rsidP="007428D3">
      <w:pPr>
        <w:rPr>
          <w:i/>
          <w:iCs/>
          <w:color w:val="44546A" w:themeColor="text2"/>
          <w:sz w:val="18"/>
          <w:szCs w:val="18"/>
        </w:rPr>
      </w:pPr>
      <w:r w:rsidRPr="00CB4E00">
        <w:rPr>
          <w:i/>
          <w:iCs/>
          <w:color w:val="44546A" w:themeColor="text2"/>
          <w:sz w:val="18"/>
          <w:szCs w:val="18"/>
        </w:rPr>
        <w:t>Źródło: Wytyczne KE do</w:t>
      </w:r>
      <w:r w:rsidR="00CB4E00" w:rsidRPr="00CB4E00">
        <w:rPr>
          <w:i/>
          <w:iCs/>
          <w:color w:val="44546A" w:themeColor="text2"/>
          <w:sz w:val="18"/>
          <w:szCs w:val="18"/>
        </w:rPr>
        <w:t xml:space="preserve"> KPEiK</w:t>
      </w:r>
    </w:p>
    <w:p w14:paraId="059F79F1" w14:textId="77777777" w:rsidR="005C4144" w:rsidRPr="00F3196F" w:rsidRDefault="005C4144" w:rsidP="005C4144">
      <w:pPr>
        <w:pStyle w:val="Podtytu"/>
        <w:spacing w:after="120"/>
        <w:rPr>
          <w:color w:val="auto"/>
        </w:rPr>
      </w:pPr>
      <w:r w:rsidRPr="00F3196F">
        <w:rPr>
          <w:color w:val="auto"/>
        </w:rPr>
        <w:t>Liczba ludności i dynamika populacji w wieku produkcyjnym</w:t>
      </w:r>
    </w:p>
    <w:p w14:paraId="739FD8BA" w14:textId="4F8615D2" w:rsidR="00504A3E" w:rsidRDefault="00504A3E" w:rsidP="00504A3E">
      <w:bookmarkStart w:id="621" w:name="_Ref167821637"/>
      <w:bookmarkStart w:id="622" w:name="_Ref167406298"/>
      <w:bookmarkStart w:id="623" w:name="_Toc161315581"/>
      <w:bookmarkStart w:id="624" w:name="_Toc169565487"/>
      <w:bookmarkStart w:id="625" w:name="_Toc171587227"/>
      <w:bookmarkStart w:id="626" w:name="_Toc174711010"/>
      <w:r>
        <w:t xml:space="preserve">Do analizy </w:t>
      </w:r>
      <w:r w:rsidRPr="00444B2F">
        <w:t>wykorzyst</w:t>
      </w:r>
      <w:r>
        <w:t xml:space="preserve">ano </w:t>
      </w:r>
      <w:r w:rsidRPr="00444B2F">
        <w:t xml:space="preserve">projekcję liczby ludności w Polsce </w:t>
      </w:r>
      <w:r>
        <w:t xml:space="preserve">zgodną z założeniami </w:t>
      </w:r>
      <w:r w:rsidR="00400064">
        <w:t xml:space="preserve">przedstawionymi w </w:t>
      </w:r>
      <w:r w:rsidR="00FD52B6">
        <w:t>Z</w:t>
      </w:r>
      <w:r w:rsidR="00400064">
        <w:t>ałączniku 3</w:t>
      </w:r>
      <w:r w:rsidR="008B6B6C">
        <w:t xml:space="preserve"> do aktualizacji KPEiK</w:t>
      </w:r>
      <w:r w:rsidR="005C1D07">
        <w:t>.</w:t>
      </w:r>
      <w:r w:rsidR="00400064">
        <w:t xml:space="preserve"> </w:t>
      </w:r>
      <w:r>
        <w:t xml:space="preserve">Projekcja ta została przyjęta </w:t>
      </w:r>
      <w:r w:rsidRPr="00444B2F">
        <w:t>na podstawie wytycznych KE, skorygowan</w:t>
      </w:r>
      <w:r>
        <w:t>a</w:t>
      </w:r>
      <w:r w:rsidRPr="00444B2F">
        <w:t xml:space="preserve"> nieznacznie w górę w celu odzwierciedlenia procesów migracyjnych i </w:t>
      </w:r>
      <w:r w:rsidRPr="0020530E">
        <w:t>wydłużona do 20</w:t>
      </w:r>
      <w:r w:rsidR="005C7A8A" w:rsidRPr="0020530E">
        <w:t>4</w:t>
      </w:r>
      <w:r w:rsidRPr="0020530E">
        <w:t>0 r. zgodnie z linią trendu.</w:t>
      </w:r>
      <w:r>
        <w:t xml:space="preserve"> P</w:t>
      </w:r>
      <w:r w:rsidRPr="00EC1F6F">
        <w:t xml:space="preserve">rojekcja demograficzna zakłada spadek liczby ludności </w:t>
      </w:r>
      <w:r w:rsidRPr="0020530E">
        <w:t>w 20</w:t>
      </w:r>
      <w:r w:rsidR="00264F0F" w:rsidRPr="0020530E">
        <w:t>4</w:t>
      </w:r>
      <w:r w:rsidRPr="0020530E">
        <w:t>0 r. o</w:t>
      </w:r>
      <w:r w:rsidR="0020530E" w:rsidRPr="0020530E">
        <w:t xml:space="preserve"> 2</w:t>
      </w:r>
      <w:r w:rsidRPr="0020530E">
        <w:t xml:space="preserve"> %</w:t>
      </w:r>
      <w:r>
        <w:t xml:space="preserve"> w</w:t>
      </w:r>
      <w:r w:rsidR="00B6518A">
        <w:t> </w:t>
      </w:r>
      <w:r>
        <w:t xml:space="preserve">stosunku do 2020 r. </w:t>
      </w:r>
      <w:r w:rsidRPr="0020530E">
        <w:t>(</w:t>
      </w:r>
      <w:r w:rsidR="00106B1E">
        <w:fldChar w:fldCharType="begin"/>
      </w:r>
      <w:r w:rsidR="00106B1E">
        <w:instrText xml:space="preserve"> REF _Ref195777568 \h </w:instrText>
      </w:r>
      <w:r w:rsidR="00106B1E">
        <w:fldChar w:fldCharType="separate"/>
      </w:r>
      <w:r w:rsidR="00F27D6F">
        <w:t xml:space="preserve">Tabela </w:t>
      </w:r>
      <w:r w:rsidR="00F27D6F">
        <w:rPr>
          <w:noProof/>
        </w:rPr>
        <w:t>6</w:t>
      </w:r>
      <w:r w:rsidR="00F27D6F">
        <w:t>.</w:t>
      </w:r>
      <w:r w:rsidR="00F27D6F">
        <w:rPr>
          <w:noProof/>
        </w:rPr>
        <w:t>3</w:t>
      </w:r>
      <w:r w:rsidR="00106B1E">
        <w:fldChar w:fldCharType="end"/>
      </w:r>
      <w:r w:rsidRPr="0020530E">
        <w:t>).</w:t>
      </w:r>
      <w:r w:rsidRPr="53EDDA70">
        <w:t xml:space="preserve"> </w:t>
      </w:r>
      <w:r w:rsidRPr="00EC1F6F">
        <w:t>Przyjęte do obliczeń modelowych projekcje liczby ludności są wyższe od prezentowanych przez GUS, ponieważ szacunki Centrum Analiz Unii Metropolii Polskich wskazują na wyższe wartości od podawanych w oficjalnych statystykach</w:t>
      </w:r>
      <w:r>
        <w:t>, co wykorzystano do urealnienia ścieżki zmian</w:t>
      </w:r>
      <w:r>
        <w:rPr>
          <w:rStyle w:val="Odwoanieprzypisudolnego"/>
        </w:rPr>
        <w:footnoteReference w:id="32"/>
      </w:r>
      <w:r w:rsidRPr="53EDDA70">
        <w:t xml:space="preserve">. </w:t>
      </w:r>
      <w:r w:rsidR="00106B1E">
        <w:fldChar w:fldCharType="begin"/>
      </w:r>
      <w:r w:rsidR="00106B1E">
        <w:instrText xml:space="preserve"> REF _Ref195777568 \h </w:instrText>
      </w:r>
      <w:r w:rsidR="00106B1E">
        <w:fldChar w:fldCharType="separate"/>
      </w:r>
      <w:r w:rsidR="00F27D6F">
        <w:t xml:space="preserve">Tabela </w:t>
      </w:r>
      <w:r w:rsidR="00F27D6F">
        <w:rPr>
          <w:noProof/>
        </w:rPr>
        <w:t>6</w:t>
      </w:r>
      <w:r w:rsidR="00F27D6F">
        <w:t>.</w:t>
      </w:r>
      <w:r w:rsidR="00F27D6F">
        <w:rPr>
          <w:noProof/>
        </w:rPr>
        <w:t>3</w:t>
      </w:r>
      <w:r w:rsidR="00106B1E">
        <w:fldChar w:fldCharType="end"/>
      </w:r>
      <w:r w:rsidRPr="53EDDA70">
        <w:t xml:space="preserve"> </w:t>
      </w:r>
      <w:r>
        <w:t>przedstawia również zmiany liczby osób w wieku produkcyjnym, które zostały wyznaczone na bazie prognoz zmian populacji zgodnie z bazą danych ONZ</w:t>
      </w:r>
      <w:r>
        <w:rPr>
          <w:rStyle w:val="Odwoanieprzypisudolnego"/>
        </w:rPr>
        <w:footnoteReference w:id="33"/>
      </w:r>
      <w:r>
        <w:t xml:space="preserve">. </w:t>
      </w:r>
    </w:p>
    <w:p w14:paraId="20B919BD" w14:textId="1F4825C6" w:rsidR="005C4144" w:rsidRDefault="005C4144" w:rsidP="005C4144">
      <w:pPr>
        <w:pStyle w:val="Legenda"/>
        <w:keepNext/>
      </w:pPr>
      <w:bookmarkStart w:id="627" w:name="_Ref195777568"/>
      <w:bookmarkStart w:id="628" w:name="_Toc202967018"/>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6</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3</w:t>
      </w:r>
      <w:r w:rsidR="00653D9A">
        <w:rPr>
          <w:noProof/>
        </w:rPr>
        <w:fldChar w:fldCharType="end"/>
      </w:r>
      <w:bookmarkEnd w:id="621"/>
      <w:bookmarkEnd w:id="627"/>
      <w:r>
        <w:t>.</w:t>
      </w:r>
      <w:bookmarkEnd w:id="622"/>
      <w:r>
        <w:t xml:space="preserve"> Prognozowana l</w:t>
      </w:r>
      <w:r w:rsidRPr="0060223A">
        <w:t xml:space="preserve">iczba ludności </w:t>
      </w:r>
      <w:r>
        <w:t xml:space="preserve">Polski oraz </w:t>
      </w:r>
      <w:bookmarkEnd w:id="623"/>
      <w:r>
        <w:t>liczby ludności gotowej do pracy</w:t>
      </w:r>
      <w:bookmarkEnd w:id="624"/>
      <w:bookmarkEnd w:id="625"/>
      <w:bookmarkEnd w:id="626"/>
      <w:bookmarkEnd w:id="628"/>
    </w:p>
    <w:tbl>
      <w:tblPr>
        <w:tblStyle w:val="KPEiK"/>
        <w:tblW w:w="5000" w:type="pct"/>
        <w:tblLayout w:type="fixed"/>
        <w:tblLook w:val="04A0" w:firstRow="1" w:lastRow="0" w:firstColumn="1" w:lastColumn="0" w:noHBand="0" w:noVBand="1"/>
      </w:tblPr>
      <w:tblGrid>
        <w:gridCol w:w="2154"/>
        <w:gridCol w:w="863"/>
        <w:gridCol w:w="864"/>
        <w:gridCol w:w="863"/>
        <w:gridCol w:w="864"/>
        <w:gridCol w:w="864"/>
        <w:gridCol w:w="863"/>
        <w:gridCol w:w="864"/>
        <w:gridCol w:w="863"/>
      </w:tblGrid>
      <w:tr w:rsidR="00B87396" w:rsidRPr="00B87396" w14:paraId="4A9D49EE" w14:textId="77777777" w:rsidTr="000B41ED">
        <w:trPr>
          <w:cnfStyle w:val="100000000000" w:firstRow="1" w:lastRow="0" w:firstColumn="0" w:lastColumn="0" w:oddVBand="0" w:evenVBand="0" w:oddHBand="0" w:evenHBand="0" w:firstRowFirstColumn="0" w:firstRowLastColumn="0" w:lastRowFirstColumn="0" w:lastRowLastColumn="0"/>
          <w:trHeight w:val="225"/>
          <w:tblHeader/>
        </w:trPr>
        <w:tc>
          <w:tcPr>
            <w:tcW w:w="2245" w:type="dxa"/>
          </w:tcPr>
          <w:p w14:paraId="781D22B3" w14:textId="77777777" w:rsidR="00B87396" w:rsidRPr="00AE1D35" w:rsidRDefault="00B87396">
            <w:pPr>
              <w:pStyle w:val="Tabele"/>
              <w:keepNext/>
              <w:jc w:val="center"/>
            </w:pPr>
          </w:p>
        </w:tc>
        <w:tc>
          <w:tcPr>
            <w:tcW w:w="895" w:type="dxa"/>
          </w:tcPr>
          <w:p w14:paraId="10C93254" w14:textId="77777777" w:rsidR="00B87396" w:rsidRPr="00AE1D35" w:rsidRDefault="00B87396">
            <w:pPr>
              <w:pStyle w:val="Tabele"/>
              <w:keepNext/>
              <w:jc w:val="center"/>
            </w:pPr>
            <w:r>
              <w:t>2005</w:t>
            </w:r>
          </w:p>
        </w:tc>
        <w:tc>
          <w:tcPr>
            <w:tcW w:w="896" w:type="dxa"/>
          </w:tcPr>
          <w:p w14:paraId="119C7964" w14:textId="77777777" w:rsidR="00B87396" w:rsidRPr="00AE1D35" w:rsidRDefault="00B87396">
            <w:pPr>
              <w:pStyle w:val="Tabele"/>
              <w:keepNext/>
              <w:jc w:val="center"/>
            </w:pPr>
            <w:r>
              <w:t>2010</w:t>
            </w:r>
          </w:p>
        </w:tc>
        <w:tc>
          <w:tcPr>
            <w:tcW w:w="895" w:type="dxa"/>
          </w:tcPr>
          <w:p w14:paraId="3AE99FA2" w14:textId="77777777" w:rsidR="00B87396" w:rsidRPr="00AE1D35" w:rsidRDefault="00B87396">
            <w:pPr>
              <w:pStyle w:val="Tabele"/>
              <w:keepNext/>
              <w:jc w:val="center"/>
            </w:pPr>
            <w:r>
              <w:t>2015</w:t>
            </w:r>
          </w:p>
        </w:tc>
        <w:tc>
          <w:tcPr>
            <w:tcW w:w="896" w:type="dxa"/>
          </w:tcPr>
          <w:p w14:paraId="2F9DED6F" w14:textId="77777777" w:rsidR="00B87396" w:rsidRPr="00AE1D35" w:rsidRDefault="00B87396">
            <w:pPr>
              <w:pStyle w:val="Tabele"/>
              <w:keepNext/>
              <w:jc w:val="center"/>
            </w:pPr>
            <w:r>
              <w:t>2020</w:t>
            </w:r>
          </w:p>
        </w:tc>
        <w:tc>
          <w:tcPr>
            <w:tcW w:w="896" w:type="dxa"/>
          </w:tcPr>
          <w:p w14:paraId="58AA7E29" w14:textId="77777777" w:rsidR="00B87396" w:rsidRPr="00AE1D35" w:rsidRDefault="00B87396">
            <w:pPr>
              <w:pStyle w:val="Tabele"/>
              <w:keepNext/>
              <w:jc w:val="center"/>
            </w:pPr>
            <w:r>
              <w:t>2025</w:t>
            </w:r>
          </w:p>
        </w:tc>
        <w:tc>
          <w:tcPr>
            <w:tcW w:w="895" w:type="dxa"/>
          </w:tcPr>
          <w:p w14:paraId="1FB6C5A3" w14:textId="77777777" w:rsidR="00B87396" w:rsidRPr="00AE1D35" w:rsidRDefault="00B87396">
            <w:pPr>
              <w:pStyle w:val="Tabele"/>
              <w:keepNext/>
              <w:jc w:val="center"/>
            </w:pPr>
            <w:r>
              <w:t>2030</w:t>
            </w:r>
          </w:p>
        </w:tc>
        <w:tc>
          <w:tcPr>
            <w:tcW w:w="896" w:type="dxa"/>
          </w:tcPr>
          <w:p w14:paraId="41C8B06B" w14:textId="77777777" w:rsidR="00B87396" w:rsidRPr="00AE1D35" w:rsidRDefault="00B87396">
            <w:pPr>
              <w:pStyle w:val="Tabele"/>
              <w:keepNext/>
              <w:jc w:val="center"/>
            </w:pPr>
            <w:r>
              <w:t>2035</w:t>
            </w:r>
          </w:p>
        </w:tc>
        <w:tc>
          <w:tcPr>
            <w:tcW w:w="895" w:type="dxa"/>
          </w:tcPr>
          <w:p w14:paraId="4B24C72C" w14:textId="77777777" w:rsidR="00B87396" w:rsidRPr="00AE1D35" w:rsidRDefault="00B87396">
            <w:pPr>
              <w:pStyle w:val="Tabele"/>
              <w:keepNext/>
              <w:jc w:val="center"/>
            </w:pPr>
            <w:r>
              <w:t>2040</w:t>
            </w:r>
          </w:p>
        </w:tc>
      </w:tr>
      <w:tr w:rsidR="00B87396" w:rsidRPr="00B87396" w14:paraId="5BB10297" w14:textId="77777777" w:rsidTr="000B41ED">
        <w:trPr>
          <w:trHeight w:val="225"/>
        </w:trPr>
        <w:tc>
          <w:tcPr>
            <w:tcW w:w="2245" w:type="dxa"/>
          </w:tcPr>
          <w:p w14:paraId="0F2A009D" w14:textId="77777777" w:rsidR="00B87396" w:rsidRPr="00B87396" w:rsidRDefault="00B87396">
            <w:pPr>
              <w:pStyle w:val="Tabele"/>
              <w:keepNext/>
              <w:rPr>
                <w:color w:val="auto"/>
              </w:rPr>
            </w:pPr>
            <w:r w:rsidRPr="00B87396">
              <w:rPr>
                <w:color w:val="auto"/>
              </w:rPr>
              <w:t xml:space="preserve">Liczba ludności </w:t>
            </w:r>
          </w:p>
          <w:p w14:paraId="59662FA5" w14:textId="77777777" w:rsidR="00B87396" w:rsidRPr="00B87396" w:rsidRDefault="00B87396">
            <w:pPr>
              <w:pStyle w:val="Tabele"/>
              <w:keepNext/>
              <w:rPr>
                <w:bCs/>
                <w:color w:val="auto"/>
              </w:rPr>
            </w:pPr>
            <w:r w:rsidRPr="00B87396">
              <w:rPr>
                <w:color w:val="auto"/>
              </w:rPr>
              <w:t>[mln]</w:t>
            </w:r>
          </w:p>
        </w:tc>
        <w:tc>
          <w:tcPr>
            <w:tcW w:w="895" w:type="dxa"/>
            <w:tcBorders>
              <w:bottom w:val="single" w:sz="4" w:space="0" w:color="808080" w:themeColor="text1" w:themeTint="7F"/>
            </w:tcBorders>
            <w:shd w:val="clear" w:color="auto" w:fill="C5E0B3" w:themeFill="accent6" w:themeFillTint="66"/>
          </w:tcPr>
          <w:p w14:paraId="403EB804" w14:textId="77777777" w:rsidR="00B87396" w:rsidRPr="00B87396" w:rsidRDefault="00B87396">
            <w:pPr>
              <w:pStyle w:val="Tabele"/>
              <w:keepNext/>
              <w:jc w:val="right"/>
              <w:rPr>
                <w:bCs/>
                <w:color w:val="auto"/>
              </w:rPr>
            </w:pPr>
            <w:r w:rsidRPr="00B87396">
              <w:rPr>
                <w:color w:val="auto"/>
              </w:rPr>
              <w:t>38,1</w:t>
            </w:r>
          </w:p>
        </w:tc>
        <w:tc>
          <w:tcPr>
            <w:tcW w:w="896" w:type="dxa"/>
            <w:tcBorders>
              <w:bottom w:val="single" w:sz="4" w:space="0" w:color="808080" w:themeColor="text1" w:themeTint="7F"/>
            </w:tcBorders>
            <w:shd w:val="clear" w:color="auto" w:fill="C5E0B3" w:themeFill="accent6" w:themeFillTint="66"/>
          </w:tcPr>
          <w:p w14:paraId="41263A95" w14:textId="77777777" w:rsidR="00B87396" w:rsidRPr="00B87396" w:rsidRDefault="00B87396">
            <w:pPr>
              <w:pStyle w:val="Tabele"/>
              <w:keepNext/>
              <w:jc w:val="right"/>
              <w:rPr>
                <w:bCs/>
                <w:color w:val="auto"/>
              </w:rPr>
            </w:pPr>
            <w:r w:rsidRPr="00B87396">
              <w:rPr>
                <w:color w:val="auto"/>
              </w:rPr>
              <w:t>38,1</w:t>
            </w:r>
          </w:p>
        </w:tc>
        <w:tc>
          <w:tcPr>
            <w:tcW w:w="895" w:type="dxa"/>
            <w:tcBorders>
              <w:bottom w:val="single" w:sz="4" w:space="0" w:color="808080" w:themeColor="text1" w:themeTint="7F"/>
            </w:tcBorders>
            <w:shd w:val="clear" w:color="auto" w:fill="C5E0B3" w:themeFill="accent6" w:themeFillTint="66"/>
          </w:tcPr>
          <w:p w14:paraId="72A24AC1" w14:textId="77777777" w:rsidR="00B87396" w:rsidRPr="00B87396" w:rsidRDefault="00B87396">
            <w:pPr>
              <w:pStyle w:val="Tabele"/>
              <w:keepNext/>
              <w:jc w:val="right"/>
              <w:rPr>
                <w:bCs/>
                <w:color w:val="auto"/>
              </w:rPr>
            </w:pPr>
            <w:r w:rsidRPr="00B87396">
              <w:rPr>
                <w:color w:val="auto"/>
              </w:rPr>
              <w:t>38,0</w:t>
            </w:r>
          </w:p>
        </w:tc>
        <w:tc>
          <w:tcPr>
            <w:tcW w:w="896" w:type="dxa"/>
            <w:shd w:val="clear" w:color="auto" w:fill="C5E0B3" w:themeFill="accent6" w:themeFillTint="66"/>
          </w:tcPr>
          <w:p w14:paraId="571ACC24" w14:textId="77777777" w:rsidR="00B87396" w:rsidRPr="00B87396" w:rsidRDefault="00B87396">
            <w:pPr>
              <w:pStyle w:val="Tabele"/>
              <w:keepNext/>
              <w:jc w:val="right"/>
              <w:rPr>
                <w:bCs/>
                <w:color w:val="auto"/>
              </w:rPr>
            </w:pPr>
            <w:r w:rsidRPr="00B87396">
              <w:rPr>
                <w:color w:val="auto"/>
              </w:rPr>
              <w:t>38,0</w:t>
            </w:r>
          </w:p>
        </w:tc>
        <w:tc>
          <w:tcPr>
            <w:tcW w:w="896" w:type="dxa"/>
          </w:tcPr>
          <w:p w14:paraId="3A166F00" w14:textId="77777777" w:rsidR="00B87396" w:rsidRPr="00B87396" w:rsidRDefault="00B87396">
            <w:pPr>
              <w:pStyle w:val="Tabele"/>
              <w:keepNext/>
              <w:jc w:val="right"/>
              <w:rPr>
                <w:bCs/>
                <w:color w:val="auto"/>
              </w:rPr>
            </w:pPr>
            <w:r w:rsidRPr="00B87396">
              <w:rPr>
                <w:color w:val="auto"/>
              </w:rPr>
              <w:t>38,0</w:t>
            </w:r>
          </w:p>
        </w:tc>
        <w:tc>
          <w:tcPr>
            <w:tcW w:w="895" w:type="dxa"/>
          </w:tcPr>
          <w:p w14:paraId="09AD1863" w14:textId="77777777" w:rsidR="00B87396" w:rsidRPr="00B87396" w:rsidRDefault="00B87396">
            <w:pPr>
              <w:pStyle w:val="Tabele"/>
              <w:keepNext/>
              <w:jc w:val="right"/>
              <w:rPr>
                <w:bCs/>
                <w:color w:val="auto"/>
              </w:rPr>
            </w:pPr>
            <w:r w:rsidRPr="00B87396">
              <w:rPr>
                <w:color w:val="auto"/>
              </w:rPr>
              <w:t>37,9</w:t>
            </w:r>
          </w:p>
        </w:tc>
        <w:tc>
          <w:tcPr>
            <w:tcW w:w="896" w:type="dxa"/>
          </w:tcPr>
          <w:p w14:paraId="508D4915" w14:textId="77777777" w:rsidR="00B87396" w:rsidRPr="00B87396" w:rsidRDefault="00B87396">
            <w:pPr>
              <w:pStyle w:val="Tabele"/>
              <w:keepNext/>
              <w:jc w:val="right"/>
              <w:rPr>
                <w:bCs/>
                <w:color w:val="auto"/>
              </w:rPr>
            </w:pPr>
            <w:r w:rsidRPr="00B87396">
              <w:rPr>
                <w:color w:val="auto"/>
              </w:rPr>
              <w:t>37,5</w:t>
            </w:r>
          </w:p>
        </w:tc>
        <w:tc>
          <w:tcPr>
            <w:tcW w:w="895" w:type="dxa"/>
          </w:tcPr>
          <w:p w14:paraId="57399088" w14:textId="77777777" w:rsidR="00B87396" w:rsidRPr="00B87396" w:rsidRDefault="00B87396">
            <w:pPr>
              <w:pStyle w:val="Tabele"/>
              <w:keepNext/>
              <w:jc w:val="right"/>
              <w:rPr>
                <w:bCs/>
                <w:color w:val="auto"/>
              </w:rPr>
            </w:pPr>
            <w:r w:rsidRPr="00B87396">
              <w:rPr>
                <w:color w:val="auto"/>
              </w:rPr>
              <w:t>37,1</w:t>
            </w:r>
          </w:p>
        </w:tc>
      </w:tr>
      <w:tr w:rsidR="00B87396" w:rsidRPr="00B87396" w14:paraId="1D4ED428" w14:textId="77777777" w:rsidTr="000B41ED">
        <w:trPr>
          <w:trHeight w:val="225"/>
        </w:trPr>
        <w:tc>
          <w:tcPr>
            <w:tcW w:w="2245" w:type="dxa"/>
          </w:tcPr>
          <w:p w14:paraId="30BD2F13" w14:textId="77777777" w:rsidR="00B87396" w:rsidRPr="00B87396" w:rsidRDefault="00B87396">
            <w:pPr>
              <w:pStyle w:val="Tabele"/>
              <w:keepNext/>
              <w:rPr>
                <w:color w:val="auto"/>
              </w:rPr>
            </w:pPr>
            <w:r w:rsidRPr="00B87396">
              <w:rPr>
                <w:color w:val="auto"/>
              </w:rPr>
              <w:t>Populacja w wieku produkcyjnym [mln]</w:t>
            </w:r>
          </w:p>
        </w:tc>
        <w:tc>
          <w:tcPr>
            <w:tcW w:w="895" w:type="dxa"/>
            <w:tcBorders>
              <w:bottom w:val="single" w:sz="4" w:space="0" w:color="808080" w:themeColor="text1" w:themeTint="7F"/>
            </w:tcBorders>
            <w:shd w:val="clear" w:color="auto" w:fill="C5E0B3" w:themeFill="accent6" w:themeFillTint="66"/>
          </w:tcPr>
          <w:p w14:paraId="64C3CC09" w14:textId="77777777" w:rsidR="00B87396" w:rsidRPr="00B87396" w:rsidRDefault="00B87396">
            <w:pPr>
              <w:pStyle w:val="Tabele"/>
              <w:keepNext/>
              <w:jc w:val="right"/>
              <w:rPr>
                <w:color w:val="auto"/>
              </w:rPr>
            </w:pPr>
            <w:r w:rsidRPr="00B87396">
              <w:rPr>
                <w:color w:val="auto"/>
              </w:rPr>
              <w:t>25,47</w:t>
            </w:r>
          </w:p>
        </w:tc>
        <w:tc>
          <w:tcPr>
            <w:tcW w:w="896" w:type="dxa"/>
            <w:tcBorders>
              <w:bottom w:val="single" w:sz="4" w:space="0" w:color="808080" w:themeColor="text1" w:themeTint="7F"/>
            </w:tcBorders>
            <w:shd w:val="clear" w:color="auto" w:fill="C5E0B3" w:themeFill="accent6" w:themeFillTint="66"/>
          </w:tcPr>
          <w:p w14:paraId="467750D5" w14:textId="77777777" w:rsidR="00B87396" w:rsidRPr="00B87396" w:rsidRDefault="00B87396">
            <w:pPr>
              <w:pStyle w:val="Tabele"/>
              <w:keepNext/>
              <w:jc w:val="right"/>
              <w:rPr>
                <w:color w:val="auto"/>
              </w:rPr>
            </w:pPr>
            <w:r w:rsidRPr="00B87396">
              <w:rPr>
                <w:color w:val="auto"/>
              </w:rPr>
              <w:t>25,79</w:t>
            </w:r>
          </w:p>
        </w:tc>
        <w:tc>
          <w:tcPr>
            <w:tcW w:w="895" w:type="dxa"/>
            <w:tcBorders>
              <w:bottom w:val="single" w:sz="4" w:space="0" w:color="808080" w:themeColor="text1" w:themeTint="7F"/>
            </w:tcBorders>
            <w:shd w:val="clear" w:color="auto" w:fill="C5E0B3" w:themeFill="accent6" w:themeFillTint="66"/>
          </w:tcPr>
          <w:p w14:paraId="6A64D3DE" w14:textId="77777777" w:rsidR="00B87396" w:rsidRPr="00B87396" w:rsidRDefault="00B87396">
            <w:pPr>
              <w:pStyle w:val="Tabele"/>
              <w:keepNext/>
              <w:jc w:val="right"/>
              <w:rPr>
                <w:color w:val="auto"/>
              </w:rPr>
            </w:pPr>
            <w:r w:rsidRPr="00B87396">
              <w:rPr>
                <w:color w:val="auto"/>
              </w:rPr>
              <w:t>24,71</w:t>
            </w:r>
          </w:p>
        </w:tc>
        <w:tc>
          <w:tcPr>
            <w:tcW w:w="896" w:type="dxa"/>
            <w:shd w:val="clear" w:color="auto" w:fill="C5E0B3" w:themeFill="accent6" w:themeFillTint="66"/>
          </w:tcPr>
          <w:p w14:paraId="3920D958" w14:textId="77777777" w:rsidR="00B87396" w:rsidRPr="00B87396" w:rsidRDefault="00B87396">
            <w:pPr>
              <w:pStyle w:val="Tabele"/>
              <w:keepNext/>
              <w:jc w:val="right"/>
              <w:rPr>
                <w:color w:val="auto"/>
              </w:rPr>
            </w:pPr>
            <w:r w:rsidRPr="00B87396">
              <w:rPr>
                <w:color w:val="auto"/>
              </w:rPr>
              <w:t>24,20</w:t>
            </w:r>
          </w:p>
        </w:tc>
        <w:tc>
          <w:tcPr>
            <w:tcW w:w="896" w:type="dxa"/>
          </w:tcPr>
          <w:p w14:paraId="3C3EDBD0" w14:textId="77777777" w:rsidR="00B87396" w:rsidRPr="00B87396" w:rsidRDefault="00B87396">
            <w:pPr>
              <w:pStyle w:val="Tabele"/>
              <w:keepNext/>
              <w:jc w:val="right"/>
              <w:rPr>
                <w:color w:val="auto"/>
              </w:rPr>
            </w:pPr>
            <w:r w:rsidRPr="00B87396">
              <w:rPr>
                <w:color w:val="auto"/>
              </w:rPr>
              <w:t>23,29</w:t>
            </w:r>
          </w:p>
        </w:tc>
        <w:tc>
          <w:tcPr>
            <w:tcW w:w="895" w:type="dxa"/>
          </w:tcPr>
          <w:p w14:paraId="5283820B" w14:textId="77777777" w:rsidR="00B87396" w:rsidRPr="00B87396" w:rsidRDefault="00B87396">
            <w:pPr>
              <w:pStyle w:val="Tabele"/>
              <w:keepNext/>
              <w:jc w:val="right"/>
              <w:rPr>
                <w:color w:val="auto"/>
              </w:rPr>
            </w:pPr>
            <w:r w:rsidRPr="00B87396">
              <w:rPr>
                <w:color w:val="auto"/>
              </w:rPr>
              <w:t>21,83</w:t>
            </w:r>
          </w:p>
        </w:tc>
        <w:tc>
          <w:tcPr>
            <w:tcW w:w="896" w:type="dxa"/>
          </w:tcPr>
          <w:p w14:paraId="1A20C4C7" w14:textId="77777777" w:rsidR="00B87396" w:rsidRPr="00B87396" w:rsidRDefault="00B87396">
            <w:pPr>
              <w:pStyle w:val="Tabele"/>
              <w:keepNext/>
              <w:jc w:val="right"/>
              <w:rPr>
                <w:color w:val="auto"/>
              </w:rPr>
            </w:pPr>
            <w:r w:rsidRPr="00B87396">
              <w:rPr>
                <w:color w:val="auto"/>
              </w:rPr>
              <w:t>20,08</w:t>
            </w:r>
          </w:p>
        </w:tc>
        <w:tc>
          <w:tcPr>
            <w:tcW w:w="895" w:type="dxa"/>
          </w:tcPr>
          <w:p w14:paraId="7629C588" w14:textId="77777777" w:rsidR="00B87396" w:rsidRPr="00B87396" w:rsidRDefault="00B87396">
            <w:pPr>
              <w:pStyle w:val="Tabele"/>
              <w:keepNext/>
              <w:jc w:val="right"/>
              <w:rPr>
                <w:color w:val="auto"/>
              </w:rPr>
            </w:pPr>
            <w:r w:rsidRPr="00B87396">
              <w:rPr>
                <w:color w:val="auto"/>
              </w:rPr>
              <w:t>25,47</w:t>
            </w:r>
          </w:p>
        </w:tc>
      </w:tr>
      <w:tr w:rsidR="00B87396" w:rsidRPr="00B87396" w14:paraId="3CA7935D" w14:textId="77777777" w:rsidTr="000B41ED">
        <w:trPr>
          <w:trHeight w:val="225"/>
        </w:trPr>
        <w:tc>
          <w:tcPr>
            <w:tcW w:w="2245" w:type="dxa"/>
          </w:tcPr>
          <w:p w14:paraId="742DBA80" w14:textId="77777777" w:rsidR="00B87396" w:rsidRPr="00B87396" w:rsidRDefault="00B87396">
            <w:pPr>
              <w:pStyle w:val="Tabele"/>
              <w:keepNext/>
              <w:rPr>
                <w:color w:val="auto"/>
              </w:rPr>
            </w:pPr>
            <w:r w:rsidRPr="00B87396">
              <w:rPr>
                <w:color w:val="auto"/>
              </w:rPr>
              <w:t>Dynamika zmian populacji w wieku produkcyjnym (2020=1)</w:t>
            </w:r>
          </w:p>
        </w:tc>
        <w:tc>
          <w:tcPr>
            <w:tcW w:w="895" w:type="dxa"/>
            <w:tcBorders>
              <w:bottom w:val="single" w:sz="4" w:space="0" w:color="808080" w:themeColor="text1" w:themeTint="7F"/>
            </w:tcBorders>
            <w:shd w:val="clear" w:color="auto" w:fill="C5E0B3" w:themeFill="accent6" w:themeFillTint="66"/>
          </w:tcPr>
          <w:p w14:paraId="1958B4A4" w14:textId="77777777" w:rsidR="00B87396" w:rsidRPr="00B87396" w:rsidRDefault="00B87396">
            <w:pPr>
              <w:pStyle w:val="Tabele"/>
              <w:keepNext/>
              <w:jc w:val="right"/>
              <w:rPr>
                <w:color w:val="auto"/>
              </w:rPr>
            </w:pPr>
            <w:r w:rsidRPr="00B87396">
              <w:rPr>
                <w:color w:val="auto"/>
              </w:rPr>
              <w:t>1,052</w:t>
            </w:r>
          </w:p>
        </w:tc>
        <w:tc>
          <w:tcPr>
            <w:tcW w:w="896" w:type="dxa"/>
            <w:tcBorders>
              <w:bottom w:val="single" w:sz="4" w:space="0" w:color="808080" w:themeColor="text1" w:themeTint="7F"/>
            </w:tcBorders>
            <w:shd w:val="clear" w:color="auto" w:fill="C5E0B3" w:themeFill="accent6" w:themeFillTint="66"/>
          </w:tcPr>
          <w:p w14:paraId="7B16C008" w14:textId="77777777" w:rsidR="00B87396" w:rsidRPr="00B87396" w:rsidRDefault="00B87396">
            <w:pPr>
              <w:pStyle w:val="Tabele"/>
              <w:keepNext/>
              <w:jc w:val="right"/>
              <w:rPr>
                <w:color w:val="auto"/>
              </w:rPr>
            </w:pPr>
            <w:r w:rsidRPr="00B87396">
              <w:rPr>
                <w:color w:val="auto"/>
              </w:rPr>
              <w:t>1,066</w:t>
            </w:r>
          </w:p>
        </w:tc>
        <w:tc>
          <w:tcPr>
            <w:tcW w:w="895" w:type="dxa"/>
            <w:tcBorders>
              <w:bottom w:val="single" w:sz="4" w:space="0" w:color="808080" w:themeColor="text1" w:themeTint="7F"/>
            </w:tcBorders>
            <w:shd w:val="clear" w:color="auto" w:fill="C5E0B3" w:themeFill="accent6" w:themeFillTint="66"/>
          </w:tcPr>
          <w:p w14:paraId="32D1E58C" w14:textId="77777777" w:rsidR="00B87396" w:rsidRPr="00B87396" w:rsidRDefault="00B87396">
            <w:pPr>
              <w:pStyle w:val="Tabele"/>
              <w:keepNext/>
              <w:jc w:val="right"/>
              <w:rPr>
                <w:color w:val="auto"/>
              </w:rPr>
            </w:pPr>
            <w:r w:rsidRPr="00B87396">
              <w:rPr>
                <w:color w:val="auto"/>
              </w:rPr>
              <w:t>1,021</w:t>
            </w:r>
          </w:p>
        </w:tc>
        <w:tc>
          <w:tcPr>
            <w:tcW w:w="896" w:type="dxa"/>
            <w:shd w:val="clear" w:color="auto" w:fill="C5E0B3" w:themeFill="accent6" w:themeFillTint="66"/>
          </w:tcPr>
          <w:p w14:paraId="39600267" w14:textId="77777777" w:rsidR="00B87396" w:rsidRPr="00B87396" w:rsidRDefault="00B87396">
            <w:pPr>
              <w:pStyle w:val="Tabele"/>
              <w:keepNext/>
              <w:jc w:val="right"/>
              <w:rPr>
                <w:color w:val="auto"/>
              </w:rPr>
            </w:pPr>
            <w:r w:rsidRPr="00B87396">
              <w:rPr>
                <w:color w:val="auto"/>
              </w:rPr>
              <w:t>1,000</w:t>
            </w:r>
          </w:p>
        </w:tc>
        <w:tc>
          <w:tcPr>
            <w:tcW w:w="896" w:type="dxa"/>
          </w:tcPr>
          <w:p w14:paraId="3348FB64" w14:textId="77777777" w:rsidR="00B87396" w:rsidRPr="00B87396" w:rsidRDefault="00B87396">
            <w:pPr>
              <w:pStyle w:val="Tabele"/>
              <w:keepNext/>
              <w:jc w:val="right"/>
              <w:rPr>
                <w:color w:val="auto"/>
              </w:rPr>
            </w:pPr>
            <w:r w:rsidRPr="00B87396">
              <w:rPr>
                <w:color w:val="auto"/>
              </w:rPr>
              <w:t>0,962</w:t>
            </w:r>
          </w:p>
        </w:tc>
        <w:tc>
          <w:tcPr>
            <w:tcW w:w="895" w:type="dxa"/>
          </w:tcPr>
          <w:p w14:paraId="11E0FA3B" w14:textId="77777777" w:rsidR="00B87396" w:rsidRPr="00B87396" w:rsidRDefault="00B87396">
            <w:pPr>
              <w:pStyle w:val="Tabele"/>
              <w:keepNext/>
              <w:jc w:val="right"/>
              <w:rPr>
                <w:color w:val="auto"/>
              </w:rPr>
            </w:pPr>
            <w:r w:rsidRPr="00B87396">
              <w:rPr>
                <w:color w:val="auto"/>
              </w:rPr>
              <w:t>0,902</w:t>
            </w:r>
          </w:p>
        </w:tc>
        <w:tc>
          <w:tcPr>
            <w:tcW w:w="896" w:type="dxa"/>
          </w:tcPr>
          <w:p w14:paraId="7EEC672C" w14:textId="77777777" w:rsidR="00B87396" w:rsidRPr="00B87396" w:rsidRDefault="00B87396">
            <w:pPr>
              <w:pStyle w:val="Tabele"/>
              <w:keepNext/>
              <w:jc w:val="right"/>
              <w:rPr>
                <w:color w:val="auto"/>
              </w:rPr>
            </w:pPr>
            <w:r w:rsidRPr="00B87396">
              <w:rPr>
                <w:color w:val="auto"/>
              </w:rPr>
              <w:t>0,830</w:t>
            </w:r>
          </w:p>
        </w:tc>
        <w:tc>
          <w:tcPr>
            <w:tcW w:w="895" w:type="dxa"/>
          </w:tcPr>
          <w:p w14:paraId="4E3EF699" w14:textId="77777777" w:rsidR="00B87396" w:rsidRPr="00B87396" w:rsidRDefault="00B87396">
            <w:pPr>
              <w:pStyle w:val="Tabele"/>
              <w:keepNext/>
              <w:jc w:val="right"/>
              <w:rPr>
                <w:color w:val="auto"/>
              </w:rPr>
            </w:pPr>
            <w:r w:rsidRPr="00B87396">
              <w:rPr>
                <w:color w:val="auto"/>
              </w:rPr>
              <w:t>1,052</w:t>
            </w:r>
          </w:p>
        </w:tc>
      </w:tr>
    </w:tbl>
    <w:p w14:paraId="60CC6AF4" w14:textId="03CD331A" w:rsidR="005C4144" w:rsidRDefault="005C4144" w:rsidP="000B41ED">
      <w:pPr>
        <w:pStyle w:val="Legenda"/>
        <w:keepNext/>
      </w:pPr>
      <w:r w:rsidRPr="006E366B">
        <w:t xml:space="preserve">Źródło: ARE S.A oraz wyliczenia </w:t>
      </w:r>
      <w:r>
        <w:t xml:space="preserve">IOŚ-PIB </w:t>
      </w:r>
      <w:r w:rsidRPr="006E366B">
        <w:t>na podstawie wytycznych KE</w:t>
      </w:r>
      <w:r>
        <w:t xml:space="preserve"> i prognoz GUS, ONZ</w:t>
      </w:r>
    </w:p>
    <w:p w14:paraId="1D3005F5" w14:textId="77777777" w:rsidR="005C4144" w:rsidRPr="00083FB9" w:rsidRDefault="005C4144" w:rsidP="005C4144">
      <w:pPr>
        <w:pStyle w:val="Podtytu"/>
        <w:keepNext/>
        <w:spacing w:after="120"/>
      </w:pPr>
      <w:r w:rsidRPr="0020530E">
        <w:rPr>
          <w:color w:val="auto"/>
        </w:rPr>
        <w:t>Dynamika cen paliw i energii</w:t>
      </w:r>
    </w:p>
    <w:p w14:paraId="56615062" w14:textId="467B5A70" w:rsidR="00CC7173" w:rsidRDefault="00CC7173" w:rsidP="00CC7173">
      <w:r>
        <w:t xml:space="preserve">W ramach oceny skutków makroekonomicznych przyjęto takie same założenia odnośnie </w:t>
      </w:r>
      <w:r w:rsidR="00946C68">
        <w:t xml:space="preserve">do </w:t>
      </w:r>
      <w:r>
        <w:t>cen paliw, jakie były podstawą analiz energetycznych. Podejście takie jest konieczne dla zachowania spójności ocen makroekonomicznych z wynikami części dotyczącej popytu na energię. Założenia te są zgodne z wytycznymi KE, niemniej w pierwszych latach wprowadzono korekty mające na celu uwzględnienie wzrostu cen nośników energii związane z zaprzestaniem wykorzystania paliw importowanych z Federacji Rosyjskiej. W obu scenariuszach założenia dotyczące cen paliw są zgodne z założeniami przyjmowanymi w modelach MESSAGE i MAED i zostały opisane w części prezentującej wyniki i założenia analiz energetycznych</w:t>
      </w:r>
      <w:r w:rsidR="00E62FDD">
        <w:t>.</w:t>
      </w:r>
      <w:r>
        <w:t xml:space="preserve"> </w:t>
      </w:r>
    </w:p>
    <w:p w14:paraId="6E55AB45" w14:textId="429C6D8E" w:rsidR="005C4144" w:rsidRDefault="0021614E" w:rsidP="005C4144">
      <w:r w:rsidRPr="001137BE">
        <w:t>Innym istotnym elementem wsadowym dla analiz makroekonomicznych są ceny energii elektrycznej dla odbiorców końcowych, będące wynikiem analiz przeprowadzonych w części energetycznej. Poniżej przedstawiono wykorzystane w analizach makroekonomicznych dynamiki cen energii elektrycznej dla odbiorców końcowych</w:t>
      </w:r>
      <w:r>
        <w:t xml:space="preserve"> </w:t>
      </w:r>
      <w:r w:rsidR="005C4144">
        <w:t>(</w:t>
      </w:r>
      <w:r w:rsidR="0064372D">
        <w:fldChar w:fldCharType="begin"/>
      </w:r>
      <w:r w:rsidR="0064372D">
        <w:instrText xml:space="preserve"> REF _Ref195872524 \h </w:instrText>
      </w:r>
      <w:r w:rsidR="0064372D">
        <w:fldChar w:fldCharType="separate"/>
      </w:r>
      <w:r w:rsidR="00F27D6F">
        <w:t xml:space="preserve">Tabela </w:t>
      </w:r>
      <w:r w:rsidR="00F27D6F">
        <w:rPr>
          <w:noProof/>
        </w:rPr>
        <w:t>6</w:t>
      </w:r>
      <w:r w:rsidR="00F27D6F">
        <w:t>.</w:t>
      </w:r>
      <w:r w:rsidR="00F27D6F">
        <w:rPr>
          <w:noProof/>
        </w:rPr>
        <w:t>4</w:t>
      </w:r>
      <w:r w:rsidR="0064372D">
        <w:fldChar w:fldCharType="end"/>
      </w:r>
      <w:r w:rsidR="005C4144">
        <w:t xml:space="preserve">). </w:t>
      </w:r>
    </w:p>
    <w:p w14:paraId="2837558C" w14:textId="12F1C994" w:rsidR="001904B8" w:rsidRDefault="005C4144" w:rsidP="001904B8">
      <w:pPr>
        <w:pStyle w:val="Legenda"/>
        <w:keepNext/>
      </w:pPr>
      <w:bookmarkStart w:id="629" w:name="_Ref167437942"/>
      <w:bookmarkStart w:id="630" w:name="_Toc169565488"/>
      <w:bookmarkStart w:id="631" w:name="_Toc171587228"/>
      <w:bookmarkStart w:id="632" w:name="_Toc174711011"/>
      <w:bookmarkStart w:id="633" w:name="_Ref195872524"/>
      <w:bookmarkStart w:id="634" w:name="_Toc202967019"/>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6</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4</w:t>
      </w:r>
      <w:r w:rsidR="00653D9A">
        <w:rPr>
          <w:noProof/>
        </w:rPr>
        <w:fldChar w:fldCharType="end"/>
      </w:r>
      <w:bookmarkEnd w:id="629"/>
      <w:bookmarkEnd w:id="630"/>
      <w:bookmarkEnd w:id="631"/>
      <w:bookmarkEnd w:id="632"/>
      <w:bookmarkEnd w:id="633"/>
      <w:r w:rsidR="0074661A">
        <w:t xml:space="preserve">. </w:t>
      </w:r>
      <w:r w:rsidR="001904B8">
        <w:t>Dynamiki średnich cen energii elektrycznej dla odbiorców końcowych</w:t>
      </w:r>
      <w:bookmarkEnd w:id="634"/>
    </w:p>
    <w:tbl>
      <w:tblPr>
        <w:tblStyle w:val="KPEiK"/>
        <w:tblW w:w="5000" w:type="pct"/>
        <w:tblLayout w:type="fixed"/>
        <w:tblLook w:val="04A0" w:firstRow="1" w:lastRow="0" w:firstColumn="1" w:lastColumn="0" w:noHBand="0" w:noVBand="1"/>
      </w:tblPr>
      <w:tblGrid>
        <w:gridCol w:w="3873"/>
        <w:gridCol w:w="1037"/>
        <w:gridCol w:w="1038"/>
        <w:gridCol w:w="1038"/>
        <w:gridCol w:w="1038"/>
        <w:gridCol w:w="1038"/>
      </w:tblGrid>
      <w:tr w:rsidR="009A53A0" w14:paraId="0D9D20E8" w14:textId="77777777" w:rsidTr="009A53A0">
        <w:trPr>
          <w:cnfStyle w:val="100000000000" w:firstRow="1" w:lastRow="0" w:firstColumn="0" w:lastColumn="0" w:oddVBand="0" w:evenVBand="0" w:oddHBand="0" w:evenHBand="0" w:firstRowFirstColumn="0" w:firstRowLastColumn="0" w:lastRowFirstColumn="0" w:lastRowLastColumn="0"/>
          <w:trHeight w:val="224"/>
        </w:trPr>
        <w:tc>
          <w:tcPr>
            <w:tcW w:w="3897" w:type="dxa"/>
          </w:tcPr>
          <w:p w14:paraId="6DD9A669" w14:textId="77777777" w:rsidR="009A53A0" w:rsidRPr="00962A0D" w:rsidRDefault="009A53A0" w:rsidP="00DF6CBC">
            <w:pPr>
              <w:pStyle w:val="Tabele"/>
              <w:keepNext/>
              <w:jc w:val="center"/>
            </w:pPr>
          </w:p>
        </w:tc>
        <w:tc>
          <w:tcPr>
            <w:tcW w:w="1043" w:type="dxa"/>
          </w:tcPr>
          <w:p w14:paraId="51D20015" w14:textId="77777777" w:rsidR="009A53A0" w:rsidRPr="009C1D7A" w:rsidRDefault="009A53A0" w:rsidP="00DF6CBC">
            <w:pPr>
              <w:pStyle w:val="Tabele"/>
              <w:keepNext/>
              <w:jc w:val="center"/>
              <w:rPr>
                <w:rFonts w:ascii="Calibri" w:hAnsi="Calibri" w:cs="Calibri"/>
              </w:rPr>
            </w:pPr>
            <w:r>
              <w:t>2020</w:t>
            </w:r>
          </w:p>
        </w:tc>
        <w:tc>
          <w:tcPr>
            <w:tcW w:w="1043" w:type="dxa"/>
          </w:tcPr>
          <w:p w14:paraId="0059FBE0" w14:textId="77777777" w:rsidR="009A53A0" w:rsidRPr="009C1D7A" w:rsidRDefault="009A53A0" w:rsidP="00DF6CBC">
            <w:pPr>
              <w:pStyle w:val="Tabele"/>
              <w:keepNext/>
              <w:jc w:val="center"/>
              <w:rPr>
                <w:rFonts w:ascii="Calibri" w:hAnsi="Calibri" w:cs="Calibri"/>
              </w:rPr>
            </w:pPr>
            <w:r>
              <w:t>2025</w:t>
            </w:r>
          </w:p>
        </w:tc>
        <w:tc>
          <w:tcPr>
            <w:tcW w:w="1043" w:type="dxa"/>
          </w:tcPr>
          <w:p w14:paraId="1720767A" w14:textId="77777777" w:rsidR="009A53A0" w:rsidRPr="009C1D7A" w:rsidRDefault="009A53A0" w:rsidP="00DF6CBC">
            <w:pPr>
              <w:pStyle w:val="Tabele"/>
              <w:keepNext/>
              <w:jc w:val="center"/>
              <w:rPr>
                <w:rFonts w:ascii="Calibri" w:hAnsi="Calibri" w:cs="Calibri"/>
              </w:rPr>
            </w:pPr>
            <w:r>
              <w:t>2030</w:t>
            </w:r>
          </w:p>
        </w:tc>
        <w:tc>
          <w:tcPr>
            <w:tcW w:w="1043" w:type="dxa"/>
          </w:tcPr>
          <w:p w14:paraId="536DDF57" w14:textId="77777777" w:rsidR="009A53A0" w:rsidRPr="009C1D7A" w:rsidRDefault="009A53A0" w:rsidP="00DF6CBC">
            <w:pPr>
              <w:pStyle w:val="Tabele"/>
              <w:keepNext/>
              <w:jc w:val="center"/>
              <w:rPr>
                <w:rFonts w:ascii="Calibri" w:hAnsi="Calibri" w:cs="Calibri"/>
              </w:rPr>
            </w:pPr>
            <w:r>
              <w:t>2035</w:t>
            </w:r>
          </w:p>
        </w:tc>
        <w:tc>
          <w:tcPr>
            <w:tcW w:w="1043" w:type="dxa"/>
          </w:tcPr>
          <w:p w14:paraId="391DFD94" w14:textId="77777777" w:rsidR="009A53A0" w:rsidRPr="009C1D7A" w:rsidRDefault="009A53A0" w:rsidP="00DF6CBC">
            <w:pPr>
              <w:pStyle w:val="Tabele"/>
              <w:keepNext/>
              <w:jc w:val="center"/>
              <w:rPr>
                <w:rFonts w:ascii="Calibri" w:hAnsi="Calibri" w:cs="Calibri"/>
              </w:rPr>
            </w:pPr>
            <w:r>
              <w:t>2040</w:t>
            </w:r>
          </w:p>
        </w:tc>
      </w:tr>
      <w:tr w:rsidR="009A53A0" w14:paraId="4B8A0B42" w14:textId="77777777" w:rsidTr="009A53A0">
        <w:trPr>
          <w:trHeight w:val="224"/>
        </w:trPr>
        <w:tc>
          <w:tcPr>
            <w:tcW w:w="3897" w:type="dxa"/>
            <w:vAlign w:val="top"/>
          </w:tcPr>
          <w:p w14:paraId="600422FF" w14:textId="77777777" w:rsidR="009A53A0" w:rsidRPr="009A53A0" w:rsidRDefault="009A53A0" w:rsidP="00DF6CBC">
            <w:pPr>
              <w:pStyle w:val="Tabele"/>
              <w:rPr>
                <w:color w:val="auto"/>
              </w:rPr>
            </w:pPr>
            <w:r w:rsidRPr="009A53A0">
              <w:rPr>
                <w:color w:val="auto"/>
              </w:rPr>
              <w:t>Energia elektryczna - WEM</w:t>
            </w:r>
          </w:p>
        </w:tc>
        <w:tc>
          <w:tcPr>
            <w:tcW w:w="1043" w:type="dxa"/>
            <w:shd w:val="clear" w:color="auto" w:fill="C5E0B3" w:themeFill="accent6" w:themeFillTint="66"/>
            <w:vAlign w:val="top"/>
          </w:tcPr>
          <w:p w14:paraId="19BF6BC1" w14:textId="77777777" w:rsidR="009A53A0" w:rsidRPr="009A53A0" w:rsidRDefault="009A53A0" w:rsidP="00DF6CBC">
            <w:pPr>
              <w:pStyle w:val="Tabele"/>
              <w:jc w:val="right"/>
              <w:rPr>
                <w:color w:val="auto"/>
              </w:rPr>
            </w:pPr>
            <w:r w:rsidRPr="009A53A0">
              <w:rPr>
                <w:color w:val="auto"/>
              </w:rPr>
              <w:t xml:space="preserve"> 1,00 </w:t>
            </w:r>
          </w:p>
        </w:tc>
        <w:tc>
          <w:tcPr>
            <w:tcW w:w="1043" w:type="dxa"/>
            <w:vAlign w:val="top"/>
          </w:tcPr>
          <w:p w14:paraId="5F9579CB" w14:textId="77777777" w:rsidR="009A53A0" w:rsidRPr="009A53A0" w:rsidRDefault="009A53A0" w:rsidP="00DF6CBC">
            <w:pPr>
              <w:pStyle w:val="Tabele"/>
              <w:jc w:val="right"/>
              <w:rPr>
                <w:color w:val="auto"/>
              </w:rPr>
            </w:pPr>
            <w:r w:rsidRPr="009A53A0">
              <w:rPr>
                <w:color w:val="auto"/>
              </w:rPr>
              <w:t xml:space="preserve"> 1,69 </w:t>
            </w:r>
          </w:p>
        </w:tc>
        <w:tc>
          <w:tcPr>
            <w:tcW w:w="1043" w:type="dxa"/>
            <w:vAlign w:val="top"/>
          </w:tcPr>
          <w:p w14:paraId="046E40CF" w14:textId="77777777" w:rsidR="009A53A0" w:rsidRPr="009A53A0" w:rsidRDefault="009A53A0" w:rsidP="00DF6CBC">
            <w:pPr>
              <w:pStyle w:val="Tabele"/>
              <w:jc w:val="right"/>
              <w:rPr>
                <w:color w:val="auto"/>
              </w:rPr>
            </w:pPr>
            <w:r w:rsidRPr="009A53A0">
              <w:rPr>
                <w:color w:val="auto"/>
              </w:rPr>
              <w:t xml:space="preserve"> 1,63 </w:t>
            </w:r>
          </w:p>
        </w:tc>
        <w:tc>
          <w:tcPr>
            <w:tcW w:w="1043" w:type="dxa"/>
            <w:vAlign w:val="top"/>
          </w:tcPr>
          <w:p w14:paraId="14B8F36F" w14:textId="77777777" w:rsidR="009A53A0" w:rsidRPr="009A53A0" w:rsidRDefault="009A53A0" w:rsidP="00DF6CBC">
            <w:pPr>
              <w:pStyle w:val="Tabele"/>
              <w:jc w:val="right"/>
              <w:rPr>
                <w:color w:val="auto"/>
              </w:rPr>
            </w:pPr>
            <w:r w:rsidRPr="009A53A0">
              <w:rPr>
                <w:color w:val="auto"/>
              </w:rPr>
              <w:t xml:space="preserve"> 1,58 </w:t>
            </w:r>
          </w:p>
        </w:tc>
        <w:tc>
          <w:tcPr>
            <w:tcW w:w="1043" w:type="dxa"/>
            <w:vAlign w:val="top"/>
          </w:tcPr>
          <w:p w14:paraId="165F9F93" w14:textId="77777777" w:rsidR="009A53A0" w:rsidRPr="009A53A0" w:rsidRDefault="009A53A0" w:rsidP="00DF6CBC">
            <w:pPr>
              <w:pStyle w:val="Tabele"/>
              <w:jc w:val="right"/>
              <w:rPr>
                <w:color w:val="auto"/>
              </w:rPr>
            </w:pPr>
            <w:r w:rsidRPr="009A53A0">
              <w:rPr>
                <w:color w:val="auto"/>
              </w:rPr>
              <w:t xml:space="preserve"> 1,55 </w:t>
            </w:r>
          </w:p>
        </w:tc>
      </w:tr>
      <w:tr w:rsidR="009A53A0" w14:paraId="1C11BD1C" w14:textId="77777777" w:rsidTr="009A53A0">
        <w:trPr>
          <w:trHeight w:val="224"/>
        </w:trPr>
        <w:tc>
          <w:tcPr>
            <w:tcW w:w="3897" w:type="dxa"/>
            <w:vAlign w:val="top"/>
          </w:tcPr>
          <w:p w14:paraId="09DEAD89" w14:textId="77777777" w:rsidR="009A53A0" w:rsidRPr="009A53A0" w:rsidRDefault="009A53A0" w:rsidP="00DF6CBC">
            <w:pPr>
              <w:pStyle w:val="Tabele"/>
              <w:rPr>
                <w:color w:val="auto"/>
              </w:rPr>
            </w:pPr>
            <w:r w:rsidRPr="009A53A0">
              <w:rPr>
                <w:color w:val="auto"/>
              </w:rPr>
              <w:t>Energia elektryczna - WAM</w:t>
            </w:r>
          </w:p>
        </w:tc>
        <w:tc>
          <w:tcPr>
            <w:tcW w:w="1043" w:type="dxa"/>
            <w:shd w:val="clear" w:color="auto" w:fill="C5E0B3" w:themeFill="accent6" w:themeFillTint="66"/>
            <w:vAlign w:val="top"/>
          </w:tcPr>
          <w:p w14:paraId="3EB409FB" w14:textId="77777777" w:rsidR="009A53A0" w:rsidRPr="009A53A0" w:rsidRDefault="009A53A0" w:rsidP="00DF6CBC">
            <w:pPr>
              <w:pStyle w:val="Tabele"/>
              <w:jc w:val="right"/>
              <w:rPr>
                <w:color w:val="auto"/>
              </w:rPr>
            </w:pPr>
            <w:r w:rsidRPr="009A53A0">
              <w:rPr>
                <w:color w:val="auto"/>
              </w:rPr>
              <w:t xml:space="preserve"> 1,00 </w:t>
            </w:r>
          </w:p>
        </w:tc>
        <w:tc>
          <w:tcPr>
            <w:tcW w:w="1043" w:type="dxa"/>
            <w:vAlign w:val="top"/>
          </w:tcPr>
          <w:p w14:paraId="1BEFB847" w14:textId="77777777" w:rsidR="009A53A0" w:rsidRPr="009A53A0" w:rsidRDefault="009A53A0" w:rsidP="00DF6CBC">
            <w:pPr>
              <w:pStyle w:val="Tabele"/>
              <w:jc w:val="right"/>
              <w:rPr>
                <w:color w:val="auto"/>
              </w:rPr>
            </w:pPr>
            <w:r w:rsidRPr="009A53A0">
              <w:rPr>
                <w:color w:val="auto"/>
              </w:rPr>
              <w:t xml:space="preserve"> 1,60 </w:t>
            </w:r>
          </w:p>
        </w:tc>
        <w:tc>
          <w:tcPr>
            <w:tcW w:w="1043" w:type="dxa"/>
            <w:vAlign w:val="top"/>
          </w:tcPr>
          <w:p w14:paraId="567D4A51" w14:textId="77777777" w:rsidR="009A53A0" w:rsidRPr="009A53A0" w:rsidRDefault="009A53A0" w:rsidP="00DF6CBC">
            <w:pPr>
              <w:pStyle w:val="Tabele"/>
              <w:jc w:val="right"/>
              <w:rPr>
                <w:color w:val="auto"/>
              </w:rPr>
            </w:pPr>
            <w:r w:rsidRPr="009A53A0">
              <w:rPr>
                <w:color w:val="auto"/>
              </w:rPr>
              <w:t xml:space="preserve"> 1,49 </w:t>
            </w:r>
          </w:p>
        </w:tc>
        <w:tc>
          <w:tcPr>
            <w:tcW w:w="1043" w:type="dxa"/>
            <w:vAlign w:val="top"/>
          </w:tcPr>
          <w:p w14:paraId="1F98ED0E" w14:textId="77777777" w:rsidR="009A53A0" w:rsidRPr="009A53A0" w:rsidRDefault="009A53A0" w:rsidP="00DF6CBC">
            <w:pPr>
              <w:pStyle w:val="Tabele"/>
              <w:jc w:val="right"/>
              <w:rPr>
                <w:color w:val="auto"/>
              </w:rPr>
            </w:pPr>
            <w:r w:rsidRPr="009A53A0">
              <w:rPr>
                <w:color w:val="auto"/>
              </w:rPr>
              <w:t xml:space="preserve"> 1,29 </w:t>
            </w:r>
          </w:p>
        </w:tc>
        <w:tc>
          <w:tcPr>
            <w:tcW w:w="1043" w:type="dxa"/>
            <w:vAlign w:val="top"/>
          </w:tcPr>
          <w:p w14:paraId="48CAED94" w14:textId="77777777" w:rsidR="009A53A0" w:rsidRPr="009A53A0" w:rsidRDefault="009A53A0" w:rsidP="00DF6CBC">
            <w:pPr>
              <w:pStyle w:val="Tabele"/>
              <w:jc w:val="right"/>
              <w:rPr>
                <w:color w:val="auto"/>
              </w:rPr>
            </w:pPr>
            <w:r w:rsidRPr="009A53A0">
              <w:rPr>
                <w:color w:val="auto"/>
              </w:rPr>
              <w:t xml:space="preserve"> 1,15 </w:t>
            </w:r>
          </w:p>
        </w:tc>
      </w:tr>
    </w:tbl>
    <w:p w14:paraId="03F294F8" w14:textId="6F90ADD1" w:rsidR="005C4144" w:rsidRDefault="005C4144" w:rsidP="001904B8">
      <w:pPr>
        <w:pStyle w:val="Legenda"/>
        <w:keepNext/>
      </w:pPr>
      <w:r w:rsidRPr="004B5CB4">
        <w:t xml:space="preserve">Źródło: opracowanie własne </w:t>
      </w:r>
      <w:r>
        <w:t>ARE, IOŚ-PIB</w:t>
      </w:r>
    </w:p>
    <w:p w14:paraId="45AF15E0" w14:textId="41E86CF9" w:rsidR="000261BC" w:rsidRDefault="000261BC" w:rsidP="000261BC">
      <w:r>
        <w:t xml:space="preserve">Do 2025 r. zauważalny jest istotny wzrost cen energii elektrycznej dla odbiorców końcowych. Natomiast po 2025 r. sytuacja na rynku energii zacznie się stabilizować, a w kolejnych latach ceny energii zaczną spadać. </w:t>
      </w:r>
    </w:p>
    <w:p w14:paraId="68E70BEA" w14:textId="1FDB4571" w:rsidR="000261BC" w:rsidRPr="001137BE" w:rsidRDefault="000261BC" w:rsidP="000261BC">
      <w:r w:rsidRPr="004E4AF4">
        <w:t xml:space="preserve">Różnica w dynamice cen energii elektrycznej dla odbiorców końcowych pomiędzy scenariuszami wynika z szybszego odchodzenia od jednostek emisyjnych w scenariuszu WAM niż w WEM oraz z większego </w:t>
      </w:r>
      <w:r w:rsidRPr="001137BE">
        <w:t>znaczenia generacji rozproszonej i zmian w strukturze rynku</w:t>
      </w:r>
      <w:r w:rsidR="00E62FDD">
        <w:t>.</w:t>
      </w:r>
    </w:p>
    <w:p w14:paraId="7D0DAF22" w14:textId="30FE4957" w:rsidR="005C4144" w:rsidRPr="0020530E" w:rsidRDefault="005C4144" w:rsidP="00696068">
      <w:pPr>
        <w:pStyle w:val="Podtytu"/>
        <w:spacing w:after="120"/>
        <w:jc w:val="left"/>
        <w:rPr>
          <w:color w:val="auto"/>
        </w:rPr>
      </w:pPr>
      <w:r w:rsidRPr="0020530E">
        <w:rPr>
          <w:color w:val="auto"/>
        </w:rPr>
        <w:t>Dodatkowe nakłady inwestycyjne związane z wytwarzanie</w:t>
      </w:r>
      <w:r w:rsidR="00947F91" w:rsidRPr="0020530E">
        <w:rPr>
          <w:color w:val="auto"/>
        </w:rPr>
        <w:t>m</w:t>
      </w:r>
      <w:r w:rsidRPr="0020530E">
        <w:rPr>
          <w:color w:val="auto"/>
        </w:rPr>
        <w:t xml:space="preserve"> i wykorzystaniem energii</w:t>
      </w:r>
    </w:p>
    <w:p w14:paraId="1EEA23DB" w14:textId="26C54F1D" w:rsidR="00C57BCF" w:rsidRPr="001137BE" w:rsidRDefault="00C57BCF" w:rsidP="00C57BCF">
      <w:r w:rsidRPr="001137BE">
        <w:t>Nakłady inwestycyjne są istotnym elementem wpływającym na ocenę skutków makroekonomicznych scenariuszy. Analizy modeli sektorowych wskazują, że w scenariuszu WEM łączne nakłady inwestycyjne na instalacje związane z wytwarzaniem i wykorzystaniem energii we wszystkich sektorach gospodarki w </w:t>
      </w:r>
      <w:r w:rsidRPr="00657B16">
        <w:t>latach 2021-20</w:t>
      </w:r>
      <w:r w:rsidR="00F3421D" w:rsidRPr="00657B16">
        <w:t>4</w:t>
      </w:r>
      <w:r w:rsidRPr="00657B16">
        <w:t xml:space="preserve">0 osiągną ok. </w:t>
      </w:r>
      <w:r w:rsidR="00657B16" w:rsidRPr="00657B16">
        <w:t>726</w:t>
      </w:r>
      <w:r w:rsidRPr="00657B16">
        <w:t xml:space="preserve"> mld EUR. Kluczowe</w:t>
      </w:r>
      <w:r w:rsidRPr="001137BE">
        <w:t>, z perspektywy wielkości nakładów inwestycyjnych, będą: sektor wytwarzania i dystrybucji energii elektrycznej i ciepła odpowiadający za ok. </w:t>
      </w:r>
      <w:r w:rsidR="00CE7E5F">
        <w:t xml:space="preserve">46 </w:t>
      </w:r>
      <w:r w:rsidRPr="001137BE">
        <w:t>% nakładów inwestycyjnych oraz sektor transportu (</w:t>
      </w:r>
      <w:r w:rsidR="005217BF">
        <w:t>20</w:t>
      </w:r>
      <w:r w:rsidR="004024EE">
        <w:t xml:space="preserve"> </w:t>
      </w:r>
      <w:r w:rsidRPr="001137BE">
        <w:t xml:space="preserve">% całkowitych nakładów). </w:t>
      </w:r>
    </w:p>
    <w:p w14:paraId="176E4661" w14:textId="6600075B" w:rsidR="00C57BCF" w:rsidRPr="001137BE" w:rsidRDefault="00C57BCF" w:rsidP="00C57BCF">
      <w:r w:rsidRPr="001137BE">
        <w:t xml:space="preserve">Znaczny wzrost nakładów inwestycyjnych w sektorze wytwarzania energii elektrycznej i ciepła związany jest przede wszystkim z intensywnym rozwojem źródeł odnawialnych oraz elektrowni jądrowych. Jednocześnie budowa tych źródeł oraz rosnący popyt na energię elektryczną wymuszają modernizację oraz rozwój infrastruktury przesyłu i dystrybucji energii elektrycznej, gdzie skala inwestycji będzie także bardzo znacząca (nawet ok. </w:t>
      </w:r>
      <w:r w:rsidR="001D2B7C">
        <w:t>9</w:t>
      </w:r>
      <w:r w:rsidRPr="001137BE">
        <w:t>% łącznych nakładów inwestycyjnych związane wytwarzaniem i</w:t>
      </w:r>
      <w:r w:rsidR="00B6518A">
        <w:t> </w:t>
      </w:r>
      <w:r w:rsidRPr="001137BE">
        <w:t>wykorzystaniem energii w tym okresie).</w:t>
      </w:r>
    </w:p>
    <w:p w14:paraId="7C8EA517" w14:textId="2A2727BE" w:rsidR="00C57BCF" w:rsidRPr="001137BE" w:rsidRDefault="00C57BCF" w:rsidP="00C57BCF">
      <w:r w:rsidRPr="001137BE">
        <w:t xml:space="preserve">Transport będzie wymagał znacznych inwestycji, zarówno ze względu na </w:t>
      </w:r>
      <w:r w:rsidR="00ED5746">
        <w:t>wymianę</w:t>
      </w:r>
      <w:r w:rsidR="00ED5746" w:rsidRPr="001137BE">
        <w:t xml:space="preserve"> </w:t>
      </w:r>
      <w:r w:rsidRPr="001137BE">
        <w:t>floty pojazdów, jak i</w:t>
      </w:r>
      <w:r w:rsidR="00B6518A">
        <w:t> </w:t>
      </w:r>
      <w:r w:rsidRPr="001137BE">
        <w:t>modernizację infrastruktury (kolejowej, drogowej oraz ładowania pojazdów elektrycznych).</w:t>
      </w:r>
    </w:p>
    <w:p w14:paraId="076069DB" w14:textId="394EF8B4" w:rsidR="00C57BCF" w:rsidRPr="001137BE" w:rsidRDefault="00C57BCF" w:rsidP="00C57BCF">
      <w:r w:rsidRPr="001137BE">
        <w:t>Sektor gospodarstw domowych również będzie wymagał znaczących nakładów, na poziomie</w:t>
      </w:r>
      <w:r w:rsidR="002A532C">
        <w:t xml:space="preserve"> </w:t>
      </w:r>
      <w:r w:rsidRPr="009C01E4">
        <w:t>ok.</w:t>
      </w:r>
      <w:r w:rsidR="00DA1617" w:rsidRPr="009C01E4">
        <w:t xml:space="preserve"> </w:t>
      </w:r>
      <w:r w:rsidR="00557B86" w:rsidRPr="009C01E4">
        <w:t>79</w:t>
      </w:r>
      <w:r w:rsidRPr="009C01E4">
        <w:t xml:space="preserve"> mld EUR w okresie 2021-20</w:t>
      </w:r>
      <w:r w:rsidR="00C762BC" w:rsidRPr="009C01E4">
        <w:t>4</w:t>
      </w:r>
      <w:r w:rsidRPr="009C01E4">
        <w:t>0 w scenariuszu WEM. Wydatki</w:t>
      </w:r>
      <w:r w:rsidRPr="001137BE">
        <w:t xml:space="preserve"> w tym sektorze będą stanowić ok. 1</w:t>
      </w:r>
      <w:r w:rsidR="00A91787">
        <w:t>1</w:t>
      </w:r>
      <w:r w:rsidRPr="001137BE">
        <w:t>% całkowitych nakładów inwestycyjnych w tym okresie i związane będą przede wszystkim z modernizacją systemów grzewczych oraz termomodernizacją budynków.</w:t>
      </w:r>
    </w:p>
    <w:p w14:paraId="56E512D5" w14:textId="63955370" w:rsidR="005C4144" w:rsidRDefault="00C57BCF" w:rsidP="005C4144">
      <w:r w:rsidRPr="001137BE">
        <w:t>Nakłady inwestycyjne związane z wytwarzaniem i wykorzystaniem energii w scenariuszu WEM po wzroście o ok 8% w drugiej połowie lat 20-tych, następnie spadają i pozostają niższe do końca horyzontu projekcji tj. do 20</w:t>
      </w:r>
      <w:r w:rsidR="00C762BC">
        <w:t>4</w:t>
      </w:r>
      <w:r w:rsidRPr="001137BE">
        <w:t xml:space="preserve">0 </w:t>
      </w:r>
      <w:r w:rsidR="00BE2ED8">
        <w:t>r.</w:t>
      </w:r>
      <w:r w:rsidRPr="001137BE">
        <w:t xml:space="preserve"> </w:t>
      </w:r>
    </w:p>
    <w:p w14:paraId="2D421245" w14:textId="40CA2646" w:rsidR="007D618C" w:rsidRPr="001137BE" w:rsidRDefault="005C4144" w:rsidP="007D618C">
      <w:pPr>
        <w:pStyle w:val="Legenda"/>
        <w:keepNext/>
      </w:pPr>
      <w:bookmarkStart w:id="635" w:name="_Toc202967020"/>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6</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5</w:t>
      </w:r>
      <w:r w:rsidR="00653D9A">
        <w:rPr>
          <w:noProof/>
        </w:rPr>
        <w:fldChar w:fldCharType="end"/>
      </w:r>
      <w:r w:rsidR="0064257F">
        <w:t xml:space="preserve">. </w:t>
      </w:r>
      <w:r w:rsidR="007D618C" w:rsidRPr="001137BE">
        <w:t>Dynamika nakładów inwestycyjnych związanych z wytwarzaniem i wykorzystaniem energii w scenariuszach WEM i WAM [2021-2025=1]</w:t>
      </w:r>
      <w:bookmarkEnd w:id="635"/>
    </w:p>
    <w:tbl>
      <w:tblPr>
        <w:tblStyle w:val="KPEiK1"/>
        <w:tblW w:w="4987" w:type="pct"/>
        <w:tblLook w:val="04A0" w:firstRow="1" w:lastRow="0" w:firstColumn="1" w:lastColumn="0" w:noHBand="0" w:noVBand="1"/>
      </w:tblPr>
      <w:tblGrid>
        <w:gridCol w:w="2597"/>
        <w:gridCol w:w="1610"/>
        <w:gridCol w:w="1610"/>
        <w:gridCol w:w="1611"/>
        <w:gridCol w:w="1610"/>
      </w:tblGrid>
      <w:tr w:rsidR="005065AC" w:rsidRPr="00696068" w14:paraId="513D961E" w14:textId="77777777" w:rsidTr="005065AC">
        <w:trPr>
          <w:cnfStyle w:val="100000000000" w:firstRow="1" w:lastRow="0" w:firstColumn="0" w:lastColumn="0" w:oddVBand="0" w:evenVBand="0" w:oddHBand="0" w:evenHBand="0" w:firstRowFirstColumn="0" w:firstRowLastColumn="0" w:lastRowFirstColumn="0" w:lastRowLastColumn="0"/>
          <w:trHeight w:val="229"/>
        </w:trPr>
        <w:tc>
          <w:tcPr>
            <w:tcW w:w="259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AC39D02" w14:textId="77777777" w:rsidR="005065AC" w:rsidRPr="00696068" w:rsidRDefault="005065AC" w:rsidP="00DF6CBC">
            <w:pPr>
              <w:spacing w:after="160"/>
              <w:contextualSpacing/>
              <w:jc w:val="left"/>
              <w:rPr>
                <w:rFonts w:cstheme="minorHAnsi"/>
                <w:b w:val="0"/>
                <w:color w:val="auto"/>
                <w:sz w:val="16"/>
              </w:rPr>
            </w:pPr>
          </w:p>
        </w:tc>
        <w:tc>
          <w:tcPr>
            <w:tcW w:w="161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1D6B3B8E" w14:textId="77777777" w:rsidR="005065AC" w:rsidRPr="00696068" w:rsidRDefault="005065AC" w:rsidP="00DF6CBC">
            <w:pPr>
              <w:spacing w:after="160"/>
              <w:contextualSpacing/>
              <w:jc w:val="left"/>
              <w:rPr>
                <w:rFonts w:cstheme="minorHAnsi"/>
                <w:b w:val="0"/>
                <w:color w:val="auto"/>
                <w:sz w:val="16"/>
              </w:rPr>
            </w:pPr>
            <w:r w:rsidRPr="00696068">
              <w:rPr>
                <w:rFonts w:cstheme="minorHAnsi"/>
                <w:b w:val="0"/>
                <w:color w:val="auto"/>
                <w:sz w:val="16"/>
              </w:rPr>
              <w:t>2021-2025</w:t>
            </w:r>
          </w:p>
        </w:tc>
        <w:tc>
          <w:tcPr>
            <w:tcW w:w="161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35D88AA8" w14:textId="77777777" w:rsidR="005065AC" w:rsidRPr="00696068" w:rsidRDefault="005065AC" w:rsidP="00DF6CBC">
            <w:pPr>
              <w:spacing w:after="160"/>
              <w:contextualSpacing/>
              <w:jc w:val="left"/>
              <w:rPr>
                <w:rFonts w:cstheme="minorHAnsi"/>
                <w:b w:val="0"/>
                <w:color w:val="auto"/>
                <w:sz w:val="16"/>
              </w:rPr>
            </w:pPr>
            <w:r w:rsidRPr="00696068">
              <w:rPr>
                <w:rFonts w:cstheme="minorHAnsi"/>
                <w:b w:val="0"/>
                <w:color w:val="auto"/>
                <w:sz w:val="16"/>
              </w:rPr>
              <w:t>2026-2030</w:t>
            </w:r>
          </w:p>
        </w:tc>
        <w:tc>
          <w:tcPr>
            <w:tcW w:w="1611"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4F4C213A" w14:textId="77777777" w:rsidR="005065AC" w:rsidRPr="00696068" w:rsidRDefault="005065AC" w:rsidP="00DF6CBC">
            <w:pPr>
              <w:spacing w:after="160"/>
              <w:contextualSpacing/>
              <w:jc w:val="left"/>
              <w:rPr>
                <w:rFonts w:cstheme="minorHAnsi"/>
                <w:b w:val="0"/>
                <w:color w:val="auto"/>
                <w:sz w:val="16"/>
              </w:rPr>
            </w:pPr>
            <w:r w:rsidRPr="00696068">
              <w:rPr>
                <w:rFonts w:cstheme="minorHAnsi"/>
                <w:b w:val="0"/>
                <w:color w:val="auto"/>
                <w:sz w:val="16"/>
              </w:rPr>
              <w:t>2031-2035</w:t>
            </w:r>
          </w:p>
        </w:tc>
        <w:tc>
          <w:tcPr>
            <w:tcW w:w="161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hideMark/>
          </w:tcPr>
          <w:p w14:paraId="36A391E0" w14:textId="77777777" w:rsidR="005065AC" w:rsidRPr="00696068" w:rsidRDefault="005065AC" w:rsidP="00DF6CBC">
            <w:pPr>
              <w:spacing w:after="160"/>
              <w:contextualSpacing/>
              <w:jc w:val="left"/>
              <w:rPr>
                <w:rFonts w:cstheme="minorHAnsi"/>
                <w:b w:val="0"/>
                <w:color w:val="auto"/>
                <w:sz w:val="16"/>
              </w:rPr>
            </w:pPr>
            <w:r w:rsidRPr="00696068">
              <w:rPr>
                <w:rFonts w:cstheme="minorHAnsi"/>
                <w:b w:val="0"/>
                <w:color w:val="auto"/>
                <w:sz w:val="16"/>
              </w:rPr>
              <w:t>2036-2040</w:t>
            </w:r>
          </w:p>
        </w:tc>
      </w:tr>
      <w:tr w:rsidR="005065AC" w:rsidRPr="00696068" w14:paraId="64D3B239" w14:textId="77777777" w:rsidTr="005065AC">
        <w:trPr>
          <w:trHeight w:val="229"/>
        </w:trPr>
        <w:tc>
          <w:tcPr>
            <w:tcW w:w="259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top"/>
            <w:hideMark/>
          </w:tcPr>
          <w:p w14:paraId="42B4E6FF" w14:textId="77777777" w:rsidR="005065AC" w:rsidRPr="00696068" w:rsidRDefault="005065AC" w:rsidP="00DF6CBC">
            <w:pPr>
              <w:spacing w:after="160"/>
              <w:contextualSpacing/>
              <w:jc w:val="left"/>
              <w:rPr>
                <w:rFonts w:cstheme="minorHAnsi"/>
                <w:b/>
                <w:bCs/>
                <w:sz w:val="16"/>
              </w:rPr>
            </w:pPr>
            <w:r w:rsidRPr="00696068">
              <w:rPr>
                <w:rFonts w:cstheme="minorHAnsi"/>
                <w:sz w:val="16"/>
              </w:rPr>
              <w:t>WEM</w:t>
            </w:r>
          </w:p>
        </w:tc>
        <w:tc>
          <w:tcPr>
            <w:tcW w:w="1610" w:type="dxa"/>
            <w:tcBorders>
              <w:top w:val="nil"/>
              <w:left w:val="nil"/>
              <w:bottom w:val="single" w:sz="8" w:space="0" w:color="808080"/>
              <w:right w:val="single" w:sz="8" w:space="0" w:color="808080"/>
            </w:tcBorders>
            <w:hideMark/>
          </w:tcPr>
          <w:p w14:paraId="310EA645" w14:textId="77777777" w:rsidR="005065AC" w:rsidRPr="00696068" w:rsidRDefault="005065AC" w:rsidP="00DF6CBC">
            <w:pPr>
              <w:spacing w:after="160"/>
              <w:contextualSpacing/>
              <w:jc w:val="right"/>
              <w:rPr>
                <w:rFonts w:cstheme="minorHAnsi"/>
                <w:sz w:val="16"/>
              </w:rPr>
            </w:pPr>
            <w:r w:rsidRPr="00696068">
              <w:rPr>
                <w:rFonts w:cs="Arial"/>
                <w:color w:val="000000"/>
                <w:sz w:val="16"/>
                <w:szCs w:val="16"/>
              </w:rPr>
              <w:t>1,00</w:t>
            </w:r>
          </w:p>
        </w:tc>
        <w:tc>
          <w:tcPr>
            <w:tcW w:w="1610" w:type="dxa"/>
            <w:tcBorders>
              <w:top w:val="nil"/>
              <w:left w:val="nil"/>
              <w:bottom w:val="single" w:sz="8" w:space="0" w:color="808080"/>
              <w:right w:val="single" w:sz="8" w:space="0" w:color="808080"/>
            </w:tcBorders>
            <w:hideMark/>
          </w:tcPr>
          <w:p w14:paraId="1A0D728B" w14:textId="77777777" w:rsidR="005065AC" w:rsidRPr="00696068" w:rsidRDefault="005065AC" w:rsidP="00DF6CBC">
            <w:pPr>
              <w:spacing w:after="160"/>
              <w:contextualSpacing/>
              <w:jc w:val="right"/>
              <w:rPr>
                <w:rFonts w:cstheme="minorHAnsi"/>
                <w:sz w:val="16"/>
              </w:rPr>
            </w:pPr>
            <w:r w:rsidRPr="00696068">
              <w:rPr>
                <w:rFonts w:cs="Arial"/>
                <w:color w:val="000000"/>
                <w:sz w:val="16"/>
                <w:szCs w:val="16"/>
              </w:rPr>
              <w:t>1,08</w:t>
            </w:r>
          </w:p>
        </w:tc>
        <w:tc>
          <w:tcPr>
            <w:tcW w:w="1611" w:type="dxa"/>
            <w:tcBorders>
              <w:top w:val="nil"/>
              <w:left w:val="nil"/>
              <w:bottom w:val="single" w:sz="8" w:space="0" w:color="808080"/>
              <w:right w:val="single" w:sz="8" w:space="0" w:color="808080"/>
            </w:tcBorders>
            <w:hideMark/>
          </w:tcPr>
          <w:p w14:paraId="10F0114C" w14:textId="77777777" w:rsidR="005065AC" w:rsidRPr="00696068" w:rsidRDefault="005065AC" w:rsidP="00DF6CBC">
            <w:pPr>
              <w:spacing w:after="160"/>
              <w:contextualSpacing/>
              <w:jc w:val="right"/>
              <w:rPr>
                <w:rFonts w:cstheme="minorHAnsi"/>
                <w:sz w:val="16"/>
              </w:rPr>
            </w:pPr>
            <w:r w:rsidRPr="00696068">
              <w:rPr>
                <w:rFonts w:cs="Arial"/>
                <w:color w:val="000000"/>
                <w:sz w:val="16"/>
                <w:szCs w:val="16"/>
              </w:rPr>
              <w:t>0,76</w:t>
            </w:r>
          </w:p>
        </w:tc>
        <w:tc>
          <w:tcPr>
            <w:tcW w:w="1610" w:type="dxa"/>
            <w:tcBorders>
              <w:top w:val="nil"/>
              <w:left w:val="nil"/>
              <w:bottom w:val="single" w:sz="8" w:space="0" w:color="808080"/>
              <w:right w:val="single" w:sz="8" w:space="0" w:color="808080"/>
            </w:tcBorders>
            <w:hideMark/>
          </w:tcPr>
          <w:p w14:paraId="64D43912" w14:textId="77777777" w:rsidR="005065AC" w:rsidRPr="00696068" w:rsidRDefault="005065AC" w:rsidP="00DF6CBC">
            <w:pPr>
              <w:spacing w:after="160"/>
              <w:contextualSpacing/>
              <w:jc w:val="right"/>
              <w:rPr>
                <w:rFonts w:cstheme="minorHAnsi"/>
                <w:sz w:val="16"/>
              </w:rPr>
            </w:pPr>
            <w:r w:rsidRPr="00696068">
              <w:rPr>
                <w:rFonts w:cs="Arial"/>
                <w:color w:val="000000"/>
                <w:sz w:val="16"/>
                <w:szCs w:val="16"/>
              </w:rPr>
              <w:t>0,99</w:t>
            </w:r>
          </w:p>
        </w:tc>
      </w:tr>
      <w:tr w:rsidR="005065AC" w:rsidRPr="00696068" w14:paraId="57067AE4" w14:textId="77777777" w:rsidTr="005065AC">
        <w:trPr>
          <w:trHeight w:val="229"/>
        </w:trPr>
        <w:tc>
          <w:tcPr>
            <w:tcW w:w="2598"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top"/>
            <w:hideMark/>
          </w:tcPr>
          <w:p w14:paraId="2869136B" w14:textId="77777777" w:rsidR="005065AC" w:rsidRPr="00696068" w:rsidRDefault="005065AC" w:rsidP="00DF6CBC">
            <w:pPr>
              <w:spacing w:after="160"/>
              <w:contextualSpacing/>
              <w:jc w:val="left"/>
              <w:rPr>
                <w:rFonts w:eastAsia="Calibri" w:cstheme="minorHAnsi"/>
                <w:sz w:val="16"/>
              </w:rPr>
            </w:pPr>
            <w:r w:rsidRPr="00696068">
              <w:rPr>
                <w:rFonts w:cstheme="minorHAnsi"/>
                <w:sz w:val="16"/>
              </w:rPr>
              <w:t>WAM</w:t>
            </w:r>
          </w:p>
        </w:tc>
        <w:tc>
          <w:tcPr>
            <w:tcW w:w="1610" w:type="dxa"/>
            <w:tcBorders>
              <w:top w:val="nil"/>
              <w:left w:val="nil"/>
              <w:bottom w:val="single" w:sz="8" w:space="0" w:color="808080"/>
              <w:right w:val="single" w:sz="8" w:space="0" w:color="808080"/>
            </w:tcBorders>
            <w:hideMark/>
          </w:tcPr>
          <w:p w14:paraId="621ABA20" w14:textId="77777777" w:rsidR="005065AC" w:rsidRPr="00696068" w:rsidRDefault="005065AC" w:rsidP="00DF6CBC">
            <w:pPr>
              <w:spacing w:after="160"/>
              <w:contextualSpacing/>
              <w:jc w:val="right"/>
              <w:rPr>
                <w:rFonts w:eastAsia="Calibri" w:cstheme="minorHAnsi"/>
                <w:sz w:val="16"/>
              </w:rPr>
            </w:pPr>
            <w:r w:rsidRPr="00696068">
              <w:rPr>
                <w:rFonts w:cs="Arial"/>
                <w:color w:val="000000"/>
                <w:sz w:val="16"/>
                <w:szCs w:val="16"/>
              </w:rPr>
              <w:t>1,00</w:t>
            </w:r>
          </w:p>
        </w:tc>
        <w:tc>
          <w:tcPr>
            <w:tcW w:w="1610" w:type="dxa"/>
            <w:tcBorders>
              <w:top w:val="nil"/>
              <w:left w:val="nil"/>
              <w:bottom w:val="single" w:sz="8" w:space="0" w:color="808080"/>
              <w:right w:val="single" w:sz="8" w:space="0" w:color="808080"/>
            </w:tcBorders>
            <w:hideMark/>
          </w:tcPr>
          <w:p w14:paraId="366337B1" w14:textId="77777777" w:rsidR="005065AC" w:rsidRPr="00696068" w:rsidRDefault="005065AC" w:rsidP="00DF6CBC">
            <w:pPr>
              <w:spacing w:after="160"/>
              <w:contextualSpacing/>
              <w:jc w:val="right"/>
              <w:rPr>
                <w:rFonts w:eastAsia="Calibri" w:cstheme="minorHAnsi"/>
                <w:sz w:val="16"/>
              </w:rPr>
            </w:pPr>
            <w:r w:rsidRPr="00696068">
              <w:rPr>
                <w:rFonts w:cs="Arial"/>
                <w:color w:val="000000"/>
                <w:sz w:val="16"/>
                <w:szCs w:val="16"/>
              </w:rPr>
              <w:t>1,15</w:t>
            </w:r>
          </w:p>
        </w:tc>
        <w:tc>
          <w:tcPr>
            <w:tcW w:w="1611" w:type="dxa"/>
            <w:tcBorders>
              <w:top w:val="nil"/>
              <w:left w:val="nil"/>
              <w:bottom w:val="single" w:sz="8" w:space="0" w:color="808080"/>
              <w:right w:val="single" w:sz="8" w:space="0" w:color="808080"/>
            </w:tcBorders>
            <w:hideMark/>
          </w:tcPr>
          <w:p w14:paraId="175C4184" w14:textId="77777777" w:rsidR="005065AC" w:rsidRPr="00696068" w:rsidRDefault="005065AC" w:rsidP="00DF6CBC">
            <w:pPr>
              <w:spacing w:after="160"/>
              <w:contextualSpacing/>
              <w:jc w:val="right"/>
              <w:rPr>
                <w:rFonts w:eastAsia="Calibri" w:cstheme="minorHAnsi"/>
                <w:sz w:val="16"/>
              </w:rPr>
            </w:pPr>
            <w:r w:rsidRPr="00696068">
              <w:rPr>
                <w:rFonts w:cs="Arial"/>
                <w:color w:val="000000"/>
                <w:sz w:val="16"/>
                <w:szCs w:val="16"/>
              </w:rPr>
              <w:t>1,06</w:t>
            </w:r>
          </w:p>
        </w:tc>
        <w:tc>
          <w:tcPr>
            <w:tcW w:w="1610" w:type="dxa"/>
            <w:tcBorders>
              <w:top w:val="nil"/>
              <w:left w:val="nil"/>
              <w:bottom w:val="single" w:sz="8" w:space="0" w:color="808080"/>
              <w:right w:val="single" w:sz="8" w:space="0" w:color="808080"/>
            </w:tcBorders>
            <w:hideMark/>
          </w:tcPr>
          <w:p w14:paraId="494A31FB" w14:textId="77777777" w:rsidR="005065AC" w:rsidRPr="00696068" w:rsidRDefault="005065AC" w:rsidP="00DF6CBC">
            <w:pPr>
              <w:spacing w:after="160"/>
              <w:contextualSpacing/>
              <w:jc w:val="right"/>
              <w:rPr>
                <w:rFonts w:eastAsia="Calibri" w:cstheme="minorHAnsi"/>
                <w:sz w:val="16"/>
              </w:rPr>
            </w:pPr>
            <w:r w:rsidRPr="00696068">
              <w:rPr>
                <w:rFonts w:cs="Arial"/>
                <w:color w:val="000000"/>
                <w:sz w:val="16"/>
                <w:szCs w:val="16"/>
              </w:rPr>
              <w:t>1,22</w:t>
            </w:r>
          </w:p>
        </w:tc>
      </w:tr>
    </w:tbl>
    <w:p w14:paraId="5B766A0A" w14:textId="2EA56355" w:rsidR="005C4144" w:rsidRDefault="005C4144" w:rsidP="007D618C">
      <w:pPr>
        <w:pStyle w:val="Legenda"/>
        <w:keepNext/>
      </w:pPr>
      <w:r w:rsidRPr="004B5CB4">
        <w:t xml:space="preserve">Źródło: opracowanie własne </w:t>
      </w:r>
      <w:r>
        <w:t>ARE, IOŚ-PIB</w:t>
      </w:r>
    </w:p>
    <w:p w14:paraId="3D13527D" w14:textId="212DAF04" w:rsidR="0095485C" w:rsidRPr="001137BE" w:rsidRDefault="0095485C" w:rsidP="0095485C">
      <w:pPr>
        <w:spacing w:before="240" w:after="0"/>
      </w:pPr>
      <w:r w:rsidRPr="001137BE">
        <w:t xml:space="preserve">W scenariuszu WAM łączne nakłady inwestycyjne w okresie </w:t>
      </w:r>
      <w:r w:rsidRPr="00D9107D">
        <w:t>2021-20</w:t>
      </w:r>
      <w:r w:rsidR="005B5D40" w:rsidRPr="00D9107D">
        <w:t>4</w:t>
      </w:r>
      <w:r w:rsidRPr="00D9107D">
        <w:t xml:space="preserve">0 będą wyższe o ok. </w:t>
      </w:r>
      <w:r w:rsidR="00D9107D" w:rsidRPr="00D9107D">
        <w:t>16</w:t>
      </w:r>
      <w:r w:rsidRPr="00D9107D">
        <w:t>%</w:t>
      </w:r>
      <w:r w:rsidRPr="001137BE">
        <w:t xml:space="preserve"> niż w scenariuszu WEM i </w:t>
      </w:r>
      <w:r w:rsidRPr="00C274B8">
        <w:t xml:space="preserve">wyniosą ok. </w:t>
      </w:r>
      <w:r w:rsidR="00F06B5A">
        <w:t>8</w:t>
      </w:r>
      <w:r w:rsidR="00C274B8" w:rsidRPr="00C274B8">
        <w:t>4</w:t>
      </w:r>
      <w:r w:rsidR="00F06B5A">
        <w:t>5</w:t>
      </w:r>
      <w:r w:rsidRPr="00C274B8">
        <w:t xml:space="preserve"> mld EUR.</w:t>
      </w:r>
      <w:r w:rsidRPr="001137BE">
        <w:t xml:space="preserve"> Wzrost nakładów nastąpi w większości sektorów, ale najwyższy będzie w sektorze elektroenergetyki (wzrost</w:t>
      </w:r>
      <w:r w:rsidR="002A532C">
        <w:t xml:space="preserve"> </w:t>
      </w:r>
      <w:r w:rsidRPr="001137BE">
        <w:t>w związku z m. in. większymi inwestycjami w OZE). Istotnie wzrosną także nakłady w przemyśle (głównie w związku z kosztami rozwoju CCS) i gospodarstwach domowych (w związku z większymi nakładami na termomodernizację i wymianę źródeł ciepła). Praktycznie nie zmienią się natomiast nakłady</w:t>
      </w:r>
      <w:r w:rsidR="002A532C">
        <w:t xml:space="preserve"> </w:t>
      </w:r>
      <w:r w:rsidRPr="001137BE">
        <w:t xml:space="preserve">w sektorze rafineryjnym. </w:t>
      </w:r>
    </w:p>
    <w:p w14:paraId="29504FF7" w14:textId="0FF73F70" w:rsidR="0095485C" w:rsidRDefault="0095485C" w:rsidP="0095485C">
      <w:pPr>
        <w:spacing w:before="240" w:after="0"/>
      </w:pPr>
      <w:r w:rsidRPr="001137BE">
        <w:t xml:space="preserve">Dynamika nakładów inwestycyjnych związanych z wytwarzaniem i wykorzystaniem energii w scenariuszu WAM jest wyższa niż w scenariuszu WEM w całym horyzoncie prognozy. Największe różnice wielkości nakładów inwestycyjnych sięgające </w:t>
      </w:r>
      <w:r w:rsidR="005A768A">
        <w:t xml:space="preserve">47 </w:t>
      </w:r>
      <w:r w:rsidRPr="001137BE">
        <w:t xml:space="preserve">% występują w pierwszej połowie lat 30-tych. </w:t>
      </w:r>
    </w:p>
    <w:p w14:paraId="436DAD9F" w14:textId="77777777" w:rsidR="005C4144" w:rsidRDefault="005C4144" w:rsidP="008B4CC0">
      <w:pPr>
        <w:pStyle w:val="Nagwek2"/>
        <w:spacing w:after="0"/>
      </w:pPr>
      <w:bookmarkStart w:id="636" w:name="_Toc167795172"/>
      <w:bookmarkStart w:id="637" w:name="_Toc167799343"/>
      <w:bookmarkStart w:id="638" w:name="_Toc167803415"/>
      <w:bookmarkStart w:id="639" w:name="_Toc167804134"/>
      <w:bookmarkStart w:id="640" w:name="_Toc167804161"/>
      <w:bookmarkStart w:id="641" w:name="_Toc171587347"/>
      <w:bookmarkStart w:id="642" w:name="_Toc174710919"/>
      <w:bookmarkStart w:id="643" w:name="_Toc202966916"/>
      <w:r>
        <w:t>Skutki makroekonomiczne</w:t>
      </w:r>
      <w:bookmarkEnd w:id="636"/>
      <w:bookmarkEnd w:id="637"/>
      <w:bookmarkEnd w:id="638"/>
      <w:bookmarkEnd w:id="639"/>
      <w:bookmarkEnd w:id="640"/>
      <w:bookmarkEnd w:id="641"/>
      <w:bookmarkEnd w:id="642"/>
      <w:bookmarkEnd w:id="643"/>
    </w:p>
    <w:p w14:paraId="61AA8600" w14:textId="77777777" w:rsidR="005C4144" w:rsidRDefault="005C4144" w:rsidP="008B4CC0">
      <w:pPr>
        <w:pStyle w:val="Nagwek3"/>
        <w:spacing w:before="360"/>
      </w:pPr>
      <w:bookmarkStart w:id="644" w:name="_Toc167795173"/>
      <w:bookmarkStart w:id="645" w:name="_Toc167799344"/>
      <w:bookmarkStart w:id="646" w:name="_Toc167803416"/>
      <w:bookmarkStart w:id="647" w:name="_Toc167804135"/>
      <w:bookmarkStart w:id="648" w:name="_Toc167804162"/>
      <w:bookmarkStart w:id="649" w:name="_Toc171587348"/>
      <w:bookmarkStart w:id="650" w:name="_Toc174710920"/>
      <w:bookmarkStart w:id="651" w:name="_Toc202966917"/>
      <w:r>
        <w:t>Zastosowane podejście metodyczne</w:t>
      </w:r>
      <w:bookmarkEnd w:id="644"/>
      <w:bookmarkEnd w:id="645"/>
      <w:bookmarkEnd w:id="646"/>
      <w:bookmarkEnd w:id="647"/>
      <w:bookmarkEnd w:id="648"/>
      <w:bookmarkEnd w:id="649"/>
      <w:bookmarkEnd w:id="650"/>
      <w:bookmarkEnd w:id="651"/>
      <w:r>
        <w:t xml:space="preserve"> </w:t>
      </w:r>
    </w:p>
    <w:p w14:paraId="35279E79" w14:textId="77777777" w:rsidR="0095419B" w:rsidRPr="00CA0BE3" w:rsidRDefault="0095419B" w:rsidP="0095419B">
      <w:r>
        <w:t xml:space="preserve">Do celów analizy zastosowano rekurencyjno-dynamiczny model równowagi ogólnej CGE (ang. </w:t>
      </w:r>
      <w:r w:rsidRPr="00E42AD6">
        <w:rPr>
          <w:i/>
          <w:iCs/>
        </w:rPr>
        <w:t>Computable</w:t>
      </w:r>
      <w:r w:rsidRPr="00717B11">
        <w:rPr>
          <w:i/>
          <w:iCs/>
        </w:rPr>
        <w:t xml:space="preserve"> </w:t>
      </w:r>
      <w:r w:rsidRPr="00E42AD6">
        <w:rPr>
          <w:i/>
          <w:iCs/>
        </w:rPr>
        <w:t>General</w:t>
      </w:r>
      <w:r w:rsidRPr="00717B11">
        <w:rPr>
          <w:i/>
          <w:iCs/>
        </w:rPr>
        <w:t xml:space="preserve"> </w:t>
      </w:r>
      <w:r w:rsidRPr="00E42AD6">
        <w:rPr>
          <w:i/>
          <w:iCs/>
        </w:rPr>
        <w:t>Equilibrium</w:t>
      </w:r>
      <w:r>
        <w:t>). Model zakłada, że rynki dążą do stanu równowagi. Po wprowadzeniu impulsu (szoku) rozważanego w scenariuszach, model pozwala wyznaczyć nową równowagę na rynkach produktów i czynników produkcji, kształtującą się poprzez dostosowania cen, płac i rentowności kapitału. Producenci dostosowują strukturę nakładów – w tym kapitału i surowców – do zmieniających się cen rynkowych, w ramach dostępnych opcji technologicznych. Podobnie, popyt konsumentów zmienia się pod wpływem zmieniających się cen i</w:t>
      </w:r>
      <w:r w:rsidRPr="1A0F090D">
        <w:t> </w:t>
      </w:r>
      <w:r>
        <w:t>dochodów. W modelu CGE uwzględnia się również kluczowe relacje z otoczeniem zewnętrznym poprzez zmiany importu i eksportu dóbr oraz usług.</w:t>
      </w:r>
    </w:p>
    <w:p w14:paraId="4BF76325" w14:textId="77777777" w:rsidR="0095419B" w:rsidRDefault="0095419B" w:rsidP="0095419B">
      <w:r>
        <w:t xml:space="preserve">W analizie wyniki dostarczone przez modele MAED i MESSAGE posłużyły jako wsad do modelu CGE. Połączenie modeli poprawia spójność prognoz oraz zapewnia pełniejszy i bardziej szczegółowy obraz działań mających na celu ocenę skutków realizacji polityki klimatyczno-energetycznej. W szczególności zastosowanie wyżej wymienionych modeli pozwoliło na bardziej szczegółowe uchwycenie zmian technologii w kluczowych obszarach gospodarki oraz powiązanego z zastosowaniem tych technologii zużycia paliw i wielkości nakładów inwestycyjnych. </w:t>
      </w:r>
    </w:p>
    <w:p w14:paraId="6CA35E73" w14:textId="65EBE71C" w:rsidR="0095419B" w:rsidRDefault="0095419B" w:rsidP="0095419B">
      <w:r w:rsidRPr="00351F4C">
        <w:t>Makroekonomiczna analiza i ocena została zrealizowana w dwóch scenariuszach – WEM i WAM dla lat 2020-20</w:t>
      </w:r>
      <w:r w:rsidR="00351F4C" w:rsidRPr="00351F4C">
        <w:t>4</w:t>
      </w:r>
      <w:r w:rsidRPr="00351F4C">
        <w:t>0 w krokach 5-letnich</w:t>
      </w:r>
      <w:r w:rsidRPr="00E55F94">
        <w:t xml:space="preserve">. </w:t>
      </w:r>
      <w:r>
        <w:t xml:space="preserve">Prezentowana ocena dotyczy analizy zmiennych pełniących kluczową rolę w ocenie skutków gospodarczych, tj. zmian PKB, konsumpcji gospodarstw domowych, inwestycji oraz salda importu i eksportu. </w:t>
      </w:r>
    </w:p>
    <w:p w14:paraId="0A0DD7FE" w14:textId="57D66481" w:rsidR="00AB6D33" w:rsidRDefault="0095419B" w:rsidP="005C4144">
      <w:r>
        <w:t xml:space="preserve">W modelu CGE w pierwszej kolejności dla scenariusza WEM dostosowywana jest zmiana PKB, a następnie, na podstawie zewnętrznych projekcji z modeli MAED i MESSAGE, dostosowywane są zużycie paliw w sektorach gospodarki i ceny paliw oraz energii. Dla scenariusza WAM na bazie zewnętrznych projekcji dostosowano zużycie paliw, ceny paliw i energii oraz uwzględniono konieczność poniesienia dodatkowych inwestycji. Inne wartości zmiennych, takie jak zasoby kapitału, pracy oraz ich produktywność w różnych gałęziach przemysłu, pozostają stałe między scenariuszami. Ponadto, ceny uprawnień do emisji nie zmieniają się w obu analizowanych scenariuszach. </w:t>
      </w:r>
    </w:p>
    <w:p w14:paraId="568D9253" w14:textId="3B1C51F5" w:rsidR="005C4144" w:rsidRPr="00174EC5" w:rsidRDefault="005C4144" w:rsidP="004F5D0E">
      <w:pPr>
        <w:pStyle w:val="Nagwek3"/>
      </w:pPr>
      <w:bookmarkStart w:id="652" w:name="_Toc167795174"/>
      <w:bookmarkStart w:id="653" w:name="_Toc167799345"/>
      <w:bookmarkStart w:id="654" w:name="_Toc167803417"/>
      <w:bookmarkStart w:id="655" w:name="_Toc167804136"/>
      <w:bookmarkStart w:id="656" w:name="_Toc167804163"/>
      <w:bookmarkStart w:id="657" w:name="_Toc171587349"/>
      <w:bookmarkStart w:id="658" w:name="_Toc174710921"/>
      <w:bookmarkStart w:id="659" w:name="_Toc202966918"/>
      <w:r w:rsidRPr="00174EC5">
        <w:t>Zmiany poziomu PKB</w:t>
      </w:r>
      <w:bookmarkEnd w:id="652"/>
      <w:bookmarkEnd w:id="653"/>
      <w:bookmarkEnd w:id="654"/>
      <w:bookmarkEnd w:id="655"/>
      <w:bookmarkEnd w:id="656"/>
      <w:bookmarkEnd w:id="657"/>
      <w:bookmarkEnd w:id="658"/>
      <w:bookmarkEnd w:id="659"/>
      <w:r w:rsidRPr="00174EC5">
        <w:t xml:space="preserve"> </w:t>
      </w:r>
    </w:p>
    <w:p w14:paraId="2CC36E7C" w14:textId="061FF0D8" w:rsidR="00C43957" w:rsidRDefault="00C43957" w:rsidP="00C43957">
      <w:bookmarkStart w:id="660" w:name="_Ref167821920"/>
      <w:bookmarkStart w:id="661" w:name="_Toc169565494"/>
      <w:bookmarkStart w:id="662" w:name="_Toc171587234"/>
      <w:bookmarkStart w:id="663" w:name="_Toc174711018"/>
      <w:r>
        <w:t xml:space="preserve">Z symulacji wynika, że różnice makroekonomiczne pomiędzy scenariuszami są dość istotne. Różnica wzrostu PKB gospodarki w scenariuszach WAM i WEM będzie kształtować się poniżej 1% w pierwszej połowie analizowanego okresu, </w:t>
      </w:r>
      <w:r w:rsidRPr="003D4E0C">
        <w:t>po czym przekroczy 1% w latach 20</w:t>
      </w:r>
      <w:r w:rsidR="00703D08" w:rsidRPr="003D4E0C">
        <w:t>35</w:t>
      </w:r>
      <w:r w:rsidRPr="003D4E0C">
        <w:t>-2040 na korzyść scenariusza WAM, sięgając 1,4% w 204</w:t>
      </w:r>
      <w:r w:rsidR="00BE2ED8">
        <w:t>0 r.</w:t>
      </w:r>
      <w:r>
        <w:t xml:space="preserve"> (</w:t>
      </w:r>
      <w:r w:rsidR="00C67230">
        <w:fldChar w:fldCharType="begin"/>
      </w:r>
      <w:r w:rsidR="00C67230">
        <w:instrText xml:space="preserve"> REF _Ref195777915 \h </w:instrText>
      </w:r>
      <w:r w:rsidR="00C67230">
        <w:fldChar w:fldCharType="separate"/>
      </w:r>
      <w:r w:rsidR="00F27D6F">
        <w:t xml:space="preserve">Tabela </w:t>
      </w:r>
      <w:r w:rsidR="00F27D6F">
        <w:rPr>
          <w:noProof/>
        </w:rPr>
        <w:t>6</w:t>
      </w:r>
      <w:r w:rsidR="00F27D6F">
        <w:t>.</w:t>
      </w:r>
      <w:r w:rsidR="00F27D6F">
        <w:rPr>
          <w:noProof/>
        </w:rPr>
        <w:t>6</w:t>
      </w:r>
      <w:r w:rsidR="00C67230">
        <w:fldChar w:fldCharType="end"/>
      </w:r>
      <w:r w:rsidRPr="003D4E0C">
        <w:t>).</w:t>
      </w:r>
      <w:r w:rsidRPr="00AB563F">
        <w:t xml:space="preserve"> </w:t>
      </w:r>
      <w:r>
        <w:t>Długoterminowa tendencja wzrostu PKB jest zbliżona w obu scenariuszach. Największa dynamika wzrostu w obu scenariuszach obserwowana jest w początkowej części analizowanego okresu, z tendencją do spadku tempa wzrostu pod koniec. W okresie od 2020 do 203</w:t>
      </w:r>
      <w:r w:rsidR="00BE2ED8">
        <w:t>0 r.</w:t>
      </w:r>
      <w:r>
        <w:t xml:space="preserve"> średnioroczne tempo </w:t>
      </w:r>
      <w:r w:rsidRPr="00672D00">
        <w:t>wzrostu w</w:t>
      </w:r>
      <w:r>
        <w:t> </w:t>
      </w:r>
      <w:r w:rsidRPr="00672D00">
        <w:t xml:space="preserve">scenariuszu WAM </w:t>
      </w:r>
      <w:r>
        <w:t>sięgnie 3,6</w:t>
      </w:r>
      <w:r w:rsidRPr="00672D00">
        <w:t>%</w:t>
      </w:r>
      <w:r>
        <w:t>, natomiast w scenariuszu WEM 3,5%</w:t>
      </w:r>
      <w:r w:rsidRPr="00672D00">
        <w:t>. W kolej</w:t>
      </w:r>
      <w:r>
        <w:t xml:space="preserve">nych </w:t>
      </w:r>
      <w:r w:rsidRPr="00672D00">
        <w:t>dekad</w:t>
      </w:r>
      <w:r>
        <w:t>ach tempo zmian staje się coraz bardziej zbliżone pomiędzy scenariuszami</w:t>
      </w:r>
      <w:r w:rsidRPr="00672D00">
        <w:t>, od 2030 do 204</w:t>
      </w:r>
      <w:r w:rsidR="00BE2ED8">
        <w:t>0 r.</w:t>
      </w:r>
      <w:r w:rsidRPr="00672D00">
        <w:t xml:space="preserve">, </w:t>
      </w:r>
      <w:r>
        <w:t xml:space="preserve">średnioroczna dynamika wzrostu </w:t>
      </w:r>
      <w:r w:rsidRPr="00672D00">
        <w:t>będzie na poziomie 1,</w:t>
      </w:r>
      <w:r>
        <w:t>6</w:t>
      </w:r>
      <w:r w:rsidRPr="00672D00">
        <w:t>% rocznie</w:t>
      </w:r>
      <w:r>
        <w:t xml:space="preserve"> dla scenariusza WAM. Natomiast dla scenariusza WEM wartość ta jest niższa o ok. 0,05 p.p</w:t>
      </w:r>
      <w:r w:rsidRPr="00672D00">
        <w:t xml:space="preserve">. </w:t>
      </w:r>
    </w:p>
    <w:p w14:paraId="60724DF5" w14:textId="3B2C7D43" w:rsidR="00C43957" w:rsidRPr="00DB5D53" w:rsidRDefault="00C43957" w:rsidP="00C43957">
      <w:r w:rsidRPr="0049589C">
        <w:t>Różnic</w:t>
      </w:r>
      <w:r>
        <w:t xml:space="preserve">e w poziomach </w:t>
      </w:r>
      <w:r w:rsidRPr="0049589C">
        <w:t>PKB pomiędzy scenariuszami WEM i WAM zaprezentowan</w:t>
      </w:r>
      <w:r>
        <w:t>e</w:t>
      </w:r>
      <w:r w:rsidRPr="0049589C">
        <w:t xml:space="preserve"> w tabeli poniżej (</w:t>
      </w:r>
      <w:r w:rsidR="0096670E">
        <w:fldChar w:fldCharType="begin"/>
      </w:r>
      <w:r w:rsidR="0096670E">
        <w:instrText xml:space="preserve"> REF _Ref195777915 \h </w:instrText>
      </w:r>
      <w:r w:rsidR="0096670E">
        <w:fldChar w:fldCharType="separate"/>
      </w:r>
      <w:r w:rsidR="00F27D6F">
        <w:t xml:space="preserve">Tabela </w:t>
      </w:r>
      <w:r w:rsidR="00F27D6F">
        <w:rPr>
          <w:noProof/>
        </w:rPr>
        <w:t>6</w:t>
      </w:r>
      <w:r w:rsidR="00F27D6F">
        <w:t>.</w:t>
      </w:r>
      <w:r w:rsidR="00F27D6F">
        <w:rPr>
          <w:noProof/>
        </w:rPr>
        <w:t>6</w:t>
      </w:r>
      <w:r w:rsidR="0096670E">
        <w:fldChar w:fldCharType="end"/>
      </w:r>
      <w:r w:rsidRPr="0049589C">
        <w:t>)</w:t>
      </w:r>
      <w:r>
        <w:t xml:space="preserve">, wynoszące maksymalnie 1,4% są </w:t>
      </w:r>
      <w:r w:rsidRPr="0049589C">
        <w:t>efektem korzyści wynikających z szybszego postępu w zakresie poprawy efektywności energetycznej i wdrażania technologii niskoemisyjnych w scenariuszu WAM. Te</w:t>
      </w:r>
      <w:r>
        <w:t> </w:t>
      </w:r>
      <w:r w:rsidRPr="0049589C">
        <w:t>czynniki mogą wpłynąć</w:t>
      </w:r>
      <w:r>
        <w:t xml:space="preserve"> na długoterminowy rozwój gospodarki, zmniejszając zużycie paliw i</w:t>
      </w:r>
      <w:r w:rsidR="00B6518A">
        <w:t> </w:t>
      </w:r>
      <w:r>
        <w:t>energii na jednostkę produkcji oraz generując dodatkowe korzyści ekonomiczne. Symulacje wskazują, że korzyści te przewyższają koszty dodatkowych nakładów inwestycyjnych w scenariuszu WAM.</w:t>
      </w:r>
    </w:p>
    <w:p w14:paraId="05C156E7" w14:textId="1D1159A2" w:rsidR="0067036C" w:rsidRDefault="005C4144" w:rsidP="0067036C">
      <w:pPr>
        <w:pStyle w:val="Legenda"/>
        <w:keepNext/>
      </w:pPr>
      <w:bookmarkStart w:id="664" w:name="_Ref195777915"/>
      <w:bookmarkStart w:id="665" w:name="_Toc202967021"/>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6</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6</w:t>
      </w:r>
      <w:r w:rsidR="00653D9A">
        <w:rPr>
          <w:noProof/>
        </w:rPr>
        <w:fldChar w:fldCharType="end"/>
      </w:r>
      <w:bookmarkEnd w:id="660"/>
      <w:bookmarkEnd w:id="661"/>
      <w:bookmarkEnd w:id="662"/>
      <w:bookmarkEnd w:id="663"/>
      <w:bookmarkEnd w:id="664"/>
      <w:r>
        <w:t xml:space="preserve">. </w:t>
      </w:r>
      <w:r w:rsidR="0067036C">
        <w:t>Zmian</w:t>
      </w:r>
      <w:r w:rsidR="0096670E">
        <w:t>y</w:t>
      </w:r>
      <w:r w:rsidR="0067036C">
        <w:t xml:space="preserve"> PKB w scenariuszu WEM i WAM [mld EUR’202</w:t>
      </w:r>
      <w:r w:rsidR="005A1399">
        <w:t>4</w:t>
      </w:r>
      <w:r w:rsidR="0067036C">
        <w:t>]</w:t>
      </w:r>
      <w:bookmarkEnd w:id="665"/>
    </w:p>
    <w:tbl>
      <w:tblPr>
        <w:tblStyle w:val="KPEiK"/>
        <w:tblW w:w="4987" w:type="pct"/>
        <w:tblLook w:val="04A0" w:firstRow="1" w:lastRow="0" w:firstColumn="1" w:lastColumn="0" w:noHBand="0" w:noVBand="1"/>
      </w:tblPr>
      <w:tblGrid>
        <w:gridCol w:w="2173"/>
        <w:gridCol w:w="1373"/>
        <w:gridCol w:w="1373"/>
        <w:gridCol w:w="1373"/>
        <w:gridCol w:w="1373"/>
        <w:gridCol w:w="1373"/>
      </w:tblGrid>
      <w:tr w:rsidR="0067036C" w14:paraId="0F6D9D81" w14:textId="77777777" w:rsidTr="0067036C">
        <w:trPr>
          <w:cnfStyle w:val="100000000000" w:firstRow="1" w:lastRow="0" w:firstColumn="0" w:lastColumn="0" w:oddVBand="0" w:evenVBand="0" w:oddHBand="0" w:evenHBand="0" w:firstRowFirstColumn="0" w:firstRowLastColumn="0" w:lastRowFirstColumn="0" w:lastRowLastColumn="0"/>
          <w:trHeight w:val="218"/>
          <w:tblHeader/>
        </w:trPr>
        <w:tc>
          <w:tcPr>
            <w:tcW w:w="2173" w:type="dxa"/>
          </w:tcPr>
          <w:p w14:paraId="652F7E02" w14:textId="77777777" w:rsidR="0067036C" w:rsidRDefault="0067036C" w:rsidP="00DF6CBC">
            <w:pPr>
              <w:pStyle w:val="Tabele"/>
            </w:pPr>
            <w:r>
              <w:t xml:space="preserve">Scenariusz </w:t>
            </w:r>
          </w:p>
        </w:tc>
        <w:tc>
          <w:tcPr>
            <w:tcW w:w="1373" w:type="dxa"/>
          </w:tcPr>
          <w:p w14:paraId="6A02055D" w14:textId="77777777" w:rsidR="0067036C" w:rsidRDefault="0067036C" w:rsidP="00DF6CBC">
            <w:pPr>
              <w:pStyle w:val="Tabele"/>
              <w:jc w:val="center"/>
            </w:pPr>
            <w:r>
              <w:t>2020</w:t>
            </w:r>
          </w:p>
        </w:tc>
        <w:tc>
          <w:tcPr>
            <w:tcW w:w="1373" w:type="dxa"/>
          </w:tcPr>
          <w:p w14:paraId="6A94BD8A" w14:textId="77777777" w:rsidR="0067036C" w:rsidRDefault="0067036C" w:rsidP="00DF6CBC">
            <w:pPr>
              <w:pStyle w:val="Tabele"/>
              <w:jc w:val="center"/>
            </w:pPr>
            <w:r>
              <w:t>2025</w:t>
            </w:r>
          </w:p>
        </w:tc>
        <w:tc>
          <w:tcPr>
            <w:tcW w:w="1373" w:type="dxa"/>
          </w:tcPr>
          <w:p w14:paraId="67384187" w14:textId="77777777" w:rsidR="0067036C" w:rsidRDefault="0067036C" w:rsidP="00DF6CBC">
            <w:pPr>
              <w:pStyle w:val="Tabele"/>
              <w:jc w:val="center"/>
            </w:pPr>
            <w:r>
              <w:t>2030</w:t>
            </w:r>
          </w:p>
        </w:tc>
        <w:tc>
          <w:tcPr>
            <w:tcW w:w="1373" w:type="dxa"/>
          </w:tcPr>
          <w:p w14:paraId="7436D58C" w14:textId="77777777" w:rsidR="0067036C" w:rsidRDefault="0067036C" w:rsidP="00DF6CBC">
            <w:pPr>
              <w:pStyle w:val="Tabele"/>
              <w:jc w:val="center"/>
            </w:pPr>
            <w:r>
              <w:t>2035</w:t>
            </w:r>
          </w:p>
        </w:tc>
        <w:tc>
          <w:tcPr>
            <w:tcW w:w="1373" w:type="dxa"/>
          </w:tcPr>
          <w:p w14:paraId="76AB3F36" w14:textId="77777777" w:rsidR="0067036C" w:rsidRDefault="0067036C" w:rsidP="00DF6CBC">
            <w:pPr>
              <w:pStyle w:val="Tabele"/>
              <w:jc w:val="center"/>
            </w:pPr>
            <w:r>
              <w:t>2040</w:t>
            </w:r>
          </w:p>
        </w:tc>
      </w:tr>
      <w:tr w:rsidR="005A1399" w14:paraId="0E765412" w14:textId="77777777">
        <w:trPr>
          <w:trHeight w:val="218"/>
        </w:trPr>
        <w:tc>
          <w:tcPr>
            <w:tcW w:w="2173" w:type="dxa"/>
          </w:tcPr>
          <w:p w14:paraId="7B400CFD" w14:textId="77777777" w:rsidR="005A1399" w:rsidRPr="0067036C" w:rsidRDefault="005A1399" w:rsidP="005A1399">
            <w:pPr>
              <w:pStyle w:val="Tabele"/>
              <w:rPr>
                <w:color w:val="auto"/>
              </w:rPr>
            </w:pPr>
            <w:r w:rsidRPr="0067036C">
              <w:rPr>
                <w:color w:val="auto"/>
              </w:rPr>
              <w:t>WEM</w:t>
            </w:r>
          </w:p>
        </w:tc>
        <w:tc>
          <w:tcPr>
            <w:tcW w:w="1373" w:type="dxa"/>
          </w:tcPr>
          <w:p w14:paraId="633F4FC7" w14:textId="784E6587" w:rsidR="005A1399" w:rsidRPr="005A1399" w:rsidRDefault="005A1399" w:rsidP="005A1399">
            <w:pPr>
              <w:pStyle w:val="Tabele"/>
              <w:ind w:right="170"/>
              <w:jc w:val="right"/>
              <w:rPr>
                <w:color w:val="auto"/>
              </w:rPr>
            </w:pPr>
            <w:r w:rsidRPr="005A1399">
              <w:rPr>
                <w:color w:val="auto"/>
                <w:szCs w:val="16"/>
              </w:rPr>
              <w:t>633</w:t>
            </w:r>
          </w:p>
        </w:tc>
        <w:tc>
          <w:tcPr>
            <w:tcW w:w="1373" w:type="dxa"/>
          </w:tcPr>
          <w:p w14:paraId="0EE46787" w14:textId="128826FC" w:rsidR="005A1399" w:rsidRPr="005A1399" w:rsidRDefault="005A1399" w:rsidP="005A1399">
            <w:pPr>
              <w:pStyle w:val="Tabele"/>
              <w:ind w:right="170"/>
              <w:jc w:val="right"/>
              <w:rPr>
                <w:color w:val="auto"/>
              </w:rPr>
            </w:pPr>
            <w:r w:rsidRPr="005A1399">
              <w:rPr>
                <w:color w:val="auto"/>
                <w:szCs w:val="16"/>
              </w:rPr>
              <w:t>790</w:t>
            </w:r>
          </w:p>
        </w:tc>
        <w:tc>
          <w:tcPr>
            <w:tcW w:w="1373" w:type="dxa"/>
          </w:tcPr>
          <w:p w14:paraId="6B645E89" w14:textId="68F49B54" w:rsidR="005A1399" w:rsidRPr="005A1399" w:rsidRDefault="005A1399" w:rsidP="005A1399">
            <w:pPr>
              <w:pStyle w:val="Tabele"/>
              <w:ind w:right="170"/>
              <w:jc w:val="right"/>
              <w:rPr>
                <w:color w:val="auto"/>
              </w:rPr>
            </w:pPr>
            <w:r w:rsidRPr="005A1399">
              <w:rPr>
                <w:color w:val="auto"/>
                <w:szCs w:val="16"/>
              </w:rPr>
              <w:t>891</w:t>
            </w:r>
          </w:p>
        </w:tc>
        <w:tc>
          <w:tcPr>
            <w:tcW w:w="1373" w:type="dxa"/>
          </w:tcPr>
          <w:p w14:paraId="048BAC54" w14:textId="5E778C17" w:rsidR="005A1399" w:rsidRPr="005A1399" w:rsidRDefault="005A1399" w:rsidP="005A1399">
            <w:pPr>
              <w:pStyle w:val="Tabele"/>
              <w:ind w:right="170"/>
              <w:jc w:val="right"/>
              <w:rPr>
                <w:color w:val="auto"/>
              </w:rPr>
            </w:pPr>
            <w:r w:rsidRPr="005A1399">
              <w:rPr>
                <w:color w:val="auto"/>
                <w:szCs w:val="16"/>
              </w:rPr>
              <w:t>971</w:t>
            </w:r>
          </w:p>
        </w:tc>
        <w:tc>
          <w:tcPr>
            <w:tcW w:w="1373" w:type="dxa"/>
          </w:tcPr>
          <w:p w14:paraId="7D5EBE0C" w14:textId="3F5842A0" w:rsidR="005A1399" w:rsidRPr="005A1399" w:rsidRDefault="005A1399" w:rsidP="005A1399">
            <w:pPr>
              <w:pStyle w:val="Tabele"/>
              <w:ind w:right="170"/>
              <w:jc w:val="right"/>
              <w:rPr>
                <w:color w:val="auto"/>
              </w:rPr>
            </w:pPr>
            <w:r w:rsidRPr="005A1399">
              <w:rPr>
                <w:color w:val="auto"/>
                <w:szCs w:val="16"/>
              </w:rPr>
              <w:t>1040</w:t>
            </w:r>
          </w:p>
        </w:tc>
      </w:tr>
      <w:tr w:rsidR="005A1399" w14:paraId="08A3978B" w14:textId="77777777">
        <w:trPr>
          <w:trHeight w:val="218"/>
        </w:trPr>
        <w:tc>
          <w:tcPr>
            <w:tcW w:w="2173" w:type="dxa"/>
          </w:tcPr>
          <w:p w14:paraId="6C83F7F3" w14:textId="77777777" w:rsidR="005A1399" w:rsidRPr="0067036C" w:rsidRDefault="005A1399" w:rsidP="005A1399">
            <w:pPr>
              <w:pStyle w:val="Tabele"/>
              <w:rPr>
                <w:color w:val="auto"/>
              </w:rPr>
            </w:pPr>
            <w:r w:rsidRPr="0067036C">
              <w:rPr>
                <w:color w:val="auto"/>
              </w:rPr>
              <w:t>WAM</w:t>
            </w:r>
          </w:p>
        </w:tc>
        <w:tc>
          <w:tcPr>
            <w:tcW w:w="1373" w:type="dxa"/>
          </w:tcPr>
          <w:p w14:paraId="1DCC1513" w14:textId="140C75D5" w:rsidR="005A1399" w:rsidRPr="005A1399" w:rsidRDefault="005A1399" w:rsidP="005A1399">
            <w:pPr>
              <w:pStyle w:val="Tabele"/>
              <w:ind w:right="170"/>
              <w:jc w:val="right"/>
              <w:rPr>
                <w:color w:val="auto"/>
              </w:rPr>
            </w:pPr>
            <w:r w:rsidRPr="005A1399">
              <w:rPr>
                <w:color w:val="auto"/>
                <w:szCs w:val="16"/>
              </w:rPr>
              <w:t>633</w:t>
            </w:r>
          </w:p>
        </w:tc>
        <w:tc>
          <w:tcPr>
            <w:tcW w:w="1373" w:type="dxa"/>
          </w:tcPr>
          <w:p w14:paraId="39512DAE" w14:textId="5852BFF3" w:rsidR="005A1399" w:rsidRPr="005A1399" w:rsidRDefault="005A1399" w:rsidP="005A1399">
            <w:pPr>
              <w:pStyle w:val="Tabele"/>
              <w:ind w:right="170"/>
              <w:jc w:val="right"/>
              <w:rPr>
                <w:color w:val="auto"/>
              </w:rPr>
            </w:pPr>
            <w:r w:rsidRPr="005A1399">
              <w:rPr>
                <w:color w:val="auto"/>
                <w:szCs w:val="16"/>
              </w:rPr>
              <w:t>795</w:t>
            </w:r>
          </w:p>
        </w:tc>
        <w:tc>
          <w:tcPr>
            <w:tcW w:w="1373" w:type="dxa"/>
          </w:tcPr>
          <w:p w14:paraId="7A523364" w14:textId="3E23AEE6" w:rsidR="005A1399" w:rsidRPr="005A1399" w:rsidRDefault="005A1399" w:rsidP="005A1399">
            <w:pPr>
              <w:pStyle w:val="Tabele"/>
              <w:ind w:right="170"/>
              <w:jc w:val="right"/>
              <w:rPr>
                <w:color w:val="auto"/>
              </w:rPr>
            </w:pPr>
            <w:r w:rsidRPr="005A1399">
              <w:rPr>
                <w:color w:val="auto"/>
                <w:szCs w:val="16"/>
              </w:rPr>
              <w:t>898</w:t>
            </w:r>
          </w:p>
        </w:tc>
        <w:tc>
          <w:tcPr>
            <w:tcW w:w="1373" w:type="dxa"/>
          </w:tcPr>
          <w:p w14:paraId="3E8A7299" w14:textId="71B2A30E" w:rsidR="005A1399" w:rsidRPr="005A1399" w:rsidRDefault="005A1399" w:rsidP="005A1399">
            <w:pPr>
              <w:pStyle w:val="Tabele"/>
              <w:ind w:right="170"/>
              <w:jc w:val="right"/>
              <w:rPr>
                <w:color w:val="auto"/>
              </w:rPr>
            </w:pPr>
            <w:r w:rsidRPr="005A1399">
              <w:rPr>
                <w:color w:val="auto"/>
                <w:szCs w:val="16"/>
              </w:rPr>
              <w:t>981</w:t>
            </w:r>
          </w:p>
        </w:tc>
        <w:tc>
          <w:tcPr>
            <w:tcW w:w="1373" w:type="dxa"/>
          </w:tcPr>
          <w:p w14:paraId="605B2761" w14:textId="6FD2106C" w:rsidR="005A1399" w:rsidRPr="005A1399" w:rsidRDefault="005A1399" w:rsidP="005A1399">
            <w:pPr>
              <w:pStyle w:val="Tabele"/>
              <w:ind w:right="170"/>
              <w:jc w:val="right"/>
              <w:rPr>
                <w:color w:val="auto"/>
              </w:rPr>
            </w:pPr>
            <w:r w:rsidRPr="005A1399">
              <w:rPr>
                <w:color w:val="auto"/>
                <w:szCs w:val="16"/>
              </w:rPr>
              <w:t>1054</w:t>
            </w:r>
          </w:p>
        </w:tc>
      </w:tr>
      <w:tr w:rsidR="00062569" w14:paraId="796D1869" w14:textId="77777777">
        <w:trPr>
          <w:trHeight w:val="218"/>
        </w:trPr>
        <w:tc>
          <w:tcPr>
            <w:tcW w:w="2173" w:type="dxa"/>
          </w:tcPr>
          <w:p w14:paraId="06F9606E" w14:textId="77777777" w:rsidR="00062569" w:rsidRPr="0067036C" w:rsidRDefault="00062569" w:rsidP="00062569">
            <w:pPr>
              <w:pStyle w:val="Tabele"/>
              <w:rPr>
                <w:color w:val="auto"/>
              </w:rPr>
            </w:pPr>
            <w:r w:rsidRPr="0067036C">
              <w:rPr>
                <w:color w:val="auto"/>
              </w:rPr>
              <w:t xml:space="preserve">Różnica [%] </w:t>
            </w:r>
          </w:p>
        </w:tc>
        <w:tc>
          <w:tcPr>
            <w:tcW w:w="1373" w:type="dxa"/>
          </w:tcPr>
          <w:p w14:paraId="27F50087" w14:textId="1622A1DD" w:rsidR="00062569" w:rsidRPr="00062569" w:rsidRDefault="00062569" w:rsidP="00062569">
            <w:pPr>
              <w:pStyle w:val="Tabele"/>
              <w:ind w:right="170"/>
              <w:jc w:val="right"/>
              <w:rPr>
                <w:color w:val="auto"/>
              </w:rPr>
            </w:pPr>
            <w:r w:rsidRPr="00062569">
              <w:rPr>
                <w:color w:val="auto"/>
                <w:szCs w:val="16"/>
              </w:rPr>
              <w:t>0,00%</w:t>
            </w:r>
          </w:p>
        </w:tc>
        <w:tc>
          <w:tcPr>
            <w:tcW w:w="1373" w:type="dxa"/>
          </w:tcPr>
          <w:p w14:paraId="7D220717" w14:textId="593B7C80" w:rsidR="00062569" w:rsidRPr="00062569" w:rsidRDefault="00062569" w:rsidP="00062569">
            <w:pPr>
              <w:pStyle w:val="Tabele"/>
              <w:ind w:right="170"/>
              <w:jc w:val="right"/>
              <w:rPr>
                <w:color w:val="auto"/>
              </w:rPr>
            </w:pPr>
            <w:r w:rsidRPr="00062569">
              <w:rPr>
                <w:color w:val="auto"/>
                <w:szCs w:val="16"/>
              </w:rPr>
              <w:t>0,61%</w:t>
            </w:r>
          </w:p>
        </w:tc>
        <w:tc>
          <w:tcPr>
            <w:tcW w:w="1373" w:type="dxa"/>
          </w:tcPr>
          <w:p w14:paraId="1D770B92" w14:textId="38F5D3B2" w:rsidR="00062569" w:rsidRPr="00062569" w:rsidRDefault="00062569" w:rsidP="00062569">
            <w:pPr>
              <w:pStyle w:val="Tabele"/>
              <w:ind w:right="170"/>
              <w:jc w:val="right"/>
              <w:rPr>
                <w:color w:val="auto"/>
              </w:rPr>
            </w:pPr>
            <w:r w:rsidRPr="00062569">
              <w:rPr>
                <w:color w:val="auto"/>
                <w:szCs w:val="16"/>
              </w:rPr>
              <w:t>0,81%</w:t>
            </w:r>
          </w:p>
        </w:tc>
        <w:tc>
          <w:tcPr>
            <w:tcW w:w="1373" w:type="dxa"/>
          </w:tcPr>
          <w:p w14:paraId="7B03B095" w14:textId="77F02DA1" w:rsidR="00062569" w:rsidRPr="00062569" w:rsidRDefault="00062569" w:rsidP="00062569">
            <w:pPr>
              <w:pStyle w:val="Tabele"/>
              <w:ind w:right="170"/>
              <w:jc w:val="right"/>
              <w:rPr>
                <w:color w:val="auto"/>
              </w:rPr>
            </w:pPr>
            <w:r w:rsidRPr="00062569">
              <w:rPr>
                <w:color w:val="auto"/>
                <w:szCs w:val="16"/>
              </w:rPr>
              <w:t>0,99%</w:t>
            </w:r>
          </w:p>
        </w:tc>
        <w:tc>
          <w:tcPr>
            <w:tcW w:w="1373" w:type="dxa"/>
          </w:tcPr>
          <w:p w14:paraId="579A4E72" w14:textId="0872C106" w:rsidR="00062569" w:rsidRPr="00062569" w:rsidRDefault="00062569" w:rsidP="00062569">
            <w:pPr>
              <w:pStyle w:val="Tabele"/>
              <w:ind w:right="170"/>
              <w:jc w:val="right"/>
              <w:rPr>
                <w:color w:val="auto"/>
              </w:rPr>
            </w:pPr>
            <w:r w:rsidRPr="00062569">
              <w:rPr>
                <w:color w:val="auto"/>
                <w:szCs w:val="16"/>
              </w:rPr>
              <w:t>1,39%</w:t>
            </w:r>
          </w:p>
        </w:tc>
      </w:tr>
    </w:tbl>
    <w:p w14:paraId="5A71A102" w14:textId="694E7E4F" w:rsidR="00887A03" w:rsidRDefault="005C4144" w:rsidP="0067036C">
      <w:pPr>
        <w:pStyle w:val="Legenda"/>
        <w:keepNext/>
        <w:spacing w:after="0"/>
      </w:pPr>
      <w:r w:rsidRPr="004B5CB4">
        <w:t>Źródło: opracowanie własne IOŚ-PIB</w:t>
      </w:r>
    </w:p>
    <w:p w14:paraId="1C128324" w14:textId="77777777" w:rsidR="007F4353" w:rsidRPr="003D4E0C" w:rsidRDefault="007F4353" w:rsidP="00CB2E15">
      <w:pPr>
        <w:pStyle w:val="Nagwek3"/>
      </w:pPr>
      <w:bookmarkStart w:id="666" w:name="_Toc202966919"/>
      <w:r w:rsidRPr="003D4E0C">
        <w:t>Inwestycje w gospodarce</w:t>
      </w:r>
      <w:bookmarkEnd w:id="666"/>
    </w:p>
    <w:p w14:paraId="0D3DB58D" w14:textId="60962F26" w:rsidR="007F4353" w:rsidRPr="00750162" w:rsidRDefault="007F4353" w:rsidP="007F4353">
      <w:r>
        <w:t xml:space="preserve">Motorem wzrostu inwestycji jest wzrost dochodu, choć tempo wzrostu </w:t>
      </w:r>
      <w:r w:rsidRPr="002209CB">
        <w:t xml:space="preserve">inwestycji </w:t>
      </w:r>
      <w:r>
        <w:t>w latach 2020-20</w:t>
      </w:r>
      <w:r w:rsidR="00866CA8">
        <w:t>4</w:t>
      </w:r>
      <w:r>
        <w:t>0 jest nieco niższe niż PKB. Analizując poszczególne okresy w scenariuszu WAM średnioroczna dynamika wzrost inwestycji jest najwyższa w latach 2020-2030 i wynosi 4,9</w:t>
      </w:r>
      <w:r w:rsidRPr="002209CB">
        <w:t>%</w:t>
      </w:r>
      <w:r>
        <w:t>, głownie w związku z odbiciem gospodarki po kryzysie w 2020 r. W kolejnym okresie 2030-2040 średnioroczna dynamika wzrost</w:t>
      </w:r>
      <w:r w:rsidR="008131B1">
        <w:t>u</w:t>
      </w:r>
      <w:r>
        <w:t xml:space="preserve"> wynosi 1,3%. </w:t>
      </w:r>
      <w:r w:rsidRPr="006E4C33">
        <w:t>Podobny trend obserwujemy w scenariuszu WEM, gdzie średnioroczna dynamika wzrostu inwestycji w latach 2020-2030 wynosi 4,7%. W kolejnej dekadzie średnioroczne tempo wzrostu spada do 0,8%.</w:t>
      </w:r>
    </w:p>
    <w:p w14:paraId="136AA1EA" w14:textId="6E10E8BE" w:rsidR="007F4353" w:rsidRPr="00750162" w:rsidRDefault="007F4353" w:rsidP="007F4353">
      <w:r w:rsidRPr="00015358">
        <w:t xml:space="preserve">Porównując dwa scenariusze analizy, można zauważyć, że w scenariuszu WAM potrzeby inwestycyjne są wyższe w porównaniu do scenariusza WEM. W 2030 inwestycje w scenariuszu WAM są większe o </w:t>
      </w:r>
      <w:r>
        <w:t>prawie 2%,</w:t>
      </w:r>
      <w:r w:rsidRPr="00015358">
        <w:t xml:space="preserve"> co odzwierciedla intensywne zapotrzebowanie na kapitał w gospodarce w stosunku do scenariusza WEM. </w:t>
      </w:r>
    </w:p>
    <w:p w14:paraId="7CD2509E" w14:textId="2AD7582F" w:rsidR="007F4353" w:rsidRPr="00750162" w:rsidRDefault="002B4D06" w:rsidP="007F4353">
      <w:r>
        <w:t>Tabela (</w:t>
      </w:r>
      <w:r w:rsidR="00E56A25">
        <w:fldChar w:fldCharType="begin"/>
      </w:r>
      <w:r w:rsidR="00E56A25">
        <w:instrText xml:space="preserve"> REF _Ref195872643 \h </w:instrText>
      </w:r>
      <w:r w:rsidR="00E56A25">
        <w:fldChar w:fldCharType="separate"/>
      </w:r>
      <w:r w:rsidR="00F27D6F">
        <w:t xml:space="preserve">Tabela </w:t>
      </w:r>
      <w:r w:rsidR="00F27D6F">
        <w:rPr>
          <w:noProof/>
        </w:rPr>
        <w:t>6</w:t>
      </w:r>
      <w:r w:rsidR="00F27D6F">
        <w:t>.</w:t>
      </w:r>
      <w:r w:rsidR="00F27D6F">
        <w:rPr>
          <w:noProof/>
        </w:rPr>
        <w:t>7</w:t>
      </w:r>
      <w:r w:rsidR="00E56A25">
        <w:fldChar w:fldCharType="end"/>
      </w:r>
      <w:r>
        <w:t>)</w:t>
      </w:r>
      <w:r w:rsidR="007F4353" w:rsidRPr="00750162">
        <w:t xml:space="preserve"> przedstawia szczegółowe zmiany inwestycji w obu scenariuszach, ilustrując wyraźne różnice w</w:t>
      </w:r>
      <w:r w:rsidR="007F4353">
        <w:t> </w:t>
      </w:r>
      <w:r w:rsidR="007F4353" w:rsidRPr="00750162">
        <w:t>dynamice wzrostu inwestycji w zależności od okresu analizy oraz specyficznych potrzeb gospodarczych i</w:t>
      </w:r>
      <w:r w:rsidR="007F4353">
        <w:t> </w:t>
      </w:r>
      <w:r w:rsidR="007F4353" w:rsidRPr="00750162">
        <w:t>energetycznych Polski.</w:t>
      </w:r>
    </w:p>
    <w:p w14:paraId="7B4F69F5" w14:textId="6F0B877C" w:rsidR="00186BD3" w:rsidRDefault="007F4353" w:rsidP="00186BD3">
      <w:pPr>
        <w:pStyle w:val="Legenda"/>
        <w:keepNext/>
      </w:pPr>
      <w:bookmarkStart w:id="667" w:name="_Ref195716135"/>
      <w:bookmarkStart w:id="668" w:name="_Ref195872643"/>
      <w:bookmarkStart w:id="669" w:name="_Toc202967022"/>
      <w:r>
        <w:t xml:space="preserve">Tabela </w:t>
      </w:r>
      <w:bookmarkEnd w:id="667"/>
      <w:r>
        <w:fldChar w:fldCharType="begin"/>
      </w:r>
      <w:r>
        <w:instrText xml:space="preserve"> STYLEREF 1 \s </w:instrText>
      </w:r>
      <w:r>
        <w:fldChar w:fldCharType="separate"/>
      </w:r>
      <w:r w:rsidR="00F27D6F">
        <w:rPr>
          <w:noProof/>
        </w:rPr>
        <w:t>6</w:t>
      </w:r>
      <w: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7</w:t>
      </w:r>
      <w:r w:rsidR="00653D9A">
        <w:rPr>
          <w:noProof/>
        </w:rPr>
        <w:fldChar w:fldCharType="end"/>
      </w:r>
      <w:bookmarkEnd w:id="668"/>
      <w:r>
        <w:t>.</w:t>
      </w:r>
      <w:r w:rsidR="002A532C">
        <w:t xml:space="preserve"> </w:t>
      </w:r>
      <w:r>
        <w:t>Zmiany całkowitych inwestycji w gospodarce w scenariuszu WEM i WAM [mld EUR’202</w:t>
      </w:r>
      <w:r w:rsidR="0042090A">
        <w:t>4</w:t>
      </w:r>
      <w:r>
        <w:t>]</w:t>
      </w:r>
      <w:bookmarkEnd w:id="669"/>
    </w:p>
    <w:tbl>
      <w:tblPr>
        <w:tblStyle w:val="KPEiK"/>
        <w:tblW w:w="4983" w:type="pct"/>
        <w:tblLook w:val="04A0" w:firstRow="1" w:lastRow="0" w:firstColumn="1" w:lastColumn="0" w:noHBand="0" w:noVBand="1"/>
      </w:tblPr>
      <w:tblGrid>
        <w:gridCol w:w="2171"/>
        <w:gridCol w:w="1372"/>
        <w:gridCol w:w="1372"/>
        <w:gridCol w:w="1372"/>
        <w:gridCol w:w="1372"/>
        <w:gridCol w:w="1372"/>
      </w:tblGrid>
      <w:tr w:rsidR="00186BD3" w14:paraId="649852A1" w14:textId="77777777" w:rsidTr="00186BD3">
        <w:trPr>
          <w:cnfStyle w:val="100000000000" w:firstRow="1" w:lastRow="0" w:firstColumn="0" w:lastColumn="0" w:oddVBand="0" w:evenVBand="0" w:oddHBand="0" w:evenHBand="0" w:firstRowFirstColumn="0" w:firstRowLastColumn="0" w:lastRowFirstColumn="0" w:lastRowLastColumn="0"/>
          <w:trHeight w:val="216"/>
          <w:tblHeader/>
        </w:trPr>
        <w:tc>
          <w:tcPr>
            <w:tcW w:w="2171" w:type="dxa"/>
          </w:tcPr>
          <w:p w14:paraId="30A0D3E4" w14:textId="77777777" w:rsidR="00186BD3" w:rsidRDefault="00186BD3" w:rsidP="00DF6CBC">
            <w:pPr>
              <w:pStyle w:val="Tabele"/>
            </w:pPr>
            <w:r>
              <w:t xml:space="preserve">Scenariusz </w:t>
            </w:r>
          </w:p>
        </w:tc>
        <w:tc>
          <w:tcPr>
            <w:tcW w:w="1372" w:type="dxa"/>
          </w:tcPr>
          <w:p w14:paraId="24ED9D48" w14:textId="77777777" w:rsidR="00186BD3" w:rsidRDefault="00186BD3" w:rsidP="00DF6CBC">
            <w:pPr>
              <w:pStyle w:val="Tabele"/>
              <w:jc w:val="center"/>
            </w:pPr>
            <w:r>
              <w:t>2020</w:t>
            </w:r>
          </w:p>
        </w:tc>
        <w:tc>
          <w:tcPr>
            <w:tcW w:w="1372" w:type="dxa"/>
          </w:tcPr>
          <w:p w14:paraId="4AB7A9A0" w14:textId="77777777" w:rsidR="00186BD3" w:rsidRDefault="00186BD3" w:rsidP="00DF6CBC">
            <w:pPr>
              <w:pStyle w:val="Tabele"/>
              <w:jc w:val="center"/>
            </w:pPr>
            <w:r>
              <w:t>2025</w:t>
            </w:r>
          </w:p>
        </w:tc>
        <w:tc>
          <w:tcPr>
            <w:tcW w:w="1372" w:type="dxa"/>
          </w:tcPr>
          <w:p w14:paraId="02F32A22" w14:textId="77777777" w:rsidR="00186BD3" w:rsidRDefault="00186BD3" w:rsidP="00DF6CBC">
            <w:pPr>
              <w:pStyle w:val="Tabele"/>
              <w:jc w:val="center"/>
            </w:pPr>
            <w:r>
              <w:t>2030</w:t>
            </w:r>
          </w:p>
        </w:tc>
        <w:tc>
          <w:tcPr>
            <w:tcW w:w="1372" w:type="dxa"/>
          </w:tcPr>
          <w:p w14:paraId="45A40702" w14:textId="77777777" w:rsidR="00186BD3" w:rsidRDefault="00186BD3" w:rsidP="00DF6CBC">
            <w:pPr>
              <w:pStyle w:val="Tabele"/>
              <w:jc w:val="center"/>
            </w:pPr>
            <w:r>
              <w:t>2035</w:t>
            </w:r>
          </w:p>
        </w:tc>
        <w:tc>
          <w:tcPr>
            <w:tcW w:w="1372" w:type="dxa"/>
          </w:tcPr>
          <w:p w14:paraId="40ADBB75" w14:textId="77777777" w:rsidR="00186BD3" w:rsidRDefault="00186BD3" w:rsidP="00DF6CBC">
            <w:pPr>
              <w:pStyle w:val="Tabele"/>
              <w:jc w:val="center"/>
            </w:pPr>
            <w:r>
              <w:t>2040</w:t>
            </w:r>
          </w:p>
        </w:tc>
      </w:tr>
      <w:tr w:rsidR="00060D50" w14:paraId="03373216" w14:textId="77777777">
        <w:trPr>
          <w:trHeight w:val="216"/>
        </w:trPr>
        <w:tc>
          <w:tcPr>
            <w:tcW w:w="2171" w:type="dxa"/>
          </w:tcPr>
          <w:p w14:paraId="42A6D809" w14:textId="77777777" w:rsidR="00060D50" w:rsidRPr="00186BD3" w:rsidRDefault="00060D50" w:rsidP="00060D50">
            <w:pPr>
              <w:pStyle w:val="Tabele"/>
              <w:rPr>
                <w:color w:val="auto"/>
              </w:rPr>
            </w:pPr>
            <w:r w:rsidRPr="00186BD3">
              <w:rPr>
                <w:color w:val="auto"/>
              </w:rPr>
              <w:t>WEM</w:t>
            </w:r>
          </w:p>
        </w:tc>
        <w:tc>
          <w:tcPr>
            <w:tcW w:w="1372" w:type="dxa"/>
          </w:tcPr>
          <w:p w14:paraId="15BA9A2D" w14:textId="05A69034" w:rsidR="00060D50" w:rsidRPr="00060D50" w:rsidRDefault="00060D50" w:rsidP="00060D50">
            <w:pPr>
              <w:pStyle w:val="Tabele"/>
              <w:jc w:val="right"/>
              <w:rPr>
                <w:color w:val="auto"/>
              </w:rPr>
            </w:pPr>
            <w:r w:rsidRPr="00060D50">
              <w:rPr>
                <w:color w:val="auto"/>
                <w:szCs w:val="16"/>
              </w:rPr>
              <w:t>119</w:t>
            </w:r>
          </w:p>
        </w:tc>
        <w:tc>
          <w:tcPr>
            <w:tcW w:w="1372" w:type="dxa"/>
          </w:tcPr>
          <w:p w14:paraId="32B98013" w14:textId="51AE7C78" w:rsidR="00060D50" w:rsidRPr="00060D50" w:rsidRDefault="00060D50" w:rsidP="00060D50">
            <w:pPr>
              <w:pStyle w:val="Tabele"/>
              <w:jc w:val="right"/>
              <w:rPr>
                <w:color w:val="auto"/>
              </w:rPr>
            </w:pPr>
            <w:r w:rsidRPr="00060D50">
              <w:rPr>
                <w:color w:val="auto"/>
                <w:szCs w:val="16"/>
              </w:rPr>
              <w:t>178</w:t>
            </w:r>
          </w:p>
        </w:tc>
        <w:tc>
          <w:tcPr>
            <w:tcW w:w="1372" w:type="dxa"/>
          </w:tcPr>
          <w:p w14:paraId="11731692" w14:textId="030C7362" w:rsidR="00060D50" w:rsidRPr="00060D50" w:rsidRDefault="00060D50" w:rsidP="00060D50">
            <w:pPr>
              <w:pStyle w:val="Tabele"/>
              <w:jc w:val="right"/>
              <w:rPr>
                <w:color w:val="auto"/>
              </w:rPr>
            </w:pPr>
            <w:r w:rsidRPr="00060D50">
              <w:rPr>
                <w:color w:val="auto"/>
                <w:szCs w:val="16"/>
              </w:rPr>
              <w:t>188</w:t>
            </w:r>
          </w:p>
        </w:tc>
        <w:tc>
          <w:tcPr>
            <w:tcW w:w="1372" w:type="dxa"/>
          </w:tcPr>
          <w:p w14:paraId="0735A553" w14:textId="699E1934" w:rsidR="00060D50" w:rsidRPr="00060D50" w:rsidRDefault="00060D50" w:rsidP="00060D50">
            <w:pPr>
              <w:pStyle w:val="Tabele"/>
              <w:jc w:val="right"/>
              <w:rPr>
                <w:color w:val="auto"/>
              </w:rPr>
            </w:pPr>
            <w:r w:rsidRPr="00060D50">
              <w:rPr>
                <w:color w:val="auto"/>
                <w:szCs w:val="16"/>
              </w:rPr>
              <w:t>194</w:t>
            </w:r>
          </w:p>
        </w:tc>
        <w:tc>
          <w:tcPr>
            <w:tcW w:w="1372" w:type="dxa"/>
          </w:tcPr>
          <w:p w14:paraId="3014232A" w14:textId="4FCD7EA3" w:rsidR="00060D50" w:rsidRPr="00060D50" w:rsidRDefault="00060D50" w:rsidP="00060D50">
            <w:pPr>
              <w:pStyle w:val="Tabele"/>
              <w:jc w:val="right"/>
              <w:rPr>
                <w:color w:val="auto"/>
              </w:rPr>
            </w:pPr>
            <w:r w:rsidRPr="00060D50">
              <w:rPr>
                <w:color w:val="auto"/>
                <w:szCs w:val="16"/>
              </w:rPr>
              <w:t>204</w:t>
            </w:r>
          </w:p>
        </w:tc>
      </w:tr>
      <w:tr w:rsidR="00060D50" w14:paraId="0376A6CE" w14:textId="77777777">
        <w:trPr>
          <w:trHeight w:val="216"/>
        </w:trPr>
        <w:tc>
          <w:tcPr>
            <w:tcW w:w="2171" w:type="dxa"/>
          </w:tcPr>
          <w:p w14:paraId="778922B9" w14:textId="77777777" w:rsidR="00060D50" w:rsidRPr="00186BD3" w:rsidRDefault="00060D50" w:rsidP="00060D50">
            <w:pPr>
              <w:pStyle w:val="Tabele"/>
              <w:rPr>
                <w:color w:val="auto"/>
              </w:rPr>
            </w:pPr>
            <w:r w:rsidRPr="00186BD3">
              <w:rPr>
                <w:color w:val="auto"/>
              </w:rPr>
              <w:t>WAM</w:t>
            </w:r>
          </w:p>
        </w:tc>
        <w:tc>
          <w:tcPr>
            <w:tcW w:w="1372" w:type="dxa"/>
          </w:tcPr>
          <w:p w14:paraId="630614E7" w14:textId="62C089E4" w:rsidR="00060D50" w:rsidRPr="00060D50" w:rsidRDefault="00060D50" w:rsidP="00060D50">
            <w:pPr>
              <w:pStyle w:val="Tabele"/>
              <w:jc w:val="right"/>
              <w:rPr>
                <w:color w:val="auto"/>
              </w:rPr>
            </w:pPr>
            <w:r w:rsidRPr="00060D50">
              <w:rPr>
                <w:color w:val="auto"/>
                <w:szCs w:val="16"/>
              </w:rPr>
              <w:t>119</w:t>
            </w:r>
          </w:p>
        </w:tc>
        <w:tc>
          <w:tcPr>
            <w:tcW w:w="1372" w:type="dxa"/>
          </w:tcPr>
          <w:p w14:paraId="7B5CC44C" w14:textId="5E09156D" w:rsidR="00060D50" w:rsidRPr="00060D50" w:rsidRDefault="00060D50" w:rsidP="00060D50">
            <w:pPr>
              <w:pStyle w:val="Tabele"/>
              <w:jc w:val="right"/>
              <w:rPr>
                <w:color w:val="auto"/>
              </w:rPr>
            </w:pPr>
            <w:r w:rsidRPr="00060D50">
              <w:rPr>
                <w:color w:val="auto"/>
                <w:szCs w:val="16"/>
              </w:rPr>
              <w:t>180</w:t>
            </w:r>
          </w:p>
        </w:tc>
        <w:tc>
          <w:tcPr>
            <w:tcW w:w="1372" w:type="dxa"/>
          </w:tcPr>
          <w:p w14:paraId="30E38468" w14:textId="7FE69840" w:rsidR="00060D50" w:rsidRPr="00060D50" w:rsidRDefault="00060D50" w:rsidP="00060D50">
            <w:pPr>
              <w:pStyle w:val="Tabele"/>
              <w:jc w:val="right"/>
              <w:rPr>
                <w:color w:val="auto"/>
              </w:rPr>
            </w:pPr>
            <w:r w:rsidRPr="00060D50">
              <w:rPr>
                <w:color w:val="auto"/>
                <w:szCs w:val="16"/>
              </w:rPr>
              <w:t>192</w:t>
            </w:r>
          </w:p>
        </w:tc>
        <w:tc>
          <w:tcPr>
            <w:tcW w:w="1372" w:type="dxa"/>
          </w:tcPr>
          <w:p w14:paraId="235B59BB" w14:textId="5EB7AA40" w:rsidR="00060D50" w:rsidRPr="00060D50" w:rsidRDefault="00060D50" w:rsidP="00060D50">
            <w:pPr>
              <w:pStyle w:val="Tabele"/>
              <w:jc w:val="right"/>
              <w:rPr>
                <w:color w:val="auto"/>
              </w:rPr>
            </w:pPr>
            <w:r w:rsidRPr="00060D50">
              <w:rPr>
                <w:color w:val="auto"/>
                <w:szCs w:val="16"/>
              </w:rPr>
              <w:t>211</w:t>
            </w:r>
          </w:p>
        </w:tc>
        <w:tc>
          <w:tcPr>
            <w:tcW w:w="1372" w:type="dxa"/>
          </w:tcPr>
          <w:p w14:paraId="028E2D82" w14:textId="137D2D7D" w:rsidR="00060D50" w:rsidRPr="00060D50" w:rsidRDefault="00060D50" w:rsidP="00060D50">
            <w:pPr>
              <w:pStyle w:val="Tabele"/>
              <w:jc w:val="right"/>
              <w:rPr>
                <w:color w:val="auto"/>
              </w:rPr>
            </w:pPr>
            <w:r w:rsidRPr="00060D50">
              <w:rPr>
                <w:color w:val="auto"/>
                <w:szCs w:val="16"/>
              </w:rPr>
              <w:t>219</w:t>
            </w:r>
          </w:p>
        </w:tc>
      </w:tr>
      <w:tr w:rsidR="00060D50" w14:paraId="2CE51620" w14:textId="77777777">
        <w:trPr>
          <w:trHeight w:val="216"/>
        </w:trPr>
        <w:tc>
          <w:tcPr>
            <w:tcW w:w="2171" w:type="dxa"/>
          </w:tcPr>
          <w:p w14:paraId="79E9EBD9" w14:textId="77777777" w:rsidR="00060D50" w:rsidRPr="00186BD3" w:rsidRDefault="00060D50" w:rsidP="00060D50">
            <w:pPr>
              <w:pStyle w:val="Tabele"/>
              <w:rPr>
                <w:color w:val="auto"/>
              </w:rPr>
            </w:pPr>
            <w:r w:rsidRPr="00186BD3">
              <w:rPr>
                <w:color w:val="auto"/>
              </w:rPr>
              <w:t>Różnica</w:t>
            </w:r>
          </w:p>
        </w:tc>
        <w:tc>
          <w:tcPr>
            <w:tcW w:w="1372" w:type="dxa"/>
          </w:tcPr>
          <w:p w14:paraId="1E09DAD2" w14:textId="6A9A3F32" w:rsidR="00060D50" w:rsidRPr="00060D50" w:rsidRDefault="00060D50" w:rsidP="00060D50">
            <w:pPr>
              <w:pStyle w:val="Tabele"/>
              <w:jc w:val="right"/>
              <w:rPr>
                <w:color w:val="auto"/>
              </w:rPr>
            </w:pPr>
            <w:r w:rsidRPr="00060D50">
              <w:rPr>
                <w:color w:val="auto"/>
                <w:szCs w:val="16"/>
              </w:rPr>
              <w:t>0,00%</w:t>
            </w:r>
          </w:p>
        </w:tc>
        <w:tc>
          <w:tcPr>
            <w:tcW w:w="1372" w:type="dxa"/>
          </w:tcPr>
          <w:p w14:paraId="7B1C6ED8" w14:textId="0D4A2E14" w:rsidR="00060D50" w:rsidRPr="00060D50" w:rsidRDefault="00060D50" w:rsidP="00060D50">
            <w:pPr>
              <w:pStyle w:val="Tabele"/>
              <w:jc w:val="right"/>
              <w:rPr>
                <w:color w:val="auto"/>
              </w:rPr>
            </w:pPr>
            <w:r w:rsidRPr="00060D50">
              <w:rPr>
                <w:color w:val="auto"/>
                <w:szCs w:val="16"/>
              </w:rPr>
              <w:t>1,35%</w:t>
            </w:r>
          </w:p>
        </w:tc>
        <w:tc>
          <w:tcPr>
            <w:tcW w:w="1372" w:type="dxa"/>
          </w:tcPr>
          <w:p w14:paraId="0CD55C64" w14:textId="4AF5A1C1" w:rsidR="00060D50" w:rsidRPr="00060D50" w:rsidRDefault="00060D50" w:rsidP="00060D50">
            <w:pPr>
              <w:pStyle w:val="Tabele"/>
              <w:jc w:val="right"/>
              <w:rPr>
                <w:color w:val="auto"/>
              </w:rPr>
            </w:pPr>
            <w:r w:rsidRPr="00060D50">
              <w:rPr>
                <w:color w:val="auto"/>
                <w:szCs w:val="16"/>
              </w:rPr>
              <w:t>1,91%</w:t>
            </w:r>
          </w:p>
        </w:tc>
        <w:tc>
          <w:tcPr>
            <w:tcW w:w="1372" w:type="dxa"/>
          </w:tcPr>
          <w:p w14:paraId="70462EFC" w14:textId="7DDBA1BE" w:rsidR="00060D50" w:rsidRPr="00060D50" w:rsidRDefault="00060D50" w:rsidP="00060D50">
            <w:pPr>
              <w:pStyle w:val="Tabele"/>
              <w:jc w:val="right"/>
              <w:rPr>
                <w:color w:val="auto"/>
              </w:rPr>
            </w:pPr>
            <w:r w:rsidRPr="00060D50">
              <w:rPr>
                <w:color w:val="auto"/>
                <w:szCs w:val="16"/>
              </w:rPr>
              <w:t>8,64%</w:t>
            </w:r>
          </w:p>
        </w:tc>
        <w:tc>
          <w:tcPr>
            <w:tcW w:w="1372" w:type="dxa"/>
          </w:tcPr>
          <w:p w14:paraId="4F855E66" w14:textId="348B01ED" w:rsidR="00060D50" w:rsidRPr="00060D50" w:rsidRDefault="00060D50" w:rsidP="00060D50">
            <w:pPr>
              <w:pStyle w:val="Tabele"/>
              <w:jc w:val="right"/>
              <w:rPr>
                <w:color w:val="auto"/>
              </w:rPr>
            </w:pPr>
            <w:r w:rsidRPr="00060D50">
              <w:rPr>
                <w:color w:val="auto"/>
                <w:szCs w:val="16"/>
              </w:rPr>
              <w:t>7,06%</w:t>
            </w:r>
          </w:p>
        </w:tc>
      </w:tr>
    </w:tbl>
    <w:p w14:paraId="1DD973C5" w14:textId="350892C7" w:rsidR="00186BD3" w:rsidRDefault="00186BD3" w:rsidP="00696068">
      <w:pPr>
        <w:pStyle w:val="Legenda"/>
        <w:spacing w:before="120"/>
      </w:pPr>
      <w:r w:rsidRPr="004B5CB4">
        <w:t>Źródło: opracowanie własne IOŚ-</w:t>
      </w:r>
      <w:r w:rsidR="00B97851">
        <w:t>PIB</w:t>
      </w:r>
    </w:p>
    <w:p w14:paraId="2691DF0E" w14:textId="05BDB912" w:rsidR="005C4144" w:rsidRPr="00A42942" w:rsidRDefault="005C4144" w:rsidP="00CB2E15">
      <w:pPr>
        <w:pStyle w:val="Nagwek3"/>
      </w:pPr>
      <w:bookmarkStart w:id="670" w:name="_Toc202966920"/>
      <w:r w:rsidRPr="00A42942">
        <w:t>Konsumpcja gospodarstw domowych</w:t>
      </w:r>
      <w:bookmarkEnd w:id="670"/>
      <w:r w:rsidRPr="00A42942">
        <w:t xml:space="preserve"> </w:t>
      </w:r>
    </w:p>
    <w:p w14:paraId="60B46158" w14:textId="56ABECBD" w:rsidR="00F93E67" w:rsidRDefault="00F93E67" w:rsidP="00F93E67">
      <w:bookmarkStart w:id="671" w:name="_Toc169565496"/>
      <w:bookmarkStart w:id="672" w:name="_Toc171587236"/>
      <w:bookmarkStart w:id="673" w:name="_Toc174711020"/>
      <w:r>
        <w:t>Wzrost konsumpcji w Polsce jest częściowo napędzany przez wzrost PKB, ale jego tempo jest wyższe w całym okresie prognozy 2020-20</w:t>
      </w:r>
      <w:r w:rsidR="00C45902">
        <w:t>4</w:t>
      </w:r>
      <w:r>
        <w:t xml:space="preserve">0. Przy czym średnioroczna dynamika wzrostu konsumpcji w latach 2020-2030 dla scenariusza </w:t>
      </w:r>
      <w:r w:rsidRPr="00015358">
        <w:t xml:space="preserve">WAM wynosi </w:t>
      </w:r>
      <w:r w:rsidR="0065131F">
        <w:t>5</w:t>
      </w:r>
      <w:r w:rsidRPr="00015358">
        <w:t>%.</w:t>
      </w:r>
      <w:r>
        <w:t xml:space="preserve"> Natomiast dla scenariusza WEM średnioroczna dynamika wzrostu konsumpcji w tym samym okresie wynosi ok. 4</w:t>
      </w:r>
      <w:r w:rsidR="0065131F">
        <w:t>,8</w:t>
      </w:r>
      <w:r>
        <w:t>%.</w:t>
      </w:r>
      <w:r w:rsidR="002A532C">
        <w:t xml:space="preserve"> </w:t>
      </w:r>
      <w:r w:rsidRPr="00015358">
        <w:t>W późniejszych okresach konsumpcja rośnie już nieco wolniej, ze średnim rocznym wzrostem wynoszącym 1,</w:t>
      </w:r>
      <w:r w:rsidR="00FD651C">
        <w:t>5</w:t>
      </w:r>
      <w:r w:rsidRPr="00015358">
        <w:t>% w okresie 2030-2040 dla scenariusza WAM.</w:t>
      </w:r>
      <w:r>
        <w:t xml:space="preserve"> Należy zauważyć, że w</w:t>
      </w:r>
      <w:r w:rsidRPr="004F1A85">
        <w:t xml:space="preserve"> okresie 2030-2040 wzrost konsumpcji jest bardzo zbliżony między scenariuszami</w:t>
      </w:r>
      <w:r w:rsidR="002B4D06">
        <w:t>.</w:t>
      </w:r>
      <w:r w:rsidR="002A532C">
        <w:t xml:space="preserve"> </w:t>
      </w:r>
    </w:p>
    <w:p w14:paraId="03075187" w14:textId="34CE59FE" w:rsidR="00F93E67" w:rsidRPr="00BA3CEF" w:rsidRDefault="00F93E67" w:rsidP="00F93E67">
      <w:pPr>
        <w:pStyle w:val="Legenda"/>
        <w:rPr>
          <w:i w:val="0"/>
          <w:iCs w:val="0"/>
          <w:color w:val="auto"/>
          <w:sz w:val="20"/>
          <w:szCs w:val="20"/>
        </w:rPr>
      </w:pPr>
      <w:r w:rsidRPr="5442884F">
        <w:rPr>
          <w:i w:val="0"/>
          <w:iCs w:val="0"/>
          <w:color w:val="auto"/>
          <w:sz w:val="20"/>
          <w:szCs w:val="20"/>
        </w:rPr>
        <w:t>Konsumpcja jest często traktowana jako miara dobrobytu społeczeństwa, ponieważ wyższy poziom konsumpcji zazwyczaj oznacza większy dostęp do dóbr i usług. Porównując dwa scenariusze analizy - WAM i WEM, można zauważyć, że różnice w wartościach konsumpcji pomiędzy scenariuszami WAM i</w:t>
      </w:r>
      <w:r>
        <w:rPr>
          <w:i w:val="0"/>
          <w:iCs w:val="0"/>
          <w:color w:val="auto"/>
          <w:sz w:val="20"/>
          <w:szCs w:val="20"/>
        </w:rPr>
        <w:t> </w:t>
      </w:r>
      <w:r w:rsidRPr="5442884F">
        <w:rPr>
          <w:i w:val="0"/>
          <w:iCs w:val="0"/>
          <w:color w:val="auto"/>
          <w:sz w:val="20"/>
          <w:szCs w:val="20"/>
        </w:rPr>
        <w:t>WEM są stosunkowo niewielkie. Jedynym rokiem, w którym konsumpcja w scenariuszu WAM jest niższa niż w WEM jest 20</w:t>
      </w:r>
      <w:r w:rsidR="00B93788">
        <w:rPr>
          <w:i w:val="0"/>
          <w:iCs w:val="0"/>
          <w:color w:val="auto"/>
          <w:sz w:val="20"/>
          <w:szCs w:val="20"/>
        </w:rPr>
        <w:t>35</w:t>
      </w:r>
      <w:r w:rsidRPr="5442884F">
        <w:rPr>
          <w:i w:val="0"/>
          <w:iCs w:val="0"/>
          <w:color w:val="auto"/>
          <w:sz w:val="20"/>
          <w:szCs w:val="20"/>
        </w:rPr>
        <w:t>, powodem są relatywnie duże potrzeby inwestycyjne w stosunku do WEM. W</w:t>
      </w:r>
      <w:r w:rsidR="00B6518A">
        <w:rPr>
          <w:i w:val="0"/>
          <w:iCs w:val="0"/>
          <w:color w:val="auto"/>
          <w:sz w:val="20"/>
          <w:szCs w:val="20"/>
        </w:rPr>
        <w:t> </w:t>
      </w:r>
      <w:r w:rsidRPr="5442884F">
        <w:rPr>
          <w:i w:val="0"/>
          <w:iCs w:val="0"/>
          <w:color w:val="auto"/>
          <w:sz w:val="20"/>
          <w:szCs w:val="20"/>
        </w:rPr>
        <w:t>efekcie, w 20</w:t>
      </w:r>
      <w:r w:rsidR="00AF056F">
        <w:rPr>
          <w:i w:val="0"/>
          <w:iCs w:val="0"/>
          <w:color w:val="auto"/>
          <w:sz w:val="20"/>
          <w:szCs w:val="20"/>
        </w:rPr>
        <w:t>3</w:t>
      </w:r>
      <w:r w:rsidR="00BE2ED8">
        <w:rPr>
          <w:i w:val="0"/>
          <w:iCs w:val="0"/>
          <w:color w:val="auto"/>
          <w:sz w:val="20"/>
          <w:szCs w:val="20"/>
        </w:rPr>
        <w:t>5 r.</w:t>
      </w:r>
      <w:r w:rsidRPr="5442884F">
        <w:rPr>
          <w:i w:val="0"/>
          <w:iCs w:val="0"/>
          <w:color w:val="auto"/>
          <w:sz w:val="20"/>
          <w:szCs w:val="20"/>
        </w:rPr>
        <w:t xml:space="preserve"> konsumpcja musi zostać obniżona, aby umożliwić sfinansowanie dodatkowych inwestycji.</w:t>
      </w:r>
    </w:p>
    <w:p w14:paraId="05C91CB6" w14:textId="6B5F3944" w:rsidR="00F93E67" w:rsidRPr="00BA3CEF" w:rsidRDefault="00F93E67" w:rsidP="00F93E67">
      <w:pPr>
        <w:pStyle w:val="Legenda"/>
        <w:rPr>
          <w:i w:val="0"/>
          <w:iCs w:val="0"/>
          <w:color w:val="auto"/>
          <w:sz w:val="20"/>
          <w:szCs w:val="20"/>
        </w:rPr>
      </w:pPr>
      <w:r w:rsidRPr="5442884F">
        <w:rPr>
          <w:i w:val="0"/>
          <w:iCs w:val="0"/>
          <w:color w:val="auto"/>
          <w:sz w:val="20"/>
          <w:szCs w:val="20"/>
        </w:rPr>
        <w:t xml:space="preserve">Generalnie wyższy poziom konsumpcji w scenariuszu WAM wynika </w:t>
      </w:r>
      <w:r>
        <w:rPr>
          <w:i w:val="0"/>
          <w:iCs w:val="0"/>
          <w:color w:val="auto"/>
          <w:sz w:val="20"/>
          <w:szCs w:val="20"/>
        </w:rPr>
        <w:t xml:space="preserve">częściowo </w:t>
      </w:r>
      <w:r w:rsidRPr="5442884F">
        <w:rPr>
          <w:i w:val="0"/>
          <w:iCs w:val="0"/>
          <w:color w:val="auto"/>
          <w:sz w:val="20"/>
          <w:szCs w:val="20"/>
        </w:rPr>
        <w:t xml:space="preserve">ze zmniejszenia wydatków na paliwa i energię, </w:t>
      </w:r>
      <w:r>
        <w:rPr>
          <w:i w:val="0"/>
          <w:iCs w:val="0"/>
          <w:color w:val="auto"/>
          <w:sz w:val="20"/>
          <w:szCs w:val="20"/>
        </w:rPr>
        <w:t>w tym dzięki poprawie efektywności energetycznej oraz obniżce cen energii elektrycznej</w:t>
      </w:r>
      <w:r w:rsidRPr="5442884F">
        <w:rPr>
          <w:i w:val="0"/>
          <w:iCs w:val="0"/>
          <w:color w:val="auto"/>
          <w:sz w:val="20"/>
          <w:szCs w:val="20"/>
        </w:rPr>
        <w:t xml:space="preserve">. </w:t>
      </w:r>
      <w:r>
        <w:rPr>
          <w:i w:val="0"/>
          <w:iCs w:val="0"/>
          <w:color w:val="auto"/>
          <w:sz w:val="20"/>
          <w:szCs w:val="20"/>
        </w:rPr>
        <w:t>Ponadto, wzrost konsumpcji wynika ze wzrostu dochodów spowodowanego pośrednio przez ograniczenie deficytu uprawnień do emisji. Efekty te przeważają nad dodatkowymi kosztami inwestycyjnymi ponoszonymi w scenariuszu WAM.</w:t>
      </w:r>
      <w:r w:rsidRPr="5442884F">
        <w:rPr>
          <w:i w:val="0"/>
          <w:iCs w:val="0"/>
          <w:color w:val="auto"/>
          <w:sz w:val="20"/>
          <w:szCs w:val="20"/>
        </w:rPr>
        <w:t xml:space="preserve"> Dzięki </w:t>
      </w:r>
      <w:r>
        <w:rPr>
          <w:i w:val="0"/>
          <w:iCs w:val="0"/>
          <w:color w:val="auto"/>
          <w:sz w:val="20"/>
          <w:szCs w:val="20"/>
        </w:rPr>
        <w:t>niższym</w:t>
      </w:r>
      <w:r w:rsidRPr="5442884F">
        <w:rPr>
          <w:i w:val="0"/>
          <w:iCs w:val="0"/>
          <w:color w:val="auto"/>
          <w:sz w:val="20"/>
          <w:szCs w:val="20"/>
        </w:rPr>
        <w:t xml:space="preserve"> kosztom związanym z energią i</w:t>
      </w:r>
      <w:r w:rsidR="00B6518A">
        <w:rPr>
          <w:i w:val="0"/>
          <w:iCs w:val="0"/>
          <w:color w:val="auto"/>
          <w:sz w:val="20"/>
          <w:szCs w:val="20"/>
        </w:rPr>
        <w:t> </w:t>
      </w:r>
      <w:r w:rsidRPr="5442884F">
        <w:rPr>
          <w:i w:val="0"/>
          <w:iCs w:val="0"/>
          <w:color w:val="auto"/>
          <w:sz w:val="20"/>
          <w:szCs w:val="20"/>
        </w:rPr>
        <w:t>emisjami, więcej środków może być przeznaczonych przez gospodarstwa domowe na konsumpcję dóbr i usług.</w:t>
      </w:r>
    </w:p>
    <w:p w14:paraId="40DE5FA2" w14:textId="194BDA89" w:rsidR="000B1F61" w:rsidRDefault="005C4144" w:rsidP="000B1F61">
      <w:pPr>
        <w:pStyle w:val="Legenda"/>
        <w:keepNext/>
      </w:pPr>
      <w:bookmarkStart w:id="674" w:name="_Toc202967023"/>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6</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8</w:t>
      </w:r>
      <w:r w:rsidR="00653D9A">
        <w:rPr>
          <w:noProof/>
        </w:rPr>
        <w:fldChar w:fldCharType="end"/>
      </w:r>
      <w:bookmarkEnd w:id="671"/>
      <w:bookmarkEnd w:id="672"/>
      <w:bookmarkEnd w:id="673"/>
      <w:r w:rsidR="000B1F61">
        <w:t>. Zmiany konsumpcji gospodarstw domowych w scenariuszu WEM i WAM [mln EUR’202</w:t>
      </w:r>
      <w:r w:rsidR="008A6024">
        <w:t>4</w:t>
      </w:r>
      <w:r w:rsidR="000B1F61">
        <w:t>]</w:t>
      </w:r>
      <w:bookmarkEnd w:id="674"/>
    </w:p>
    <w:tbl>
      <w:tblPr>
        <w:tblStyle w:val="KPEiK"/>
        <w:tblW w:w="5000" w:type="pct"/>
        <w:tblLook w:val="04A0" w:firstRow="1" w:lastRow="0" w:firstColumn="1" w:lastColumn="0" w:noHBand="0" w:noVBand="1"/>
      </w:tblPr>
      <w:tblGrid>
        <w:gridCol w:w="2172"/>
        <w:gridCol w:w="1378"/>
        <w:gridCol w:w="1378"/>
        <w:gridCol w:w="1378"/>
        <w:gridCol w:w="1378"/>
        <w:gridCol w:w="1378"/>
      </w:tblGrid>
      <w:tr w:rsidR="000B1F61" w14:paraId="535A1188" w14:textId="77777777" w:rsidTr="008A6024">
        <w:trPr>
          <w:cnfStyle w:val="100000000000" w:firstRow="1" w:lastRow="0" w:firstColumn="0" w:lastColumn="0" w:oddVBand="0" w:evenVBand="0" w:oddHBand="0" w:evenHBand="0" w:firstRowFirstColumn="0" w:firstRowLastColumn="0" w:lastRowFirstColumn="0" w:lastRowLastColumn="0"/>
          <w:trHeight w:val="216"/>
        </w:trPr>
        <w:tc>
          <w:tcPr>
            <w:tcW w:w="2172" w:type="dxa"/>
          </w:tcPr>
          <w:p w14:paraId="2E07A75D" w14:textId="77777777" w:rsidR="000B1F61" w:rsidRDefault="000B1F61" w:rsidP="00DF6CBC">
            <w:pPr>
              <w:pStyle w:val="Tabele"/>
            </w:pPr>
            <w:r>
              <w:t xml:space="preserve">Scenariusz </w:t>
            </w:r>
          </w:p>
        </w:tc>
        <w:tc>
          <w:tcPr>
            <w:tcW w:w="1378" w:type="dxa"/>
          </w:tcPr>
          <w:p w14:paraId="76AC68A2" w14:textId="77777777" w:rsidR="000B1F61" w:rsidRDefault="000B1F61" w:rsidP="00DF6CBC">
            <w:pPr>
              <w:pStyle w:val="Tabele"/>
              <w:jc w:val="center"/>
            </w:pPr>
            <w:r>
              <w:t>2020</w:t>
            </w:r>
          </w:p>
        </w:tc>
        <w:tc>
          <w:tcPr>
            <w:tcW w:w="1378" w:type="dxa"/>
          </w:tcPr>
          <w:p w14:paraId="4F37047D" w14:textId="77777777" w:rsidR="000B1F61" w:rsidRDefault="000B1F61" w:rsidP="00DF6CBC">
            <w:pPr>
              <w:pStyle w:val="Tabele"/>
              <w:jc w:val="center"/>
            </w:pPr>
            <w:r>
              <w:t>2025</w:t>
            </w:r>
          </w:p>
        </w:tc>
        <w:tc>
          <w:tcPr>
            <w:tcW w:w="1378" w:type="dxa"/>
          </w:tcPr>
          <w:p w14:paraId="0CB41025" w14:textId="77777777" w:rsidR="000B1F61" w:rsidRDefault="000B1F61" w:rsidP="00DF6CBC">
            <w:pPr>
              <w:pStyle w:val="Tabele"/>
              <w:jc w:val="center"/>
            </w:pPr>
            <w:r>
              <w:t>2030</w:t>
            </w:r>
          </w:p>
        </w:tc>
        <w:tc>
          <w:tcPr>
            <w:tcW w:w="1378" w:type="dxa"/>
          </w:tcPr>
          <w:p w14:paraId="72DC2205" w14:textId="77777777" w:rsidR="000B1F61" w:rsidRDefault="000B1F61" w:rsidP="00DF6CBC">
            <w:pPr>
              <w:pStyle w:val="Tabele"/>
              <w:jc w:val="center"/>
            </w:pPr>
            <w:r>
              <w:t>2035</w:t>
            </w:r>
          </w:p>
        </w:tc>
        <w:tc>
          <w:tcPr>
            <w:tcW w:w="1378" w:type="dxa"/>
          </w:tcPr>
          <w:p w14:paraId="02121E12" w14:textId="77777777" w:rsidR="000B1F61" w:rsidRDefault="000B1F61" w:rsidP="00DF6CBC">
            <w:pPr>
              <w:pStyle w:val="Tabele"/>
              <w:jc w:val="center"/>
            </w:pPr>
            <w:r>
              <w:t>2040</w:t>
            </w:r>
          </w:p>
        </w:tc>
      </w:tr>
      <w:tr w:rsidR="008A6024" w14:paraId="09FD6F3B" w14:textId="77777777" w:rsidTr="008A6024">
        <w:trPr>
          <w:trHeight w:val="216"/>
        </w:trPr>
        <w:tc>
          <w:tcPr>
            <w:tcW w:w="2172" w:type="dxa"/>
          </w:tcPr>
          <w:p w14:paraId="415F6A3B" w14:textId="77777777" w:rsidR="008A6024" w:rsidRPr="000B1F61" w:rsidRDefault="008A6024" w:rsidP="008A6024">
            <w:pPr>
              <w:pStyle w:val="Tabele"/>
              <w:rPr>
                <w:color w:val="auto"/>
              </w:rPr>
            </w:pPr>
            <w:r w:rsidRPr="000B1F61">
              <w:rPr>
                <w:color w:val="auto"/>
              </w:rPr>
              <w:t>WEM</w:t>
            </w:r>
          </w:p>
        </w:tc>
        <w:tc>
          <w:tcPr>
            <w:tcW w:w="1378" w:type="dxa"/>
          </w:tcPr>
          <w:p w14:paraId="047B3719" w14:textId="157A4CC8" w:rsidR="008A6024" w:rsidRPr="008A6024" w:rsidRDefault="008A6024" w:rsidP="008A6024">
            <w:pPr>
              <w:pStyle w:val="Tabele"/>
              <w:ind w:right="170"/>
              <w:jc w:val="right"/>
              <w:rPr>
                <w:color w:val="auto"/>
              </w:rPr>
            </w:pPr>
            <w:r w:rsidRPr="008A6024">
              <w:rPr>
                <w:color w:val="auto"/>
                <w:szCs w:val="16"/>
              </w:rPr>
              <w:t>358</w:t>
            </w:r>
          </w:p>
        </w:tc>
        <w:tc>
          <w:tcPr>
            <w:tcW w:w="1378" w:type="dxa"/>
          </w:tcPr>
          <w:p w14:paraId="05FD6F83" w14:textId="2DAE8A52" w:rsidR="008A6024" w:rsidRPr="008A6024" w:rsidRDefault="008A6024" w:rsidP="008A6024">
            <w:pPr>
              <w:pStyle w:val="Tabele"/>
              <w:ind w:right="170"/>
              <w:jc w:val="right"/>
              <w:rPr>
                <w:color w:val="auto"/>
              </w:rPr>
            </w:pPr>
            <w:r w:rsidRPr="008A6024">
              <w:rPr>
                <w:color w:val="auto"/>
                <w:szCs w:val="16"/>
              </w:rPr>
              <w:t>450</w:t>
            </w:r>
          </w:p>
        </w:tc>
        <w:tc>
          <w:tcPr>
            <w:tcW w:w="1378" w:type="dxa"/>
          </w:tcPr>
          <w:p w14:paraId="66AB9542" w14:textId="5E736283" w:rsidR="008A6024" w:rsidRPr="008A6024" w:rsidRDefault="008A6024" w:rsidP="008A6024">
            <w:pPr>
              <w:pStyle w:val="Tabele"/>
              <w:ind w:right="170"/>
              <w:jc w:val="right"/>
              <w:rPr>
                <w:color w:val="auto"/>
              </w:rPr>
            </w:pPr>
            <w:r w:rsidRPr="008A6024">
              <w:rPr>
                <w:color w:val="auto"/>
                <w:szCs w:val="16"/>
              </w:rPr>
              <w:t>531</w:t>
            </w:r>
          </w:p>
        </w:tc>
        <w:tc>
          <w:tcPr>
            <w:tcW w:w="1378" w:type="dxa"/>
          </w:tcPr>
          <w:p w14:paraId="5F89E64F" w14:textId="40B5F0C2" w:rsidR="008A6024" w:rsidRPr="008A6024" w:rsidRDefault="008A6024" w:rsidP="008A6024">
            <w:pPr>
              <w:pStyle w:val="Tabele"/>
              <w:ind w:right="170"/>
              <w:jc w:val="right"/>
              <w:rPr>
                <w:color w:val="auto"/>
              </w:rPr>
            </w:pPr>
            <w:r w:rsidRPr="008A6024">
              <w:rPr>
                <w:color w:val="auto"/>
                <w:szCs w:val="16"/>
              </w:rPr>
              <w:t>583</w:t>
            </w:r>
          </w:p>
        </w:tc>
        <w:tc>
          <w:tcPr>
            <w:tcW w:w="1378" w:type="dxa"/>
          </w:tcPr>
          <w:p w14:paraId="48553CAA" w14:textId="6464F596" w:rsidR="008A6024" w:rsidRPr="008A6024" w:rsidRDefault="008A6024" w:rsidP="008A6024">
            <w:pPr>
              <w:pStyle w:val="Tabele"/>
              <w:ind w:right="170"/>
              <w:jc w:val="right"/>
              <w:rPr>
                <w:color w:val="auto"/>
              </w:rPr>
            </w:pPr>
            <w:r w:rsidRPr="008A6024">
              <w:rPr>
                <w:color w:val="auto"/>
                <w:szCs w:val="16"/>
              </w:rPr>
              <w:t>608</w:t>
            </w:r>
          </w:p>
        </w:tc>
      </w:tr>
      <w:tr w:rsidR="008A6024" w14:paraId="63374075" w14:textId="77777777" w:rsidTr="008A6024">
        <w:trPr>
          <w:trHeight w:val="216"/>
        </w:trPr>
        <w:tc>
          <w:tcPr>
            <w:tcW w:w="2172" w:type="dxa"/>
          </w:tcPr>
          <w:p w14:paraId="5AA0DB23" w14:textId="77777777" w:rsidR="008A6024" w:rsidRPr="000B1F61" w:rsidRDefault="008A6024" w:rsidP="008A6024">
            <w:pPr>
              <w:pStyle w:val="Tabele"/>
              <w:rPr>
                <w:color w:val="auto"/>
              </w:rPr>
            </w:pPr>
            <w:r w:rsidRPr="000B1F61">
              <w:rPr>
                <w:color w:val="auto"/>
              </w:rPr>
              <w:t>WAM</w:t>
            </w:r>
          </w:p>
        </w:tc>
        <w:tc>
          <w:tcPr>
            <w:tcW w:w="1378" w:type="dxa"/>
          </w:tcPr>
          <w:p w14:paraId="6803AA19" w14:textId="5F01F33A" w:rsidR="008A6024" w:rsidRPr="008A6024" w:rsidRDefault="008A6024" w:rsidP="008A6024">
            <w:pPr>
              <w:pStyle w:val="Tabele"/>
              <w:ind w:right="170"/>
              <w:jc w:val="right"/>
              <w:rPr>
                <w:color w:val="auto"/>
              </w:rPr>
            </w:pPr>
            <w:r w:rsidRPr="008A6024">
              <w:rPr>
                <w:color w:val="auto"/>
                <w:szCs w:val="16"/>
              </w:rPr>
              <w:t>358</w:t>
            </w:r>
          </w:p>
        </w:tc>
        <w:tc>
          <w:tcPr>
            <w:tcW w:w="1378" w:type="dxa"/>
          </w:tcPr>
          <w:p w14:paraId="6FA17FDC" w14:textId="7D16EAAA" w:rsidR="008A6024" w:rsidRPr="008A6024" w:rsidRDefault="008A6024" w:rsidP="008A6024">
            <w:pPr>
              <w:pStyle w:val="Tabele"/>
              <w:ind w:right="170"/>
              <w:jc w:val="right"/>
              <w:rPr>
                <w:color w:val="auto"/>
              </w:rPr>
            </w:pPr>
            <w:r w:rsidRPr="008A6024">
              <w:rPr>
                <w:color w:val="auto"/>
                <w:szCs w:val="16"/>
              </w:rPr>
              <w:t>451</w:t>
            </w:r>
          </w:p>
        </w:tc>
        <w:tc>
          <w:tcPr>
            <w:tcW w:w="1378" w:type="dxa"/>
          </w:tcPr>
          <w:p w14:paraId="21B301A7" w14:textId="632C9D5B" w:rsidR="008A6024" w:rsidRPr="008A6024" w:rsidRDefault="008A6024" w:rsidP="008A6024">
            <w:pPr>
              <w:pStyle w:val="Tabele"/>
              <w:ind w:right="170"/>
              <w:jc w:val="right"/>
              <w:rPr>
                <w:color w:val="auto"/>
              </w:rPr>
            </w:pPr>
            <w:r w:rsidRPr="008A6024">
              <w:rPr>
                <w:color w:val="auto"/>
                <w:szCs w:val="16"/>
              </w:rPr>
              <w:t>535</w:t>
            </w:r>
          </w:p>
        </w:tc>
        <w:tc>
          <w:tcPr>
            <w:tcW w:w="1378" w:type="dxa"/>
          </w:tcPr>
          <w:p w14:paraId="6B531857" w14:textId="548B0A30" w:rsidR="008A6024" w:rsidRPr="008A6024" w:rsidRDefault="008A6024" w:rsidP="008A6024">
            <w:pPr>
              <w:pStyle w:val="Tabele"/>
              <w:ind w:right="170"/>
              <w:jc w:val="right"/>
              <w:rPr>
                <w:color w:val="auto"/>
              </w:rPr>
            </w:pPr>
            <w:r w:rsidRPr="008A6024">
              <w:rPr>
                <w:color w:val="auto"/>
                <w:szCs w:val="16"/>
              </w:rPr>
              <w:t>581</w:t>
            </w:r>
          </w:p>
        </w:tc>
        <w:tc>
          <w:tcPr>
            <w:tcW w:w="1378" w:type="dxa"/>
          </w:tcPr>
          <w:p w14:paraId="6DD9B60B" w14:textId="6C65623C" w:rsidR="008A6024" w:rsidRPr="008A6024" w:rsidRDefault="008A6024" w:rsidP="008A6024">
            <w:pPr>
              <w:pStyle w:val="Tabele"/>
              <w:ind w:right="170"/>
              <w:jc w:val="right"/>
              <w:rPr>
                <w:color w:val="auto"/>
              </w:rPr>
            </w:pPr>
            <w:r w:rsidRPr="008A6024">
              <w:rPr>
                <w:color w:val="auto"/>
                <w:szCs w:val="16"/>
              </w:rPr>
              <w:t>615</w:t>
            </w:r>
          </w:p>
        </w:tc>
      </w:tr>
      <w:tr w:rsidR="008A6024" w14:paraId="61E9399C" w14:textId="77777777" w:rsidTr="008A6024">
        <w:trPr>
          <w:trHeight w:val="216"/>
        </w:trPr>
        <w:tc>
          <w:tcPr>
            <w:tcW w:w="2172" w:type="dxa"/>
          </w:tcPr>
          <w:p w14:paraId="59B0C70E" w14:textId="77777777" w:rsidR="008A6024" w:rsidRPr="000B1F61" w:rsidRDefault="008A6024" w:rsidP="008A6024">
            <w:pPr>
              <w:pStyle w:val="Tabele"/>
              <w:rPr>
                <w:color w:val="auto"/>
              </w:rPr>
            </w:pPr>
            <w:r w:rsidRPr="000B1F61">
              <w:rPr>
                <w:color w:val="auto"/>
              </w:rPr>
              <w:t>Różnica</w:t>
            </w:r>
          </w:p>
        </w:tc>
        <w:tc>
          <w:tcPr>
            <w:tcW w:w="1378" w:type="dxa"/>
          </w:tcPr>
          <w:p w14:paraId="6DD15C45" w14:textId="44623B68" w:rsidR="008A6024" w:rsidRPr="008A6024" w:rsidRDefault="008A6024" w:rsidP="008A6024">
            <w:pPr>
              <w:pStyle w:val="Tabele"/>
              <w:ind w:right="170"/>
              <w:jc w:val="right"/>
              <w:rPr>
                <w:color w:val="auto"/>
              </w:rPr>
            </w:pPr>
            <w:r w:rsidRPr="008A6024">
              <w:rPr>
                <w:color w:val="auto"/>
                <w:szCs w:val="16"/>
              </w:rPr>
              <w:t>0,00%</w:t>
            </w:r>
          </w:p>
        </w:tc>
        <w:tc>
          <w:tcPr>
            <w:tcW w:w="1378" w:type="dxa"/>
          </w:tcPr>
          <w:p w14:paraId="13CDAA65" w14:textId="6B0C4FA0" w:rsidR="008A6024" w:rsidRPr="008A6024" w:rsidRDefault="008A6024" w:rsidP="008A6024">
            <w:pPr>
              <w:pStyle w:val="Tabele"/>
              <w:ind w:right="170"/>
              <w:jc w:val="right"/>
              <w:rPr>
                <w:color w:val="auto"/>
              </w:rPr>
            </w:pPr>
            <w:r w:rsidRPr="008A6024">
              <w:rPr>
                <w:color w:val="auto"/>
                <w:szCs w:val="16"/>
              </w:rPr>
              <w:t>0,27%</w:t>
            </w:r>
          </w:p>
        </w:tc>
        <w:tc>
          <w:tcPr>
            <w:tcW w:w="1378" w:type="dxa"/>
          </w:tcPr>
          <w:p w14:paraId="540EAAC0" w14:textId="0803284E" w:rsidR="008A6024" w:rsidRPr="008A6024" w:rsidRDefault="008A6024" w:rsidP="008A6024">
            <w:pPr>
              <w:pStyle w:val="Tabele"/>
              <w:ind w:right="170"/>
              <w:jc w:val="right"/>
              <w:rPr>
                <w:color w:val="auto"/>
              </w:rPr>
            </w:pPr>
            <w:r w:rsidRPr="008A6024">
              <w:rPr>
                <w:color w:val="auto"/>
                <w:szCs w:val="16"/>
              </w:rPr>
              <w:t>0,90%</w:t>
            </w:r>
          </w:p>
        </w:tc>
        <w:tc>
          <w:tcPr>
            <w:tcW w:w="1378" w:type="dxa"/>
          </w:tcPr>
          <w:p w14:paraId="51B95B38" w14:textId="08240318" w:rsidR="008A6024" w:rsidRPr="008A6024" w:rsidRDefault="008A6024" w:rsidP="008A6024">
            <w:pPr>
              <w:pStyle w:val="Tabele"/>
              <w:ind w:right="170"/>
              <w:jc w:val="right"/>
              <w:rPr>
                <w:color w:val="auto"/>
              </w:rPr>
            </w:pPr>
            <w:r w:rsidRPr="008A6024">
              <w:rPr>
                <w:color w:val="auto"/>
                <w:szCs w:val="16"/>
              </w:rPr>
              <w:t>-0,41%</w:t>
            </w:r>
          </w:p>
        </w:tc>
        <w:tc>
          <w:tcPr>
            <w:tcW w:w="1378" w:type="dxa"/>
          </w:tcPr>
          <w:p w14:paraId="4EED5A85" w14:textId="10F39BCA" w:rsidR="008A6024" w:rsidRPr="008A6024" w:rsidRDefault="008A6024" w:rsidP="008A6024">
            <w:pPr>
              <w:pStyle w:val="Tabele"/>
              <w:ind w:right="170"/>
              <w:jc w:val="right"/>
              <w:rPr>
                <w:color w:val="auto"/>
              </w:rPr>
            </w:pPr>
            <w:r w:rsidRPr="008A6024">
              <w:rPr>
                <w:color w:val="auto"/>
                <w:szCs w:val="16"/>
              </w:rPr>
              <w:t>1,19%</w:t>
            </w:r>
          </w:p>
        </w:tc>
      </w:tr>
    </w:tbl>
    <w:p w14:paraId="08B6AE37" w14:textId="4B5411C1" w:rsidR="005C4144" w:rsidRDefault="005C4144" w:rsidP="00696068">
      <w:pPr>
        <w:pStyle w:val="Legenda"/>
        <w:spacing w:before="120"/>
      </w:pPr>
      <w:r w:rsidRPr="004B5CB4">
        <w:t>Źródło: opracowanie własne IOŚ-PIB</w:t>
      </w:r>
    </w:p>
    <w:p w14:paraId="63462548" w14:textId="77777777" w:rsidR="005C4144" w:rsidRDefault="005C4144" w:rsidP="004F5D0E">
      <w:pPr>
        <w:pStyle w:val="Nagwek3"/>
      </w:pPr>
      <w:bookmarkStart w:id="675" w:name="_Toc167795176"/>
      <w:bookmarkStart w:id="676" w:name="_Toc167799347"/>
      <w:bookmarkStart w:id="677" w:name="_Toc167803419"/>
      <w:bookmarkStart w:id="678" w:name="_Toc167804137"/>
      <w:bookmarkStart w:id="679" w:name="_Toc167804164"/>
      <w:bookmarkStart w:id="680" w:name="_Toc171587350"/>
      <w:bookmarkStart w:id="681" w:name="_Toc174710922"/>
      <w:bookmarkStart w:id="682" w:name="_Toc202966921"/>
      <w:r>
        <w:t>Saldo handlu zagranicznego</w:t>
      </w:r>
      <w:bookmarkEnd w:id="675"/>
      <w:bookmarkEnd w:id="676"/>
      <w:bookmarkEnd w:id="677"/>
      <w:bookmarkEnd w:id="678"/>
      <w:bookmarkEnd w:id="679"/>
      <w:bookmarkEnd w:id="680"/>
      <w:bookmarkEnd w:id="681"/>
      <w:bookmarkEnd w:id="682"/>
    </w:p>
    <w:p w14:paraId="376ACFAF" w14:textId="77777777" w:rsidR="0091482E" w:rsidRPr="0032776A" w:rsidRDefault="0091482E" w:rsidP="0091482E">
      <w:bookmarkStart w:id="683" w:name="_Toc169565497"/>
      <w:bookmarkStart w:id="684" w:name="_Toc171587237"/>
      <w:bookmarkStart w:id="685" w:name="_Toc174711021"/>
      <w:r>
        <w:rPr>
          <w:i/>
          <w:iCs/>
          <w:szCs w:val="20"/>
        </w:rPr>
        <w:t>W</w:t>
      </w:r>
      <w:r w:rsidRPr="00DA61B9">
        <w:t xml:space="preserve"> scenariuszach makroekonomicznych zmiany salda handlu zagranicznego wynikają głównie ze zmian bilansu obrotów uprawnieniami do emisj</w:t>
      </w:r>
      <w:r w:rsidRPr="00796428">
        <w:t xml:space="preserve">i z pozostałymi krajami UE. Bilans obrotów uprawnieniami jest różnicą między pulą uprawnień przypadających Polsce w danym </w:t>
      </w:r>
      <w:r w:rsidRPr="00B65AFF">
        <w:t xml:space="preserve">roku w ramach systemów handlu emisjami </w:t>
      </w:r>
      <w:r w:rsidRPr="00523F2E">
        <w:t>a ilością uprawnień wykorzystanych na pokrycie bieżących emisji. W scenariuszu WEM występuje deficyt uprawnień do emisji, co oznacza, że polskie podmioty kupują część pozwoleń z</w:t>
      </w:r>
      <w:r>
        <w:t> </w:t>
      </w:r>
      <w:r w:rsidRPr="00523F2E">
        <w:t>zagranicy. Działania ujęte w scenariuszu WAM prowadzą do dodatkowej redukcji zużycia energii i emisji, przez co zapotrzebowanie na up</w:t>
      </w:r>
      <w:r w:rsidRPr="0032776A">
        <w:t xml:space="preserve">rawnienia do emisji obniża się względem scenariusza WEM, ograniczając wartości deficytu uprawnień </w:t>
      </w:r>
      <w:r>
        <w:t xml:space="preserve">i </w:t>
      </w:r>
      <w:r w:rsidRPr="0032776A">
        <w:t xml:space="preserve">konieczność </w:t>
      </w:r>
      <w:r>
        <w:t xml:space="preserve">ich </w:t>
      </w:r>
      <w:r w:rsidRPr="0032776A">
        <w:t xml:space="preserve">nabywania z zagranicy. </w:t>
      </w:r>
    </w:p>
    <w:p w14:paraId="17AE2B4B" w14:textId="77777777" w:rsidR="0091482E" w:rsidRPr="00E855AA" w:rsidRDefault="0091482E" w:rsidP="0091482E">
      <w:r>
        <w:t xml:space="preserve">W symulacjach przyjęto założenie, że suma salda handlu zagranicznego (eksport dóbr i usług minus import) i salda obrotów uprawnieniami do emisji jest stała w relacji do PKB. Założenie to oznacza, że odchylenia konsumpcji, PKB i innych wielkości makroekonomicznych w scenariuszu WAM w stosunku do scenariusza WEM nie są związane ze zmianami zadłużenia netto względem zagranicy (co zaburzałoby ocenę skutków makroekonomicznych). W konsekwencji zmiany salda uprawnień do emisji mają odbicie w zmianach salda handlu zagranicznego (bilansie handlowym) – mniejszy „import” uprawnień do emisji prowadzi do mniejszego eksportu netto dóbr i usług (eksport obniża się, a import nieznacznie wzrasta). </w:t>
      </w:r>
    </w:p>
    <w:p w14:paraId="0FBF9100" w14:textId="77777777" w:rsidR="0091482E" w:rsidRPr="00E855AA" w:rsidRDefault="0091482E" w:rsidP="0091482E">
      <w:r>
        <w:t>W opisywanej sytuacji obniżka eksportu wiąże się z korzyścią dla gospodarki. W scenariuszu WEM deficyt uprawnień do emisji musi zostać pokryty zwiększonym eksportem dóbr i usług, przy gorszych warunkach wymiany handlowej (niższe ceny eksportu). Ograniczenie deficytu uprawnień do emisji w scenariuszu pozwala poprawić warunki wymiany handlowej – wolumen eksportu obniża się, lecz ceny dóbr eksportowych rosną. Z perspektywy makroekonomicznej oznacza to, że część środków wykorzystywanych dotychczas na produkcję eksportową można przeznaczyć na konsumpcję i inwestycje.</w:t>
      </w:r>
    </w:p>
    <w:p w14:paraId="704B0CCA" w14:textId="0FF4BC30" w:rsidR="004D5F36" w:rsidRDefault="005C4144" w:rsidP="004D5F36">
      <w:pPr>
        <w:pStyle w:val="Legenda"/>
        <w:keepNext/>
      </w:pPr>
      <w:bookmarkStart w:id="686" w:name="_Toc202967024"/>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6</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9</w:t>
      </w:r>
      <w:r w:rsidR="00653D9A">
        <w:rPr>
          <w:noProof/>
        </w:rPr>
        <w:fldChar w:fldCharType="end"/>
      </w:r>
      <w:bookmarkEnd w:id="683"/>
      <w:bookmarkEnd w:id="684"/>
      <w:bookmarkEnd w:id="685"/>
      <w:r>
        <w:t xml:space="preserve">. </w:t>
      </w:r>
      <w:r w:rsidR="004D5F36" w:rsidRPr="0060223A">
        <w:t xml:space="preserve">Projekcja </w:t>
      </w:r>
      <w:r w:rsidR="004D5F36">
        <w:t>salda</w:t>
      </w:r>
      <w:r w:rsidR="004D5F36" w:rsidRPr="00657913">
        <w:t xml:space="preserve"> handlu zagranicznego </w:t>
      </w:r>
      <w:r w:rsidR="004D5F36">
        <w:t>[mld EUR’202</w:t>
      </w:r>
      <w:r w:rsidR="0042090A">
        <w:t>4</w:t>
      </w:r>
      <w:r w:rsidR="004D5F36" w:rsidRPr="0060223A">
        <w:t>]</w:t>
      </w:r>
      <w:bookmarkEnd w:id="686"/>
    </w:p>
    <w:tbl>
      <w:tblPr>
        <w:tblStyle w:val="KPEiK"/>
        <w:tblW w:w="5000" w:type="pct"/>
        <w:tblLook w:val="04A0" w:firstRow="1" w:lastRow="0" w:firstColumn="1" w:lastColumn="0" w:noHBand="0" w:noVBand="1"/>
      </w:tblPr>
      <w:tblGrid>
        <w:gridCol w:w="1534"/>
        <w:gridCol w:w="941"/>
        <w:gridCol w:w="941"/>
        <w:gridCol w:w="941"/>
        <w:gridCol w:w="941"/>
        <w:gridCol w:w="941"/>
        <w:gridCol w:w="941"/>
        <w:gridCol w:w="941"/>
        <w:gridCol w:w="941"/>
      </w:tblGrid>
      <w:tr w:rsidR="004D5F36" w:rsidRPr="00727E13" w14:paraId="7525EFB2" w14:textId="77777777" w:rsidTr="005B6BF9">
        <w:trPr>
          <w:cnfStyle w:val="100000000000" w:firstRow="1" w:lastRow="0" w:firstColumn="0" w:lastColumn="0" w:oddVBand="0" w:evenVBand="0" w:oddHBand="0" w:evenHBand="0" w:firstRowFirstColumn="0" w:firstRowLastColumn="0" w:lastRowFirstColumn="0" w:lastRowLastColumn="0"/>
          <w:trHeight w:val="224"/>
        </w:trPr>
        <w:tc>
          <w:tcPr>
            <w:tcW w:w="1534" w:type="dxa"/>
          </w:tcPr>
          <w:p w14:paraId="0A368D6F" w14:textId="77777777" w:rsidR="004D5F36" w:rsidRPr="00727E13" w:rsidRDefault="004D5F36" w:rsidP="00DF6CBC">
            <w:pPr>
              <w:pStyle w:val="Tabele"/>
              <w:keepNext/>
              <w:jc w:val="center"/>
              <w:rPr>
                <w:rFonts w:ascii="Calibri" w:hAnsi="Calibri" w:cs="Calibri"/>
                <w:b w:val="0"/>
              </w:rPr>
            </w:pPr>
          </w:p>
        </w:tc>
        <w:tc>
          <w:tcPr>
            <w:tcW w:w="941" w:type="dxa"/>
          </w:tcPr>
          <w:p w14:paraId="69DC8C1A" w14:textId="77777777" w:rsidR="004D5F36" w:rsidRPr="00727E13" w:rsidRDefault="004D5F36" w:rsidP="00DF6CBC">
            <w:pPr>
              <w:pStyle w:val="Tabele"/>
              <w:keepNext/>
              <w:jc w:val="center"/>
              <w:rPr>
                <w:rFonts w:ascii="Calibri" w:hAnsi="Calibri" w:cs="Calibri"/>
                <w:b w:val="0"/>
              </w:rPr>
            </w:pPr>
            <w:r>
              <w:t>2005</w:t>
            </w:r>
          </w:p>
        </w:tc>
        <w:tc>
          <w:tcPr>
            <w:tcW w:w="941" w:type="dxa"/>
          </w:tcPr>
          <w:p w14:paraId="4CF7A4CD" w14:textId="77777777" w:rsidR="004D5F36" w:rsidRPr="00727E13" w:rsidRDefault="004D5F36" w:rsidP="00DF6CBC">
            <w:pPr>
              <w:pStyle w:val="Tabele"/>
              <w:keepNext/>
              <w:jc w:val="center"/>
              <w:rPr>
                <w:rFonts w:ascii="Calibri" w:hAnsi="Calibri" w:cs="Calibri"/>
                <w:b w:val="0"/>
              </w:rPr>
            </w:pPr>
            <w:r>
              <w:t>2010</w:t>
            </w:r>
          </w:p>
        </w:tc>
        <w:tc>
          <w:tcPr>
            <w:tcW w:w="941" w:type="dxa"/>
          </w:tcPr>
          <w:p w14:paraId="537A20C4" w14:textId="77777777" w:rsidR="004D5F36" w:rsidRPr="00727E13" w:rsidRDefault="004D5F36" w:rsidP="00DF6CBC">
            <w:pPr>
              <w:pStyle w:val="Tabele"/>
              <w:keepNext/>
              <w:jc w:val="center"/>
              <w:rPr>
                <w:rFonts w:ascii="Calibri" w:hAnsi="Calibri" w:cs="Calibri"/>
                <w:b w:val="0"/>
              </w:rPr>
            </w:pPr>
            <w:r>
              <w:t>2015</w:t>
            </w:r>
          </w:p>
        </w:tc>
        <w:tc>
          <w:tcPr>
            <w:tcW w:w="941" w:type="dxa"/>
          </w:tcPr>
          <w:p w14:paraId="0F47E64F" w14:textId="77777777" w:rsidR="004D5F36" w:rsidRPr="00727E13" w:rsidRDefault="004D5F36" w:rsidP="00DF6CBC">
            <w:pPr>
              <w:pStyle w:val="Tabele"/>
              <w:keepNext/>
              <w:jc w:val="center"/>
              <w:rPr>
                <w:rFonts w:ascii="Calibri" w:hAnsi="Calibri" w:cs="Calibri"/>
                <w:b w:val="0"/>
              </w:rPr>
            </w:pPr>
            <w:r>
              <w:t>2020</w:t>
            </w:r>
          </w:p>
        </w:tc>
        <w:tc>
          <w:tcPr>
            <w:tcW w:w="941" w:type="dxa"/>
          </w:tcPr>
          <w:p w14:paraId="545B15C7" w14:textId="77777777" w:rsidR="004D5F36" w:rsidRPr="00727E13" w:rsidRDefault="004D5F36" w:rsidP="00DF6CBC">
            <w:pPr>
              <w:pStyle w:val="Tabele"/>
              <w:keepNext/>
              <w:jc w:val="center"/>
              <w:rPr>
                <w:rFonts w:ascii="Calibri" w:hAnsi="Calibri" w:cs="Calibri"/>
                <w:b w:val="0"/>
              </w:rPr>
            </w:pPr>
            <w:r>
              <w:t>2025</w:t>
            </w:r>
          </w:p>
        </w:tc>
        <w:tc>
          <w:tcPr>
            <w:tcW w:w="941" w:type="dxa"/>
          </w:tcPr>
          <w:p w14:paraId="455F4C28" w14:textId="77777777" w:rsidR="004D5F36" w:rsidRPr="00727E13" w:rsidRDefault="004D5F36" w:rsidP="00DF6CBC">
            <w:pPr>
              <w:pStyle w:val="Tabele"/>
              <w:keepNext/>
              <w:jc w:val="center"/>
              <w:rPr>
                <w:rFonts w:ascii="Calibri" w:hAnsi="Calibri" w:cs="Calibri"/>
                <w:b w:val="0"/>
              </w:rPr>
            </w:pPr>
            <w:r>
              <w:t>2030</w:t>
            </w:r>
          </w:p>
        </w:tc>
        <w:tc>
          <w:tcPr>
            <w:tcW w:w="941" w:type="dxa"/>
          </w:tcPr>
          <w:p w14:paraId="73F984B4" w14:textId="77777777" w:rsidR="004D5F36" w:rsidRPr="00727E13" w:rsidRDefault="004D5F36" w:rsidP="00DF6CBC">
            <w:pPr>
              <w:pStyle w:val="Tabele"/>
              <w:keepNext/>
              <w:jc w:val="center"/>
              <w:rPr>
                <w:rFonts w:ascii="Calibri" w:hAnsi="Calibri" w:cs="Calibri"/>
                <w:b w:val="0"/>
              </w:rPr>
            </w:pPr>
            <w:r>
              <w:t>2035</w:t>
            </w:r>
          </w:p>
        </w:tc>
        <w:tc>
          <w:tcPr>
            <w:tcW w:w="941" w:type="dxa"/>
          </w:tcPr>
          <w:p w14:paraId="4664D5FE" w14:textId="77777777" w:rsidR="004D5F36" w:rsidRPr="00727E13" w:rsidRDefault="004D5F36" w:rsidP="00DF6CBC">
            <w:pPr>
              <w:pStyle w:val="Tabele"/>
              <w:keepNext/>
              <w:jc w:val="center"/>
              <w:rPr>
                <w:rFonts w:ascii="Calibri" w:hAnsi="Calibri" w:cs="Calibri"/>
                <w:b w:val="0"/>
              </w:rPr>
            </w:pPr>
            <w:r>
              <w:t>2040</w:t>
            </w:r>
          </w:p>
        </w:tc>
      </w:tr>
      <w:tr w:rsidR="005B6BF9" w:rsidRPr="00727E13" w14:paraId="32A7C826" w14:textId="77777777" w:rsidTr="005B6BF9">
        <w:trPr>
          <w:trHeight w:val="224"/>
        </w:trPr>
        <w:tc>
          <w:tcPr>
            <w:tcW w:w="1534" w:type="dxa"/>
          </w:tcPr>
          <w:p w14:paraId="4B696E8F" w14:textId="77777777" w:rsidR="005B6BF9" w:rsidRPr="004D5F36" w:rsidRDefault="005B6BF9" w:rsidP="005B6BF9">
            <w:pPr>
              <w:pStyle w:val="Tabele"/>
              <w:rPr>
                <w:rFonts w:ascii="Calibri" w:hAnsi="Calibri" w:cs="Calibri"/>
                <w:color w:val="auto"/>
              </w:rPr>
            </w:pPr>
            <w:r w:rsidRPr="004D5F36">
              <w:rPr>
                <w:color w:val="auto"/>
              </w:rPr>
              <w:t>WEM</w:t>
            </w:r>
          </w:p>
        </w:tc>
        <w:tc>
          <w:tcPr>
            <w:tcW w:w="941" w:type="dxa"/>
            <w:shd w:val="clear" w:color="auto" w:fill="C5E0B3" w:themeFill="accent6" w:themeFillTint="66"/>
          </w:tcPr>
          <w:p w14:paraId="26C33732" w14:textId="1E448893" w:rsidR="005B6BF9" w:rsidRPr="005B6BF9" w:rsidRDefault="005B6BF9" w:rsidP="005B6BF9">
            <w:pPr>
              <w:pStyle w:val="Tabele"/>
              <w:jc w:val="right"/>
              <w:rPr>
                <w:rFonts w:ascii="Calibri" w:hAnsi="Calibri" w:cs="Calibri"/>
                <w:color w:val="auto"/>
              </w:rPr>
            </w:pPr>
            <w:r w:rsidRPr="005B6BF9">
              <w:rPr>
                <w:color w:val="auto"/>
                <w:szCs w:val="16"/>
              </w:rPr>
              <w:t>6</w:t>
            </w:r>
          </w:p>
        </w:tc>
        <w:tc>
          <w:tcPr>
            <w:tcW w:w="941" w:type="dxa"/>
            <w:shd w:val="clear" w:color="auto" w:fill="C5E0B3" w:themeFill="accent6" w:themeFillTint="66"/>
          </w:tcPr>
          <w:p w14:paraId="2A294B70" w14:textId="73511B64" w:rsidR="005B6BF9" w:rsidRPr="005B6BF9" w:rsidRDefault="005B6BF9" w:rsidP="005B6BF9">
            <w:pPr>
              <w:pStyle w:val="Tabele"/>
              <w:jc w:val="right"/>
              <w:rPr>
                <w:rFonts w:ascii="Calibri" w:hAnsi="Calibri" w:cs="Calibri"/>
                <w:color w:val="auto"/>
              </w:rPr>
            </w:pPr>
            <w:r w:rsidRPr="005B6BF9">
              <w:rPr>
                <w:color w:val="auto"/>
                <w:szCs w:val="16"/>
              </w:rPr>
              <w:t>1</w:t>
            </w:r>
          </w:p>
        </w:tc>
        <w:tc>
          <w:tcPr>
            <w:tcW w:w="941" w:type="dxa"/>
            <w:shd w:val="clear" w:color="auto" w:fill="C5E0B3" w:themeFill="accent6" w:themeFillTint="66"/>
          </w:tcPr>
          <w:p w14:paraId="0D3FCC1A" w14:textId="28741EA5" w:rsidR="005B6BF9" w:rsidRPr="005B6BF9" w:rsidRDefault="005B6BF9" w:rsidP="005B6BF9">
            <w:pPr>
              <w:pStyle w:val="Tabele"/>
              <w:jc w:val="right"/>
              <w:rPr>
                <w:rFonts w:ascii="Calibri" w:hAnsi="Calibri" w:cs="Calibri"/>
                <w:color w:val="auto"/>
              </w:rPr>
            </w:pPr>
            <w:r w:rsidRPr="005B6BF9">
              <w:rPr>
                <w:color w:val="auto"/>
                <w:szCs w:val="16"/>
              </w:rPr>
              <w:t>20</w:t>
            </w:r>
          </w:p>
        </w:tc>
        <w:tc>
          <w:tcPr>
            <w:tcW w:w="941" w:type="dxa"/>
            <w:shd w:val="clear" w:color="auto" w:fill="C5E0B3" w:themeFill="accent6" w:themeFillTint="66"/>
          </w:tcPr>
          <w:p w14:paraId="6385AEB3" w14:textId="65EA1965" w:rsidR="005B6BF9" w:rsidRPr="005B6BF9" w:rsidRDefault="005B6BF9" w:rsidP="005B6BF9">
            <w:pPr>
              <w:pStyle w:val="Tabele"/>
              <w:jc w:val="right"/>
              <w:rPr>
                <w:rFonts w:ascii="Calibri" w:hAnsi="Calibri" w:cs="Calibri"/>
                <w:color w:val="auto"/>
              </w:rPr>
            </w:pPr>
            <w:r w:rsidRPr="005B6BF9">
              <w:rPr>
                <w:color w:val="auto"/>
                <w:szCs w:val="16"/>
              </w:rPr>
              <w:t>36</w:t>
            </w:r>
          </w:p>
        </w:tc>
        <w:tc>
          <w:tcPr>
            <w:tcW w:w="941" w:type="dxa"/>
          </w:tcPr>
          <w:p w14:paraId="1A8BFE25" w14:textId="1D3B3177" w:rsidR="005B6BF9" w:rsidRPr="005B6BF9" w:rsidRDefault="005B6BF9" w:rsidP="005B6BF9">
            <w:pPr>
              <w:pStyle w:val="Tabele"/>
              <w:jc w:val="right"/>
              <w:rPr>
                <w:rFonts w:ascii="Calibri" w:hAnsi="Calibri" w:cs="Calibri"/>
                <w:color w:val="auto"/>
              </w:rPr>
            </w:pPr>
            <w:r w:rsidRPr="005B6BF9">
              <w:rPr>
                <w:color w:val="auto"/>
                <w:szCs w:val="16"/>
              </w:rPr>
              <w:t>2</w:t>
            </w:r>
          </w:p>
        </w:tc>
        <w:tc>
          <w:tcPr>
            <w:tcW w:w="941" w:type="dxa"/>
          </w:tcPr>
          <w:p w14:paraId="07A18140" w14:textId="37F83A2B" w:rsidR="005B6BF9" w:rsidRPr="005B6BF9" w:rsidRDefault="005B6BF9" w:rsidP="005B6BF9">
            <w:pPr>
              <w:pStyle w:val="Tabele"/>
              <w:jc w:val="right"/>
              <w:rPr>
                <w:rFonts w:ascii="Calibri" w:hAnsi="Calibri" w:cs="Calibri"/>
                <w:color w:val="auto"/>
              </w:rPr>
            </w:pPr>
            <w:r w:rsidRPr="005B6BF9">
              <w:rPr>
                <w:color w:val="auto"/>
                <w:szCs w:val="16"/>
              </w:rPr>
              <w:t>-7</w:t>
            </w:r>
          </w:p>
        </w:tc>
        <w:tc>
          <w:tcPr>
            <w:tcW w:w="941" w:type="dxa"/>
          </w:tcPr>
          <w:p w14:paraId="59E82361" w14:textId="4A78AF57" w:rsidR="005B6BF9" w:rsidRPr="005B6BF9" w:rsidRDefault="005B6BF9" w:rsidP="005B6BF9">
            <w:pPr>
              <w:pStyle w:val="Tabele"/>
              <w:jc w:val="right"/>
              <w:rPr>
                <w:rFonts w:ascii="Calibri" w:hAnsi="Calibri" w:cs="Calibri"/>
                <w:color w:val="auto"/>
              </w:rPr>
            </w:pPr>
            <w:r w:rsidRPr="005B6BF9">
              <w:rPr>
                <w:color w:val="auto"/>
                <w:szCs w:val="16"/>
              </w:rPr>
              <w:t>-2</w:t>
            </w:r>
          </w:p>
        </w:tc>
        <w:tc>
          <w:tcPr>
            <w:tcW w:w="941" w:type="dxa"/>
          </w:tcPr>
          <w:p w14:paraId="39A223BE" w14:textId="70D7E64E" w:rsidR="005B6BF9" w:rsidRPr="005B6BF9" w:rsidRDefault="005B6BF9" w:rsidP="005B6BF9">
            <w:pPr>
              <w:pStyle w:val="Tabele"/>
              <w:jc w:val="right"/>
              <w:rPr>
                <w:rFonts w:ascii="Calibri" w:hAnsi="Calibri" w:cs="Calibri"/>
                <w:color w:val="auto"/>
              </w:rPr>
            </w:pPr>
            <w:r w:rsidRPr="005B6BF9">
              <w:rPr>
                <w:color w:val="auto"/>
                <w:szCs w:val="16"/>
              </w:rPr>
              <w:t>19</w:t>
            </w:r>
          </w:p>
        </w:tc>
      </w:tr>
      <w:tr w:rsidR="005B6BF9" w:rsidRPr="00727E13" w14:paraId="3F897C40" w14:textId="77777777" w:rsidTr="005B6BF9">
        <w:trPr>
          <w:trHeight w:val="224"/>
        </w:trPr>
        <w:tc>
          <w:tcPr>
            <w:tcW w:w="1534" w:type="dxa"/>
          </w:tcPr>
          <w:p w14:paraId="69B62BA0" w14:textId="77777777" w:rsidR="005B6BF9" w:rsidRPr="004D5F36" w:rsidRDefault="005B6BF9" w:rsidP="005B6BF9">
            <w:pPr>
              <w:pStyle w:val="Tabele"/>
              <w:rPr>
                <w:color w:val="auto"/>
              </w:rPr>
            </w:pPr>
            <w:r w:rsidRPr="004D5F36">
              <w:rPr>
                <w:color w:val="auto"/>
              </w:rPr>
              <w:t>WAM</w:t>
            </w:r>
          </w:p>
        </w:tc>
        <w:tc>
          <w:tcPr>
            <w:tcW w:w="941" w:type="dxa"/>
            <w:shd w:val="clear" w:color="auto" w:fill="C5E0B3" w:themeFill="accent6" w:themeFillTint="66"/>
          </w:tcPr>
          <w:p w14:paraId="0CB48074" w14:textId="32382C29" w:rsidR="005B6BF9" w:rsidRPr="005B6BF9" w:rsidRDefault="005B6BF9" w:rsidP="005B6BF9">
            <w:pPr>
              <w:pStyle w:val="Tabele"/>
              <w:jc w:val="right"/>
              <w:rPr>
                <w:color w:val="auto"/>
              </w:rPr>
            </w:pPr>
            <w:r w:rsidRPr="005B6BF9">
              <w:rPr>
                <w:color w:val="auto"/>
                <w:szCs w:val="16"/>
              </w:rPr>
              <w:t>6</w:t>
            </w:r>
          </w:p>
        </w:tc>
        <w:tc>
          <w:tcPr>
            <w:tcW w:w="941" w:type="dxa"/>
            <w:shd w:val="clear" w:color="auto" w:fill="C5E0B3" w:themeFill="accent6" w:themeFillTint="66"/>
          </w:tcPr>
          <w:p w14:paraId="03B0A821" w14:textId="7D28F22A" w:rsidR="005B6BF9" w:rsidRPr="005B6BF9" w:rsidRDefault="005B6BF9" w:rsidP="005B6BF9">
            <w:pPr>
              <w:pStyle w:val="Tabele"/>
              <w:jc w:val="right"/>
              <w:rPr>
                <w:color w:val="auto"/>
              </w:rPr>
            </w:pPr>
            <w:r w:rsidRPr="005B6BF9">
              <w:rPr>
                <w:color w:val="auto"/>
                <w:szCs w:val="16"/>
              </w:rPr>
              <w:t>1</w:t>
            </w:r>
          </w:p>
        </w:tc>
        <w:tc>
          <w:tcPr>
            <w:tcW w:w="941" w:type="dxa"/>
            <w:shd w:val="clear" w:color="auto" w:fill="C5E0B3" w:themeFill="accent6" w:themeFillTint="66"/>
          </w:tcPr>
          <w:p w14:paraId="2B2EA021" w14:textId="5B01ADD3" w:rsidR="005B6BF9" w:rsidRPr="005B6BF9" w:rsidRDefault="005B6BF9" w:rsidP="005B6BF9">
            <w:pPr>
              <w:pStyle w:val="Tabele"/>
              <w:jc w:val="right"/>
              <w:rPr>
                <w:color w:val="auto"/>
              </w:rPr>
            </w:pPr>
            <w:r w:rsidRPr="005B6BF9">
              <w:rPr>
                <w:color w:val="auto"/>
                <w:szCs w:val="16"/>
              </w:rPr>
              <w:t>20</w:t>
            </w:r>
          </w:p>
        </w:tc>
        <w:tc>
          <w:tcPr>
            <w:tcW w:w="941" w:type="dxa"/>
            <w:shd w:val="clear" w:color="auto" w:fill="C5E0B3" w:themeFill="accent6" w:themeFillTint="66"/>
          </w:tcPr>
          <w:p w14:paraId="36C1D6EC" w14:textId="593DB3A4" w:rsidR="005B6BF9" w:rsidRPr="005B6BF9" w:rsidRDefault="005B6BF9" w:rsidP="005B6BF9">
            <w:pPr>
              <w:pStyle w:val="Tabele"/>
              <w:jc w:val="right"/>
              <w:rPr>
                <w:color w:val="auto"/>
              </w:rPr>
            </w:pPr>
            <w:r w:rsidRPr="005B6BF9">
              <w:rPr>
                <w:color w:val="auto"/>
                <w:szCs w:val="16"/>
              </w:rPr>
              <w:t>36</w:t>
            </w:r>
          </w:p>
        </w:tc>
        <w:tc>
          <w:tcPr>
            <w:tcW w:w="941" w:type="dxa"/>
          </w:tcPr>
          <w:p w14:paraId="455EF9C5" w14:textId="33844723" w:rsidR="005B6BF9" w:rsidRPr="005B6BF9" w:rsidRDefault="005B6BF9" w:rsidP="005B6BF9">
            <w:pPr>
              <w:pStyle w:val="Tabele"/>
              <w:jc w:val="right"/>
              <w:rPr>
                <w:color w:val="auto"/>
              </w:rPr>
            </w:pPr>
            <w:r w:rsidRPr="005B6BF9">
              <w:rPr>
                <w:color w:val="auto"/>
                <w:szCs w:val="16"/>
              </w:rPr>
              <w:t>1</w:t>
            </w:r>
          </w:p>
        </w:tc>
        <w:tc>
          <w:tcPr>
            <w:tcW w:w="941" w:type="dxa"/>
          </w:tcPr>
          <w:p w14:paraId="67A0D2D4" w14:textId="31EDCE64" w:rsidR="005B6BF9" w:rsidRPr="005B6BF9" w:rsidRDefault="005B6BF9" w:rsidP="005B6BF9">
            <w:pPr>
              <w:pStyle w:val="Tabele"/>
              <w:jc w:val="right"/>
              <w:rPr>
                <w:color w:val="auto"/>
              </w:rPr>
            </w:pPr>
            <w:r w:rsidRPr="005B6BF9">
              <w:rPr>
                <w:color w:val="auto"/>
                <w:szCs w:val="16"/>
              </w:rPr>
              <w:t>-10</w:t>
            </w:r>
          </w:p>
        </w:tc>
        <w:tc>
          <w:tcPr>
            <w:tcW w:w="941" w:type="dxa"/>
          </w:tcPr>
          <w:p w14:paraId="1FC50E2C" w14:textId="0CDD7E01" w:rsidR="005B6BF9" w:rsidRPr="005B6BF9" w:rsidRDefault="005B6BF9" w:rsidP="005B6BF9">
            <w:pPr>
              <w:pStyle w:val="Tabele"/>
              <w:jc w:val="right"/>
              <w:rPr>
                <w:color w:val="auto"/>
              </w:rPr>
            </w:pPr>
            <w:r w:rsidRPr="005B6BF9">
              <w:rPr>
                <w:color w:val="auto"/>
                <w:szCs w:val="16"/>
              </w:rPr>
              <w:t>-7</w:t>
            </w:r>
          </w:p>
        </w:tc>
        <w:tc>
          <w:tcPr>
            <w:tcW w:w="941" w:type="dxa"/>
          </w:tcPr>
          <w:p w14:paraId="65BD6AD3" w14:textId="787D5277" w:rsidR="005B6BF9" w:rsidRPr="005B6BF9" w:rsidRDefault="005B6BF9" w:rsidP="005B6BF9">
            <w:pPr>
              <w:pStyle w:val="Tabele"/>
              <w:jc w:val="right"/>
              <w:rPr>
                <w:color w:val="auto"/>
              </w:rPr>
            </w:pPr>
            <w:r w:rsidRPr="005B6BF9">
              <w:rPr>
                <w:color w:val="auto"/>
                <w:szCs w:val="16"/>
              </w:rPr>
              <w:t>11</w:t>
            </w:r>
          </w:p>
        </w:tc>
      </w:tr>
      <w:tr w:rsidR="005B6BF9" w:rsidRPr="00727E13" w14:paraId="5F4D275F" w14:textId="77777777" w:rsidTr="005B6BF9">
        <w:trPr>
          <w:trHeight w:val="224"/>
        </w:trPr>
        <w:tc>
          <w:tcPr>
            <w:tcW w:w="1534" w:type="dxa"/>
          </w:tcPr>
          <w:p w14:paraId="18708329" w14:textId="77777777" w:rsidR="005B6BF9" w:rsidRPr="004D5F36" w:rsidRDefault="005B6BF9" w:rsidP="005B6BF9">
            <w:pPr>
              <w:pStyle w:val="Tabele"/>
              <w:rPr>
                <w:color w:val="auto"/>
              </w:rPr>
            </w:pPr>
            <w:r w:rsidRPr="004D5F36">
              <w:rPr>
                <w:color w:val="auto"/>
              </w:rPr>
              <w:t>Różnica</w:t>
            </w:r>
          </w:p>
        </w:tc>
        <w:tc>
          <w:tcPr>
            <w:tcW w:w="941" w:type="dxa"/>
            <w:shd w:val="clear" w:color="auto" w:fill="C5E0B3" w:themeFill="accent6" w:themeFillTint="66"/>
          </w:tcPr>
          <w:p w14:paraId="2F64828E" w14:textId="553A89F4" w:rsidR="005B6BF9" w:rsidRPr="005B6BF9" w:rsidRDefault="005B6BF9" w:rsidP="005B6BF9">
            <w:pPr>
              <w:pStyle w:val="Tabele"/>
              <w:jc w:val="right"/>
              <w:rPr>
                <w:color w:val="auto"/>
              </w:rPr>
            </w:pPr>
            <w:r w:rsidRPr="005B6BF9">
              <w:rPr>
                <w:color w:val="auto"/>
                <w:szCs w:val="16"/>
              </w:rPr>
              <w:t>nd.</w:t>
            </w:r>
          </w:p>
        </w:tc>
        <w:tc>
          <w:tcPr>
            <w:tcW w:w="941" w:type="dxa"/>
            <w:shd w:val="clear" w:color="auto" w:fill="C5E0B3" w:themeFill="accent6" w:themeFillTint="66"/>
          </w:tcPr>
          <w:p w14:paraId="3DF14014" w14:textId="2A149CED" w:rsidR="005B6BF9" w:rsidRPr="005B6BF9" w:rsidRDefault="005B6BF9" w:rsidP="005B6BF9">
            <w:pPr>
              <w:pStyle w:val="Tabele"/>
              <w:jc w:val="right"/>
              <w:rPr>
                <w:color w:val="auto"/>
              </w:rPr>
            </w:pPr>
            <w:r w:rsidRPr="005B6BF9">
              <w:rPr>
                <w:color w:val="auto"/>
                <w:szCs w:val="16"/>
              </w:rPr>
              <w:t>nd.</w:t>
            </w:r>
          </w:p>
        </w:tc>
        <w:tc>
          <w:tcPr>
            <w:tcW w:w="941" w:type="dxa"/>
            <w:shd w:val="clear" w:color="auto" w:fill="C5E0B3" w:themeFill="accent6" w:themeFillTint="66"/>
          </w:tcPr>
          <w:p w14:paraId="6B340579" w14:textId="4E8F11FF" w:rsidR="005B6BF9" w:rsidRPr="005B6BF9" w:rsidRDefault="005B6BF9" w:rsidP="005B6BF9">
            <w:pPr>
              <w:pStyle w:val="Tabele"/>
              <w:jc w:val="right"/>
              <w:rPr>
                <w:color w:val="auto"/>
              </w:rPr>
            </w:pPr>
            <w:r w:rsidRPr="005B6BF9">
              <w:rPr>
                <w:color w:val="auto"/>
                <w:szCs w:val="16"/>
              </w:rPr>
              <w:t>nd.</w:t>
            </w:r>
          </w:p>
        </w:tc>
        <w:tc>
          <w:tcPr>
            <w:tcW w:w="941" w:type="dxa"/>
            <w:shd w:val="clear" w:color="auto" w:fill="C5E0B3" w:themeFill="accent6" w:themeFillTint="66"/>
          </w:tcPr>
          <w:p w14:paraId="45C2D45D" w14:textId="1065A68B" w:rsidR="005B6BF9" w:rsidRPr="005B6BF9" w:rsidRDefault="005B6BF9" w:rsidP="005B6BF9">
            <w:pPr>
              <w:pStyle w:val="Tabele"/>
              <w:jc w:val="right"/>
              <w:rPr>
                <w:color w:val="auto"/>
              </w:rPr>
            </w:pPr>
            <w:r w:rsidRPr="005B6BF9">
              <w:rPr>
                <w:color w:val="auto"/>
                <w:szCs w:val="16"/>
              </w:rPr>
              <w:t>nd.</w:t>
            </w:r>
          </w:p>
        </w:tc>
        <w:tc>
          <w:tcPr>
            <w:tcW w:w="941" w:type="dxa"/>
          </w:tcPr>
          <w:p w14:paraId="5E59D2B8" w14:textId="37D2AB98" w:rsidR="005B6BF9" w:rsidRPr="005B6BF9" w:rsidRDefault="005B6BF9" w:rsidP="005B6BF9">
            <w:pPr>
              <w:pStyle w:val="Tabele"/>
              <w:jc w:val="right"/>
              <w:rPr>
                <w:color w:val="auto"/>
              </w:rPr>
            </w:pPr>
            <w:r w:rsidRPr="005B6BF9">
              <w:rPr>
                <w:color w:val="auto"/>
                <w:szCs w:val="16"/>
              </w:rPr>
              <w:t>-1</w:t>
            </w:r>
          </w:p>
        </w:tc>
        <w:tc>
          <w:tcPr>
            <w:tcW w:w="941" w:type="dxa"/>
          </w:tcPr>
          <w:p w14:paraId="36F5BC01" w14:textId="2F51F65E" w:rsidR="005B6BF9" w:rsidRPr="005B6BF9" w:rsidRDefault="005B6BF9" w:rsidP="005B6BF9">
            <w:pPr>
              <w:pStyle w:val="Tabele"/>
              <w:jc w:val="right"/>
              <w:rPr>
                <w:color w:val="auto"/>
              </w:rPr>
            </w:pPr>
            <w:r w:rsidRPr="005B6BF9">
              <w:rPr>
                <w:color w:val="auto"/>
                <w:szCs w:val="16"/>
              </w:rPr>
              <w:t>-2</w:t>
            </w:r>
          </w:p>
        </w:tc>
        <w:tc>
          <w:tcPr>
            <w:tcW w:w="941" w:type="dxa"/>
          </w:tcPr>
          <w:p w14:paraId="0C3A4011" w14:textId="27007980" w:rsidR="005B6BF9" w:rsidRPr="005B6BF9" w:rsidRDefault="005B6BF9" w:rsidP="005B6BF9">
            <w:pPr>
              <w:pStyle w:val="Tabele"/>
              <w:jc w:val="right"/>
              <w:rPr>
                <w:color w:val="auto"/>
              </w:rPr>
            </w:pPr>
            <w:r w:rsidRPr="005B6BF9">
              <w:rPr>
                <w:color w:val="auto"/>
                <w:szCs w:val="16"/>
              </w:rPr>
              <w:t>-5</w:t>
            </w:r>
          </w:p>
        </w:tc>
        <w:tc>
          <w:tcPr>
            <w:tcW w:w="941" w:type="dxa"/>
          </w:tcPr>
          <w:p w14:paraId="31B88D84" w14:textId="714881D5" w:rsidR="005B6BF9" w:rsidRPr="005B6BF9" w:rsidRDefault="005B6BF9" w:rsidP="005B6BF9">
            <w:pPr>
              <w:pStyle w:val="Tabele"/>
              <w:jc w:val="right"/>
              <w:rPr>
                <w:color w:val="auto"/>
              </w:rPr>
            </w:pPr>
            <w:r w:rsidRPr="005B6BF9">
              <w:rPr>
                <w:color w:val="auto"/>
                <w:szCs w:val="16"/>
              </w:rPr>
              <w:t>-8</w:t>
            </w:r>
          </w:p>
        </w:tc>
      </w:tr>
    </w:tbl>
    <w:p w14:paraId="0F46567A" w14:textId="2DEC5A4E" w:rsidR="005C4144" w:rsidRPr="006912F7" w:rsidRDefault="005C4144" w:rsidP="004D5F36">
      <w:pPr>
        <w:pStyle w:val="Legenda"/>
        <w:keepNext/>
      </w:pPr>
      <w:r w:rsidRPr="006912F7">
        <w:t>Źródło: opracowanie własne IOŚ-PIB i Eurostat (dane historyczne)</w:t>
      </w:r>
    </w:p>
    <w:p w14:paraId="114B30BC" w14:textId="1992C1B1" w:rsidR="0099401C" w:rsidRDefault="0099401C" w:rsidP="0099401C">
      <w:bookmarkStart w:id="687" w:name="_Toc167795177"/>
      <w:bookmarkStart w:id="688" w:name="_Toc167799348"/>
      <w:bookmarkStart w:id="689" w:name="_Toc167803420"/>
      <w:bookmarkStart w:id="690" w:name="_Toc167804138"/>
      <w:bookmarkStart w:id="691" w:name="_Toc167804165"/>
      <w:bookmarkStart w:id="692" w:name="_Toc171587351"/>
      <w:bookmarkStart w:id="693" w:name="_Toc174710923"/>
      <w:r w:rsidRPr="00FD020A">
        <w:t xml:space="preserve">Drugą </w:t>
      </w:r>
      <w:r>
        <w:t xml:space="preserve">istotną </w:t>
      </w:r>
      <w:r w:rsidRPr="00FD020A">
        <w:t>przyczyną odpowiadającą za zmiany salda handlu zagranicznego</w:t>
      </w:r>
      <w:r>
        <w:t xml:space="preserve"> poza zmianą liczby uprawnień do emisji kupowanych z zagranicy</w:t>
      </w:r>
      <w:r w:rsidRPr="00FD020A">
        <w:t xml:space="preserve"> jest zmniejszenie importu paliw kopalnych w scenariuszu WAM, głównie zmniejszenie importu gazu ziemnego. Dzieje się tak na skutek spadku zapotrzebowania</w:t>
      </w:r>
      <w:r>
        <w:t xml:space="preserve"> na paliwa</w:t>
      </w:r>
      <w:r w:rsidRPr="00FD020A">
        <w:t>, wynikającego z wprowadzenia w</w:t>
      </w:r>
      <w:r>
        <w:t> </w:t>
      </w:r>
      <w:r w:rsidRPr="00FD020A">
        <w:t>scenariuszu WAM dodatkowych polityk</w:t>
      </w:r>
      <w:r>
        <w:t xml:space="preserve"> i działań</w:t>
      </w:r>
      <w:r w:rsidRPr="00FD020A">
        <w:t>, które ograniczają zależność kraju</w:t>
      </w:r>
      <w:r>
        <w:t xml:space="preserve"> od zewnętrznych dostawców surowców energetycznych i paliw.</w:t>
      </w:r>
    </w:p>
    <w:p w14:paraId="278534D5" w14:textId="77777777" w:rsidR="005C4144" w:rsidRDefault="005C4144" w:rsidP="004F5D0E">
      <w:pPr>
        <w:pStyle w:val="Nagwek2"/>
      </w:pPr>
      <w:bookmarkStart w:id="694" w:name="_Toc202966922"/>
      <w:r>
        <w:t>Skutki społeczne</w:t>
      </w:r>
      <w:bookmarkEnd w:id="687"/>
      <w:bookmarkEnd w:id="688"/>
      <w:bookmarkEnd w:id="689"/>
      <w:bookmarkEnd w:id="690"/>
      <w:bookmarkEnd w:id="691"/>
      <w:bookmarkEnd w:id="692"/>
      <w:bookmarkEnd w:id="693"/>
      <w:bookmarkEnd w:id="694"/>
      <w:r>
        <w:t xml:space="preserve"> </w:t>
      </w:r>
    </w:p>
    <w:p w14:paraId="2C21108A" w14:textId="2CD192E8" w:rsidR="00877758" w:rsidRDefault="007861B5" w:rsidP="00877758">
      <w:pPr>
        <w:pStyle w:val="Legenda"/>
        <w:keepNext/>
      </w:pPr>
      <w:bookmarkStart w:id="695" w:name="_Toc202967025"/>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6</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10</w:t>
      </w:r>
      <w:r w:rsidR="00653D9A">
        <w:rPr>
          <w:noProof/>
        </w:rPr>
        <w:fldChar w:fldCharType="end"/>
      </w:r>
      <w:r>
        <w:t xml:space="preserve">. </w:t>
      </w:r>
      <w:r w:rsidR="00877758">
        <w:t>Dynamika stopy bezrobocia w scenariuszu WEM i WAM</w:t>
      </w:r>
      <w:bookmarkEnd w:id="695"/>
    </w:p>
    <w:tbl>
      <w:tblPr>
        <w:tblStyle w:val="KPEiK"/>
        <w:tblW w:w="4964" w:type="pct"/>
        <w:tblLook w:val="04A0" w:firstRow="1" w:lastRow="0" w:firstColumn="1" w:lastColumn="0" w:noHBand="0" w:noVBand="1"/>
      </w:tblPr>
      <w:tblGrid>
        <w:gridCol w:w="1525"/>
        <w:gridCol w:w="934"/>
        <w:gridCol w:w="934"/>
        <w:gridCol w:w="934"/>
        <w:gridCol w:w="934"/>
        <w:gridCol w:w="934"/>
        <w:gridCol w:w="934"/>
        <w:gridCol w:w="934"/>
        <w:gridCol w:w="934"/>
      </w:tblGrid>
      <w:tr w:rsidR="00877758" w:rsidRPr="00727E13" w14:paraId="733362F4" w14:textId="77777777" w:rsidTr="00877758">
        <w:trPr>
          <w:cnfStyle w:val="100000000000" w:firstRow="1" w:lastRow="0" w:firstColumn="0" w:lastColumn="0" w:oddVBand="0" w:evenVBand="0" w:oddHBand="0" w:evenHBand="0" w:firstRowFirstColumn="0" w:firstRowLastColumn="0" w:lastRowFirstColumn="0" w:lastRowLastColumn="0"/>
          <w:trHeight w:val="233"/>
        </w:trPr>
        <w:tc>
          <w:tcPr>
            <w:tcW w:w="1524" w:type="dxa"/>
          </w:tcPr>
          <w:p w14:paraId="0B845115" w14:textId="77777777" w:rsidR="00877758" w:rsidRPr="00727E13" w:rsidRDefault="00877758" w:rsidP="00DF6CBC">
            <w:pPr>
              <w:pStyle w:val="Tabele"/>
              <w:rPr>
                <w:rFonts w:ascii="Calibri" w:hAnsi="Calibri" w:cs="Calibri"/>
                <w:b w:val="0"/>
              </w:rPr>
            </w:pPr>
            <w:r w:rsidRPr="1A0F090D">
              <w:t> </w:t>
            </w:r>
          </w:p>
        </w:tc>
        <w:tc>
          <w:tcPr>
            <w:tcW w:w="934" w:type="dxa"/>
          </w:tcPr>
          <w:p w14:paraId="6E274906" w14:textId="77777777" w:rsidR="00877758" w:rsidRPr="00727E13" w:rsidRDefault="00877758" w:rsidP="00DF6CBC">
            <w:pPr>
              <w:pStyle w:val="Tabele"/>
              <w:rPr>
                <w:rFonts w:ascii="Calibri" w:hAnsi="Calibri" w:cs="Calibri"/>
                <w:b w:val="0"/>
              </w:rPr>
            </w:pPr>
            <w:r>
              <w:t>2005</w:t>
            </w:r>
          </w:p>
        </w:tc>
        <w:tc>
          <w:tcPr>
            <w:tcW w:w="934" w:type="dxa"/>
          </w:tcPr>
          <w:p w14:paraId="7429666F" w14:textId="77777777" w:rsidR="00877758" w:rsidRPr="00727E13" w:rsidRDefault="00877758" w:rsidP="00DF6CBC">
            <w:pPr>
              <w:pStyle w:val="Tabele"/>
              <w:rPr>
                <w:rFonts w:ascii="Calibri" w:hAnsi="Calibri" w:cs="Calibri"/>
                <w:b w:val="0"/>
              </w:rPr>
            </w:pPr>
            <w:r>
              <w:t>2010</w:t>
            </w:r>
          </w:p>
        </w:tc>
        <w:tc>
          <w:tcPr>
            <w:tcW w:w="934" w:type="dxa"/>
          </w:tcPr>
          <w:p w14:paraId="734BA8E2" w14:textId="77777777" w:rsidR="00877758" w:rsidRPr="00727E13" w:rsidRDefault="00877758" w:rsidP="00DF6CBC">
            <w:pPr>
              <w:pStyle w:val="Tabele"/>
              <w:rPr>
                <w:rFonts w:ascii="Calibri" w:hAnsi="Calibri" w:cs="Calibri"/>
                <w:b w:val="0"/>
              </w:rPr>
            </w:pPr>
            <w:r>
              <w:t>2015</w:t>
            </w:r>
          </w:p>
        </w:tc>
        <w:tc>
          <w:tcPr>
            <w:tcW w:w="934" w:type="dxa"/>
          </w:tcPr>
          <w:p w14:paraId="389AC9FB" w14:textId="77777777" w:rsidR="00877758" w:rsidRPr="00727E13" w:rsidRDefault="00877758" w:rsidP="00DF6CBC">
            <w:pPr>
              <w:pStyle w:val="Tabele"/>
              <w:rPr>
                <w:rFonts w:ascii="Calibri" w:hAnsi="Calibri" w:cs="Calibri"/>
                <w:b w:val="0"/>
              </w:rPr>
            </w:pPr>
            <w:r>
              <w:t>2020</w:t>
            </w:r>
          </w:p>
        </w:tc>
        <w:tc>
          <w:tcPr>
            <w:tcW w:w="934" w:type="dxa"/>
          </w:tcPr>
          <w:p w14:paraId="254380F8" w14:textId="77777777" w:rsidR="00877758" w:rsidRPr="00727E13" w:rsidRDefault="00877758" w:rsidP="00DF6CBC">
            <w:pPr>
              <w:pStyle w:val="Tabele"/>
              <w:rPr>
                <w:rFonts w:ascii="Calibri" w:hAnsi="Calibri" w:cs="Calibri"/>
                <w:b w:val="0"/>
              </w:rPr>
            </w:pPr>
            <w:r>
              <w:t>2025</w:t>
            </w:r>
          </w:p>
        </w:tc>
        <w:tc>
          <w:tcPr>
            <w:tcW w:w="934" w:type="dxa"/>
          </w:tcPr>
          <w:p w14:paraId="29B77B51" w14:textId="77777777" w:rsidR="00877758" w:rsidRPr="00727E13" w:rsidRDefault="00877758" w:rsidP="00DF6CBC">
            <w:pPr>
              <w:pStyle w:val="Tabele"/>
              <w:rPr>
                <w:rFonts w:ascii="Calibri" w:hAnsi="Calibri" w:cs="Calibri"/>
                <w:b w:val="0"/>
              </w:rPr>
            </w:pPr>
            <w:r>
              <w:t>2030</w:t>
            </w:r>
          </w:p>
        </w:tc>
        <w:tc>
          <w:tcPr>
            <w:tcW w:w="934" w:type="dxa"/>
          </w:tcPr>
          <w:p w14:paraId="7F02A85D" w14:textId="77777777" w:rsidR="00877758" w:rsidRPr="00727E13" w:rsidRDefault="00877758" w:rsidP="00DF6CBC">
            <w:pPr>
              <w:pStyle w:val="Tabele"/>
              <w:rPr>
                <w:rFonts w:ascii="Calibri" w:hAnsi="Calibri" w:cs="Calibri"/>
                <w:b w:val="0"/>
              </w:rPr>
            </w:pPr>
            <w:r>
              <w:t>2035</w:t>
            </w:r>
          </w:p>
        </w:tc>
        <w:tc>
          <w:tcPr>
            <w:tcW w:w="934" w:type="dxa"/>
          </w:tcPr>
          <w:p w14:paraId="2402051A" w14:textId="77777777" w:rsidR="00877758" w:rsidRPr="00727E13" w:rsidRDefault="00877758" w:rsidP="00DF6CBC">
            <w:pPr>
              <w:pStyle w:val="Tabele"/>
              <w:rPr>
                <w:rFonts w:ascii="Calibri" w:hAnsi="Calibri" w:cs="Calibri"/>
                <w:b w:val="0"/>
              </w:rPr>
            </w:pPr>
            <w:r>
              <w:t>2040</w:t>
            </w:r>
          </w:p>
        </w:tc>
      </w:tr>
      <w:tr w:rsidR="00877758" w:rsidRPr="00727E13" w14:paraId="320CBA93" w14:textId="77777777" w:rsidTr="00877758">
        <w:trPr>
          <w:trHeight w:val="233"/>
        </w:trPr>
        <w:tc>
          <w:tcPr>
            <w:tcW w:w="1524" w:type="dxa"/>
          </w:tcPr>
          <w:p w14:paraId="156828F9" w14:textId="77777777" w:rsidR="00877758" w:rsidRPr="00877758" w:rsidRDefault="00877758" w:rsidP="00DF6CBC">
            <w:pPr>
              <w:pStyle w:val="Tabele"/>
              <w:rPr>
                <w:rFonts w:ascii="Calibri" w:hAnsi="Calibri" w:cs="Calibri"/>
                <w:color w:val="auto"/>
              </w:rPr>
            </w:pPr>
            <w:r w:rsidRPr="00877758">
              <w:rPr>
                <w:color w:val="auto"/>
              </w:rPr>
              <w:t>WEM</w:t>
            </w:r>
          </w:p>
        </w:tc>
        <w:tc>
          <w:tcPr>
            <w:tcW w:w="934" w:type="dxa"/>
            <w:shd w:val="clear" w:color="auto" w:fill="C5E0B3" w:themeFill="accent6" w:themeFillTint="66"/>
          </w:tcPr>
          <w:p w14:paraId="57F89586" w14:textId="77777777" w:rsidR="00877758" w:rsidRPr="00877758" w:rsidRDefault="00877758" w:rsidP="00DF6CBC">
            <w:pPr>
              <w:pStyle w:val="Tabele"/>
              <w:jc w:val="right"/>
              <w:rPr>
                <w:rFonts w:ascii="Calibri" w:hAnsi="Calibri" w:cs="Calibri"/>
                <w:color w:val="auto"/>
              </w:rPr>
            </w:pPr>
            <w:r w:rsidRPr="00877758">
              <w:rPr>
                <w:color w:val="auto"/>
              </w:rPr>
              <w:t>17,6%</w:t>
            </w:r>
          </w:p>
        </w:tc>
        <w:tc>
          <w:tcPr>
            <w:tcW w:w="934" w:type="dxa"/>
            <w:shd w:val="clear" w:color="auto" w:fill="C5E0B3" w:themeFill="accent6" w:themeFillTint="66"/>
          </w:tcPr>
          <w:p w14:paraId="768D10F0" w14:textId="77777777" w:rsidR="00877758" w:rsidRPr="00877758" w:rsidRDefault="00877758" w:rsidP="00DF6CBC">
            <w:pPr>
              <w:pStyle w:val="Tabele"/>
              <w:jc w:val="right"/>
              <w:rPr>
                <w:rFonts w:ascii="Calibri" w:hAnsi="Calibri" w:cs="Calibri"/>
                <w:color w:val="auto"/>
              </w:rPr>
            </w:pPr>
            <w:r w:rsidRPr="00877758">
              <w:rPr>
                <w:color w:val="auto"/>
              </w:rPr>
              <w:t>12,4%</w:t>
            </w:r>
          </w:p>
        </w:tc>
        <w:tc>
          <w:tcPr>
            <w:tcW w:w="934" w:type="dxa"/>
            <w:shd w:val="clear" w:color="auto" w:fill="C5E0B3" w:themeFill="accent6" w:themeFillTint="66"/>
          </w:tcPr>
          <w:p w14:paraId="1CCFD089" w14:textId="77777777" w:rsidR="00877758" w:rsidRPr="00877758" w:rsidRDefault="00877758" w:rsidP="00DF6CBC">
            <w:pPr>
              <w:pStyle w:val="Tabele"/>
              <w:jc w:val="right"/>
              <w:rPr>
                <w:rFonts w:ascii="Calibri" w:hAnsi="Calibri" w:cs="Calibri"/>
                <w:color w:val="auto"/>
              </w:rPr>
            </w:pPr>
            <w:r w:rsidRPr="00877758">
              <w:rPr>
                <w:color w:val="auto"/>
              </w:rPr>
              <w:t>9,7%</w:t>
            </w:r>
          </w:p>
        </w:tc>
        <w:tc>
          <w:tcPr>
            <w:tcW w:w="934" w:type="dxa"/>
            <w:shd w:val="clear" w:color="auto" w:fill="C5E0B3" w:themeFill="accent6" w:themeFillTint="66"/>
            <w:vAlign w:val="top"/>
          </w:tcPr>
          <w:p w14:paraId="6B7FC94B" w14:textId="77777777" w:rsidR="00877758" w:rsidRPr="00877758" w:rsidRDefault="00877758" w:rsidP="00DF6CBC">
            <w:pPr>
              <w:pStyle w:val="Tabele"/>
              <w:jc w:val="right"/>
              <w:rPr>
                <w:rFonts w:ascii="Calibri" w:hAnsi="Calibri" w:cs="Calibri"/>
                <w:color w:val="auto"/>
              </w:rPr>
            </w:pPr>
            <w:r w:rsidRPr="00877758">
              <w:rPr>
                <w:color w:val="auto"/>
              </w:rPr>
              <w:t>6,6%</w:t>
            </w:r>
          </w:p>
        </w:tc>
        <w:tc>
          <w:tcPr>
            <w:tcW w:w="934" w:type="dxa"/>
            <w:vAlign w:val="top"/>
          </w:tcPr>
          <w:p w14:paraId="205A44EC" w14:textId="77777777" w:rsidR="00877758" w:rsidRPr="00877758" w:rsidRDefault="00877758" w:rsidP="00DF6CBC">
            <w:pPr>
              <w:pStyle w:val="Tabele"/>
              <w:jc w:val="right"/>
              <w:rPr>
                <w:rFonts w:ascii="Calibri" w:hAnsi="Calibri" w:cs="Calibri"/>
                <w:color w:val="auto"/>
              </w:rPr>
            </w:pPr>
            <w:r w:rsidRPr="00877758">
              <w:rPr>
                <w:color w:val="auto"/>
              </w:rPr>
              <w:t>4,9%</w:t>
            </w:r>
          </w:p>
        </w:tc>
        <w:tc>
          <w:tcPr>
            <w:tcW w:w="934" w:type="dxa"/>
            <w:vAlign w:val="top"/>
          </w:tcPr>
          <w:p w14:paraId="4212E32E" w14:textId="77777777" w:rsidR="00877758" w:rsidRPr="00877758" w:rsidRDefault="00877758" w:rsidP="00DF6CBC">
            <w:pPr>
              <w:pStyle w:val="Tabele"/>
              <w:jc w:val="right"/>
              <w:rPr>
                <w:rFonts w:ascii="Calibri" w:hAnsi="Calibri" w:cs="Calibri"/>
                <w:color w:val="auto"/>
              </w:rPr>
            </w:pPr>
            <w:r w:rsidRPr="00877758">
              <w:rPr>
                <w:color w:val="auto"/>
              </w:rPr>
              <w:t>4,9%</w:t>
            </w:r>
          </w:p>
        </w:tc>
        <w:tc>
          <w:tcPr>
            <w:tcW w:w="934" w:type="dxa"/>
            <w:vAlign w:val="top"/>
          </w:tcPr>
          <w:p w14:paraId="69A2468E" w14:textId="77777777" w:rsidR="00877758" w:rsidRPr="00877758" w:rsidRDefault="00877758" w:rsidP="00DF6CBC">
            <w:pPr>
              <w:pStyle w:val="Tabele"/>
              <w:jc w:val="right"/>
              <w:rPr>
                <w:rFonts w:ascii="Calibri" w:hAnsi="Calibri" w:cs="Calibri"/>
                <w:color w:val="auto"/>
              </w:rPr>
            </w:pPr>
            <w:r w:rsidRPr="00877758">
              <w:rPr>
                <w:color w:val="auto"/>
              </w:rPr>
              <w:t>4,9%</w:t>
            </w:r>
          </w:p>
        </w:tc>
        <w:tc>
          <w:tcPr>
            <w:tcW w:w="934" w:type="dxa"/>
            <w:vAlign w:val="top"/>
          </w:tcPr>
          <w:p w14:paraId="1179B68A" w14:textId="77777777" w:rsidR="00877758" w:rsidRPr="00877758" w:rsidRDefault="00877758" w:rsidP="00DF6CBC">
            <w:pPr>
              <w:pStyle w:val="Tabele"/>
              <w:jc w:val="right"/>
              <w:rPr>
                <w:rFonts w:ascii="Calibri" w:hAnsi="Calibri" w:cs="Calibri"/>
                <w:color w:val="auto"/>
              </w:rPr>
            </w:pPr>
            <w:r w:rsidRPr="00877758">
              <w:rPr>
                <w:color w:val="auto"/>
              </w:rPr>
              <w:t>4,9%</w:t>
            </w:r>
          </w:p>
        </w:tc>
      </w:tr>
      <w:tr w:rsidR="00877758" w:rsidRPr="00727E13" w14:paraId="6F6AB0DD" w14:textId="77777777" w:rsidTr="00877758">
        <w:trPr>
          <w:trHeight w:val="233"/>
        </w:trPr>
        <w:tc>
          <w:tcPr>
            <w:tcW w:w="1524" w:type="dxa"/>
          </w:tcPr>
          <w:p w14:paraId="2D5E684E" w14:textId="77777777" w:rsidR="00877758" w:rsidRPr="00877758" w:rsidRDefault="00877758" w:rsidP="00DF6CBC">
            <w:pPr>
              <w:pStyle w:val="Tabele"/>
              <w:rPr>
                <w:color w:val="auto"/>
              </w:rPr>
            </w:pPr>
            <w:r w:rsidRPr="00877758">
              <w:rPr>
                <w:color w:val="auto"/>
              </w:rPr>
              <w:t>WAM</w:t>
            </w:r>
          </w:p>
        </w:tc>
        <w:tc>
          <w:tcPr>
            <w:tcW w:w="934" w:type="dxa"/>
            <w:shd w:val="clear" w:color="auto" w:fill="C5E0B3" w:themeFill="accent6" w:themeFillTint="66"/>
          </w:tcPr>
          <w:p w14:paraId="19D43614" w14:textId="77777777" w:rsidR="00877758" w:rsidRPr="00877758" w:rsidRDefault="00877758" w:rsidP="00DF6CBC">
            <w:pPr>
              <w:pStyle w:val="Tabele"/>
              <w:jc w:val="right"/>
              <w:rPr>
                <w:color w:val="auto"/>
              </w:rPr>
            </w:pPr>
            <w:r w:rsidRPr="00877758">
              <w:rPr>
                <w:color w:val="auto"/>
              </w:rPr>
              <w:t>17,6%</w:t>
            </w:r>
          </w:p>
        </w:tc>
        <w:tc>
          <w:tcPr>
            <w:tcW w:w="934" w:type="dxa"/>
            <w:shd w:val="clear" w:color="auto" w:fill="C5E0B3" w:themeFill="accent6" w:themeFillTint="66"/>
          </w:tcPr>
          <w:p w14:paraId="7D2B6A83" w14:textId="77777777" w:rsidR="00877758" w:rsidRPr="00877758" w:rsidRDefault="00877758" w:rsidP="00DF6CBC">
            <w:pPr>
              <w:pStyle w:val="Tabele"/>
              <w:jc w:val="right"/>
              <w:rPr>
                <w:color w:val="auto"/>
              </w:rPr>
            </w:pPr>
            <w:r w:rsidRPr="00877758">
              <w:rPr>
                <w:color w:val="auto"/>
              </w:rPr>
              <w:t>12,4%</w:t>
            </w:r>
          </w:p>
        </w:tc>
        <w:tc>
          <w:tcPr>
            <w:tcW w:w="934" w:type="dxa"/>
            <w:shd w:val="clear" w:color="auto" w:fill="C5E0B3" w:themeFill="accent6" w:themeFillTint="66"/>
          </w:tcPr>
          <w:p w14:paraId="05A22E36" w14:textId="77777777" w:rsidR="00877758" w:rsidRPr="00877758" w:rsidRDefault="00877758" w:rsidP="00DF6CBC">
            <w:pPr>
              <w:pStyle w:val="Tabele"/>
              <w:jc w:val="right"/>
              <w:rPr>
                <w:color w:val="auto"/>
              </w:rPr>
            </w:pPr>
            <w:r w:rsidRPr="00877758">
              <w:rPr>
                <w:color w:val="auto"/>
              </w:rPr>
              <w:t>9,7%</w:t>
            </w:r>
          </w:p>
        </w:tc>
        <w:tc>
          <w:tcPr>
            <w:tcW w:w="934" w:type="dxa"/>
            <w:shd w:val="clear" w:color="auto" w:fill="C5E0B3" w:themeFill="accent6" w:themeFillTint="66"/>
            <w:vAlign w:val="top"/>
          </w:tcPr>
          <w:p w14:paraId="39D38298" w14:textId="77777777" w:rsidR="00877758" w:rsidRPr="00877758" w:rsidRDefault="00877758" w:rsidP="00DF6CBC">
            <w:pPr>
              <w:pStyle w:val="Tabele"/>
              <w:jc w:val="right"/>
              <w:rPr>
                <w:color w:val="auto"/>
              </w:rPr>
            </w:pPr>
            <w:r w:rsidRPr="00877758">
              <w:rPr>
                <w:color w:val="auto"/>
              </w:rPr>
              <w:t>6,6%</w:t>
            </w:r>
          </w:p>
        </w:tc>
        <w:tc>
          <w:tcPr>
            <w:tcW w:w="934" w:type="dxa"/>
            <w:vAlign w:val="top"/>
          </w:tcPr>
          <w:p w14:paraId="0245C4CF" w14:textId="77777777" w:rsidR="00877758" w:rsidRPr="00877758" w:rsidRDefault="00877758" w:rsidP="00DF6CBC">
            <w:pPr>
              <w:pStyle w:val="Tabele"/>
              <w:jc w:val="right"/>
              <w:rPr>
                <w:color w:val="auto"/>
              </w:rPr>
            </w:pPr>
            <w:r w:rsidRPr="00877758">
              <w:rPr>
                <w:color w:val="auto"/>
              </w:rPr>
              <w:t>4,3%</w:t>
            </w:r>
          </w:p>
        </w:tc>
        <w:tc>
          <w:tcPr>
            <w:tcW w:w="934" w:type="dxa"/>
            <w:vAlign w:val="top"/>
          </w:tcPr>
          <w:p w14:paraId="499BE688" w14:textId="77777777" w:rsidR="00877758" w:rsidRPr="00877758" w:rsidRDefault="00877758" w:rsidP="00DF6CBC">
            <w:pPr>
              <w:pStyle w:val="Tabele"/>
              <w:jc w:val="right"/>
              <w:rPr>
                <w:color w:val="auto"/>
              </w:rPr>
            </w:pPr>
            <w:r w:rsidRPr="00877758">
              <w:rPr>
                <w:color w:val="auto"/>
              </w:rPr>
              <w:t>4,0%</w:t>
            </w:r>
          </w:p>
        </w:tc>
        <w:tc>
          <w:tcPr>
            <w:tcW w:w="934" w:type="dxa"/>
            <w:vAlign w:val="top"/>
          </w:tcPr>
          <w:p w14:paraId="7CE7C520" w14:textId="77777777" w:rsidR="00877758" w:rsidRPr="00877758" w:rsidRDefault="00877758" w:rsidP="00DF6CBC">
            <w:pPr>
              <w:pStyle w:val="Tabele"/>
              <w:jc w:val="right"/>
              <w:rPr>
                <w:color w:val="auto"/>
              </w:rPr>
            </w:pPr>
            <w:r w:rsidRPr="00877758">
              <w:rPr>
                <w:color w:val="auto"/>
              </w:rPr>
              <w:t>3,6%</w:t>
            </w:r>
          </w:p>
        </w:tc>
        <w:tc>
          <w:tcPr>
            <w:tcW w:w="934" w:type="dxa"/>
            <w:vAlign w:val="top"/>
          </w:tcPr>
          <w:p w14:paraId="628245AC" w14:textId="77777777" w:rsidR="00877758" w:rsidRPr="00877758" w:rsidRDefault="00877758" w:rsidP="00DF6CBC">
            <w:pPr>
              <w:pStyle w:val="Tabele"/>
              <w:jc w:val="right"/>
              <w:rPr>
                <w:color w:val="auto"/>
              </w:rPr>
            </w:pPr>
            <w:r w:rsidRPr="00877758">
              <w:rPr>
                <w:color w:val="auto"/>
              </w:rPr>
              <w:t>3,1%</w:t>
            </w:r>
          </w:p>
        </w:tc>
      </w:tr>
      <w:tr w:rsidR="00877758" w:rsidRPr="00727E13" w14:paraId="71884ABF" w14:textId="77777777" w:rsidTr="00877758">
        <w:trPr>
          <w:trHeight w:val="233"/>
        </w:trPr>
        <w:tc>
          <w:tcPr>
            <w:tcW w:w="1524" w:type="dxa"/>
          </w:tcPr>
          <w:p w14:paraId="6B100F29" w14:textId="77777777" w:rsidR="00877758" w:rsidRPr="00877758" w:rsidRDefault="00877758" w:rsidP="00DF6CBC">
            <w:pPr>
              <w:pStyle w:val="Tabele"/>
              <w:rPr>
                <w:color w:val="auto"/>
              </w:rPr>
            </w:pPr>
            <w:r w:rsidRPr="00877758">
              <w:rPr>
                <w:color w:val="auto"/>
              </w:rPr>
              <w:t>Różnica [p.p.]</w:t>
            </w:r>
          </w:p>
        </w:tc>
        <w:tc>
          <w:tcPr>
            <w:tcW w:w="934" w:type="dxa"/>
            <w:shd w:val="clear" w:color="auto" w:fill="C5E0B3" w:themeFill="accent6" w:themeFillTint="66"/>
          </w:tcPr>
          <w:p w14:paraId="622281EB" w14:textId="77777777" w:rsidR="00877758" w:rsidRPr="00877758" w:rsidRDefault="00877758" w:rsidP="00DF6CBC">
            <w:pPr>
              <w:pStyle w:val="Tabele"/>
              <w:jc w:val="right"/>
              <w:rPr>
                <w:color w:val="auto"/>
              </w:rPr>
            </w:pPr>
            <w:r w:rsidRPr="00877758">
              <w:rPr>
                <w:color w:val="auto"/>
              </w:rPr>
              <w:t>n/a</w:t>
            </w:r>
          </w:p>
        </w:tc>
        <w:tc>
          <w:tcPr>
            <w:tcW w:w="934" w:type="dxa"/>
            <w:shd w:val="clear" w:color="auto" w:fill="C5E0B3" w:themeFill="accent6" w:themeFillTint="66"/>
          </w:tcPr>
          <w:p w14:paraId="60DEEF1C" w14:textId="77777777" w:rsidR="00877758" w:rsidRPr="00877758" w:rsidRDefault="00877758" w:rsidP="00DF6CBC">
            <w:pPr>
              <w:pStyle w:val="Tabele"/>
              <w:jc w:val="right"/>
              <w:rPr>
                <w:color w:val="auto"/>
              </w:rPr>
            </w:pPr>
            <w:r w:rsidRPr="00877758">
              <w:rPr>
                <w:color w:val="auto"/>
              </w:rPr>
              <w:t>n/a</w:t>
            </w:r>
          </w:p>
        </w:tc>
        <w:tc>
          <w:tcPr>
            <w:tcW w:w="934" w:type="dxa"/>
            <w:shd w:val="clear" w:color="auto" w:fill="C5E0B3" w:themeFill="accent6" w:themeFillTint="66"/>
          </w:tcPr>
          <w:p w14:paraId="6387DDBC" w14:textId="77777777" w:rsidR="00877758" w:rsidRPr="00877758" w:rsidRDefault="00877758" w:rsidP="00DF6CBC">
            <w:pPr>
              <w:pStyle w:val="Tabele"/>
              <w:jc w:val="right"/>
              <w:rPr>
                <w:color w:val="auto"/>
              </w:rPr>
            </w:pPr>
            <w:r w:rsidRPr="00877758">
              <w:rPr>
                <w:color w:val="auto"/>
              </w:rPr>
              <w:t>n/a</w:t>
            </w:r>
          </w:p>
        </w:tc>
        <w:tc>
          <w:tcPr>
            <w:tcW w:w="934" w:type="dxa"/>
            <w:shd w:val="clear" w:color="auto" w:fill="C5E0B3" w:themeFill="accent6" w:themeFillTint="66"/>
            <w:vAlign w:val="top"/>
          </w:tcPr>
          <w:p w14:paraId="6E5269F5" w14:textId="77777777" w:rsidR="00877758" w:rsidRPr="00877758" w:rsidRDefault="00877758" w:rsidP="00DF6CBC">
            <w:pPr>
              <w:pStyle w:val="Tabele"/>
              <w:jc w:val="right"/>
              <w:rPr>
                <w:color w:val="auto"/>
              </w:rPr>
            </w:pPr>
            <w:r w:rsidRPr="00877758">
              <w:rPr>
                <w:color w:val="auto"/>
              </w:rPr>
              <w:t>n/a</w:t>
            </w:r>
          </w:p>
        </w:tc>
        <w:tc>
          <w:tcPr>
            <w:tcW w:w="934" w:type="dxa"/>
            <w:vAlign w:val="top"/>
          </w:tcPr>
          <w:p w14:paraId="6AB7D516" w14:textId="77777777" w:rsidR="00877758" w:rsidRPr="00877758" w:rsidRDefault="00877758" w:rsidP="00DF6CBC">
            <w:pPr>
              <w:pStyle w:val="Tabele"/>
              <w:jc w:val="right"/>
              <w:rPr>
                <w:color w:val="auto"/>
              </w:rPr>
            </w:pPr>
            <w:r w:rsidRPr="00877758">
              <w:rPr>
                <w:color w:val="auto"/>
              </w:rPr>
              <w:t>-0,6</w:t>
            </w:r>
          </w:p>
        </w:tc>
        <w:tc>
          <w:tcPr>
            <w:tcW w:w="934" w:type="dxa"/>
            <w:vAlign w:val="top"/>
          </w:tcPr>
          <w:p w14:paraId="29769B37" w14:textId="77777777" w:rsidR="00877758" w:rsidRPr="00877758" w:rsidRDefault="00877758" w:rsidP="00DF6CBC">
            <w:pPr>
              <w:pStyle w:val="Tabele"/>
              <w:jc w:val="right"/>
              <w:rPr>
                <w:color w:val="auto"/>
              </w:rPr>
            </w:pPr>
            <w:r w:rsidRPr="00877758">
              <w:rPr>
                <w:color w:val="auto"/>
              </w:rPr>
              <w:t>-0,9</w:t>
            </w:r>
          </w:p>
        </w:tc>
        <w:tc>
          <w:tcPr>
            <w:tcW w:w="934" w:type="dxa"/>
            <w:vAlign w:val="top"/>
          </w:tcPr>
          <w:p w14:paraId="462D47E0" w14:textId="77777777" w:rsidR="00877758" w:rsidRPr="00877758" w:rsidRDefault="00877758" w:rsidP="00DF6CBC">
            <w:pPr>
              <w:pStyle w:val="Tabele"/>
              <w:jc w:val="right"/>
              <w:rPr>
                <w:color w:val="auto"/>
              </w:rPr>
            </w:pPr>
            <w:r w:rsidRPr="00877758">
              <w:rPr>
                <w:color w:val="auto"/>
              </w:rPr>
              <w:t>-1,4</w:t>
            </w:r>
          </w:p>
        </w:tc>
        <w:tc>
          <w:tcPr>
            <w:tcW w:w="934" w:type="dxa"/>
            <w:vAlign w:val="top"/>
          </w:tcPr>
          <w:p w14:paraId="522B2D5F" w14:textId="77777777" w:rsidR="00877758" w:rsidRPr="00877758" w:rsidRDefault="00877758" w:rsidP="00DF6CBC">
            <w:pPr>
              <w:pStyle w:val="Tabele"/>
              <w:jc w:val="right"/>
              <w:rPr>
                <w:color w:val="auto"/>
              </w:rPr>
            </w:pPr>
            <w:r w:rsidRPr="00877758">
              <w:rPr>
                <w:color w:val="auto"/>
              </w:rPr>
              <w:t>-1,9</w:t>
            </w:r>
          </w:p>
        </w:tc>
      </w:tr>
    </w:tbl>
    <w:p w14:paraId="14A86D36" w14:textId="77777777" w:rsidR="00877758" w:rsidRPr="006912F7" w:rsidRDefault="00877758" w:rsidP="00696068">
      <w:pPr>
        <w:pStyle w:val="Legenda"/>
      </w:pPr>
      <w:r w:rsidRPr="006912F7">
        <w:t>Źródło: opracowanie własne IOŚ-PIB i Bank Danych Makroekonom</w:t>
      </w:r>
      <w:r>
        <w:t>icznych (dane historyczne)</w:t>
      </w:r>
    </w:p>
    <w:p w14:paraId="74F4726D" w14:textId="77777777" w:rsidR="005C4144" w:rsidRPr="00083FB9" w:rsidRDefault="005C4144" w:rsidP="004F5D0E">
      <w:pPr>
        <w:pStyle w:val="Nagwek3"/>
      </w:pPr>
      <w:bookmarkStart w:id="696" w:name="_Toc167795180"/>
      <w:bookmarkStart w:id="697" w:name="_Toc167799351"/>
      <w:bookmarkStart w:id="698" w:name="_Toc167803422"/>
      <w:bookmarkStart w:id="699" w:name="_Toc167804140"/>
      <w:bookmarkStart w:id="700" w:name="_Toc167804167"/>
      <w:bookmarkStart w:id="701" w:name="_Toc171587353"/>
      <w:bookmarkStart w:id="702" w:name="_Toc174710924"/>
      <w:bookmarkStart w:id="703" w:name="_Toc202966923"/>
      <w:r w:rsidRPr="00083FB9">
        <w:t>Dynamika płacy realnej</w:t>
      </w:r>
      <w:bookmarkEnd w:id="696"/>
      <w:bookmarkEnd w:id="697"/>
      <w:bookmarkEnd w:id="698"/>
      <w:bookmarkEnd w:id="699"/>
      <w:bookmarkEnd w:id="700"/>
      <w:bookmarkEnd w:id="701"/>
      <w:bookmarkEnd w:id="702"/>
      <w:bookmarkEnd w:id="703"/>
    </w:p>
    <w:p w14:paraId="71C2982C" w14:textId="3F24D74B" w:rsidR="00BF4E84" w:rsidRDefault="00FB4DE4" w:rsidP="00FB4DE4">
      <w:r>
        <w:t xml:space="preserve">Płaca realna odnosi się do wartości wynagrodzenia po skorygowaniu o wpływ inflacji i wyraża rzeczywistą siłę nabywczą tego wynagrodzenia. Z uwagi na przyjętą metodykę w niniejszej analizie posłużono się wskaźnikiem zmian płacy realnej. </w:t>
      </w:r>
      <w:r w:rsidRPr="00470A15">
        <w:t>Dynamika płacy realnej obejmuje okres od 2020 do 20</w:t>
      </w:r>
      <w:r w:rsidR="00EA5536" w:rsidRPr="00470A15">
        <w:t>4</w:t>
      </w:r>
      <w:r w:rsidR="00BE2ED8">
        <w:t>0 r.</w:t>
      </w:r>
      <w:r w:rsidRPr="00470A15">
        <w:t xml:space="preserve"> i według scenariusza WEM wzrasta w tym czasie około </w:t>
      </w:r>
      <w:r w:rsidR="00470A15" w:rsidRPr="00470A15">
        <w:t>1,7</w:t>
      </w:r>
      <w:r w:rsidRPr="00470A15">
        <w:t xml:space="preserve"> razy</w:t>
      </w:r>
      <w:r>
        <w:t xml:space="preserve"> (</w:t>
      </w:r>
      <w:r w:rsidRPr="00DA26E3">
        <w:t>co oznacza wzrost siły nabywczej pracowników</w:t>
      </w:r>
      <w:r>
        <w:t>)</w:t>
      </w:r>
      <w:r w:rsidRPr="00DA26E3">
        <w:t>. Zgodnie z projekcją, w 202</w:t>
      </w:r>
      <w:r w:rsidR="00BE2ED8">
        <w:t>5 r.</w:t>
      </w:r>
      <w:r w:rsidRPr="00DA26E3">
        <w:t xml:space="preserve"> płace realne wzrastają </w:t>
      </w:r>
      <w:r>
        <w:t xml:space="preserve">o wskaźnik </w:t>
      </w:r>
      <w:r w:rsidRPr="00DA26E3">
        <w:t>1</w:t>
      </w:r>
      <w:r>
        <w:t xml:space="preserve">,1 w odniesieniu do </w:t>
      </w:r>
      <w:r w:rsidR="00A16CDB">
        <w:t>2020 r.</w:t>
      </w:r>
      <w:r w:rsidRPr="00DA26E3">
        <w:t>, a</w:t>
      </w:r>
      <w:r>
        <w:t> </w:t>
      </w:r>
      <w:r w:rsidRPr="00DA26E3">
        <w:t>w</w:t>
      </w:r>
      <w:r>
        <w:t> </w:t>
      </w:r>
      <w:r w:rsidRPr="00DA26E3">
        <w:t>203</w:t>
      </w:r>
      <w:r w:rsidR="00BE2ED8">
        <w:t>0 r.</w:t>
      </w:r>
      <w:r w:rsidRPr="00DA26E3">
        <w:t xml:space="preserve"> </w:t>
      </w:r>
      <w:r>
        <w:t>o 1,3.</w:t>
      </w:r>
      <w:r w:rsidRPr="00DA26E3">
        <w:t xml:space="preserve"> W kolejnych latach </w:t>
      </w:r>
      <w:r>
        <w:t xml:space="preserve">następuję kontynuacja wzrostu, do </w:t>
      </w:r>
      <w:r w:rsidRPr="00DA26E3">
        <w:t>1</w:t>
      </w:r>
      <w:r>
        <w:t>,5 wartości odniesienia</w:t>
      </w:r>
      <w:r w:rsidRPr="00DA26E3">
        <w:t xml:space="preserve"> w</w:t>
      </w:r>
      <w:r>
        <w:t> </w:t>
      </w:r>
      <w:r w:rsidRPr="00DA26E3">
        <w:t>203</w:t>
      </w:r>
      <w:r w:rsidR="00BE2ED8">
        <w:t>5 r.</w:t>
      </w:r>
      <w:r>
        <w:t xml:space="preserve"> i </w:t>
      </w:r>
      <w:r w:rsidRPr="00DA26E3">
        <w:t>1</w:t>
      </w:r>
      <w:r>
        <w:t>,7</w:t>
      </w:r>
      <w:r w:rsidRPr="00DA26E3">
        <w:t xml:space="preserve"> w</w:t>
      </w:r>
      <w:r w:rsidR="00B6518A">
        <w:t> </w:t>
      </w:r>
      <w:r w:rsidRPr="00DA26E3">
        <w:t>204</w:t>
      </w:r>
      <w:r w:rsidR="00BE2ED8">
        <w:t>0 r.</w:t>
      </w:r>
      <w:r w:rsidR="009D0650">
        <w:t xml:space="preserve"> </w:t>
      </w:r>
      <w:r w:rsidR="005C4144" w:rsidRPr="0049589C">
        <w:t>(</w:t>
      </w:r>
      <w:r w:rsidR="005A0899">
        <w:fldChar w:fldCharType="begin"/>
      </w:r>
      <w:r w:rsidR="005A0899">
        <w:instrText xml:space="preserve"> REF _Ref195872690 \h </w:instrText>
      </w:r>
      <w:r w:rsidR="005A0899">
        <w:fldChar w:fldCharType="separate"/>
      </w:r>
      <w:r w:rsidR="00F27D6F">
        <w:t xml:space="preserve">Tabela </w:t>
      </w:r>
      <w:r w:rsidR="00F27D6F">
        <w:rPr>
          <w:noProof/>
        </w:rPr>
        <w:t>6</w:t>
      </w:r>
      <w:r w:rsidR="00F27D6F">
        <w:t>.</w:t>
      </w:r>
      <w:r w:rsidR="00F27D6F">
        <w:rPr>
          <w:noProof/>
        </w:rPr>
        <w:t>11</w:t>
      </w:r>
      <w:r w:rsidR="005A0899">
        <w:fldChar w:fldCharType="end"/>
      </w:r>
      <w:r w:rsidR="005C4144">
        <w:t>)</w:t>
      </w:r>
      <w:r w:rsidR="005C4144" w:rsidRPr="00DA26E3">
        <w:t>.</w:t>
      </w:r>
      <w:r w:rsidR="005C4144">
        <w:t xml:space="preserve"> </w:t>
      </w:r>
    </w:p>
    <w:p w14:paraId="60D6A486" w14:textId="3A5C8A3C" w:rsidR="005C4144" w:rsidRPr="00DA26E3" w:rsidRDefault="006241DC" w:rsidP="00FB4DE4">
      <w:r w:rsidRPr="00DA26E3">
        <w:t>Porównując scenariusz WEM z WAM, wid</w:t>
      </w:r>
      <w:r>
        <w:t xml:space="preserve">oczna jest wyższa dynamika wzrostu w </w:t>
      </w:r>
      <w:r w:rsidRPr="00DA26E3">
        <w:t>scenariuszu WAM</w:t>
      </w:r>
      <w:r>
        <w:t xml:space="preserve">, szczególnie w końcowej części okresu objętego analizą. W okresie od 2020 do </w:t>
      </w:r>
      <w:r w:rsidRPr="00DA26E3">
        <w:t>20</w:t>
      </w:r>
      <w:r>
        <w:t>36</w:t>
      </w:r>
      <w:r w:rsidRPr="00DA26E3">
        <w:t xml:space="preserve"> r</w:t>
      </w:r>
      <w:r w:rsidR="001F4AAE">
        <w:t>.</w:t>
      </w:r>
      <w:r w:rsidRPr="00DA26E3">
        <w:t xml:space="preserve"> płace realne </w:t>
      </w:r>
      <w:r>
        <w:t>rosną podobnie jak w scenariuszu WEM. Od 203</w:t>
      </w:r>
      <w:r w:rsidR="00BE2ED8">
        <w:t>5 r.</w:t>
      </w:r>
      <w:r>
        <w:t xml:space="preserve"> płaca realna rośnie wyraźnie szybciej niż w scenariuszu WEM. </w:t>
      </w:r>
      <w:r w:rsidRPr="00846031">
        <w:t>W 20</w:t>
      </w:r>
      <w:r w:rsidR="00C969BC" w:rsidRPr="00846031">
        <w:t>4</w:t>
      </w:r>
      <w:r w:rsidR="00BE2ED8">
        <w:t>0 r.</w:t>
      </w:r>
      <w:r w:rsidRPr="00846031">
        <w:t xml:space="preserve"> jest 1</w:t>
      </w:r>
      <w:r w:rsidR="001075C3" w:rsidRPr="00846031">
        <w:t>,79</w:t>
      </w:r>
      <w:r w:rsidRPr="00846031">
        <w:t> razy wyższa od wartości odniesienia w 202</w:t>
      </w:r>
      <w:r w:rsidR="00BE2ED8">
        <w:t>0 r.</w:t>
      </w:r>
      <w:r>
        <w:t xml:space="preserve"> (czyli około </w:t>
      </w:r>
      <w:r w:rsidR="00E2200B">
        <w:t>9</w:t>
      </w:r>
      <w:r>
        <w:t xml:space="preserve"> punktów procentowych więcej </w:t>
      </w:r>
      <w:r w:rsidRPr="00DA26E3">
        <w:t>niż w scenariuszu WEM</w:t>
      </w:r>
      <w:r>
        <w:t>)</w:t>
      </w:r>
      <w:r w:rsidRPr="00DA26E3">
        <w:t>. Różnica ta sugeruje, że</w:t>
      </w:r>
      <w:r>
        <w:t> </w:t>
      </w:r>
      <w:r w:rsidRPr="00DA26E3">
        <w:t>polityki i działania uwzględnione w</w:t>
      </w:r>
      <w:r>
        <w:t> </w:t>
      </w:r>
      <w:r w:rsidRPr="00DA26E3">
        <w:t>scenariuszu WAM mogą prowadzić do jeszcze korzystniejszych warunków ekonomicznych dla pracowników niż w scenariuszu WEM</w:t>
      </w:r>
    </w:p>
    <w:p w14:paraId="02889DB5" w14:textId="230BEB32" w:rsidR="00FA4A7E" w:rsidRDefault="005C4144" w:rsidP="00FA4A7E">
      <w:pPr>
        <w:pStyle w:val="Legenda"/>
        <w:keepNext/>
      </w:pPr>
      <w:bookmarkStart w:id="704" w:name="_Ref167822095"/>
      <w:bookmarkStart w:id="705" w:name="_Ref167801915"/>
      <w:bookmarkStart w:id="706" w:name="_Toc169565499"/>
      <w:bookmarkStart w:id="707" w:name="_Toc171587239"/>
      <w:bookmarkStart w:id="708" w:name="_Toc174711022"/>
      <w:bookmarkStart w:id="709" w:name="_Ref195872690"/>
      <w:bookmarkStart w:id="710" w:name="_Toc202967026"/>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6</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11</w:t>
      </w:r>
      <w:r w:rsidR="00653D9A">
        <w:rPr>
          <w:noProof/>
        </w:rPr>
        <w:fldChar w:fldCharType="end"/>
      </w:r>
      <w:bookmarkEnd w:id="704"/>
      <w:bookmarkEnd w:id="705"/>
      <w:bookmarkEnd w:id="706"/>
      <w:bookmarkEnd w:id="707"/>
      <w:bookmarkEnd w:id="708"/>
      <w:bookmarkEnd w:id="709"/>
      <w:r w:rsidR="008700D0">
        <w:rPr>
          <w:noProof/>
        </w:rPr>
        <w:t xml:space="preserve"> </w:t>
      </w:r>
      <w:r w:rsidR="00FA4A7E" w:rsidRPr="0060223A">
        <w:t xml:space="preserve">Projekcja </w:t>
      </w:r>
      <w:r w:rsidR="00FA4A7E">
        <w:t>dynamiki płacy realnej</w:t>
      </w:r>
      <w:bookmarkEnd w:id="710"/>
    </w:p>
    <w:tbl>
      <w:tblPr>
        <w:tblStyle w:val="KPEiK"/>
        <w:tblW w:w="5000" w:type="pct"/>
        <w:tblLook w:val="04A0" w:firstRow="1" w:lastRow="0" w:firstColumn="1" w:lastColumn="0" w:noHBand="0" w:noVBand="1"/>
      </w:tblPr>
      <w:tblGrid>
        <w:gridCol w:w="2545"/>
        <w:gridCol w:w="1293"/>
        <w:gridCol w:w="1044"/>
        <w:gridCol w:w="1045"/>
        <w:gridCol w:w="1045"/>
        <w:gridCol w:w="1045"/>
        <w:gridCol w:w="1045"/>
      </w:tblGrid>
      <w:tr w:rsidR="00FA4A7E" w:rsidRPr="00727E13" w14:paraId="08E23037" w14:textId="77777777" w:rsidTr="00FA4A7E">
        <w:trPr>
          <w:cnfStyle w:val="100000000000" w:firstRow="1" w:lastRow="0" w:firstColumn="0" w:lastColumn="0" w:oddVBand="0" w:evenVBand="0" w:oddHBand="0" w:evenHBand="0" w:firstRowFirstColumn="0" w:firstRowLastColumn="0" w:lastRowFirstColumn="0" w:lastRowLastColumn="0"/>
          <w:trHeight w:val="218"/>
        </w:trPr>
        <w:tc>
          <w:tcPr>
            <w:tcW w:w="2557" w:type="dxa"/>
          </w:tcPr>
          <w:p w14:paraId="4E16DEED" w14:textId="77777777" w:rsidR="00FA4A7E" w:rsidRDefault="00FA4A7E" w:rsidP="00DF6CBC">
            <w:pPr>
              <w:pStyle w:val="Tabele"/>
              <w:keepNext/>
            </w:pPr>
          </w:p>
        </w:tc>
        <w:tc>
          <w:tcPr>
            <w:tcW w:w="1298" w:type="dxa"/>
          </w:tcPr>
          <w:p w14:paraId="5E731073" w14:textId="77777777" w:rsidR="00FA4A7E" w:rsidRPr="00BA3CEF" w:rsidRDefault="00FA4A7E" w:rsidP="00DF6CBC">
            <w:pPr>
              <w:pStyle w:val="Tabele"/>
              <w:keepNext/>
              <w:rPr>
                <w:rFonts w:ascii="Calibri" w:hAnsi="Calibri" w:cs="Calibri"/>
                <w:b w:val="0"/>
              </w:rPr>
            </w:pPr>
            <w:r w:rsidRPr="1A0F090D">
              <w:t> </w:t>
            </w:r>
          </w:p>
        </w:tc>
        <w:tc>
          <w:tcPr>
            <w:tcW w:w="1047" w:type="dxa"/>
          </w:tcPr>
          <w:p w14:paraId="7F4B0143" w14:textId="77777777" w:rsidR="00FA4A7E" w:rsidRPr="00BA3CEF" w:rsidRDefault="00FA4A7E" w:rsidP="00DF6CBC">
            <w:pPr>
              <w:pStyle w:val="Tabele"/>
              <w:keepNext/>
              <w:rPr>
                <w:rFonts w:ascii="Calibri" w:hAnsi="Calibri" w:cs="Calibri"/>
                <w:b w:val="0"/>
              </w:rPr>
            </w:pPr>
            <w:r>
              <w:t>2020</w:t>
            </w:r>
          </w:p>
        </w:tc>
        <w:tc>
          <w:tcPr>
            <w:tcW w:w="1048" w:type="dxa"/>
          </w:tcPr>
          <w:p w14:paraId="7B7C6059" w14:textId="77777777" w:rsidR="00FA4A7E" w:rsidRPr="00BA3CEF" w:rsidRDefault="00FA4A7E" w:rsidP="00DF6CBC">
            <w:pPr>
              <w:pStyle w:val="Tabele"/>
              <w:keepNext/>
              <w:rPr>
                <w:rFonts w:ascii="Calibri" w:hAnsi="Calibri" w:cs="Calibri"/>
                <w:b w:val="0"/>
              </w:rPr>
            </w:pPr>
            <w:r>
              <w:t>2025</w:t>
            </w:r>
          </w:p>
        </w:tc>
        <w:tc>
          <w:tcPr>
            <w:tcW w:w="1048" w:type="dxa"/>
          </w:tcPr>
          <w:p w14:paraId="6D891DA8" w14:textId="77777777" w:rsidR="00FA4A7E" w:rsidRPr="00BA3CEF" w:rsidRDefault="00FA4A7E" w:rsidP="00DF6CBC">
            <w:pPr>
              <w:pStyle w:val="Tabele"/>
              <w:keepNext/>
              <w:rPr>
                <w:rFonts w:ascii="Calibri" w:hAnsi="Calibri" w:cs="Calibri"/>
                <w:b w:val="0"/>
              </w:rPr>
            </w:pPr>
            <w:r>
              <w:t>2030</w:t>
            </w:r>
          </w:p>
        </w:tc>
        <w:tc>
          <w:tcPr>
            <w:tcW w:w="1048" w:type="dxa"/>
          </w:tcPr>
          <w:p w14:paraId="4043A274" w14:textId="77777777" w:rsidR="00FA4A7E" w:rsidRPr="00BA3CEF" w:rsidRDefault="00FA4A7E" w:rsidP="00DF6CBC">
            <w:pPr>
              <w:pStyle w:val="Tabele"/>
              <w:keepNext/>
              <w:rPr>
                <w:rFonts w:ascii="Calibri" w:hAnsi="Calibri" w:cs="Calibri"/>
                <w:b w:val="0"/>
              </w:rPr>
            </w:pPr>
            <w:r>
              <w:t>2035</w:t>
            </w:r>
          </w:p>
        </w:tc>
        <w:tc>
          <w:tcPr>
            <w:tcW w:w="1048" w:type="dxa"/>
          </w:tcPr>
          <w:p w14:paraId="7DBC0FAF" w14:textId="77777777" w:rsidR="00FA4A7E" w:rsidRPr="00BA3CEF" w:rsidRDefault="00FA4A7E" w:rsidP="00DF6CBC">
            <w:pPr>
              <w:pStyle w:val="Tabele"/>
              <w:keepNext/>
              <w:rPr>
                <w:rFonts w:ascii="Calibri" w:hAnsi="Calibri" w:cs="Calibri"/>
                <w:b w:val="0"/>
              </w:rPr>
            </w:pPr>
            <w:r>
              <w:t>2040</w:t>
            </w:r>
          </w:p>
        </w:tc>
      </w:tr>
      <w:tr w:rsidR="00FA4A7E" w:rsidRPr="00727E13" w14:paraId="727D1A41" w14:textId="77777777" w:rsidTr="00FA4A7E">
        <w:trPr>
          <w:trHeight w:val="218"/>
        </w:trPr>
        <w:tc>
          <w:tcPr>
            <w:tcW w:w="2557" w:type="dxa"/>
            <w:vMerge w:val="restart"/>
          </w:tcPr>
          <w:p w14:paraId="68606666" w14:textId="77777777" w:rsidR="00FA4A7E" w:rsidRPr="00B935EE" w:rsidRDefault="00FA4A7E" w:rsidP="00DF6CBC">
            <w:pPr>
              <w:pStyle w:val="Tabele"/>
              <w:keepNext/>
              <w:rPr>
                <w:rFonts w:ascii="Calibri" w:hAnsi="Calibri" w:cs="Calibri"/>
                <w:color w:val="auto"/>
                <w:szCs w:val="16"/>
              </w:rPr>
            </w:pPr>
            <w:r w:rsidRPr="00B935EE">
              <w:rPr>
                <w:rFonts w:ascii="Calibri" w:hAnsi="Calibri" w:cs="Calibri"/>
                <w:color w:val="auto"/>
                <w:szCs w:val="16"/>
              </w:rPr>
              <w:t>Wskaźnik zmian płacy realnej</w:t>
            </w:r>
          </w:p>
        </w:tc>
        <w:tc>
          <w:tcPr>
            <w:tcW w:w="1298" w:type="dxa"/>
          </w:tcPr>
          <w:p w14:paraId="55454EA4" w14:textId="77777777" w:rsidR="00FA4A7E" w:rsidRPr="00B935EE" w:rsidRDefault="00FA4A7E" w:rsidP="00DF6CBC">
            <w:pPr>
              <w:pStyle w:val="Tabele"/>
              <w:keepNext/>
              <w:rPr>
                <w:rFonts w:ascii="Calibri" w:hAnsi="Calibri" w:cs="Calibri"/>
                <w:color w:val="auto"/>
                <w:szCs w:val="16"/>
              </w:rPr>
            </w:pPr>
            <w:r w:rsidRPr="00B935EE">
              <w:rPr>
                <w:rFonts w:ascii="Calibri" w:hAnsi="Calibri" w:cs="Calibri"/>
                <w:color w:val="auto"/>
                <w:szCs w:val="16"/>
              </w:rPr>
              <w:t>WEM</w:t>
            </w:r>
          </w:p>
        </w:tc>
        <w:tc>
          <w:tcPr>
            <w:tcW w:w="1047" w:type="dxa"/>
            <w:shd w:val="clear" w:color="auto" w:fill="C5E0B3" w:themeFill="accent6" w:themeFillTint="66"/>
            <w:vAlign w:val="top"/>
          </w:tcPr>
          <w:p w14:paraId="5EE6BF85" w14:textId="77777777" w:rsidR="00FA4A7E" w:rsidRPr="00FA4A7E" w:rsidRDefault="00FA4A7E" w:rsidP="00DF6CBC">
            <w:pPr>
              <w:pStyle w:val="Tabele"/>
              <w:keepNext/>
              <w:ind w:right="113"/>
              <w:jc w:val="right"/>
              <w:rPr>
                <w:rFonts w:ascii="Calibri" w:hAnsi="Calibri" w:cs="Calibri"/>
                <w:color w:val="auto"/>
              </w:rPr>
            </w:pPr>
            <w:r w:rsidRPr="00FA4A7E">
              <w:rPr>
                <w:color w:val="auto"/>
              </w:rPr>
              <w:t>1,00</w:t>
            </w:r>
          </w:p>
        </w:tc>
        <w:tc>
          <w:tcPr>
            <w:tcW w:w="1048" w:type="dxa"/>
            <w:vAlign w:val="top"/>
          </w:tcPr>
          <w:p w14:paraId="554E3844" w14:textId="77777777" w:rsidR="00FA4A7E" w:rsidRPr="00FA4A7E" w:rsidRDefault="00FA4A7E" w:rsidP="00DF6CBC">
            <w:pPr>
              <w:pStyle w:val="Tabele"/>
              <w:keepNext/>
              <w:ind w:right="113"/>
              <w:jc w:val="right"/>
              <w:rPr>
                <w:rFonts w:ascii="Calibri" w:hAnsi="Calibri" w:cs="Calibri"/>
                <w:color w:val="auto"/>
              </w:rPr>
            </w:pPr>
            <w:r w:rsidRPr="00FA4A7E">
              <w:rPr>
                <w:color w:val="auto"/>
              </w:rPr>
              <w:t>1,09</w:t>
            </w:r>
          </w:p>
        </w:tc>
        <w:tc>
          <w:tcPr>
            <w:tcW w:w="1048" w:type="dxa"/>
            <w:vAlign w:val="top"/>
          </w:tcPr>
          <w:p w14:paraId="34D17892" w14:textId="77777777" w:rsidR="00FA4A7E" w:rsidRPr="00FA4A7E" w:rsidRDefault="00FA4A7E" w:rsidP="00DF6CBC">
            <w:pPr>
              <w:pStyle w:val="Tabele"/>
              <w:keepNext/>
              <w:ind w:right="113"/>
              <w:jc w:val="right"/>
              <w:rPr>
                <w:rFonts w:ascii="Calibri" w:hAnsi="Calibri" w:cs="Calibri"/>
                <w:color w:val="auto"/>
              </w:rPr>
            </w:pPr>
            <w:r w:rsidRPr="00FA4A7E">
              <w:rPr>
                <w:color w:val="auto"/>
              </w:rPr>
              <w:t>1,33</w:t>
            </w:r>
          </w:p>
        </w:tc>
        <w:tc>
          <w:tcPr>
            <w:tcW w:w="1048" w:type="dxa"/>
            <w:vAlign w:val="top"/>
          </w:tcPr>
          <w:p w14:paraId="630B5A25" w14:textId="77777777" w:rsidR="00FA4A7E" w:rsidRPr="00FA4A7E" w:rsidRDefault="00FA4A7E" w:rsidP="00DF6CBC">
            <w:pPr>
              <w:pStyle w:val="Tabele"/>
              <w:keepNext/>
              <w:ind w:right="113"/>
              <w:jc w:val="right"/>
              <w:rPr>
                <w:rFonts w:ascii="Calibri" w:hAnsi="Calibri" w:cs="Calibri"/>
                <w:color w:val="auto"/>
              </w:rPr>
            </w:pPr>
            <w:r w:rsidRPr="00FA4A7E">
              <w:rPr>
                <w:color w:val="auto"/>
              </w:rPr>
              <w:t>1,53</w:t>
            </w:r>
          </w:p>
        </w:tc>
        <w:tc>
          <w:tcPr>
            <w:tcW w:w="1048" w:type="dxa"/>
            <w:vAlign w:val="top"/>
          </w:tcPr>
          <w:p w14:paraId="458E26DE" w14:textId="77777777" w:rsidR="00FA4A7E" w:rsidRPr="00FA4A7E" w:rsidRDefault="00FA4A7E" w:rsidP="00DF6CBC">
            <w:pPr>
              <w:pStyle w:val="Tabele"/>
              <w:keepNext/>
              <w:ind w:right="113"/>
              <w:jc w:val="right"/>
              <w:rPr>
                <w:rFonts w:ascii="Calibri" w:hAnsi="Calibri" w:cs="Calibri"/>
                <w:color w:val="auto"/>
              </w:rPr>
            </w:pPr>
            <w:r w:rsidRPr="00FA4A7E">
              <w:rPr>
                <w:color w:val="auto"/>
              </w:rPr>
              <w:t>1,70</w:t>
            </w:r>
          </w:p>
        </w:tc>
      </w:tr>
      <w:tr w:rsidR="00FA4A7E" w:rsidRPr="00727E13" w14:paraId="7B9AC824" w14:textId="77777777" w:rsidTr="00FA4A7E">
        <w:trPr>
          <w:trHeight w:val="218"/>
        </w:trPr>
        <w:tc>
          <w:tcPr>
            <w:tcW w:w="2557" w:type="dxa"/>
            <w:vMerge/>
          </w:tcPr>
          <w:p w14:paraId="4465251A" w14:textId="77777777" w:rsidR="00FA4A7E" w:rsidRPr="00B935EE" w:rsidRDefault="00FA4A7E" w:rsidP="00DF6CBC">
            <w:pPr>
              <w:pStyle w:val="Tabele"/>
              <w:keepNext/>
              <w:rPr>
                <w:color w:val="auto"/>
                <w:szCs w:val="16"/>
              </w:rPr>
            </w:pPr>
          </w:p>
        </w:tc>
        <w:tc>
          <w:tcPr>
            <w:tcW w:w="1298" w:type="dxa"/>
          </w:tcPr>
          <w:p w14:paraId="774D2917" w14:textId="77777777" w:rsidR="00FA4A7E" w:rsidRPr="00B935EE" w:rsidRDefault="00FA4A7E" w:rsidP="00DF6CBC">
            <w:pPr>
              <w:pStyle w:val="Tabele"/>
              <w:keepNext/>
              <w:rPr>
                <w:color w:val="auto"/>
                <w:szCs w:val="16"/>
              </w:rPr>
            </w:pPr>
            <w:r w:rsidRPr="00B935EE">
              <w:rPr>
                <w:color w:val="auto"/>
                <w:szCs w:val="16"/>
              </w:rPr>
              <w:t>WAM</w:t>
            </w:r>
          </w:p>
        </w:tc>
        <w:tc>
          <w:tcPr>
            <w:tcW w:w="1047" w:type="dxa"/>
            <w:shd w:val="clear" w:color="auto" w:fill="C5E0B3" w:themeFill="accent6" w:themeFillTint="66"/>
            <w:vAlign w:val="top"/>
          </w:tcPr>
          <w:p w14:paraId="662E3E9B" w14:textId="77777777" w:rsidR="00FA4A7E" w:rsidRPr="00FA4A7E" w:rsidRDefault="00FA4A7E" w:rsidP="00DF6CBC">
            <w:pPr>
              <w:pStyle w:val="Tabele"/>
              <w:keepNext/>
              <w:ind w:right="113"/>
              <w:jc w:val="right"/>
              <w:rPr>
                <w:color w:val="auto"/>
              </w:rPr>
            </w:pPr>
            <w:r w:rsidRPr="00FA4A7E">
              <w:rPr>
                <w:color w:val="auto"/>
              </w:rPr>
              <w:t>1,00</w:t>
            </w:r>
          </w:p>
        </w:tc>
        <w:tc>
          <w:tcPr>
            <w:tcW w:w="1048" w:type="dxa"/>
            <w:vAlign w:val="top"/>
          </w:tcPr>
          <w:p w14:paraId="1724A5D7" w14:textId="77777777" w:rsidR="00FA4A7E" w:rsidRPr="00FA4A7E" w:rsidRDefault="00FA4A7E" w:rsidP="00DF6CBC">
            <w:pPr>
              <w:pStyle w:val="Tabele"/>
              <w:keepNext/>
              <w:ind w:right="113"/>
              <w:jc w:val="right"/>
              <w:rPr>
                <w:color w:val="auto"/>
              </w:rPr>
            </w:pPr>
            <w:r w:rsidRPr="00FA4A7E">
              <w:rPr>
                <w:color w:val="auto"/>
              </w:rPr>
              <w:t>1,11</w:t>
            </w:r>
          </w:p>
        </w:tc>
        <w:tc>
          <w:tcPr>
            <w:tcW w:w="1048" w:type="dxa"/>
            <w:vAlign w:val="top"/>
          </w:tcPr>
          <w:p w14:paraId="73FAE14D" w14:textId="77777777" w:rsidR="00FA4A7E" w:rsidRPr="00FA4A7E" w:rsidRDefault="00FA4A7E" w:rsidP="00DF6CBC">
            <w:pPr>
              <w:pStyle w:val="Tabele"/>
              <w:keepNext/>
              <w:ind w:right="113"/>
              <w:jc w:val="right"/>
              <w:rPr>
                <w:color w:val="auto"/>
              </w:rPr>
            </w:pPr>
            <w:r w:rsidRPr="00FA4A7E">
              <w:rPr>
                <w:color w:val="auto"/>
              </w:rPr>
              <w:t>1,36</w:t>
            </w:r>
          </w:p>
        </w:tc>
        <w:tc>
          <w:tcPr>
            <w:tcW w:w="1048" w:type="dxa"/>
            <w:vAlign w:val="top"/>
          </w:tcPr>
          <w:p w14:paraId="7AA229A6" w14:textId="77777777" w:rsidR="00FA4A7E" w:rsidRPr="00FA4A7E" w:rsidRDefault="00FA4A7E" w:rsidP="00DF6CBC">
            <w:pPr>
              <w:pStyle w:val="Tabele"/>
              <w:keepNext/>
              <w:ind w:right="113"/>
              <w:jc w:val="right"/>
              <w:rPr>
                <w:color w:val="auto"/>
              </w:rPr>
            </w:pPr>
            <w:r w:rsidRPr="00FA4A7E">
              <w:rPr>
                <w:color w:val="auto"/>
              </w:rPr>
              <w:t>1,58</w:t>
            </w:r>
          </w:p>
        </w:tc>
        <w:tc>
          <w:tcPr>
            <w:tcW w:w="1048" w:type="dxa"/>
            <w:vAlign w:val="top"/>
          </w:tcPr>
          <w:p w14:paraId="3A24CE0D" w14:textId="77777777" w:rsidR="00FA4A7E" w:rsidRPr="00FA4A7E" w:rsidRDefault="00FA4A7E" w:rsidP="00DF6CBC">
            <w:pPr>
              <w:pStyle w:val="Tabele"/>
              <w:keepNext/>
              <w:ind w:right="113"/>
              <w:jc w:val="right"/>
              <w:rPr>
                <w:color w:val="auto"/>
              </w:rPr>
            </w:pPr>
            <w:r w:rsidRPr="00FA4A7E">
              <w:rPr>
                <w:color w:val="auto"/>
              </w:rPr>
              <w:t>1,79</w:t>
            </w:r>
          </w:p>
        </w:tc>
      </w:tr>
    </w:tbl>
    <w:p w14:paraId="37FD38F7" w14:textId="61131914" w:rsidR="00B74108" w:rsidRDefault="005C4144" w:rsidP="00D611F2">
      <w:pPr>
        <w:pStyle w:val="Legenda"/>
        <w:keepNext/>
      </w:pPr>
      <w:r w:rsidRPr="006912F7">
        <w:t>Źródło: opracowanie własne IOŚ-PIB</w:t>
      </w:r>
    </w:p>
    <w:p w14:paraId="438826DC" w14:textId="20C8EAB5" w:rsidR="001B1439" w:rsidRPr="00083FB9" w:rsidRDefault="00D611F2" w:rsidP="00556011">
      <w:pPr>
        <w:pStyle w:val="Nagwek3"/>
      </w:pPr>
      <w:bookmarkStart w:id="711" w:name="_Toc197666312"/>
      <w:bookmarkStart w:id="712" w:name="_Toc197959535"/>
      <w:bookmarkStart w:id="713" w:name="_Toc197959617"/>
      <w:bookmarkStart w:id="714" w:name="_Toc202966924"/>
      <w:bookmarkEnd w:id="711"/>
      <w:bookmarkEnd w:id="712"/>
      <w:bookmarkEnd w:id="713"/>
      <w:r w:rsidDel="001B1439">
        <w:t>Dynamika zatrudnienia w sektorach gospodarki</w:t>
      </w:r>
      <w:bookmarkEnd w:id="714"/>
    </w:p>
    <w:p w14:paraId="4F676F7C" w14:textId="77777777" w:rsidR="00D611F2" w:rsidRDefault="00D611F2" w:rsidP="00D611F2">
      <w:r>
        <w:t xml:space="preserve">Choć w krótkim okresie (w latach 2020-2025) Polska gospodarka będzie doświadczała wzrostu zatrudnienia w związku z odbiciem gospodarczym po pandemii COVID-19, w długim okresie można spodziewać się jego spadku we wszystkich sektorach ze względu na zmiany demograficzne i znaczny spadek osób w wieku produkcyjnym. Dynamika tych zmian różni się jednak między sektorami. </w:t>
      </w:r>
    </w:p>
    <w:p w14:paraId="0EAEDACD" w14:textId="0364402D" w:rsidR="00577FBF" w:rsidRDefault="00D611F2" w:rsidP="00B74108">
      <w:r>
        <w:t>W scenariuszu WEM</w:t>
      </w:r>
      <w:r w:rsidR="00083DD3">
        <w:t xml:space="preserve"> </w:t>
      </w:r>
      <w:r w:rsidR="00083DD3" w:rsidRPr="00A42942">
        <w:t>(</w:t>
      </w:r>
      <w:r w:rsidR="00B97A20">
        <w:fldChar w:fldCharType="begin"/>
      </w:r>
      <w:r w:rsidR="00B97A20">
        <w:instrText xml:space="preserve"> REF _Ref195872713 \h </w:instrText>
      </w:r>
      <w:r w:rsidR="00B97A20">
        <w:fldChar w:fldCharType="separate"/>
      </w:r>
      <w:r w:rsidR="00F27D6F">
        <w:t xml:space="preserve">Tabela </w:t>
      </w:r>
      <w:r w:rsidR="00F27D6F">
        <w:rPr>
          <w:noProof/>
        </w:rPr>
        <w:t>6</w:t>
      </w:r>
      <w:r w:rsidR="00F27D6F">
        <w:t>.</w:t>
      </w:r>
      <w:r w:rsidR="00F27D6F">
        <w:rPr>
          <w:noProof/>
        </w:rPr>
        <w:t>12</w:t>
      </w:r>
      <w:r w:rsidR="00B97A20">
        <w:fldChar w:fldCharType="end"/>
      </w:r>
      <w:r w:rsidR="00083DD3" w:rsidRPr="00A42942">
        <w:t>)</w:t>
      </w:r>
      <w:r w:rsidR="00083DD3">
        <w:t xml:space="preserve"> zatrudnienie w rolnictwie stopniowo maleje, z 2,191 mln osób w 202</w:t>
      </w:r>
      <w:r w:rsidR="00BE2ED8">
        <w:t>0</w:t>
      </w:r>
      <w:r w:rsidR="00696068">
        <w:t> </w:t>
      </w:r>
      <w:r w:rsidR="00BE2ED8">
        <w:t>r.</w:t>
      </w:r>
      <w:r w:rsidR="00083DD3">
        <w:t xml:space="preserve"> do 1,</w:t>
      </w:r>
      <w:r w:rsidR="004A477A">
        <w:t>6</w:t>
      </w:r>
      <w:r w:rsidR="00083DD3">
        <w:t xml:space="preserve"> mln osób w 20</w:t>
      </w:r>
      <w:r w:rsidR="004A477A">
        <w:t>4</w:t>
      </w:r>
      <w:r w:rsidR="00BE2ED8">
        <w:t>0 r.</w:t>
      </w:r>
      <w:r w:rsidR="00083DD3">
        <w:t xml:space="preserve">, co oznacza spadek o około </w:t>
      </w:r>
      <w:r w:rsidR="001D1A6C">
        <w:t>26</w:t>
      </w:r>
      <w:r w:rsidR="00083DD3">
        <w:t>%. Relatywnie szybki spadek zatrudnienia w tym sektorze odzwierciedla postępujący wzrost produktywności pracy w rolnictwie. Zatrudnienie w</w:t>
      </w:r>
      <w:r w:rsidR="00696068">
        <w:t> </w:t>
      </w:r>
      <w:r w:rsidR="00083DD3">
        <w:t>przemyśle oraz w budownictwie utrzymuje się na stosunkowo stabilnym w latach 20-tych i 30-tych. W</w:t>
      </w:r>
      <w:r w:rsidR="00696068">
        <w:t> </w:t>
      </w:r>
      <w:r w:rsidR="00083DD3">
        <w:t>dalszej perspektywie w obu sektorach następuje jednak spadek: w przemyśle, z 2,897 mln osób w 202</w:t>
      </w:r>
      <w:r w:rsidR="00BE2ED8">
        <w:t>0</w:t>
      </w:r>
      <w:r w:rsidR="00696068">
        <w:t> </w:t>
      </w:r>
      <w:r w:rsidR="00BE2ED8">
        <w:t>r.</w:t>
      </w:r>
      <w:r w:rsidR="00083DD3">
        <w:t xml:space="preserve"> do 2,</w:t>
      </w:r>
      <w:r w:rsidR="002F65CD">
        <w:t>818</w:t>
      </w:r>
      <w:r w:rsidR="00083DD3">
        <w:t xml:space="preserve"> mln osób w 20</w:t>
      </w:r>
      <w:r w:rsidR="002F65CD">
        <w:t>4</w:t>
      </w:r>
      <w:r w:rsidR="00BE2ED8">
        <w:t>0 r.</w:t>
      </w:r>
      <w:r w:rsidR="00083DD3">
        <w:t xml:space="preserve">, co oznacza spadek o około </w:t>
      </w:r>
      <w:r w:rsidR="009F1940">
        <w:t>3</w:t>
      </w:r>
      <w:r w:rsidR="00083DD3">
        <w:t>% i w budownictwie z 938 tys. osób w 202</w:t>
      </w:r>
      <w:r w:rsidR="00BE2ED8">
        <w:t>0 r.</w:t>
      </w:r>
      <w:r w:rsidR="00083DD3">
        <w:t xml:space="preserve"> do </w:t>
      </w:r>
      <w:r w:rsidR="00C32949">
        <w:t>869</w:t>
      </w:r>
      <w:r w:rsidR="00083DD3">
        <w:t xml:space="preserve"> tys. osób w 20</w:t>
      </w:r>
      <w:r w:rsidR="00C32949">
        <w:t>4</w:t>
      </w:r>
      <w:r w:rsidR="00BE2ED8">
        <w:t>0 r.</w:t>
      </w:r>
      <w:r w:rsidR="00083DD3">
        <w:t xml:space="preserve"> (spadek o około </w:t>
      </w:r>
      <w:r w:rsidR="001B6687">
        <w:t>7</w:t>
      </w:r>
      <w:r w:rsidR="00083DD3">
        <w:t>%). Zatrudnienie w sektorze usług stopniowo maleje z 8,685 mln osób w 202</w:t>
      </w:r>
      <w:r w:rsidR="00BE2ED8">
        <w:t>0 r.</w:t>
      </w:r>
      <w:r w:rsidR="00083DD3">
        <w:t xml:space="preserve"> do </w:t>
      </w:r>
      <w:r w:rsidR="005C7BE7">
        <w:t>8</w:t>
      </w:r>
      <w:r w:rsidR="00083DD3">
        <w:t>,</w:t>
      </w:r>
      <w:r w:rsidR="005C7BE7">
        <w:t>5</w:t>
      </w:r>
      <w:r w:rsidR="00083DD3">
        <w:t>8</w:t>
      </w:r>
      <w:r w:rsidR="005C7BE7">
        <w:t>7</w:t>
      </w:r>
      <w:r w:rsidR="00083DD3">
        <w:t xml:space="preserve"> mln osób w 20</w:t>
      </w:r>
      <w:r w:rsidR="00C07062">
        <w:t>4</w:t>
      </w:r>
      <w:r w:rsidR="00BE2ED8">
        <w:t>0 r.</w:t>
      </w:r>
      <w:r w:rsidR="00083DD3">
        <w:t>, co oznacza spadek o około 1%. W</w:t>
      </w:r>
      <w:r w:rsidR="00B6518A">
        <w:t> </w:t>
      </w:r>
      <w:r w:rsidR="00083DD3">
        <w:t>scenariuszu WAM zmiany są podobne do tych w scenariuszu WEM, choć należy podkreślić, że ich skala jest nieco mniejsza głównie ze względu na mniejszą stopę bezrobocia w scenariuszu WAM.</w:t>
      </w:r>
    </w:p>
    <w:p w14:paraId="4E5A9B29" w14:textId="1258F955" w:rsidR="001B3C41" w:rsidRDefault="008700D0" w:rsidP="001B3C41">
      <w:pPr>
        <w:pStyle w:val="Legenda"/>
        <w:keepNext/>
      </w:pPr>
      <w:bookmarkStart w:id="715" w:name="_Ref195717866"/>
      <w:bookmarkStart w:id="716" w:name="_Ref195872713"/>
      <w:bookmarkStart w:id="717" w:name="_Toc202967027"/>
      <w:r>
        <w:t xml:space="preserve">Tabela </w:t>
      </w:r>
      <w:bookmarkEnd w:id="715"/>
      <w:r>
        <w:fldChar w:fldCharType="begin"/>
      </w:r>
      <w:r>
        <w:instrText xml:space="preserve"> STYLEREF 1 \s </w:instrText>
      </w:r>
      <w:r>
        <w:fldChar w:fldCharType="separate"/>
      </w:r>
      <w:r w:rsidR="00F27D6F">
        <w:rPr>
          <w:noProof/>
        </w:rPr>
        <w:t>6</w:t>
      </w:r>
      <w:r>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12</w:t>
      </w:r>
      <w:r w:rsidR="00653D9A">
        <w:rPr>
          <w:noProof/>
        </w:rPr>
        <w:fldChar w:fldCharType="end"/>
      </w:r>
      <w:bookmarkEnd w:id="716"/>
      <w:r>
        <w:t xml:space="preserve">. </w:t>
      </w:r>
      <w:r w:rsidR="001B3C41">
        <w:t>Dynamika zatrudnienia w sektorach gospodarki w scenariuszu WEM i WAM [tys. osób]</w:t>
      </w:r>
      <w:bookmarkEnd w:id="717"/>
    </w:p>
    <w:tbl>
      <w:tblPr>
        <w:tblStyle w:val="KPEiK"/>
        <w:tblW w:w="5000" w:type="pct"/>
        <w:tblLook w:val="04A0" w:firstRow="1" w:lastRow="0" w:firstColumn="1" w:lastColumn="0" w:noHBand="0" w:noVBand="1"/>
      </w:tblPr>
      <w:tblGrid>
        <w:gridCol w:w="2694"/>
        <w:gridCol w:w="1279"/>
        <w:gridCol w:w="1017"/>
        <w:gridCol w:w="1018"/>
        <w:gridCol w:w="1018"/>
        <w:gridCol w:w="1018"/>
        <w:gridCol w:w="1018"/>
      </w:tblGrid>
      <w:tr w:rsidR="001B3C41" w:rsidRPr="00727E13" w14:paraId="4B56B6AD" w14:textId="77777777" w:rsidTr="001B3C41">
        <w:trPr>
          <w:cnfStyle w:val="100000000000" w:firstRow="1" w:lastRow="0" w:firstColumn="0" w:lastColumn="0" w:oddVBand="0" w:evenVBand="0" w:oddHBand="0" w:evenHBand="0" w:firstRowFirstColumn="0" w:firstRowLastColumn="0" w:lastRowFirstColumn="0" w:lastRowLastColumn="0"/>
          <w:trHeight w:val="225"/>
        </w:trPr>
        <w:tc>
          <w:tcPr>
            <w:tcW w:w="2782" w:type="dxa"/>
          </w:tcPr>
          <w:p w14:paraId="04FF5EAC" w14:textId="77777777" w:rsidR="001B3C41" w:rsidRDefault="001B3C41" w:rsidP="00DF6CBC">
            <w:pPr>
              <w:pStyle w:val="Tabele"/>
            </w:pPr>
          </w:p>
        </w:tc>
        <w:tc>
          <w:tcPr>
            <w:tcW w:w="1317" w:type="dxa"/>
          </w:tcPr>
          <w:p w14:paraId="53DF99BD" w14:textId="77777777" w:rsidR="001B3C41" w:rsidRPr="00727E13" w:rsidRDefault="001B3C41" w:rsidP="00DF6CBC">
            <w:pPr>
              <w:pStyle w:val="Tabele"/>
              <w:rPr>
                <w:rFonts w:ascii="Calibri" w:hAnsi="Calibri" w:cs="Calibri"/>
                <w:b w:val="0"/>
              </w:rPr>
            </w:pPr>
            <w:r w:rsidRPr="1A0F090D">
              <w:t> </w:t>
            </w:r>
          </w:p>
        </w:tc>
        <w:tc>
          <w:tcPr>
            <w:tcW w:w="1041" w:type="dxa"/>
          </w:tcPr>
          <w:p w14:paraId="4419DCC6" w14:textId="77777777" w:rsidR="001B3C41" w:rsidRPr="00727E13" w:rsidRDefault="001B3C41" w:rsidP="00D932A0">
            <w:pPr>
              <w:pStyle w:val="Tabele"/>
              <w:jc w:val="center"/>
              <w:rPr>
                <w:rFonts w:ascii="Calibri" w:hAnsi="Calibri" w:cs="Calibri"/>
                <w:b w:val="0"/>
              </w:rPr>
            </w:pPr>
            <w:r>
              <w:t>2020</w:t>
            </w:r>
          </w:p>
        </w:tc>
        <w:tc>
          <w:tcPr>
            <w:tcW w:w="1042" w:type="dxa"/>
          </w:tcPr>
          <w:p w14:paraId="2F376E19" w14:textId="77777777" w:rsidR="001B3C41" w:rsidRPr="00727E13" w:rsidRDefault="001B3C41" w:rsidP="00D932A0">
            <w:pPr>
              <w:pStyle w:val="Tabele"/>
              <w:jc w:val="center"/>
              <w:rPr>
                <w:rFonts w:ascii="Calibri" w:hAnsi="Calibri" w:cs="Calibri"/>
                <w:b w:val="0"/>
              </w:rPr>
            </w:pPr>
            <w:r>
              <w:t>2025</w:t>
            </w:r>
          </w:p>
        </w:tc>
        <w:tc>
          <w:tcPr>
            <w:tcW w:w="1042" w:type="dxa"/>
          </w:tcPr>
          <w:p w14:paraId="7C878A92" w14:textId="77777777" w:rsidR="001B3C41" w:rsidRPr="00727E13" w:rsidRDefault="001B3C41" w:rsidP="00D932A0">
            <w:pPr>
              <w:pStyle w:val="Tabele"/>
              <w:jc w:val="center"/>
              <w:rPr>
                <w:rFonts w:ascii="Calibri" w:hAnsi="Calibri" w:cs="Calibri"/>
                <w:b w:val="0"/>
              </w:rPr>
            </w:pPr>
            <w:r>
              <w:t>2030</w:t>
            </w:r>
          </w:p>
        </w:tc>
        <w:tc>
          <w:tcPr>
            <w:tcW w:w="1042" w:type="dxa"/>
          </w:tcPr>
          <w:p w14:paraId="76DC0CE7" w14:textId="77777777" w:rsidR="001B3C41" w:rsidRPr="00727E13" w:rsidRDefault="001B3C41" w:rsidP="00D932A0">
            <w:pPr>
              <w:pStyle w:val="Tabele"/>
              <w:jc w:val="center"/>
              <w:rPr>
                <w:rFonts w:ascii="Calibri" w:hAnsi="Calibri" w:cs="Calibri"/>
                <w:b w:val="0"/>
              </w:rPr>
            </w:pPr>
            <w:r>
              <w:t>2035</w:t>
            </w:r>
          </w:p>
        </w:tc>
        <w:tc>
          <w:tcPr>
            <w:tcW w:w="1042" w:type="dxa"/>
          </w:tcPr>
          <w:p w14:paraId="72E80282" w14:textId="77777777" w:rsidR="001B3C41" w:rsidRPr="00727E13" w:rsidRDefault="001B3C41" w:rsidP="00D932A0">
            <w:pPr>
              <w:pStyle w:val="Tabele"/>
              <w:jc w:val="center"/>
              <w:rPr>
                <w:rFonts w:ascii="Calibri" w:hAnsi="Calibri" w:cs="Calibri"/>
                <w:b w:val="0"/>
              </w:rPr>
            </w:pPr>
            <w:r>
              <w:t>2040</w:t>
            </w:r>
          </w:p>
        </w:tc>
      </w:tr>
      <w:tr w:rsidR="001B3C41" w:rsidRPr="00664F98" w14:paraId="35272BF0" w14:textId="77777777" w:rsidTr="001B3C41">
        <w:trPr>
          <w:trHeight w:val="225"/>
        </w:trPr>
        <w:tc>
          <w:tcPr>
            <w:tcW w:w="2782" w:type="dxa"/>
            <w:vMerge w:val="restart"/>
          </w:tcPr>
          <w:p w14:paraId="58AAEE6D" w14:textId="7E15C6B8" w:rsidR="001B3C41" w:rsidRPr="001B3C41" w:rsidRDefault="003C7230" w:rsidP="00DF6CBC">
            <w:pPr>
              <w:pStyle w:val="Tabele"/>
              <w:rPr>
                <w:color w:val="auto"/>
              </w:rPr>
            </w:pPr>
            <w:r>
              <w:rPr>
                <w:color w:val="auto"/>
              </w:rPr>
              <w:t>r</w:t>
            </w:r>
            <w:r w:rsidR="001B3C41" w:rsidRPr="001B3C41">
              <w:rPr>
                <w:color w:val="auto"/>
              </w:rPr>
              <w:t>olnictwo</w:t>
            </w:r>
          </w:p>
        </w:tc>
        <w:tc>
          <w:tcPr>
            <w:tcW w:w="1317" w:type="dxa"/>
            <w:vAlign w:val="bottom"/>
          </w:tcPr>
          <w:p w14:paraId="3089B4CC" w14:textId="77777777" w:rsidR="001B3C41" w:rsidRPr="001B3C41" w:rsidRDefault="001B3C41" w:rsidP="00DF6CBC">
            <w:pPr>
              <w:pStyle w:val="Tabele"/>
              <w:rPr>
                <w:color w:val="auto"/>
              </w:rPr>
            </w:pPr>
            <w:r w:rsidRPr="001B3C41">
              <w:rPr>
                <w:color w:val="auto"/>
              </w:rPr>
              <w:t>WEM</w:t>
            </w:r>
          </w:p>
        </w:tc>
        <w:tc>
          <w:tcPr>
            <w:tcW w:w="1041" w:type="dxa"/>
            <w:shd w:val="clear" w:color="auto" w:fill="C5E0B3" w:themeFill="accent6" w:themeFillTint="66"/>
            <w:vAlign w:val="top"/>
          </w:tcPr>
          <w:p w14:paraId="2DE9D0D9" w14:textId="77777777" w:rsidR="001B3C41" w:rsidRPr="001B3C41" w:rsidRDefault="001B3C41" w:rsidP="00DF6CBC">
            <w:pPr>
              <w:pStyle w:val="Tabele"/>
              <w:jc w:val="right"/>
              <w:rPr>
                <w:color w:val="auto"/>
              </w:rPr>
            </w:pPr>
            <w:r w:rsidRPr="001B3C41">
              <w:rPr>
                <w:color w:val="auto"/>
              </w:rPr>
              <w:t>2191</w:t>
            </w:r>
          </w:p>
        </w:tc>
        <w:tc>
          <w:tcPr>
            <w:tcW w:w="1042" w:type="dxa"/>
            <w:vAlign w:val="top"/>
          </w:tcPr>
          <w:p w14:paraId="7DFDED65" w14:textId="77777777" w:rsidR="001B3C41" w:rsidRPr="001B3C41" w:rsidRDefault="001B3C41" w:rsidP="00DF6CBC">
            <w:pPr>
              <w:pStyle w:val="Tabele"/>
              <w:jc w:val="right"/>
              <w:rPr>
                <w:color w:val="auto"/>
              </w:rPr>
            </w:pPr>
            <w:r w:rsidRPr="001B3C41">
              <w:rPr>
                <w:color w:val="auto"/>
              </w:rPr>
              <w:t>2076</w:t>
            </w:r>
          </w:p>
        </w:tc>
        <w:tc>
          <w:tcPr>
            <w:tcW w:w="1042" w:type="dxa"/>
            <w:vAlign w:val="top"/>
          </w:tcPr>
          <w:p w14:paraId="1189305C" w14:textId="77777777" w:rsidR="001B3C41" w:rsidRPr="001B3C41" w:rsidRDefault="001B3C41" w:rsidP="00DF6CBC">
            <w:pPr>
              <w:pStyle w:val="Tabele"/>
              <w:jc w:val="right"/>
              <w:rPr>
                <w:color w:val="auto"/>
              </w:rPr>
            </w:pPr>
            <w:r w:rsidRPr="001B3C41">
              <w:rPr>
                <w:color w:val="auto"/>
              </w:rPr>
              <w:t>1876</w:t>
            </w:r>
          </w:p>
        </w:tc>
        <w:tc>
          <w:tcPr>
            <w:tcW w:w="1042" w:type="dxa"/>
            <w:vAlign w:val="top"/>
          </w:tcPr>
          <w:p w14:paraId="5710E5DA" w14:textId="77777777" w:rsidR="001B3C41" w:rsidRPr="001B3C41" w:rsidRDefault="001B3C41" w:rsidP="00DF6CBC">
            <w:pPr>
              <w:pStyle w:val="Tabele"/>
              <w:jc w:val="right"/>
              <w:rPr>
                <w:color w:val="auto"/>
              </w:rPr>
            </w:pPr>
            <w:r w:rsidRPr="001B3C41">
              <w:rPr>
                <w:color w:val="auto"/>
              </w:rPr>
              <w:t>1741</w:t>
            </w:r>
          </w:p>
        </w:tc>
        <w:tc>
          <w:tcPr>
            <w:tcW w:w="1042" w:type="dxa"/>
            <w:vAlign w:val="top"/>
          </w:tcPr>
          <w:p w14:paraId="3E4ED162" w14:textId="77777777" w:rsidR="001B3C41" w:rsidRPr="001B3C41" w:rsidRDefault="001B3C41" w:rsidP="00DF6CBC">
            <w:pPr>
              <w:pStyle w:val="Tabele"/>
              <w:jc w:val="right"/>
              <w:rPr>
                <w:color w:val="auto"/>
              </w:rPr>
            </w:pPr>
            <w:r w:rsidRPr="001B3C41">
              <w:rPr>
                <w:color w:val="auto"/>
              </w:rPr>
              <w:t>1600</w:t>
            </w:r>
          </w:p>
        </w:tc>
      </w:tr>
      <w:tr w:rsidR="001B3C41" w:rsidRPr="00664F98" w14:paraId="7CCDFAEA" w14:textId="77777777" w:rsidTr="001B3C41">
        <w:trPr>
          <w:trHeight w:val="225"/>
        </w:trPr>
        <w:tc>
          <w:tcPr>
            <w:tcW w:w="2782" w:type="dxa"/>
            <w:vMerge/>
            <w:vAlign w:val="bottom"/>
          </w:tcPr>
          <w:p w14:paraId="3ACD5C79" w14:textId="77777777" w:rsidR="001B3C41" w:rsidRPr="001B3C41" w:rsidRDefault="001B3C41" w:rsidP="00DF6CBC">
            <w:pPr>
              <w:pStyle w:val="Tabele"/>
              <w:rPr>
                <w:color w:val="auto"/>
              </w:rPr>
            </w:pPr>
          </w:p>
        </w:tc>
        <w:tc>
          <w:tcPr>
            <w:tcW w:w="1317" w:type="dxa"/>
            <w:vAlign w:val="bottom"/>
          </w:tcPr>
          <w:p w14:paraId="73614FF7" w14:textId="77777777" w:rsidR="001B3C41" w:rsidRPr="001B3C41" w:rsidRDefault="001B3C41" w:rsidP="00DF6CBC">
            <w:pPr>
              <w:pStyle w:val="Tabele"/>
              <w:rPr>
                <w:color w:val="auto"/>
              </w:rPr>
            </w:pPr>
            <w:r w:rsidRPr="001B3C41">
              <w:rPr>
                <w:color w:val="auto"/>
              </w:rPr>
              <w:t>WAM</w:t>
            </w:r>
          </w:p>
        </w:tc>
        <w:tc>
          <w:tcPr>
            <w:tcW w:w="1041" w:type="dxa"/>
            <w:shd w:val="clear" w:color="auto" w:fill="C5E0B3" w:themeFill="accent6" w:themeFillTint="66"/>
            <w:vAlign w:val="top"/>
          </w:tcPr>
          <w:p w14:paraId="7745B7E7" w14:textId="77777777" w:rsidR="001B3C41" w:rsidRPr="001B3C41" w:rsidRDefault="001B3C41" w:rsidP="00DF6CBC">
            <w:pPr>
              <w:pStyle w:val="Tabele"/>
              <w:jc w:val="right"/>
              <w:rPr>
                <w:color w:val="auto"/>
              </w:rPr>
            </w:pPr>
            <w:r w:rsidRPr="001B3C41">
              <w:rPr>
                <w:color w:val="auto"/>
              </w:rPr>
              <w:t>2191</w:t>
            </w:r>
          </w:p>
        </w:tc>
        <w:tc>
          <w:tcPr>
            <w:tcW w:w="1042" w:type="dxa"/>
            <w:vAlign w:val="top"/>
          </w:tcPr>
          <w:p w14:paraId="48AD1ED1" w14:textId="77777777" w:rsidR="001B3C41" w:rsidRPr="001B3C41" w:rsidRDefault="001B3C41" w:rsidP="00DF6CBC">
            <w:pPr>
              <w:pStyle w:val="Tabele"/>
              <w:jc w:val="right"/>
              <w:rPr>
                <w:color w:val="auto"/>
              </w:rPr>
            </w:pPr>
            <w:r w:rsidRPr="001B3C41">
              <w:rPr>
                <w:color w:val="auto"/>
              </w:rPr>
              <w:t>2070</w:t>
            </w:r>
          </w:p>
        </w:tc>
        <w:tc>
          <w:tcPr>
            <w:tcW w:w="1042" w:type="dxa"/>
            <w:vAlign w:val="top"/>
          </w:tcPr>
          <w:p w14:paraId="3484022E" w14:textId="77777777" w:rsidR="001B3C41" w:rsidRPr="001B3C41" w:rsidRDefault="001B3C41" w:rsidP="00DF6CBC">
            <w:pPr>
              <w:pStyle w:val="Tabele"/>
              <w:jc w:val="right"/>
              <w:rPr>
                <w:color w:val="auto"/>
              </w:rPr>
            </w:pPr>
            <w:r w:rsidRPr="001B3C41">
              <w:rPr>
                <w:color w:val="auto"/>
              </w:rPr>
              <w:t>1872</w:t>
            </w:r>
          </w:p>
        </w:tc>
        <w:tc>
          <w:tcPr>
            <w:tcW w:w="1042" w:type="dxa"/>
            <w:vAlign w:val="top"/>
          </w:tcPr>
          <w:p w14:paraId="475478C6" w14:textId="77777777" w:rsidR="001B3C41" w:rsidRPr="001B3C41" w:rsidRDefault="001B3C41" w:rsidP="00DF6CBC">
            <w:pPr>
              <w:pStyle w:val="Tabele"/>
              <w:jc w:val="right"/>
              <w:rPr>
                <w:color w:val="auto"/>
              </w:rPr>
            </w:pPr>
            <w:r w:rsidRPr="001B3C41">
              <w:rPr>
                <w:color w:val="auto"/>
              </w:rPr>
              <w:t>1734</w:t>
            </w:r>
          </w:p>
        </w:tc>
        <w:tc>
          <w:tcPr>
            <w:tcW w:w="1042" w:type="dxa"/>
            <w:vAlign w:val="top"/>
          </w:tcPr>
          <w:p w14:paraId="0EAA2A83" w14:textId="77777777" w:rsidR="001B3C41" w:rsidRPr="001B3C41" w:rsidRDefault="001B3C41" w:rsidP="00DF6CBC">
            <w:pPr>
              <w:pStyle w:val="Tabele"/>
              <w:jc w:val="right"/>
              <w:rPr>
                <w:color w:val="auto"/>
              </w:rPr>
            </w:pPr>
            <w:r w:rsidRPr="001B3C41">
              <w:rPr>
                <w:color w:val="auto"/>
              </w:rPr>
              <w:t>1602</w:t>
            </w:r>
          </w:p>
        </w:tc>
      </w:tr>
      <w:tr w:rsidR="001B3C41" w:rsidRPr="00664F98" w14:paraId="58C0A4D3" w14:textId="77777777" w:rsidTr="001B3C41">
        <w:trPr>
          <w:trHeight w:val="225"/>
        </w:trPr>
        <w:tc>
          <w:tcPr>
            <w:tcW w:w="2782" w:type="dxa"/>
            <w:vMerge w:val="restart"/>
            <w:vAlign w:val="bottom"/>
          </w:tcPr>
          <w:p w14:paraId="051FE443" w14:textId="77777777" w:rsidR="001B3C41" w:rsidRPr="001B3C41" w:rsidRDefault="001B3C41" w:rsidP="00DF6CBC">
            <w:pPr>
              <w:pStyle w:val="Tabele"/>
              <w:rPr>
                <w:color w:val="auto"/>
              </w:rPr>
            </w:pPr>
            <w:r w:rsidRPr="001B3C41">
              <w:rPr>
                <w:color w:val="auto"/>
              </w:rPr>
              <w:t>wydobycie węgla</w:t>
            </w:r>
          </w:p>
          <w:p w14:paraId="33849E8E" w14:textId="77777777" w:rsidR="001B3C41" w:rsidRPr="001B3C41" w:rsidRDefault="001B3C41" w:rsidP="00DF6CBC">
            <w:pPr>
              <w:pStyle w:val="Tabele"/>
              <w:rPr>
                <w:color w:val="auto"/>
              </w:rPr>
            </w:pPr>
          </w:p>
        </w:tc>
        <w:tc>
          <w:tcPr>
            <w:tcW w:w="1317" w:type="dxa"/>
            <w:vAlign w:val="bottom"/>
          </w:tcPr>
          <w:p w14:paraId="01C37A9E" w14:textId="77777777" w:rsidR="001B3C41" w:rsidRPr="001B3C41" w:rsidRDefault="001B3C41" w:rsidP="00DF6CBC">
            <w:pPr>
              <w:pStyle w:val="Tabele"/>
              <w:rPr>
                <w:color w:val="auto"/>
              </w:rPr>
            </w:pPr>
            <w:r w:rsidRPr="001B3C41">
              <w:rPr>
                <w:color w:val="auto"/>
              </w:rPr>
              <w:t>WEM</w:t>
            </w:r>
          </w:p>
        </w:tc>
        <w:tc>
          <w:tcPr>
            <w:tcW w:w="1041" w:type="dxa"/>
            <w:shd w:val="clear" w:color="auto" w:fill="C5E0B3" w:themeFill="accent6" w:themeFillTint="66"/>
            <w:vAlign w:val="top"/>
          </w:tcPr>
          <w:p w14:paraId="4343A862" w14:textId="77777777" w:rsidR="001B3C41" w:rsidRPr="001B3C41" w:rsidRDefault="001B3C41" w:rsidP="00DF6CBC">
            <w:pPr>
              <w:pStyle w:val="Tabele"/>
              <w:jc w:val="right"/>
              <w:rPr>
                <w:color w:val="auto"/>
              </w:rPr>
            </w:pPr>
            <w:r w:rsidRPr="001B3C41">
              <w:rPr>
                <w:color w:val="auto"/>
              </w:rPr>
              <w:t>78</w:t>
            </w:r>
          </w:p>
        </w:tc>
        <w:tc>
          <w:tcPr>
            <w:tcW w:w="1042" w:type="dxa"/>
            <w:vAlign w:val="top"/>
          </w:tcPr>
          <w:p w14:paraId="159F9F28" w14:textId="77777777" w:rsidR="001B3C41" w:rsidRPr="001B3C41" w:rsidRDefault="001B3C41" w:rsidP="00DF6CBC">
            <w:pPr>
              <w:pStyle w:val="Tabele"/>
              <w:jc w:val="right"/>
              <w:rPr>
                <w:color w:val="auto"/>
              </w:rPr>
            </w:pPr>
            <w:r w:rsidRPr="001B3C41">
              <w:rPr>
                <w:color w:val="auto"/>
              </w:rPr>
              <w:t>46</w:t>
            </w:r>
          </w:p>
        </w:tc>
        <w:tc>
          <w:tcPr>
            <w:tcW w:w="1042" w:type="dxa"/>
            <w:vAlign w:val="top"/>
          </w:tcPr>
          <w:p w14:paraId="27A98D10" w14:textId="77777777" w:rsidR="001B3C41" w:rsidRPr="001B3C41" w:rsidRDefault="001B3C41" w:rsidP="00DF6CBC">
            <w:pPr>
              <w:pStyle w:val="Tabele"/>
              <w:jc w:val="right"/>
              <w:rPr>
                <w:color w:val="auto"/>
              </w:rPr>
            </w:pPr>
            <w:r w:rsidRPr="001B3C41">
              <w:rPr>
                <w:color w:val="auto"/>
              </w:rPr>
              <w:t>23</w:t>
            </w:r>
          </w:p>
        </w:tc>
        <w:tc>
          <w:tcPr>
            <w:tcW w:w="1042" w:type="dxa"/>
            <w:vAlign w:val="top"/>
          </w:tcPr>
          <w:p w14:paraId="2E9555E3" w14:textId="77777777" w:rsidR="001B3C41" w:rsidRPr="001B3C41" w:rsidRDefault="001B3C41" w:rsidP="00DF6CBC">
            <w:pPr>
              <w:pStyle w:val="Tabele"/>
              <w:jc w:val="right"/>
              <w:rPr>
                <w:color w:val="auto"/>
              </w:rPr>
            </w:pPr>
            <w:r w:rsidRPr="001B3C41">
              <w:rPr>
                <w:color w:val="auto"/>
              </w:rPr>
              <w:t>17</w:t>
            </w:r>
          </w:p>
        </w:tc>
        <w:tc>
          <w:tcPr>
            <w:tcW w:w="1042" w:type="dxa"/>
            <w:vAlign w:val="top"/>
          </w:tcPr>
          <w:p w14:paraId="320CAC59" w14:textId="77777777" w:rsidR="001B3C41" w:rsidRPr="001B3C41" w:rsidRDefault="001B3C41" w:rsidP="00DF6CBC">
            <w:pPr>
              <w:pStyle w:val="Tabele"/>
              <w:jc w:val="right"/>
              <w:rPr>
                <w:color w:val="auto"/>
              </w:rPr>
            </w:pPr>
            <w:r w:rsidRPr="001B3C41">
              <w:rPr>
                <w:color w:val="auto"/>
              </w:rPr>
              <w:t>8</w:t>
            </w:r>
          </w:p>
        </w:tc>
      </w:tr>
      <w:tr w:rsidR="001B3C41" w:rsidRPr="00664F98" w14:paraId="2EF43CE6" w14:textId="77777777" w:rsidTr="001B3C41">
        <w:trPr>
          <w:trHeight w:val="225"/>
        </w:trPr>
        <w:tc>
          <w:tcPr>
            <w:tcW w:w="2782" w:type="dxa"/>
            <w:vMerge/>
            <w:vAlign w:val="bottom"/>
          </w:tcPr>
          <w:p w14:paraId="71800705" w14:textId="77777777" w:rsidR="001B3C41" w:rsidRPr="001B3C41" w:rsidRDefault="001B3C41" w:rsidP="00DF6CBC">
            <w:pPr>
              <w:pStyle w:val="Tabele"/>
              <w:rPr>
                <w:color w:val="auto"/>
              </w:rPr>
            </w:pPr>
          </w:p>
        </w:tc>
        <w:tc>
          <w:tcPr>
            <w:tcW w:w="1317" w:type="dxa"/>
            <w:vAlign w:val="bottom"/>
          </w:tcPr>
          <w:p w14:paraId="579A38E3" w14:textId="77777777" w:rsidR="001B3C41" w:rsidRPr="001B3C41" w:rsidRDefault="001B3C41" w:rsidP="00DF6CBC">
            <w:pPr>
              <w:pStyle w:val="Tabele"/>
              <w:rPr>
                <w:color w:val="auto"/>
              </w:rPr>
            </w:pPr>
            <w:r w:rsidRPr="001B3C41">
              <w:rPr>
                <w:color w:val="auto"/>
              </w:rPr>
              <w:t>WAM</w:t>
            </w:r>
          </w:p>
        </w:tc>
        <w:tc>
          <w:tcPr>
            <w:tcW w:w="1041" w:type="dxa"/>
            <w:shd w:val="clear" w:color="auto" w:fill="C5E0B3" w:themeFill="accent6" w:themeFillTint="66"/>
            <w:vAlign w:val="top"/>
          </w:tcPr>
          <w:p w14:paraId="52852FDC" w14:textId="77777777" w:rsidR="001B3C41" w:rsidRPr="001B3C41" w:rsidRDefault="001B3C41" w:rsidP="00DF6CBC">
            <w:pPr>
              <w:pStyle w:val="Tabele"/>
              <w:jc w:val="right"/>
              <w:rPr>
                <w:color w:val="auto"/>
              </w:rPr>
            </w:pPr>
            <w:r w:rsidRPr="001B3C41">
              <w:rPr>
                <w:color w:val="auto"/>
              </w:rPr>
              <w:t>78</w:t>
            </w:r>
          </w:p>
        </w:tc>
        <w:tc>
          <w:tcPr>
            <w:tcW w:w="1042" w:type="dxa"/>
            <w:vAlign w:val="top"/>
          </w:tcPr>
          <w:p w14:paraId="5A89EB21" w14:textId="77777777" w:rsidR="001B3C41" w:rsidRPr="001B3C41" w:rsidRDefault="001B3C41" w:rsidP="00DF6CBC">
            <w:pPr>
              <w:pStyle w:val="Tabele"/>
              <w:jc w:val="right"/>
              <w:rPr>
                <w:color w:val="auto"/>
              </w:rPr>
            </w:pPr>
            <w:r w:rsidRPr="001B3C41">
              <w:rPr>
                <w:color w:val="auto"/>
              </w:rPr>
              <w:t>39</w:t>
            </w:r>
          </w:p>
        </w:tc>
        <w:tc>
          <w:tcPr>
            <w:tcW w:w="1042" w:type="dxa"/>
            <w:vAlign w:val="top"/>
          </w:tcPr>
          <w:p w14:paraId="780E3384" w14:textId="77777777" w:rsidR="001B3C41" w:rsidRPr="001B3C41" w:rsidRDefault="001B3C41" w:rsidP="00DF6CBC">
            <w:pPr>
              <w:pStyle w:val="Tabele"/>
              <w:jc w:val="right"/>
              <w:rPr>
                <w:color w:val="auto"/>
              </w:rPr>
            </w:pPr>
            <w:r w:rsidRPr="001B3C41">
              <w:rPr>
                <w:color w:val="auto"/>
              </w:rPr>
              <w:t>15</w:t>
            </w:r>
          </w:p>
        </w:tc>
        <w:tc>
          <w:tcPr>
            <w:tcW w:w="1042" w:type="dxa"/>
            <w:vAlign w:val="top"/>
          </w:tcPr>
          <w:p w14:paraId="53DB49AF" w14:textId="77777777" w:rsidR="001B3C41" w:rsidRPr="001B3C41" w:rsidRDefault="001B3C41" w:rsidP="00DF6CBC">
            <w:pPr>
              <w:pStyle w:val="Tabele"/>
              <w:jc w:val="right"/>
              <w:rPr>
                <w:color w:val="auto"/>
              </w:rPr>
            </w:pPr>
            <w:r w:rsidRPr="001B3C41">
              <w:rPr>
                <w:color w:val="auto"/>
              </w:rPr>
              <w:t>8</w:t>
            </w:r>
          </w:p>
        </w:tc>
        <w:tc>
          <w:tcPr>
            <w:tcW w:w="1042" w:type="dxa"/>
            <w:vAlign w:val="top"/>
          </w:tcPr>
          <w:p w14:paraId="1EA6ACCC" w14:textId="77777777" w:rsidR="001B3C41" w:rsidRPr="001B3C41" w:rsidRDefault="001B3C41" w:rsidP="00DF6CBC">
            <w:pPr>
              <w:pStyle w:val="Tabele"/>
              <w:jc w:val="right"/>
              <w:rPr>
                <w:color w:val="auto"/>
              </w:rPr>
            </w:pPr>
            <w:r w:rsidRPr="001B3C41">
              <w:rPr>
                <w:color w:val="auto"/>
              </w:rPr>
              <w:t>4</w:t>
            </w:r>
          </w:p>
        </w:tc>
      </w:tr>
      <w:tr w:rsidR="001B3C41" w:rsidRPr="00664F98" w14:paraId="17F013A8" w14:textId="77777777" w:rsidTr="001B3C41">
        <w:trPr>
          <w:trHeight w:val="225"/>
        </w:trPr>
        <w:tc>
          <w:tcPr>
            <w:tcW w:w="2782" w:type="dxa"/>
            <w:vMerge w:val="restart"/>
            <w:vAlign w:val="bottom"/>
          </w:tcPr>
          <w:p w14:paraId="6AD11779" w14:textId="77777777" w:rsidR="001B3C41" w:rsidRPr="001B3C41" w:rsidRDefault="001B3C41" w:rsidP="00DF6CBC">
            <w:pPr>
              <w:pStyle w:val="Tabele"/>
              <w:rPr>
                <w:color w:val="auto"/>
              </w:rPr>
            </w:pPr>
            <w:r w:rsidRPr="001B3C41">
              <w:rPr>
                <w:color w:val="auto"/>
              </w:rPr>
              <w:t>przemysł</w:t>
            </w:r>
          </w:p>
          <w:p w14:paraId="727E6794" w14:textId="77777777" w:rsidR="001B3C41" w:rsidRPr="001B3C41" w:rsidRDefault="001B3C41" w:rsidP="00DF6CBC">
            <w:pPr>
              <w:pStyle w:val="Tabele"/>
              <w:rPr>
                <w:color w:val="auto"/>
              </w:rPr>
            </w:pPr>
          </w:p>
        </w:tc>
        <w:tc>
          <w:tcPr>
            <w:tcW w:w="1317" w:type="dxa"/>
            <w:vAlign w:val="bottom"/>
          </w:tcPr>
          <w:p w14:paraId="765884E2" w14:textId="77777777" w:rsidR="001B3C41" w:rsidRPr="001B3C41" w:rsidRDefault="001B3C41" w:rsidP="00DF6CBC">
            <w:pPr>
              <w:pStyle w:val="Tabele"/>
              <w:rPr>
                <w:color w:val="auto"/>
              </w:rPr>
            </w:pPr>
            <w:r w:rsidRPr="001B3C41">
              <w:rPr>
                <w:color w:val="auto"/>
              </w:rPr>
              <w:t>WEM</w:t>
            </w:r>
          </w:p>
        </w:tc>
        <w:tc>
          <w:tcPr>
            <w:tcW w:w="1041" w:type="dxa"/>
            <w:shd w:val="clear" w:color="auto" w:fill="C5E0B3" w:themeFill="accent6" w:themeFillTint="66"/>
            <w:vAlign w:val="top"/>
          </w:tcPr>
          <w:p w14:paraId="3CEED680" w14:textId="77777777" w:rsidR="001B3C41" w:rsidRPr="001B3C41" w:rsidRDefault="001B3C41" w:rsidP="00DF6CBC">
            <w:pPr>
              <w:pStyle w:val="Tabele"/>
              <w:jc w:val="right"/>
              <w:rPr>
                <w:color w:val="auto"/>
              </w:rPr>
            </w:pPr>
            <w:r w:rsidRPr="001B3C41">
              <w:rPr>
                <w:color w:val="auto"/>
              </w:rPr>
              <w:t>2897</w:t>
            </w:r>
          </w:p>
        </w:tc>
        <w:tc>
          <w:tcPr>
            <w:tcW w:w="1042" w:type="dxa"/>
            <w:vAlign w:val="top"/>
          </w:tcPr>
          <w:p w14:paraId="31A7C4D7" w14:textId="77777777" w:rsidR="001B3C41" w:rsidRPr="001B3C41" w:rsidRDefault="001B3C41" w:rsidP="00DF6CBC">
            <w:pPr>
              <w:pStyle w:val="Tabele"/>
              <w:jc w:val="right"/>
              <w:rPr>
                <w:color w:val="auto"/>
              </w:rPr>
            </w:pPr>
            <w:r w:rsidRPr="001B3C41">
              <w:rPr>
                <w:color w:val="auto"/>
              </w:rPr>
              <w:t>3022</w:t>
            </w:r>
          </w:p>
        </w:tc>
        <w:tc>
          <w:tcPr>
            <w:tcW w:w="1042" w:type="dxa"/>
            <w:vAlign w:val="top"/>
          </w:tcPr>
          <w:p w14:paraId="0C374BDE" w14:textId="77777777" w:rsidR="001B3C41" w:rsidRPr="001B3C41" w:rsidRDefault="001B3C41" w:rsidP="00DF6CBC">
            <w:pPr>
              <w:pStyle w:val="Tabele"/>
              <w:jc w:val="right"/>
              <w:rPr>
                <w:color w:val="auto"/>
              </w:rPr>
            </w:pPr>
            <w:r w:rsidRPr="001B3C41">
              <w:rPr>
                <w:color w:val="auto"/>
              </w:rPr>
              <w:t>2932</w:t>
            </w:r>
          </w:p>
        </w:tc>
        <w:tc>
          <w:tcPr>
            <w:tcW w:w="1042" w:type="dxa"/>
            <w:vAlign w:val="top"/>
          </w:tcPr>
          <w:p w14:paraId="40663C5F" w14:textId="77777777" w:rsidR="001B3C41" w:rsidRPr="001B3C41" w:rsidRDefault="001B3C41" w:rsidP="00DF6CBC">
            <w:pPr>
              <w:pStyle w:val="Tabele"/>
              <w:jc w:val="right"/>
              <w:rPr>
                <w:color w:val="auto"/>
              </w:rPr>
            </w:pPr>
            <w:r w:rsidRPr="001B3C41">
              <w:rPr>
                <w:color w:val="auto"/>
              </w:rPr>
              <w:t>2907</w:t>
            </w:r>
          </w:p>
        </w:tc>
        <w:tc>
          <w:tcPr>
            <w:tcW w:w="1042" w:type="dxa"/>
            <w:vAlign w:val="top"/>
          </w:tcPr>
          <w:p w14:paraId="2D26CF3F" w14:textId="77777777" w:rsidR="001B3C41" w:rsidRPr="001B3C41" w:rsidRDefault="001B3C41" w:rsidP="00DF6CBC">
            <w:pPr>
              <w:pStyle w:val="Tabele"/>
              <w:jc w:val="right"/>
              <w:rPr>
                <w:color w:val="auto"/>
              </w:rPr>
            </w:pPr>
            <w:r w:rsidRPr="001B3C41">
              <w:rPr>
                <w:color w:val="auto"/>
              </w:rPr>
              <w:t>2818</w:t>
            </w:r>
          </w:p>
        </w:tc>
      </w:tr>
      <w:tr w:rsidR="001B3C41" w:rsidRPr="00664F98" w14:paraId="1D98706F" w14:textId="77777777" w:rsidTr="001B3C41">
        <w:trPr>
          <w:trHeight w:val="225"/>
        </w:trPr>
        <w:tc>
          <w:tcPr>
            <w:tcW w:w="2782" w:type="dxa"/>
            <w:vMerge/>
            <w:vAlign w:val="bottom"/>
          </w:tcPr>
          <w:p w14:paraId="702EC914" w14:textId="77777777" w:rsidR="001B3C41" w:rsidRPr="001B3C41" w:rsidRDefault="001B3C41" w:rsidP="00DF6CBC">
            <w:pPr>
              <w:pStyle w:val="Tabele"/>
              <w:rPr>
                <w:color w:val="auto"/>
              </w:rPr>
            </w:pPr>
          </w:p>
        </w:tc>
        <w:tc>
          <w:tcPr>
            <w:tcW w:w="1317" w:type="dxa"/>
            <w:vAlign w:val="bottom"/>
          </w:tcPr>
          <w:p w14:paraId="4DE4F52F" w14:textId="77777777" w:rsidR="001B3C41" w:rsidRPr="001B3C41" w:rsidRDefault="001B3C41" w:rsidP="00DF6CBC">
            <w:pPr>
              <w:pStyle w:val="Tabele"/>
              <w:rPr>
                <w:color w:val="auto"/>
              </w:rPr>
            </w:pPr>
            <w:r w:rsidRPr="001B3C41">
              <w:rPr>
                <w:color w:val="auto"/>
              </w:rPr>
              <w:t>WAM</w:t>
            </w:r>
          </w:p>
        </w:tc>
        <w:tc>
          <w:tcPr>
            <w:tcW w:w="1041" w:type="dxa"/>
            <w:shd w:val="clear" w:color="auto" w:fill="C5E0B3" w:themeFill="accent6" w:themeFillTint="66"/>
            <w:vAlign w:val="top"/>
          </w:tcPr>
          <w:p w14:paraId="639EDBB9" w14:textId="77777777" w:rsidR="001B3C41" w:rsidRPr="001B3C41" w:rsidRDefault="001B3C41" w:rsidP="00DF6CBC">
            <w:pPr>
              <w:pStyle w:val="Tabele"/>
              <w:jc w:val="right"/>
              <w:rPr>
                <w:color w:val="auto"/>
              </w:rPr>
            </w:pPr>
            <w:r w:rsidRPr="001B3C41">
              <w:rPr>
                <w:color w:val="auto"/>
              </w:rPr>
              <w:t>2897</w:t>
            </w:r>
          </w:p>
        </w:tc>
        <w:tc>
          <w:tcPr>
            <w:tcW w:w="1042" w:type="dxa"/>
            <w:vAlign w:val="top"/>
          </w:tcPr>
          <w:p w14:paraId="60602544" w14:textId="77777777" w:rsidR="001B3C41" w:rsidRPr="001B3C41" w:rsidRDefault="001B3C41" w:rsidP="00DF6CBC">
            <w:pPr>
              <w:pStyle w:val="Tabele"/>
              <w:jc w:val="right"/>
              <w:rPr>
                <w:color w:val="auto"/>
              </w:rPr>
            </w:pPr>
            <w:r w:rsidRPr="001B3C41">
              <w:rPr>
                <w:color w:val="auto"/>
              </w:rPr>
              <w:t>3053</w:t>
            </w:r>
          </w:p>
        </w:tc>
        <w:tc>
          <w:tcPr>
            <w:tcW w:w="1042" w:type="dxa"/>
            <w:vAlign w:val="top"/>
          </w:tcPr>
          <w:p w14:paraId="63829278" w14:textId="77777777" w:rsidR="001B3C41" w:rsidRPr="001B3C41" w:rsidRDefault="001B3C41" w:rsidP="00DF6CBC">
            <w:pPr>
              <w:pStyle w:val="Tabele"/>
              <w:jc w:val="right"/>
              <w:rPr>
                <w:color w:val="auto"/>
              </w:rPr>
            </w:pPr>
            <w:r w:rsidRPr="001B3C41">
              <w:rPr>
                <w:color w:val="auto"/>
              </w:rPr>
              <w:t>2961</w:t>
            </w:r>
          </w:p>
        </w:tc>
        <w:tc>
          <w:tcPr>
            <w:tcW w:w="1042" w:type="dxa"/>
            <w:vAlign w:val="top"/>
          </w:tcPr>
          <w:p w14:paraId="2339ED99" w14:textId="77777777" w:rsidR="001B3C41" w:rsidRPr="001B3C41" w:rsidRDefault="001B3C41" w:rsidP="00DF6CBC">
            <w:pPr>
              <w:pStyle w:val="Tabele"/>
              <w:jc w:val="right"/>
              <w:rPr>
                <w:color w:val="auto"/>
              </w:rPr>
            </w:pPr>
            <w:r w:rsidRPr="001B3C41">
              <w:rPr>
                <w:color w:val="auto"/>
              </w:rPr>
              <w:t>2952</w:t>
            </w:r>
          </w:p>
        </w:tc>
        <w:tc>
          <w:tcPr>
            <w:tcW w:w="1042" w:type="dxa"/>
            <w:vAlign w:val="top"/>
          </w:tcPr>
          <w:p w14:paraId="005CBE8F" w14:textId="77777777" w:rsidR="001B3C41" w:rsidRPr="001B3C41" w:rsidRDefault="001B3C41" w:rsidP="00DF6CBC">
            <w:pPr>
              <w:pStyle w:val="Tabele"/>
              <w:jc w:val="right"/>
              <w:rPr>
                <w:color w:val="auto"/>
              </w:rPr>
            </w:pPr>
            <w:r w:rsidRPr="001B3C41">
              <w:rPr>
                <w:color w:val="auto"/>
              </w:rPr>
              <w:t>2862</w:t>
            </w:r>
          </w:p>
        </w:tc>
      </w:tr>
      <w:tr w:rsidR="001B3C41" w:rsidRPr="00664F98" w14:paraId="121C38BA" w14:textId="77777777" w:rsidTr="001B3C41">
        <w:trPr>
          <w:trHeight w:val="225"/>
        </w:trPr>
        <w:tc>
          <w:tcPr>
            <w:tcW w:w="2782" w:type="dxa"/>
            <w:vMerge w:val="restart"/>
            <w:vAlign w:val="bottom"/>
          </w:tcPr>
          <w:p w14:paraId="7C1E20C5" w14:textId="77777777" w:rsidR="001B3C41" w:rsidRPr="001B3C41" w:rsidRDefault="001B3C41" w:rsidP="00DF6CBC">
            <w:pPr>
              <w:pStyle w:val="Tabele"/>
              <w:rPr>
                <w:color w:val="auto"/>
              </w:rPr>
            </w:pPr>
            <w:r w:rsidRPr="001B3C41">
              <w:rPr>
                <w:color w:val="auto"/>
              </w:rPr>
              <w:t>budownictwo</w:t>
            </w:r>
          </w:p>
          <w:p w14:paraId="2ADC2C97" w14:textId="77777777" w:rsidR="001B3C41" w:rsidRPr="001B3C41" w:rsidRDefault="001B3C41" w:rsidP="00DF6CBC">
            <w:pPr>
              <w:pStyle w:val="Tabele"/>
              <w:rPr>
                <w:color w:val="auto"/>
              </w:rPr>
            </w:pPr>
          </w:p>
        </w:tc>
        <w:tc>
          <w:tcPr>
            <w:tcW w:w="1317" w:type="dxa"/>
            <w:vAlign w:val="bottom"/>
          </w:tcPr>
          <w:p w14:paraId="5BA75C9E" w14:textId="77777777" w:rsidR="001B3C41" w:rsidRPr="001B3C41" w:rsidRDefault="001B3C41" w:rsidP="00DF6CBC">
            <w:pPr>
              <w:pStyle w:val="Tabele"/>
              <w:rPr>
                <w:color w:val="auto"/>
              </w:rPr>
            </w:pPr>
            <w:r w:rsidRPr="001B3C41">
              <w:rPr>
                <w:color w:val="auto"/>
              </w:rPr>
              <w:t>WEM</w:t>
            </w:r>
          </w:p>
        </w:tc>
        <w:tc>
          <w:tcPr>
            <w:tcW w:w="1041" w:type="dxa"/>
            <w:shd w:val="clear" w:color="auto" w:fill="C5E0B3" w:themeFill="accent6" w:themeFillTint="66"/>
            <w:vAlign w:val="top"/>
          </w:tcPr>
          <w:p w14:paraId="3E990957" w14:textId="77777777" w:rsidR="001B3C41" w:rsidRPr="001B3C41" w:rsidRDefault="001B3C41" w:rsidP="00DF6CBC">
            <w:pPr>
              <w:pStyle w:val="Tabele"/>
              <w:jc w:val="right"/>
              <w:rPr>
                <w:color w:val="auto"/>
              </w:rPr>
            </w:pPr>
            <w:r w:rsidRPr="001B3C41">
              <w:rPr>
                <w:color w:val="auto"/>
              </w:rPr>
              <w:t>938</w:t>
            </w:r>
          </w:p>
        </w:tc>
        <w:tc>
          <w:tcPr>
            <w:tcW w:w="1042" w:type="dxa"/>
            <w:vAlign w:val="top"/>
          </w:tcPr>
          <w:p w14:paraId="100836AF" w14:textId="77777777" w:rsidR="001B3C41" w:rsidRPr="001B3C41" w:rsidRDefault="001B3C41" w:rsidP="00DF6CBC">
            <w:pPr>
              <w:pStyle w:val="Tabele"/>
              <w:jc w:val="right"/>
              <w:rPr>
                <w:color w:val="auto"/>
              </w:rPr>
            </w:pPr>
            <w:r w:rsidRPr="001B3C41">
              <w:rPr>
                <w:color w:val="auto"/>
              </w:rPr>
              <w:t>1020</w:t>
            </w:r>
          </w:p>
        </w:tc>
        <w:tc>
          <w:tcPr>
            <w:tcW w:w="1042" w:type="dxa"/>
            <w:vAlign w:val="top"/>
          </w:tcPr>
          <w:p w14:paraId="26269684" w14:textId="77777777" w:rsidR="001B3C41" w:rsidRPr="001B3C41" w:rsidRDefault="001B3C41" w:rsidP="00DF6CBC">
            <w:pPr>
              <w:pStyle w:val="Tabele"/>
              <w:jc w:val="right"/>
              <w:rPr>
                <w:color w:val="auto"/>
              </w:rPr>
            </w:pPr>
            <w:r w:rsidRPr="001B3C41">
              <w:rPr>
                <w:color w:val="auto"/>
              </w:rPr>
              <w:t>959</w:t>
            </w:r>
          </w:p>
        </w:tc>
        <w:tc>
          <w:tcPr>
            <w:tcW w:w="1042" w:type="dxa"/>
            <w:vAlign w:val="top"/>
          </w:tcPr>
          <w:p w14:paraId="31690F9C" w14:textId="77777777" w:rsidR="001B3C41" w:rsidRPr="001B3C41" w:rsidRDefault="001B3C41" w:rsidP="00DF6CBC">
            <w:pPr>
              <w:pStyle w:val="Tabele"/>
              <w:jc w:val="right"/>
              <w:rPr>
                <w:color w:val="auto"/>
              </w:rPr>
            </w:pPr>
            <w:r w:rsidRPr="001B3C41">
              <w:rPr>
                <w:color w:val="auto"/>
              </w:rPr>
              <w:t>914</w:t>
            </w:r>
          </w:p>
        </w:tc>
        <w:tc>
          <w:tcPr>
            <w:tcW w:w="1042" w:type="dxa"/>
            <w:vAlign w:val="top"/>
          </w:tcPr>
          <w:p w14:paraId="26889C5B" w14:textId="77777777" w:rsidR="001B3C41" w:rsidRPr="001B3C41" w:rsidRDefault="001B3C41" w:rsidP="00DF6CBC">
            <w:pPr>
              <w:pStyle w:val="Tabele"/>
              <w:jc w:val="right"/>
              <w:rPr>
                <w:color w:val="auto"/>
              </w:rPr>
            </w:pPr>
            <w:r w:rsidRPr="001B3C41">
              <w:rPr>
                <w:color w:val="auto"/>
              </w:rPr>
              <w:t>869</w:t>
            </w:r>
          </w:p>
        </w:tc>
      </w:tr>
      <w:tr w:rsidR="001B3C41" w:rsidRPr="00664F98" w14:paraId="7A830FC7" w14:textId="77777777" w:rsidTr="001B3C41">
        <w:trPr>
          <w:trHeight w:val="225"/>
        </w:trPr>
        <w:tc>
          <w:tcPr>
            <w:tcW w:w="2782" w:type="dxa"/>
            <w:vMerge/>
            <w:vAlign w:val="bottom"/>
          </w:tcPr>
          <w:p w14:paraId="5FB90425" w14:textId="77777777" w:rsidR="001B3C41" w:rsidRPr="001B3C41" w:rsidRDefault="001B3C41" w:rsidP="00DF6CBC">
            <w:pPr>
              <w:pStyle w:val="Tabele"/>
              <w:rPr>
                <w:color w:val="auto"/>
              </w:rPr>
            </w:pPr>
          </w:p>
        </w:tc>
        <w:tc>
          <w:tcPr>
            <w:tcW w:w="1317" w:type="dxa"/>
            <w:vAlign w:val="bottom"/>
          </w:tcPr>
          <w:p w14:paraId="57E0F1B5" w14:textId="77777777" w:rsidR="001B3C41" w:rsidRPr="001B3C41" w:rsidRDefault="001B3C41" w:rsidP="00DF6CBC">
            <w:pPr>
              <w:pStyle w:val="Tabele"/>
              <w:rPr>
                <w:color w:val="auto"/>
              </w:rPr>
            </w:pPr>
            <w:r w:rsidRPr="001B3C41">
              <w:rPr>
                <w:color w:val="auto"/>
              </w:rPr>
              <w:t>WAM</w:t>
            </w:r>
          </w:p>
        </w:tc>
        <w:tc>
          <w:tcPr>
            <w:tcW w:w="1041" w:type="dxa"/>
            <w:shd w:val="clear" w:color="auto" w:fill="C5E0B3" w:themeFill="accent6" w:themeFillTint="66"/>
            <w:vAlign w:val="top"/>
          </w:tcPr>
          <w:p w14:paraId="6BA586AA" w14:textId="77777777" w:rsidR="001B3C41" w:rsidRPr="001B3C41" w:rsidRDefault="001B3C41" w:rsidP="00DF6CBC">
            <w:pPr>
              <w:pStyle w:val="Tabele"/>
              <w:jc w:val="right"/>
              <w:rPr>
                <w:color w:val="auto"/>
              </w:rPr>
            </w:pPr>
            <w:r w:rsidRPr="001B3C41">
              <w:rPr>
                <w:color w:val="auto"/>
              </w:rPr>
              <w:t>938</w:t>
            </w:r>
          </w:p>
        </w:tc>
        <w:tc>
          <w:tcPr>
            <w:tcW w:w="1042" w:type="dxa"/>
            <w:vAlign w:val="top"/>
          </w:tcPr>
          <w:p w14:paraId="482C26C3" w14:textId="77777777" w:rsidR="001B3C41" w:rsidRPr="001B3C41" w:rsidRDefault="001B3C41" w:rsidP="00DF6CBC">
            <w:pPr>
              <w:pStyle w:val="Tabele"/>
              <w:jc w:val="right"/>
              <w:rPr>
                <w:color w:val="auto"/>
              </w:rPr>
            </w:pPr>
            <w:r w:rsidRPr="001B3C41">
              <w:rPr>
                <w:color w:val="auto"/>
              </w:rPr>
              <w:t>1039</w:t>
            </w:r>
          </w:p>
        </w:tc>
        <w:tc>
          <w:tcPr>
            <w:tcW w:w="1042" w:type="dxa"/>
            <w:vAlign w:val="top"/>
          </w:tcPr>
          <w:p w14:paraId="60D7DC2E" w14:textId="77777777" w:rsidR="001B3C41" w:rsidRPr="001B3C41" w:rsidRDefault="001B3C41" w:rsidP="00DF6CBC">
            <w:pPr>
              <w:pStyle w:val="Tabele"/>
              <w:jc w:val="right"/>
              <w:rPr>
                <w:color w:val="auto"/>
              </w:rPr>
            </w:pPr>
            <w:r w:rsidRPr="001B3C41">
              <w:rPr>
                <w:color w:val="auto"/>
              </w:rPr>
              <w:t>977</w:t>
            </w:r>
          </w:p>
        </w:tc>
        <w:tc>
          <w:tcPr>
            <w:tcW w:w="1042" w:type="dxa"/>
            <w:vAlign w:val="top"/>
          </w:tcPr>
          <w:p w14:paraId="5426CCA4" w14:textId="77777777" w:rsidR="001B3C41" w:rsidRPr="001B3C41" w:rsidRDefault="001B3C41" w:rsidP="00DF6CBC">
            <w:pPr>
              <w:pStyle w:val="Tabele"/>
              <w:jc w:val="right"/>
              <w:rPr>
                <w:color w:val="auto"/>
              </w:rPr>
            </w:pPr>
            <w:r w:rsidRPr="001B3C41">
              <w:rPr>
                <w:color w:val="auto"/>
              </w:rPr>
              <w:t>965</w:t>
            </w:r>
          </w:p>
        </w:tc>
        <w:tc>
          <w:tcPr>
            <w:tcW w:w="1042" w:type="dxa"/>
            <w:vAlign w:val="top"/>
          </w:tcPr>
          <w:p w14:paraId="6F859A0C" w14:textId="77777777" w:rsidR="001B3C41" w:rsidRPr="001B3C41" w:rsidRDefault="001B3C41" w:rsidP="00DF6CBC">
            <w:pPr>
              <w:pStyle w:val="Tabele"/>
              <w:jc w:val="right"/>
              <w:rPr>
                <w:color w:val="auto"/>
              </w:rPr>
            </w:pPr>
            <w:r w:rsidRPr="001B3C41">
              <w:rPr>
                <w:color w:val="auto"/>
              </w:rPr>
              <w:t>917</w:t>
            </w:r>
          </w:p>
        </w:tc>
      </w:tr>
      <w:tr w:rsidR="001B3C41" w:rsidRPr="00664F98" w14:paraId="2F7C911B" w14:textId="77777777" w:rsidTr="001B3C41">
        <w:trPr>
          <w:trHeight w:val="225"/>
        </w:trPr>
        <w:tc>
          <w:tcPr>
            <w:tcW w:w="2782" w:type="dxa"/>
            <w:vMerge w:val="restart"/>
            <w:vAlign w:val="bottom"/>
          </w:tcPr>
          <w:p w14:paraId="11012FD8" w14:textId="77777777" w:rsidR="001B3C41" w:rsidRPr="001B3C41" w:rsidRDefault="001B3C41" w:rsidP="00DF6CBC">
            <w:pPr>
              <w:pStyle w:val="Tabele"/>
              <w:rPr>
                <w:color w:val="auto"/>
              </w:rPr>
            </w:pPr>
            <w:r w:rsidRPr="001B3C41">
              <w:rPr>
                <w:color w:val="auto"/>
              </w:rPr>
              <w:t>usługi</w:t>
            </w:r>
          </w:p>
          <w:p w14:paraId="75953055" w14:textId="77777777" w:rsidR="001B3C41" w:rsidRPr="001B3C41" w:rsidRDefault="001B3C41" w:rsidP="00DF6CBC">
            <w:pPr>
              <w:pStyle w:val="Tabele"/>
              <w:rPr>
                <w:color w:val="auto"/>
              </w:rPr>
            </w:pPr>
          </w:p>
        </w:tc>
        <w:tc>
          <w:tcPr>
            <w:tcW w:w="1317" w:type="dxa"/>
            <w:vAlign w:val="bottom"/>
          </w:tcPr>
          <w:p w14:paraId="776C15ED" w14:textId="77777777" w:rsidR="001B3C41" w:rsidRPr="001B3C41" w:rsidRDefault="001B3C41" w:rsidP="00DF6CBC">
            <w:pPr>
              <w:pStyle w:val="Tabele"/>
              <w:rPr>
                <w:color w:val="auto"/>
              </w:rPr>
            </w:pPr>
            <w:r w:rsidRPr="001B3C41">
              <w:rPr>
                <w:color w:val="auto"/>
              </w:rPr>
              <w:t>WEM</w:t>
            </w:r>
          </w:p>
        </w:tc>
        <w:tc>
          <w:tcPr>
            <w:tcW w:w="1041" w:type="dxa"/>
            <w:shd w:val="clear" w:color="auto" w:fill="C5E0B3" w:themeFill="accent6" w:themeFillTint="66"/>
            <w:vAlign w:val="top"/>
          </w:tcPr>
          <w:p w14:paraId="0892186A" w14:textId="77777777" w:rsidR="001B3C41" w:rsidRPr="001B3C41" w:rsidRDefault="001B3C41" w:rsidP="00DF6CBC">
            <w:pPr>
              <w:pStyle w:val="Tabele"/>
              <w:jc w:val="right"/>
              <w:rPr>
                <w:color w:val="auto"/>
              </w:rPr>
            </w:pPr>
            <w:r w:rsidRPr="001B3C41">
              <w:rPr>
                <w:color w:val="auto"/>
              </w:rPr>
              <w:t>8685</w:t>
            </w:r>
          </w:p>
        </w:tc>
        <w:tc>
          <w:tcPr>
            <w:tcW w:w="1042" w:type="dxa"/>
            <w:vAlign w:val="top"/>
          </w:tcPr>
          <w:p w14:paraId="67BF62F6" w14:textId="77777777" w:rsidR="001B3C41" w:rsidRPr="001B3C41" w:rsidRDefault="001B3C41" w:rsidP="00DF6CBC">
            <w:pPr>
              <w:pStyle w:val="Tabele"/>
              <w:jc w:val="right"/>
              <w:rPr>
                <w:color w:val="auto"/>
              </w:rPr>
            </w:pPr>
            <w:r w:rsidRPr="001B3C41">
              <w:rPr>
                <w:color w:val="auto"/>
              </w:rPr>
              <w:t>9207</w:t>
            </w:r>
          </w:p>
        </w:tc>
        <w:tc>
          <w:tcPr>
            <w:tcW w:w="1042" w:type="dxa"/>
            <w:vAlign w:val="top"/>
          </w:tcPr>
          <w:p w14:paraId="34446A02" w14:textId="77777777" w:rsidR="001B3C41" w:rsidRPr="001B3C41" w:rsidRDefault="001B3C41" w:rsidP="00DF6CBC">
            <w:pPr>
              <w:pStyle w:val="Tabele"/>
              <w:jc w:val="right"/>
              <w:rPr>
                <w:color w:val="auto"/>
              </w:rPr>
            </w:pPr>
            <w:r w:rsidRPr="001B3C41">
              <w:rPr>
                <w:color w:val="auto"/>
              </w:rPr>
              <w:t>8933</w:t>
            </w:r>
          </w:p>
        </w:tc>
        <w:tc>
          <w:tcPr>
            <w:tcW w:w="1042" w:type="dxa"/>
            <w:vAlign w:val="top"/>
          </w:tcPr>
          <w:p w14:paraId="3FA3A51F" w14:textId="77777777" w:rsidR="001B3C41" w:rsidRPr="001B3C41" w:rsidRDefault="001B3C41" w:rsidP="00DF6CBC">
            <w:pPr>
              <w:pStyle w:val="Tabele"/>
              <w:jc w:val="right"/>
              <w:rPr>
                <w:color w:val="auto"/>
              </w:rPr>
            </w:pPr>
            <w:r w:rsidRPr="001B3C41">
              <w:rPr>
                <w:color w:val="auto"/>
              </w:rPr>
              <w:t>8841</w:t>
            </w:r>
          </w:p>
        </w:tc>
        <w:tc>
          <w:tcPr>
            <w:tcW w:w="1042" w:type="dxa"/>
            <w:vAlign w:val="top"/>
          </w:tcPr>
          <w:p w14:paraId="04025A4D" w14:textId="77777777" w:rsidR="001B3C41" w:rsidRPr="001B3C41" w:rsidRDefault="001B3C41" w:rsidP="00DF6CBC">
            <w:pPr>
              <w:pStyle w:val="Tabele"/>
              <w:jc w:val="right"/>
              <w:rPr>
                <w:color w:val="auto"/>
              </w:rPr>
            </w:pPr>
            <w:r w:rsidRPr="001B3C41">
              <w:rPr>
                <w:color w:val="auto"/>
              </w:rPr>
              <w:t>8587</w:t>
            </w:r>
          </w:p>
        </w:tc>
      </w:tr>
      <w:tr w:rsidR="001B3C41" w:rsidRPr="00664F98" w14:paraId="667908E2" w14:textId="77777777" w:rsidTr="001B3C41">
        <w:trPr>
          <w:trHeight w:val="225"/>
        </w:trPr>
        <w:tc>
          <w:tcPr>
            <w:tcW w:w="2782" w:type="dxa"/>
            <w:vMerge/>
            <w:vAlign w:val="bottom"/>
          </w:tcPr>
          <w:p w14:paraId="58D7798C" w14:textId="77777777" w:rsidR="001B3C41" w:rsidRPr="001B3C41" w:rsidRDefault="001B3C41" w:rsidP="00DF6CBC">
            <w:pPr>
              <w:pStyle w:val="Tabele"/>
              <w:rPr>
                <w:color w:val="auto"/>
              </w:rPr>
            </w:pPr>
          </w:p>
        </w:tc>
        <w:tc>
          <w:tcPr>
            <w:tcW w:w="1317" w:type="dxa"/>
            <w:vAlign w:val="bottom"/>
          </w:tcPr>
          <w:p w14:paraId="5D5EC74D" w14:textId="77777777" w:rsidR="001B3C41" w:rsidRPr="001B3C41" w:rsidRDefault="001B3C41" w:rsidP="00DF6CBC">
            <w:pPr>
              <w:pStyle w:val="Tabele"/>
              <w:rPr>
                <w:color w:val="auto"/>
              </w:rPr>
            </w:pPr>
            <w:r w:rsidRPr="001B3C41">
              <w:rPr>
                <w:color w:val="auto"/>
              </w:rPr>
              <w:t>WAM</w:t>
            </w:r>
          </w:p>
        </w:tc>
        <w:tc>
          <w:tcPr>
            <w:tcW w:w="1041" w:type="dxa"/>
            <w:shd w:val="clear" w:color="auto" w:fill="C5E0B3" w:themeFill="accent6" w:themeFillTint="66"/>
            <w:vAlign w:val="top"/>
          </w:tcPr>
          <w:p w14:paraId="1810ADD7" w14:textId="77777777" w:rsidR="001B3C41" w:rsidRPr="001B3C41" w:rsidRDefault="001B3C41" w:rsidP="00DF6CBC">
            <w:pPr>
              <w:pStyle w:val="Tabele"/>
              <w:jc w:val="right"/>
              <w:rPr>
                <w:color w:val="auto"/>
              </w:rPr>
            </w:pPr>
            <w:r w:rsidRPr="001B3C41">
              <w:rPr>
                <w:color w:val="auto"/>
              </w:rPr>
              <w:t>8685</w:t>
            </w:r>
          </w:p>
        </w:tc>
        <w:tc>
          <w:tcPr>
            <w:tcW w:w="1042" w:type="dxa"/>
            <w:vAlign w:val="top"/>
          </w:tcPr>
          <w:p w14:paraId="52E9D4EA" w14:textId="77777777" w:rsidR="001B3C41" w:rsidRPr="001B3C41" w:rsidRDefault="001B3C41" w:rsidP="00DF6CBC">
            <w:pPr>
              <w:pStyle w:val="Tabele"/>
              <w:jc w:val="right"/>
              <w:rPr>
                <w:color w:val="auto"/>
              </w:rPr>
            </w:pPr>
            <w:r w:rsidRPr="001B3C41">
              <w:rPr>
                <w:color w:val="auto"/>
              </w:rPr>
              <w:t>9272</w:t>
            </w:r>
          </w:p>
        </w:tc>
        <w:tc>
          <w:tcPr>
            <w:tcW w:w="1042" w:type="dxa"/>
            <w:vAlign w:val="top"/>
          </w:tcPr>
          <w:p w14:paraId="6F99FD9B" w14:textId="77777777" w:rsidR="001B3C41" w:rsidRPr="001B3C41" w:rsidRDefault="001B3C41" w:rsidP="00DF6CBC">
            <w:pPr>
              <w:pStyle w:val="Tabele"/>
              <w:jc w:val="right"/>
              <w:rPr>
                <w:color w:val="auto"/>
              </w:rPr>
            </w:pPr>
            <w:r w:rsidRPr="001B3C41">
              <w:rPr>
                <w:color w:val="auto"/>
              </w:rPr>
              <w:t>9040</w:t>
            </w:r>
          </w:p>
        </w:tc>
        <w:tc>
          <w:tcPr>
            <w:tcW w:w="1042" w:type="dxa"/>
            <w:vAlign w:val="top"/>
          </w:tcPr>
          <w:p w14:paraId="01A31308" w14:textId="77777777" w:rsidR="001B3C41" w:rsidRPr="001B3C41" w:rsidRDefault="001B3C41" w:rsidP="00DF6CBC">
            <w:pPr>
              <w:pStyle w:val="Tabele"/>
              <w:jc w:val="right"/>
              <w:rPr>
                <w:color w:val="auto"/>
              </w:rPr>
            </w:pPr>
            <w:r w:rsidRPr="001B3C41">
              <w:rPr>
                <w:color w:val="auto"/>
              </w:rPr>
              <w:t>8967</w:t>
            </w:r>
          </w:p>
        </w:tc>
        <w:tc>
          <w:tcPr>
            <w:tcW w:w="1042" w:type="dxa"/>
            <w:vAlign w:val="top"/>
          </w:tcPr>
          <w:p w14:paraId="681DC6C9" w14:textId="77777777" w:rsidR="001B3C41" w:rsidRPr="001B3C41" w:rsidRDefault="001B3C41" w:rsidP="00DF6CBC">
            <w:pPr>
              <w:pStyle w:val="Tabele"/>
              <w:jc w:val="right"/>
              <w:rPr>
                <w:color w:val="auto"/>
              </w:rPr>
            </w:pPr>
            <w:r w:rsidRPr="001B3C41">
              <w:rPr>
                <w:color w:val="auto"/>
              </w:rPr>
              <w:t>8770</w:t>
            </w:r>
          </w:p>
        </w:tc>
      </w:tr>
      <w:tr w:rsidR="001B3C41" w:rsidRPr="00664F98" w14:paraId="2EF7D57C" w14:textId="77777777" w:rsidTr="001B3C41">
        <w:trPr>
          <w:trHeight w:val="225"/>
        </w:trPr>
        <w:tc>
          <w:tcPr>
            <w:tcW w:w="2782" w:type="dxa"/>
            <w:vMerge w:val="restart"/>
            <w:vAlign w:val="bottom"/>
          </w:tcPr>
          <w:p w14:paraId="4C56AA81" w14:textId="77777777" w:rsidR="001B3C41" w:rsidRPr="001B3C41" w:rsidRDefault="001B3C41" w:rsidP="00DF6CBC">
            <w:pPr>
              <w:pStyle w:val="Tabele"/>
              <w:rPr>
                <w:color w:val="auto"/>
              </w:rPr>
            </w:pPr>
            <w:r w:rsidRPr="001B3C41">
              <w:rPr>
                <w:color w:val="auto"/>
              </w:rPr>
              <w:t>SUMA</w:t>
            </w:r>
          </w:p>
          <w:p w14:paraId="33D7FFFD" w14:textId="77777777" w:rsidR="001B3C41" w:rsidRPr="001B3C41" w:rsidRDefault="001B3C41" w:rsidP="00DF6CBC">
            <w:pPr>
              <w:pStyle w:val="Tabele"/>
              <w:rPr>
                <w:color w:val="auto"/>
              </w:rPr>
            </w:pPr>
          </w:p>
        </w:tc>
        <w:tc>
          <w:tcPr>
            <w:tcW w:w="1317" w:type="dxa"/>
            <w:vAlign w:val="bottom"/>
          </w:tcPr>
          <w:p w14:paraId="008460AF" w14:textId="77777777" w:rsidR="001B3C41" w:rsidRPr="001B3C41" w:rsidRDefault="001B3C41" w:rsidP="00DF6CBC">
            <w:pPr>
              <w:pStyle w:val="Tabele"/>
              <w:rPr>
                <w:color w:val="auto"/>
              </w:rPr>
            </w:pPr>
            <w:r w:rsidRPr="001B3C41">
              <w:rPr>
                <w:color w:val="auto"/>
              </w:rPr>
              <w:t>WEM</w:t>
            </w:r>
          </w:p>
        </w:tc>
        <w:tc>
          <w:tcPr>
            <w:tcW w:w="1041" w:type="dxa"/>
            <w:shd w:val="clear" w:color="auto" w:fill="C5E0B3" w:themeFill="accent6" w:themeFillTint="66"/>
            <w:vAlign w:val="top"/>
          </w:tcPr>
          <w:p w14:paraId="717DCFE5" w14:textId="77777777" w:rsidR="001B3C41" w:rsidRPr="001B3C41" w:rsidRDefault="001B3C41" w:rsidP="00DF6CBC">
            <w:pPr>
              <w:pStyle w:val="Tabele"/>
              <w:jc w:val="right"/>
              <w:rPr>
                <w:color w:val="auto"/>
              </w:rPr>
            </w:pPr>
            <w:r w:rsidRPr="001B3C41">
              <w:rPr>
                <w:color w:val="auto"/>
              </w:rPr>
              <w:t>14789</w:t>
            </w:r>
          </w:p>
        </w:tc>
        <w:tc>
          <w:tcPr>
            <w:tcW w:w="1042" w:type="dxa"/>
            <w:vAlign w:val="top"/>
          </w:tcPr>
          <w:p w14:paraId="029D787C" w14:textId="77777777" w:rsidR="001B3C41" w:rsidRPr="001B3C41" w:rsidRDefault="001B3C41" w:rsidP="00DF6CBC">
            <w:pPr>
              <w:pStyle w:val="Tabele"/>
              <w:jc w:val="right"/>
              <w:rPr>
                <w:color w:val="auto"/>
              </w:rPr>
            </w:pPr>
            <w:r w:rsidRPr="001B3C41">
              <w:rPr>
                <w:color w:val="auto"/>
              </w:rPr>
              <w:t>15371</w:t>
            </w:r>
          </w:p>
        </w:tc>
        <w:tc>
          <w:tcPr>
            <w:tcW w:w="1042" w:type="dxa"/>
            <w:vAlign w:val="top"/>
          </w:tcPr>
          <w:p w14:paraId="6E23E876" w14:textId="77777777" w:rsidR="001B3C41" w:rsidRPr="001B3C41" w:rsidRDefault="001B3C41" w:rsidP="00DF6CBC">
            <w:pPr>
              <w:pStyle w:val="Tabele"/>
              <w:jc w:val="right"/>
              <w:rPr>
                <w:color w:val="auto"/>
              </w:rPr>
            </w:pPr>
            <w:r w:rsidRPr="001B3C41">
              <w:rPr>
                <w:color w:val="auto"/>
              </w:rPr>
              <w:t>14723</w:t>
            </w:r>
          </w:p>
        </w:tc>
        <w:tc>
          <w:tcPr>
            <w:tcW w:w="1042" w:type="dxa"/>
            <w:vAlign w:val="top"/>
          </w:tcPr>
          <w:p w14:paraId="7299F8A4" w14:textId="77777777" w:rsidR="001B3C41" w:rsidRPr="001B3C41" w:rsidRDefault="001B3C41" w:rsidP="00DF6CBC">
            <w:pPr>
              <w:pStyle w:val="Tabele"/>
              <w:jc w:val="right"/>
              <w:rPr>
                <w:color w:val="auto"/>
              </w:rPr>
            </w:pPr>
            <w:r w:rsidRPr="001B3C41">
              <w:rPr>
                <w:color w:val="auto"/>
              </w:rPr>
              <w:t>14420</w:t>
            </w:r>
          </w:p>
        </w:tc>
        <w:tc>
          <w:tcPr>
            <w:tcW w:w="1042" w:type="dxa"/>
            <w:vAlign w:val="top"/>
          </w:tcPr>
          <w:p w14:paraId="17E4B393" w14:textId="77777777" w:rsidR="001B3C41" w:rsidRPr="001B3C41" w:rsidRDefault="001B3C41" w:rsidP="00DF6CBC">
            <w:pPr>
              <w:pStyle w:val="Tabele"/>
              <w:jc w:val="right"/>
              <w:rPr>
                <w:color w:val="auto"/>
              </w:rPr>
            </w:pPr>
            <w:r w:rsidRPr="001B3C41">
              <w:rPr>
                <w:color w:val="auto"/>
              </w:rPr>
              <w:t>13882</w:t>
            </w:r>
          </w:p>
        </w:tc>
      </w:tr>
      <w:tr w:rsidR="001B3C41" w:rsidRPr="00664F98" w14:paraId="32466ECF" w14:textId="77777777" w:rsidTr="001B3C41">
        <w:trPr>
          <w:trHeight w:val="225"/>
        </w:trPr>
        <w:tc>
          <w:tcPr>
            <w:tcW w:w="2782" w:type="dxa"/>
            <w:vMerge/>
            <w:vAlign w:val="bottom"/>
          </w:tcPr>
          <w:p w14:paraId="74C5D38E" w14:textId="77777777" w:rsidR="001B3C41" w:rsidRPr="001B3C41" w:rsidRDefault="001B3C41" w:rsidP="00DF6CBC">
            <w:pPr>
              <w:pStyle w:val="Tabele"/>
              <w:rPr>
                <w:color w:val="auto"/>
              </w:rPr>
            </w:pPr>
          </w:p>
        </w:tc>
        <w:tc>
          <w:tcPr>
            <w:tcW w:w="1317" w:type="dxa"/>
            <w:vAlign w:val="bottom"/>
          </w:tcPr>
          <w:p w14:paraId="6451E2CC" w14:textId="77777777" w:rsidR="001B3C41" w:rsidRPr="001B3C41" w:rsidRDefault="001B3C41" w:rsidP="00DF6CBC">
            <w:pPr>
              <w:pStyle w:val="Tabele"/>
              <w:rPr>
                <w:color w:val="auto"/>
              </w:rPr>
            </w:pPr>
            <w:r w:rsidRPr="001B3C41">
              <w:rPr>
                <w:color w:val="auto"/>
              </w:rPr>
              <w:t>WAM</w:t>
            </w:r>
          </w:p>
        </w:tc>
        <w:tc>
          <w:tcPr>
            <w:tcW w:w="1041" w:type="dxa"/>
            <w:shd w:val="clear" w:color="auto" w:fill="C5E0B3" w:themeFill="accent6" w:themeFillTint="66"/>
            <w:vAlign w:val="top"/>
          </w:tcPr>
          <w:p w14:paraId="3476A1D3" w14:textId="77777777" w:rsidR="001B3C41" w:rsidRPr="001B3C41" w:rsidRDefault="001B3C41" w:rsidP="00DF6CBC">
            <w:pPr>
              <w:pStyle w:val="Tabele"/>
              <w:jc w:val="right"/>
              <w:rPr>
                <w:color w:val="auto"/>
              </w:rPr>
            </w:pPr>
            <w:r w:rsidRPr="001B3C41">
              <w:rPr>
                <w:color w:val="auto"/>
              </w:rPr>
              <w:t>14789</w:t>
            </w:r>
          </w:p>
        </w:tc>
        <w:tc>
          <w:tcPr>
            <w:tcW w:w="1042" w:type="dxa"/>
            <w:vAlign w:val="top"/>
          </w:tcPr>
          <w:p w14:paraId="462ADCD7" w14:textId="77777777" w:rsidR="001B3C41" w:rsidRPr="001B3C41" w:rsidRDefault="001B3C41" w:rsidP="00DF6CBC">
            <w:pPr>
              <w:pStyle w:val="Tabele"/>
              <w:jc w:val="right"/>
              <w:rPr>
                <w:color w:val="auto"/>
              </w:rPr>
            </w:pPr>
            <w:r w:rsidRPr="001B3C41">
              <w:rPr>
                <w:color w:val="auto"/>
              </w:rPr>
              <w:t>15474</w:t>
            </w:r>
          </w:p>
        </w:tc>
        <w:tc>
          <w:tcPr>
            <w:tcW w:w="1042" w:type="dxa"/>
            <w:vAlign w:val="top"/>
          </w:tcPr>
          <w:p w14:paraId="7566FEFE" w14:textId="77777777" w:rsidR="001B3C41" w:rsidRPr="001B3C41" w:rsidRDefault="001B3C41" w:rsidP="00DF6CBC">
            <w:pPr>
              <w:pStyle w:val="Tabele"/>
              <w:jc w:val="right"/>
              <w:rPr>
                <w:color w:val="auto"/>
              </w:rPr>
            </w:pPr>
            <w:r w:rsidRPr="001B3C41">
              <w:rPr>
                <w:color w:val="auto"/>
              </w:rPr>
              <w:t>14865</w:t>
            </w:r>
          </w:p>
        </w:tc>
        <w:tc>
          <w:tcPr>
            <w:tcW w:w="1042" w:type="dxa"/>
            <w:vAlign w:val="top"/>
          </w:tcPr>
          <w:p w14:paraId="0B513CC7" w14:textId="77777777" w:rsidR="001B3C41" w:rsidRPr="001B3C41" w:rsidRDefault="001B3C41" w:rsidP="00DF6CBC">
            <w:pPr>
              <w:pStyle w:val="Tabele"/>
              <w:jc w:val="right"/>
              <w:rPr>
                <w:color w:val="auto"/>
              </w:rPr>
            </w:pPr>
            <w:r w:rsidRPr="001B3C41">
              <w:rPr>
                <w:color w:val="auto"/>
              </w:rPr>
              <w:t>14626</w:t>
            </w:r>
          </w:p>
        </w:tc>
        <w:tc>
          <w:tcPr>
            <w:tcW w:w="1042" w:type="dxa"/>
            <w:vAlign w:val="top"/>
          </w:tcPr>
          <w:p w14:paraId="4695645A" w14:textId="30AB171D" w:rsidR="001B3C41" w:rsidRPr="001B3C41" w:rsidRDefault="001B3C41" w:rsidP="00DF6CBC">
            <w:pPr>
              <w:pStyle w:val="Tabele"/>
              <w:jc w:val="right"/>
              <w:rPr>
                <w:color w:val="auto"/>
              </w:rPr>
            </w:pPr>
            <w:r w:rsidRPr="001B3C41">
              <w:rPr>
                <w:color w:val="auto"/>
              </w:rPr>
              <w:t>14153</w:t>
            </w:r>
          </w:p>
        </w:tc>
      </w:tr>
    </w:tbl>
    <w:p w14:paraId="418EF68A" w14:textId="0FE53408" w:rsidR="00B74108" w:rsidRDefault="001B3C41" w:rsidP="00D50731">
      <w:pPr>
        <w:pStyle w:val="Legenda"/>
        <w:spacing w:before="120"/>
      </w:pPr>
      <w:r w:rsidRPr="006912F7">
        <w:t>Źródło: opracowanie własne IOŚ-PIB i Bank Danych Makroekonom</w:t>
      </w:r>
      <w:r>
        <w:t>icznych (dane historyczne)</w:t>
      </w:r>
    </w:p>
    <w:p w14:paraId="679D8865" w14:textId="77777777" w:rsidR="005C4144" w:rsidRDefault="005C4144" w:rsidP="004F5D0E">
      <w:pPr>
        <w:pStyle w:val="Nagwek3"/>
      </w:pPr>
      <w:bookmarkStart w:id="718" w:name="_Toc169565584"/>
      <w:bookmarkStart w:id="719" w:name="_Toc171587355"/>
      <w:bookmarkStart w:id="720" w:name="_Toc174710925"/>
      <w:bookmarkStart w:id="721" w:name="_Toc202966925"/>
      <w:r>
        <w:t>Kwalifikacje pracowników</w:t>
      </w:r>
      <w:bookmarkEnd w:id="718"/>
      <w:bookmarkEnd w:id="719"/>
      <w:bookmarkEnd w:id="720"/>
      <w:bookmarkEnd w:id="721"/>
    </w:p>
    <w:p w14:paraId="2186722B" w14:textId="77777777" w:rsidR="007A16AC" w:rsidRDefault="007A16AC" w:rsidP="007A16AC">
      <w:bookmarkStart w:id="722" w:name="_Toc167795181"/>
      <w:bookmarkStart w:id="723" w:name="_Toc167799352"/>
      <w:bookmarkStart w:id="724" w:name="_Toc167803423"/>
      <w:bookmarkStart w:id="725" w:name="_Toc167804141"/>
      <w:bookmarkStart w:id="726" w:name="_Toc167804168"/>
      <w:bookmarkStart w:id="727" w:name="_Toc169565585"/>
      <w:bookmarkStart w:id="728" w:name="_Toc171587356"/>
      <w:bookmarkStart w:id="729" w:name="_Toc174710926"/>
      <w:r w:rsidRPr="00B240C0">
        <w:rPr>
          <w:rFonts w:eastAsia="Lato" w:cs="Lato"/>
        </w:rPr>
        <w:t xml:space="preserve">W </w:t>
      </w:r>
      <w:r w:rsidRPr="00BA3CEF">
        <w:t>nadchodzących</w:t>
      </w:r>
      <w:r w:rsidRPr="00B240C0">
        <w:rPr>
          <w:rFonts w:eastAsia="Lato" w:cs="Lato"/>
        </w:rPr>
        <w:t xml:space="preserve"> latach można spodziewać się </w:t>
      </w:r>
      <w:r w:rsidRPr="005105A8">
        <w:t>stopniowej</w:t>
      </w:r>
      <w:r w:rsidRPr="00B240C0">
        <w:rPr>
          <w:rFonts w:eastAsia="Lato" w:cs="Lato"/>
        </w:rPr>
        <w:t>, ale zauważalnej zmiany zatrudnienia i</w:t>
      </w:r>
      <w:r>
        <w:rPr>
          <w:rFonts w:eastAsia="Lato" w:cs="Lato"/>
        </w:rPr>
        <w:t> </w:t>
      </w:r>
      <w:r w:rsidRPr="00B240C0">
        <w:rPr>
          <w:rFonts w:eastAsia="Lato" w:cs="Lato"/>
        </w:rPr>
        <w:t>przejścia pracowników z tradycyjnych, głównie konwencjonalnych, sektorów energii na rzecz energii odnawialnej</w:t>
      </w:r>
      <w:r>
        <w:rPr>
          <w:rFonts w:eastAsia="Lato" w:cs="Lato"/>
        </w:rPr>
        <w:t xml:space="preserve">, </w:t>
      </w:r>
      <w:r>
        <w:t>budownictwa i usług związanych z transformacją energetyczną</w:t>
      </w:r>
      <w:r w:rsidRPr="00B240C0">
        <w:rPr>
          <w:rFonts w:eastAsia="Lato" w:cs="Lato"/>
        </w:rPr>
        <w:t>. Jest to konsekwencja stopniowej modernizacji gospodarki oraz zmian związanych z polityką klimatyczną i środowiskową. Monitorowanie i właściwe zarządzanie procesem transformacji rynku pracy będzie istotne dla złagodzenia społecznoekonomicznych konsekwencji zmian, poprzez interwencje mające na celu dostosowanie umiejętności zawodowych pracowników w przyszłości. Konieczne będą działania podnoszące kwalifikacje pracowników oraz działania przekwalifikujące. Istotne będą działania informacyjne zwiększające świadomość społeczną wymaganych zmian, która podniesie adaptacyjność pracowników.</w:t>
      </w:r>
    </w:p>
    <w:p w14:paraId="3DD6AF8B" w14:textId="0F071186" w:rsidR="007A16AC" w:rsidRDefault="007A16AC" w:rsidP="007A16AC">
      <w:pPr>
        <w:rPr>
          <w:rFonts w:eastAsia="Lato" w:cs="Lato"/>
        </w:rPr>
      </w:pPr>
      <w:r w:rsidRPr="00B240C0">
        <w:rPr>
          <w:rFonts w:eastAsia="Lato" w:cs="Lato"/>
        </w:rPr>
        <w:t xml:space="preserve">Szczególnie wrażliwym we wspomnianym procesie zmian będzie sektor wydobywczy. </w:t>
      </w:r>
      <w:r>
        <w:rPr>
          <w:rFonts w:eastAsia="Lato" w:cs="Lato"/>
        </w:rPr>
        <w:t>Analiza makroekonomiczna sugeruje, że do 203</w:t>
      </w:r>
      <w:r w:rsidR="00BE2ED8">
        <w:rPr>
          <w:rFonts w:eastAsia="Lato" w:cs="Lato"/>
        </w:rPr>
        <w:t>0 r.</w:t>
      </w:r>
      <w:r>
        <w:rPr>
          <w:rFonts w:eastAsia="Lato" w:cs="Lato"/>
        </w:rPr>
        <w:t xml:space="preserve"> liczba pracowników w sektorze węgla kamiennego i brunatnego spadnie o około 60 tys. osób. Nie oznacza to jednak, że wszyscy pracownicy odchodzący z tego sektora będą musieli się przekwalifikować. Niektórzy odejdą z sektora ze względu na osiągnięcie wieku emerytalnego. </w:t>
      </w:r>
    </w:p>
    <w:p w14:paraId="70192BC1" w14:textId="77777777" w:rsidR="007A16AC" w:rsidRDefault="007A16AC" w:rsidP="007A16AC">
      <w:r w:rsidRPr="00B240C0">
        <w:rPr>
          <w:rFonts w:eastAsia="Lato" w:cs="Lato"/>
        </w:rPr>
        <w:t>Jak wskazują autorzy</w:t>
      </w:r>
      <w:r>
        <w:rPr>
          <w:rFonts w:eastAsia="Lato" w:cs="Lato"/>
        </w:rPr>
        <w:t xml:space="preserve"> </w:t>
      </w:r>
      <w:r w:rsidRPr="00B240C0">
        <w:rPr>
          <w:rFonts w:eastAsia="Lato" w:cs="Lato"/>
        </w:rPr>
        <w:t>raportu IBS</w:t>
      </w:r>
      <w:r w:rsidRPr="00B240C0">
        <w:rPr>
          <w:rStyle w:val="Odwoanieprzypisudolnego"/>
          <w:rFonts w:eastAsia="Lato" w:cs="Lato"/>
        </w:rPr>
        <w:footnoteReference w:id="34"/>
      </w:r>
      <w:r w:rsidRPr="00B240C0">
        <w:rPr>
          <w:rFonts w:eastAsia="Lato" w:cs="Lato"/>
        </w:rPr>
        <w:t>, poświęconego problematyce transformacji górnictwa, działania w</w:t>
      </w:r>
      <w:r>
        <w:rPr>
          <w:rFonts w:eastAsia="Lato" w:cs="Lato"/>
        </w:rPr>
        <w:t> </w:t>
      </w:r>
      <w:r w:rsidRPr="00B240C0">
        <w:rPr>
          <w:rFonts w:eastAsia="Lato" w:cs="Lato"/>
        </w:rPr>
        <w:t>zakresie wsparcia pracowników odchodzących z sektora wydobycia węgla powinny być zróżnicowane ze względu na ich wiek. Wobec starszych pracowników racjonalne jest zaproponowanie rozłożonej w</w:t>
      </w:r>
      <w:r>
        <w:rPr>
          <w:rFonts w:eastAsia="Lato" w:cs="Lato"/>
        </w:rPr>
        <w:t> </w:t>
      </w:r>
      <w:r w:rsidRPr="00B240C0">
        <w:rPr>
          <w:rFonts w:eastAsia="Lato" w:cs="Lato"/>
        </w:rPr>
        <w:t>czasie polityki naturalnych odejść z sektora, możliwość pracy na powierzchni lub w Spółce Restrukturyzacji Kopalń oraz relokacja do innej kopalni. Wobec młodszych pracowników natomiast bardziej akceptowalne społecznie będzie zaproponowanie relokacji do innej kopalni lub propozycja przekwalifikowania i podjęcia pracy poza górnictwem. Jak wskazano w raporcie IBS struktura miejsc oraz stanowisk pracy pomiędzy czynnymi kopalniami jest zbliżona do siebie, a udział osób o najniższych kwalifikacjach sukcesywnie maleje. Z punktu widzenia sprawiedliwej transformacji zmiany w strukturze wykształcenia są zjawiskiem pozytywnym. Raport IBS wskazuje spadek liczby osób uzyskujących kwalifikacje związane z pracą w górnictwie. Absolwenci szkół branżowych i techników wybierają w</w:t>
      </w:r>
      <w:r>
        <w:rPr>
          <w:rFonts w:eastAsia="Lato" w:cs="Lato"/>
        </w:rPr>
        <w:t> </w:t>
      </w:r>
      <w:r w:rsidRPr="00B240C0">
        <w:rPr>
          <w:rFonts w:eastAsia="Lato" w:cs="Lato"/>
        </w:rPr>
        <w:t>większości inne ścieżki kariery niż zatrudnienie bezpośrednio w górnictwie. Sytuacja ta jest korzystna z</w:t>
      </w:r>
      <w:r>
        <w:rPr>
          <w:rFonts w:eastAsia="Lato" w:cs="Lato"/>
        </w:rPr>
        <w:t> </w:t>
      </w:r>
      <w:r w:rsidRPr="00B240C0">
        <w:rPr>
          <w:rFonts w:eastAsia="Lato" w:cs="Lato"/>
        </w:rPr>
        <w:t>punktu widzenia transformacji, ponieważ oznacza spadek napływu młodych pracowników do sektora, ale wymaga monitoringu w celu umożliwienia dokształcania i zmian w profilu kształcenia kadr.</w:t>
      </w:r>
    </w:p>
    <w:p w14:paraId="568701A4" w14:textId="00DBAC87" w:rsidR="007A16AC" w:rsidRPr="00BA3CEF" w:rsidRDefault="007A16AC" w:rsidP="007A16AC">
      <w:pPr>
        <w:rPr>
          <w:rFonts w:eastAsia="Lato" w:cs="Lato"/>
        </w:rPr>
      </w:pPr>
      <w:r w:rsidRPr="00B240C0">
        <w:rPr>
          <w:rFonts w:eastAsia="Lato" w:cs="Lato"/>
        </w:rPr>
        <w:t xml:space="preserve">Analiza wyników scenariuszy WEM i WAM w poprzedniej sekcji </w:t>
      </w:r>
      <w:r>
        <w:rPr>
          <w:rFonts w:eastAsia="Lato" w:cs="Lato"/>
        </w:rPr>
        <w:t>dokumentu</w:t>
      </w:r>
      <w:r w:rsidRPr="00B240C0">
        <w:rPr>
          <w:rFonts w:eastAsia="Lato" w:cs="Lato"/>
        </w:rPr>
        <w:t xml:space="preserve"> wskazuje na nieznacznie szybszą redukcję zatrudnienia w sektorze górniczym oraz alokację pracowników z tego sektora w</w:t>
      </w:r>
      <w:r>
        <w:rPr>
          <w:rFonts w:eastAsia="Lato" w:cs="Lato"/>
        </w:rPr>
        <w:t> </w:t>
      </w:r>
      <w:r w:rsidRPr="00B240C0">
        <w:rPr>
          <w:rFonts w:eastAsia="Lato" w:cs="Lato"/>
        </w:rPr>
        <w:t xml:space="preserve">sektorze usług, przemysłu oraz budownictwa. Wyniki te potwierdzają możliwości znalezienia zatrudnienia przez górników w innych branżach – przyspieszenie procesu transformacji to nie tylko szybsza redukcja zatrudnienia w sektorze konwencjonalnej energetyki, ale i </w:t>
      </w:r>
      <w:r w:rsidRPr="005C61B3">
        <w:rPr>
          <w:rFonts w:eastAsia="Lato" w:cs="Lato"/>
        </w:rPr>
        <w:t>szybszy rozwój nowych sektorów gospodarki związanych z nisko- i zeroemisyjnymi źródłami energii i transportu. Potwierdzeniem możliwości przekierowania pracowników sektora górniczego do innych sektorów są działające programy takie jak „Wiatr – kopalnia możliwości”</w:t>
      </w:r>
      <w:r w:rsidRPr="005C61B3">
        <w:rPr>
          <w:rStyle w:val="Odwoanieprzypisudolnego"/>
          <w:rFonts w:eastAsia="Lato" w:cs="Lato"/>
        </w:rPr>
        <w:footnoteReference w:id="35"/>
      </w:r>
      <w:r w:rsidRPr="005C61B3">
        <w:rPr>
          <w:rFonts w:eastAsia="Lato" w:cs="Lato"/>
        </w:rPr>
        <w:t>, który przygotowuje pracowników sektora górniczego do pracy w charakterze techników i serwisantów turbin wiatrowych. Natomiast projekt „Droga do zatrudnienia po węglu”</w:t>
      </w:r>
      <w:r w:rsidRPr="005C61B3">
        <w:rPr>
          <w:rStyle w:val="Odwoanieprzypisudolnego"/>
          <w:rFonts w:eastAsia="Lato" w:cs="Lato"/>
        </w:rPr>
        <w:footnoteReference w:id="36"/>
      </w:r>
      <w:r w:rsidRPr="005C61B3">
        <w:rPr>
          <w:rFonts w:eastAsia="Lato" w:cs="Lato"/>
        </w:rPr>
        <w:t xml:space="preserve"> wskazuje na możliwą współpracę administracji rządowej, samorządowej z przedsiębiorstwami wydobywczymi w celu aktywizacji zawodowej społeczności uzależnionych od wydobycia węgla. W ramach wspomnianego projektu na wsparcie 2 200 osób ma trafić 257 mln zł (70% z</w:t>
      </w:r>
      <w:r w:rsidRPr="00B240C0">
        <w:rPr>
          <w:rFonts w:eastAsia="Lato" w:cs="Lato"/>
        </w:rPr>
        <w:t xml:space="preserve"> Funduszu Sprawiedliwej Transformacji a 30% z budżetu państwa). Środki mają trafić do osób, które straciły pracę od 1 stycznia 2018 r</w:t>
      </w:r>
      <w:r w:rsidR="001F4AAE">
        <w:rPr>
          <w:rFonts w:eastAsia="Lato" w:cs="Lato"/>
        </w:rPr>
        <w:t>.</w:t>
      </w:r>
      <w:r w:rsidRPr="00B240C0">
        <w:rPr>
          <w:rFonts w:eastAsia="Lato" w:cs="Lato"/>
        </w:rPr>
        <w:t>, członkowie ich rodzin i osoby zatrudnione w firmach zależnych od działalności regionalnych kopalni i elektrowni. Fundusz Sprawiedliwej Transformacji wydaje się istotnym narzędziem wspierającym tego rodzaju zmiany. W grudniu 2022 r. Komisja Europejska zatwierdziła pięć polskich programów operacyjnych z terytorialnymi planami sprawiedliwej transformacji o łącznej wartości ponad 3,85 mld euro i przeznaczone na wsparcie transformacji klimatycznej obszarów górniczych na Śląsku, w</w:t>
      </w:r>
      <w:r>
        <w:rPr>
          <w:rFonts w:eastAsia="Lato" w:cs="Lato"/>
        </w:rPr>
        <w:t> </w:t>
      </w:r>
      <w:r w:rsidRPr="00B240C0">
        <w:rPr>
          <w:rFonts w:eastAsia="Lato" w:cs="Lato"/>
        </w:rPr>
        <w:t>Małopolsce, Wielkopolsce, na Dolnym Śląsku i w Łódzkiem.</w:t>
      </w:r>
      <w:r w:rsidR="004A0238">
        <w:rPr>
          <w:rFonts w:eastAsia="Lato" w:cs="Lato"/>
        </w:rPr>
        <w:t xml:space="preserve"> </w:t>
      </w:r>
      <w:r w:rsidR="00D81483">
        <w:rPr>
          <w:rFonts w:eastAsia="Lato" w:cs="Lato"/>
        </w:rPr>
        <w:t xml:space="preserve">Zapewnienie </w:t>
      </w:r>
      <w:r w:rsidR="008F223A">
        <w:rPr>
          <w:rFonts w:eastAsia="Lato" w:cs="Lato"/>
        </w:rPr>
        <w:t>rozwoju</w:t>
      </w:r>
      <w:r w:rsidR="00177E04">
        <w:rPr>
          <w:rFonts w:eastAsia="Lato" w:cs="Lato"/>
        </w:rPr>
        <w:t xml:space="preserve"> re</w:t>
      </w:r>
      <w:r w:rsidR="00087D06">
        <w:rPr>
          <w:rFonts w:eastAsia="Lato" w:cs="Lato"/>
        </w:rPr>
        <w:t xml:space="preserve">gionów węglowych </w:t>
      </w:r>
      <w:r w:rsidR="003C76CE">
        <w:rPr>
          <w:rFonts w:eastAsia="Lato" w:cs="Lato"/>
        </w:rPr>
        <w:t>oraz</w:t>
      </w:r>
      <w:r w:rsidR="00662CD0">
        <w:rPr>
          <w:rFonts w:eastAsia="Lato" w:cs="Lato"/>
        </w:rPr>
        <w:t xml:space="preserve"> </w:t>
      </w:r>
      <w:r w:rsidR="008F223A">
        <w:rPr>
          <w:rFonts w:eastAsia="Lato" w:cs="Lato"/>
        </w:rPr>
        <w:t xml:space="preserve">wsparcia </w:t>
      </w:r>
      <w:r w:rsidR="00AD5677">
        <w:rPr>
          <w:rFonts w:eastAsia="Lato" w:cs="Lato"/>
        </w:rPr>
        <w:t xml:space="preserve">dla społeczności dotkniętych </w:t>
      </w:r>
      <w:r w:rsidR="009D2824">
        <w:rPr>
          <w:rFonts w:eastAsia="Lato" w:cs="Lato"/>
        </w:rPr>
        <w:t xml:space="preserve">procesem odchodzenia od węgla </w:t>
      </w:r>
      <w:r w:rsidR="00284670">
        <w:rPr>
          <w:rFonts w:eastAsia="Lato" w:cs="Lato"/>
        </w:rPr>
        <w:t xml:space="preserve">jest </w:t>
      </w:r>
      <w:r w:rsidR="001331F6">
        <w:rPr>
          <w:rFonts w:eastAsia="Lato" w:cs="Lato"/>
        </w:rPr>
        <w:t xml:space="preserve">istotnym elementem </w:t>
      </w:r>
      <w:r w:rsidR="007D432C">
        <w:rPr>
          <w:rFonts w:eastAsia="Lato" w:cs="Lato"/>
        </w:rPr>
        <w:t>działań przewidzianych w aKPEiK</w:t>
      </w:r>
      <w:r w:rsidR="000F7063">
        <w:rPr>
          <w:rFonts w:eastAsia="Lato" w:cs="Lato"/>
        </w:rPr>
        <w:t>.</w:t>
      </w:r>
    </w:p>
    <w:p w14:paraId="5CD83709" w14:textId="77777777" w:rsidR="007A16AC" w:rsidRDefault="007A16AC" w:rsidP="007A16AC">
      <w:r w:rsidRPr="00B240C0">
        <w:rPr>
          <w:rFonts w:eastAsia="Lato" w:cs="Lato"/>
        </w:rPr>
        <w:t xml:space="preserve">Obserwacje prezentowane </w:t>
      </w:r>
      <w:r>
        <w:rPr>
          <w:rFonts w:eastAsia="Lato" w:cs="Lato"/>
        </w:rPr>
        <w:t xml:space="preserve">w </w:t>
      </w:r>
      <w:r w:rsidRPr="00B240C0">
        <w:rPr>
          <w:rFonts w:eastAsia="Lato" w:cs="Lato"/>
        </w:rPr>
        <w:t>raportach z serii „</w:t>
      </w:r>
      <w:r w:rsidRPr="00696068">
        <w:rPr>
          <w:rFonts w:eastAsia="Lato" w:cs="Lato"/>
        </w:rPr>
        <w:t>Renewable Energy and Jobs” publikowanych</w:t>
      </w:r>
      <w:r w:rsidRPr="00B240C0">
        <w:rPr>
          <w:rFonts w:eastAsia="Lato" w:cs="Lato"/>
        </w:rPr>
        <w:t xml:space="preserve"> corocznie przez IRENA (</w:t>
      </w:r>
      <w:r w:rsidRPr="00B240C0">
        <w:rPr>
          <w:rFonts w:eastAsia="Lato" w:cs="Lato"/>
          <w:i/>
          <w:iCs/>
        </w:rPr>
        <w:t>International Renewable Energy Agency</w:t>
      </w:r>
      <w:r w:rsidRPr="00B240C0">
        <w:rPr>
          <w:rFonts w:eastAsia="Lato" w:cs="Lato"/>
        </w:rPr>
        <w:t xml:space="preserve">) we współpracy ze Światową Organizacją Pracy (ILO, </w:t>
      </w:r>
      <w:r w:rsidRPr="00B240C0">
        <w:rPr>
          <w:rFonts w:eastAsia="Lato" w:cs="Lato"/>
          <w:i/>
          <w:iCs/>
        </w:rPr>
        <w:t>International Labour Organization</w:t>
      </w:r>
      <w:r w:rsidRPr="00B240C0">
        <w:rPr>
          <w:rFonts w:eastAsia="Lato" w:cs="Lato"/>
        </w:rPr>
        <w:t>) coraz wyraźniej pokazują, że w większości krajów i regionów sektor energii odnawialnej tworzy lub może wykreować więcej miejsc pracy niż tradycyjny sektor wydobywczy (w znacznej mierze wskutek zdecentralizowanej specyfiki tego sektora oraz wymagań związanych z</w:t>
      </w:r>
      <w:r>
        <w:rPr>
          <w:rFonts w:eastAsia="Lato" w:cs="Lato"/>
        </w:rPr>
        <w:t> </w:t>
      </w:r>
      <w:r w:rsidRPr="00B240C0">
        <w:rPr>
          <w:rFonts w:eastAsia="Lato" w:cs="Lato"/>
        </w:rPr>
        <w:t>nakładami pracy)</w:t>
      </w:r>
      <w:r w:rsidRPr="00B240C0">
        <w:rPr>
          <w:rStyle w:val="Odwoanieprzypisudolnego"/>
          <w:rFonts w:eastAsia="Lato" w:cs="Lato"/>
        </w:rPr>
        <w:footnoteReference w:id="37"/>
      </w:r>
      <w:r w:rsidRPr="00B240C0">
        <w:rPr>
          <w:rFonts w:eastAsia="Lato" w:cs="Lato"/>
        </w:rPr>
        <w:t>.</w:t>
      </w:r>
    </w:p>
    <w:p w14:paraId="6DC4379F" w14:textId="77777777" w:rsidR="007A16AC" w:rsidRDefault="007A16AC" w:rsidP="007A16AC">
      <w:r w:rsidRPr="00B240C0">
        <w:rPr>
          <w:rFonts w:eastAsia="Lato" w:cs="Lato"/>
        </w:rPr>
        <w:t>W związku z procesem transformacji gospodarki bardzo istotne będzie dostosowanie kwalifikacji zawodowych. Kluczowe będzie podejmowanie działań na rzecz tworzenia miejsc pracy wysokiej jakości oraz działania mające na celu wspieranie sprawiedliwych przemian w regionach uzależnionych od węgla. Wyniki modelowania pokazują także wyraźny spadek udziału zatrudnionych w rolnictwie, wzrośnie natomiast udział zatrudnionych w przemyśle i w usługach. Bardzo istotne będzie uwzględnienie tych zmian i wsparcie pracowników w zmianie miejsca zatrudnienia oraz zdobywaniu nowych i</w:t>
      </w:r>
      <w:r>
        <w:rPr>
          <w:rFonts w:eastAsia="Lato" w:cs="Lato"/>
        </w:rPr>
        <w:t> </w:t>
      </w:r>
      <w:r w:rsidRPr="00B240C0">
        <w:rPr>
          <w:rFonts w:eastAsia="Lato" w:cs="Lato"/>
        </w:rPr>
        <w:t>specjalistycznych umiejętności</w:t>
      </w:r>
      <w:r>
        <w:rPr>
          <w:rFonts w:eastAsia="Lato" w:cs="Lato"/>
        </w:rPr>
        <w:t xml:space="preserve">, </w:t>
      </w:r>
      <w:r w:rsidRPr="00523F2E">
        <w:rPr>
          <w:rFonts w:eastAsia="Lato" w:cs="Lato"/>
        </w:rPr>
        <w:t xml:space="preserve">szczególnie w dziedzinach związanych z odnawialnymi źródłami energii, efektywnością energetyczną oraz technologiami związanymi z gospodarką niskoemisyjną. Programy </w:t>
      </w:r>
      <w:r w:rsidRPr="00D830B8">
        <w:rPr>
          <w:rFonts w:eastAsia="Lato" w:cs="Lato"/>
        </w:rPr>
        <w:t>szkoleniowe i wsparcie edukacyjne będą kluczowe w tym procesie. Zmiany w gospodarce w związku z transformacją należy rozpatrywać w kategorii szans rozwojowych. Szczególnie w regionach węglowych konieczna będzie głęboka modernizacja profilu umiejętności pracowników, gdyż wzrost wykorzystania bezemisyjnych źródeł energii przełoży się na powstanie nowych miejsc pracy w energetyce wiatrowej, słonecznej, atomowej, w sektorze bioenergii</w:t>
      </w:r>
      <w:r w:rsidRPr="00B240C0">
        <w:rPr>
          <w:rFonts w:eastAsia="Lato" w:cs="Lato"/>
        </w:rPr>
        <w:t xml:space="preserve">. </w:t>
      </w:r>
    </w:p>
    <w:p w14:paraId="1B96C96C" w14:textId="21BA0B16" w:rsidR="005C4144" w:rsidRDefault="005C4144" w:rsidP="00D50731">
      <w:pPr>
        <w:pStyle w:val="Nagwek3"/>
      </w:pPr>
      <w:bookmarkStart w:id="730" w:name="_Toc202966926"/>
      <w:r>
        <w:t>Udział wydatków gospodarstw domowych na paliwa i</w:t>
      </w:r>
      <w:r w:rsidR="000D2FDB">
        <w:t> </w:t>
      </w:r>
      <w:r>
        <w:t>energię</w:t>
      </w:r>
      <w:bookmarkEnd w:id="722"/>
      <w:bookmarkEnd w:id="723"/>
      <w:bookmarkEnd w:id="724"/>
      <w:bookmarkEnd w:id="725"/>
      <w:bookmarkEnd w:id="726"/>
      <w:bookmarkEnd w:id="727"/>
      <w:bookmarkEnd w:id="728"/>
      <w:bookmarkEnd w:id="729"/>
      <w:bookmarkEnd w:id="730"/>
      <w:r w:rsidRPr="1A0F090D">
        <w:t xml:space="preserve"> </w:t>
      </w:r>
    </w:p>
    <w:p w14:paraId="365E1980" w14:textId="37FEAF5A" w:rsidR="00D65C5C" w:rsidRDefault="00D65C5C" w:rsidP="00D65C5C">
      <w:r>
        <w:t>W niniejszym rozdziale wskazujemy na potencjalne skutki społeczne wynikające z realizacji polityki klimatycznej zgodnej ze scenariuszami WEM oraz WAM. Analizę skutków społecznych przeprowadzono za pomocą modułu gospodarstw domowych, który jest oparty o dane z badania budżetów gospodarstw domowych. Na podstawie tych danych gospodarstwa podzielono na 5 dochodowych grup kwintylowych, gdzie pierwsza grupa zawiera 20% gospodarstw domowych o najniższych dochodach. Następnie dla każdej grupy dochodowej obliczono udział wydatków w ogóle wydatków na następujące kategorie dóbr energetyczno-paliwowych: 1) energia elektryczna, 2) gaz, 3) paliwa płynne</w:t>
      </w:r>
      <w:r>
        <w:rPr>
          <w:rStyle w:val="Odwoanieprzypisudolnego"/>
        </w:rPr>
        <w:footnoteReference w:id="38"/>
      </w:r>
      <w:r>
        <w:t>, 4) paliwa stałe</w:t>
      </w:r>
      <w:r>
        <w:rPr>
          <w:rStyle w:val="Odwoanieprzypisudolnego"/>
        </w:rPr>
        <w:footnoteReference w:id="39"/>
      </w:r>
      <w:r>
        <w:t xml:space="preserve">, 5) ciepło sieciowe oraz 6) olej napędowy i benzynę. </w:t>
      </w:r>
      <w:r w:rsidRPr="00813215">
        <w:t xml:space="preserve">W ostatnim kroku wyliczono ewolucję tych wydatków w horyzoncie </w:t>
      </w:r>
      <w:r w:rsidR="00F128CB">
        <w:t>2040 r.</w:t>
      </w:r>
      <w:r w:rsidRPr="00813215">
        <w:t>, wykorzystując przewidywania dotyczące cen dla poszczególnych nośników energii, wielkość zużycia oraz dochodów gospodarstw domowych</w:t>
      </w:r>
      <w:r>
        <w:t>. W niniejszej analizie założono, że zmiany w</w:t>
      </w:r>
      <w:r w:rsidR="00B6518A">
        <w:t> </w:t>
      </w:r>
      <w:r>
        <w:t>konsumpcji poszczególnych dóbr oraz wzrost zamożności w równym stopniu będzie dotykał gospodarstwa domowe należące do różnych grup dochodowych. Ewolucja wydatków przedstawiona jest na Rysunkach 5.1 dla scenariusza WEM oraz 5.2 dla scenariusza WAM</w:t>
      </w:r>
      <w:r w:rsidRPr="2C684158">
        <w:t xml:space="preserve">. </w:t>
      </w:r>
    </w:p>
    <w:p w14:paraId="7FA90E4B" w14:textId="1A868447" w:rsidR="005B4308" w:rsidRDefault="00900FD6" w:rsidP="005B4308">
      <w:pPr>
        <w:jc w:val="center"/>
      </w:pPr>
      <w:r>
        <w:rPr>
          <w:noProof/>
          <w:lang w:eastAsia="pl-PL"/>
        </w:rPr>
        <w:drawing>
          <wp:inline distT="0" distB="0" distL="0" distR="0" wp14:anchorId="76893277" wp14:editId="0853D31A">
            <wp:extent cx="5760720" cy="3008630"/>
            <wp:effectExtent l="0" t="0" r="0" b="1270"/>
            <wp:docPr id="843352662" name="Wykres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59C7950" w14:textId="71263607" w:rsidR="005C4144" w:rsidRDefault="005C4144" w:rsidP="005C4144">
      <w:pPr>
        <w:pStyle w:val="Legenda"/>
        <w:ind w:left="1134" w:hanging="1134"/>
      </w:pPr>
      <w:bookmarkStart w:id="731" w:name="_Ref167823516"/>
      <w:bookmarkStart w:id="732" w:name="_Toc171587276"/>
      <w:bookmarkStart w:id="733" w:name="_Toc174711043"/>
      <w:bookmarkStart w:id="734" w:name="_Toc202967054"/>
      <w:r>
        <w:t xml:space="preserve">Rysunek </w:t>
      </w:r>
      <w:r w:rsidRPr="00F66A00">
        <w:fldChar w:fldCharType="begin"/>
      </w:r>
      <w:r>
        <w:rPr>
          <w:noProof/>
        </w:rPr>
        <w:instrText xml:space="preserve"> STYLEREF 1 \s </w:instrText>
      </w:r>
      <w:r w:rsidRPr="00F66A00">
        <w:rPr>
          <w:noProof/>
        </w:rPr>
        <w:fldChar w:fldCharType="separate"/>
      </w:r>
      <w:r w:rsidR="00F27D6F">
        <w:rPr>
          <w:noProof/>
        </w:rPr>
        <w:t>6</w:t>
      </w:r>
      <w:r w:rsidRPr="00F66A00">
        <w:fldChar w:fldCharType="end"/>
      </w:r>
      <w:r>
        <w:t>.</w:t>
      </w:r>
      <w:r w:rsidRPr="00F66A00">
        <w:fldChar w:fldCharType="begin"/>
      </w:r>
      <w:r>
        <w:rPr>
          <w:noProof/>
        </w:rPr>
        <w:instrText xml:space="preserve"> SEQ Rysunek \* ARABIC \s 1 </w:instrText>
      </w:r>
      <w:r w:rsidRPr="00F66A00">
        <w:rPr>
          <w:noProof/>
        </w:rPr>
        <w:fldChar w:fldCharType="separate"/>
      </w:r>
      <w:r w:rsidR="00F27D6F">
        <w:rPr>
          <w:noProof/>
        </w:rPr>
        <w:t>1</w:t>
      </w:r>
      <w:r w:rsidRPr="00F66A00">
        <w:fldChar w:fldCharType="end"/>
      </w:r>
      <w:bookmarkEnd w:id="731"/>
      <w:r>
        <w:t xml:space="preserve">. </w:t>
      </w:r>
      <w:r w:rsidRPr="006912F7">
        <w:t>Udziały wydatków gospodarstw domowych na paliwa i energię w podziale na kwintyle dochodowe dla scenariusza WEM w Polsce w latach 20</w:t>
      </w:r>
      <w:r>
        <w:t>20</w:t>
      </w:r>
      <w:r w:rsidRPr="006912F7">
        <w:t>-20</w:t>
      </w:r>
      <w:r w:rsidR="005B4308">
        <w:t>4</w:t>
      </w:r>
      <w:r w:rsidRPr="006912F7">
        <w:t>0.</w:t>
      </w:r>
      <w:bookmarkEnd w:id="732"/>
      <w:bookmarkEnd w:id="733"/>
      <w:bookmarkEnd w:id="734"/>
    </w:p>
    <w:p w14:paraId="6EE6CD3F" w14:textId="77777777" w:rsidR="005C4144" w:rsidRDefault="005C4144" w:rsidP="005C4144">
      <w:pPr>
        <w:pStyle w:val="ardo"/>
      </w:pPr>
      <w:r w:rsidRPr="006912F7">
        <w:t>Źródło: opracowanie własne IOŚ-PIB</w:t>
      </w:r>
    </w:p>
    <w:p w14:paraId="275CEC44" w14:textId="309A4263" w:rsidR="00B6716F" w:rsidRDefault="00B6716F" w:rsidP="00B6716F">
      <w:bookmarkStart w:id="735" w:name="_Hlk175696591"/>
      <w:r>
        <w:t>Gospodarstwa domowe w Polsce relatywnie najwięcej przeznaczają na energię elektryczną, a w następującej kolejności na gaz, ciepło sieciowe, paliwa stałe, zaś wydatki na paliwa płynne (przede wszystkim olej opałowy), wyłączając transportowe, są niemal niezauważalne. Wyłączając benzynę i ropę naftową, udział wydatków na nośniki energii maleje wraz z zamożnością gospodarstwa domowego: najbiedniejsze gospodarstwa domowe przeznaczają na nie obecnie około 10% swojego budżetu, zaś te najbogatsze około 8%. Nierówności w wydatkach są dużo silniejsze w przypadku paliw do pojazdów. Udział wydatków dla najbogatszego kwintyla wynosi ponad 5%, zaś dla najuboższego niewiele ponad 1%, a więc różnica w absolutnych wydatkach jest przynajmniej kilkunastokrotna.</w:t>
      </w:r>
    </w:p>
    <w:p w14:paraId="32E0A247" w14:textId="28F1A9BB" w:rsidR="00B6716F" w:rsidRDefault="00B6716F" w:rsidP="00B6716F">
      <w:r>
        <w:t xml:space="preserve">Udział wydatków na nośniki energii będzie determinowany przede wszystkim przez następujące 3 przeciwstawne mechanizmy. Po pierwsze, w wyniku objęcia paliw systemem handlu emisjami wzrosną ich ceny, co bezpośrednio zwiększy udział wydatków na te dobra. Przykładowo, cena na poziomie 100 Euro za tonę </w:t>
      </w:r>
      <w:r w:rsidRPr="005500E5">
        <w:t>CO</w:t>
      </w:r>
      <w:r w:rsidRPr="005500E5">
        <w:rPr>
          <w:vertAlign w:val="subscript"/>
        </w:rPr>
        <w:t>2</w:t>
      </w:r>
      <w:r>
        <w:t xml:space="preserve"> zwiększy cenę tony węgla o ponad 1200 PLN, 1 litra benzyny o około złotówkę, a 1 m</w:t>
      </w:r>
      <w:r>
        <w:rPr>
          <w:vertAlign w:val="superscript"/>
        </w:rPr>
        <w:t>3</w:t>
      </w:r>
      <w:r>
        <w:t xml:space="preserve"> gazu ziemnego o 0,85 PLN. Z drugiej strony przechodzenie na paliwa bezemisyjne, np. przejście z ogrzewania węglem na prąd, będzie niwelowało przynajmniej część tego wzrostu, o ile energia elektryczna będzie wytwarzana ze źródeł innych niż paliwa kopalne. Trzecim istotnym mechanizmem jest bogacenie się społeczeństwa, które sprawi, że te same potrzeby energetyczne będziemy w stanie zaspokoić przeznaczając na nie coraz mniejszą część budżetu.</w:t>
      </w:r>
    </w:p>
    <w:p w14:paraId="47ECE46D" w14:textId="61F39DC8" w:rsidR="00B6716F" w:rsidRDefault="00B6716F" w:rsidP="00B6716F">
      <w:r>
        <w:t xml:space="preserve">W perspektywie </w:t>
      </w:r>
      <w:r w:rsidR="00F128CB">
        <w:t>2040 r.</w:t>
      </w:r>
      <w:r>
        <w:t xml:space="preserve">, na nośniki energii i paliwa transportowe będziemy wydawać relatywnie coraz mniej, jednakże w krótkim okresie, tzn. do </w:t>
      </w:r>
      <w:r w:rsidR="00A16CDB">
        <w:t>2025 r.</w:t>
      </w:r>
      <w:r>
        <w:t xml:space="preserve"> udział tych wydatków wzrośnie o około 4 p. proc. w stosunku do </w:t>
      </w:r>
      <w:r w:rsidR="00A16CDB">
        <w:t>2020 r.</w:t>
      </w:r>
      <w:r>
        <w:t xml:space="preserve"> Odpowiedzialny za to wzrost cen paliw wynika jednak z przyczyn innych niż polityka klimatyczna, gdyż system ETS2</w:t>
      </w:r>
      <w:r>
        <w:rPr>
          <w:rStyle w:val="Odwoanieprzypisudolnego"/>
        </w:rPr>
        <w:footnoteReference w:id="40"/>
      </w:r>
      <w:r>
        <w:t xml:space="preserve"> wchodzi w życie dopiero w drugiej połowie bieżącej dekady i</w:t>
      </w:r>
      <w:r w:rsidR="00B6518A">
        <w:t> </w:t>
      </w:r>
      <w:r>
        <w:t xml:space="preserve">na wykresach jego efekt jest widoczny dopiero w danych za 2030 r. </w:t>
      </w:r>
      <w:r w:rsidRPr="0032776A">
        <w:t>Wzrost cen paliw w 202</w:t>
      </w:r>
      <w:r w:rsidR="00BE2ED8">
        <w:t>5 r.</w:t>
      </w:r>
      <w:r w:rsidRPr="0032776A">
        <w:t xml:space="preserve"> jest wynikiem przede wszystkim odejścia krajów UE od importu z Federacji Rosyjskiej oraz ogólnoświatowego </w:t>
      </w:r>
      <w:r>
        <w:t>ożywienia gospodarczego i</w:t>
      </w:r>
      <w:r w:rsidRPr="0032776A">
        <w:t xml:space="preserve"> szybkiego wzrostu zużycia nośników energii</w:t>
      </w:r>
      <w:r>
        <w:t>, jakie miało miejsce po pandemii.</w:t>
      </w:r>
      <w:r w:rsidRPr="0032776A">
        <w:t xml:space="preserve"> W rezultacie zwiększone koszty importu związane z reorganizacją dostaw i wzrostem popytu przyczyniły się do ogólnego wzrostu cen paliw na rynku </w:t>
      </w:r>
      <w:r>
        <w:t>światowym</w:t>
      </w:r>
      <w:r w:rsidRPr="0032776A">
        <w:t>.</w:t>
      </w:r>
      <w:r>
        <w:t xml:space="preserve"> </w:t>
      </w:r>
    </w:p>
    <w:p w14:paraId="6603FE0A" w14:textId="033DB6A4" w:rsidR="00B6716F" w:rsidRDefault="00B6716F" w:rsidP="00B6716F">
      <w:r>
        <w:t xml:space="preserve">W 2025 </w:t>
      </w:r>
      <w:r w:rsidR="00332A31">
        <w:t>r.</w:t>
      </w:r>
      <w:r>
        <w:t xml:space="preserve"> umowny próg niedostatku energetycznego</w:t>
      </w:r>
      <w:r>
        <w:rPr>
          <w:rStyle w:val="Odwoanieprzypisudolnego"/>
        </w:rPr>
        <w:footnoteReference w:id="41"/>
      </w:r>
      <w:r>
        <w:t xml:space="preserve"> będzie, średnio rzecz biorąc, przekroczony przez nawet czwarty kwintyl dochodowy. W kolejnych okresach 5 letnich udział wydatków na energię będzie systematycznie spadał. Będzie to możliwe dzięki spadającym ‘bazowym’</w:t>
      </w:r>
      <w:r>
        <w:rPr>
          <w:rStyle w:val="Odwoanieprzypisudolnego"/>
        </w:rPr>
        <w:footnoteReference w:id="42"/>
      </w:r>
      <w:r>
        <w:t xml:space="preserve"> cenom energii, podczas gdy wzrosty cen wynikające z systemem handlu emisjami nie będą jeszcze aż tak dotkliwe. Co istotne, te wzrosty cen energii będące efektem rosnących cen za emisje będą rozłożone na wiele lat i są elementem stabilnej polityki europejskiej. Gospodarstwa domowe będą miały więc wystarczająco dużo czasu</w:t>
      </w:r>
      <w:r>
        <w:rPr>
          <w:rStyle w:val="Odwoanieprzypisudolnego"/>
        </w:rPr>
        <w:footnoteReference w:id="43"/>
      </w:r>
      <w:r>
        <w:t>, aby przygotować się do wzrostów cen poprzez zmiany technologiczne takie jak wymiana źródeł ogrzewania. Gospodarstwa domowe będą zatem ograniczać zakupy paliw kopalnych</w:t>
      </w:r>
      <w:r w:rsidR="009A1283">
        <w:t>,</w:t>
      </w:r>
      <w:r>
        <w:t xml:space="preserve"> których to ceny będą szybciej rosły niż cena energii elektrycznej. Ostatnim istotnym czynnikiem determinującym udział wydatków są rosnące przychody gospodarstw domowych, co pozwala na przeznaczanie coraz mniejszej części budżetu na zaspokajanie tych samych potrzeb energetycznych. Na skutek wyżej wymienionych czynników, po </w:t>
      </w:r>
      <w:r w:rsidR="00F128CB">
        <w:t>2030 r.</w:t>
      </w:r>
      <w:r>
        <w:t xml:space="preserve">, średnio rzecz biorąc wszystkie grupy kwintylowe powinny przeznaczać mniej niż 10% swojego budżetu na zaspokajanie potrzeb energetycznych (z wyłączeniem transportu), a więc znajdą się poniżej umownego progu niedostatku energetycznego. Należy podkreślić, że nie oznacza to, że wyeliminowane zostanie zjawisko ubóstwa energetycznego. Prezentowane wyniki dotyczą średnich wydatków dla kwintyli dochodowych, co nie oznacza, że wszystkie gospodarstwa domowe wchodzące w skład danej grupy kwintylowej będą znajdowały się poniżej umownego progu. W dalszym ciągu konieczne może być wspieranie wybranych najuboższych gospodarstw oraz inwestowanie w alternatywne źródła ogrzewania. Należy również zaznaczyć, że powyższe symulacje nie uwzględniają kosztów inwestycyjnych związanych ze zmianą źródeł ogrzewania na niskoemisyjne. Koszt ten, rozłożony nawet na kilkanaście lat może być istotną pozycją w budżecie gospodarstwa domowego. </w:t>
      </w:r>
    </w:p>
    <w:p w14:paraId="5BF71240" w14:textId="3B4C7731" w:rsidR="005C4144" w:rsidRDefault="00B6716F" w:rsidP="005C4144">
      <w:r>
        <w:t xml:space="preserve">Zgodnie z przeprowadzonymi symulacjami, udział wydatków na nośniki energii i paliwa transportowe będzie malał szybciej w przypadku realizacji scenariusza WAM. Istotne różnice pomiędzy scenariuszami, wynoszące ok. 0,8 p. proc. można zaobserwować już dla </w:t>
      </w:r>
      <w:r w:rsidR="00F128CB">
        <w:t>2030 r.</w:t>
      </w:r>
      <w:r>
        <w:t xml:space="preserve"> </w:t>
      </w:r>
      <w:r w:rsidRPr="00797063">
        <w:t>Z kolei na koniec okresu symulacji, czyli w</w:t>
      </w:r>
      <w:r w:rsidR="00FC774E">
        <w:t> </w:t>
      </w:r>
      <w:r w:rsidR="00F128CB">
        <w:t>2040 r.</w:t>
      </w:r>
      <w:r w:rsidRPr="00797063">
        <w:t>, udział wydatków może być niższy o ok. 2 punkty procentowe</w:t>
      </w:r>
      <w:r>
        <w:t xml:space="preserve"> dla scenariusza WAM w</w:t>
      </w:r>
      <w:r w:rsidR="00FC774E">
        <w:t> </w:t>
      </w:r>
      <w:r>
        <w:t xml:space="preserve">porównaniu do scenariusza WEM dla wszystkich grup kwintylowych. Przyczyni się do tego głębszy spadek wydatków na paliwa kopalne, który będzie kompensowany mniejszym wzrostem wydatków na energię elektryczną, której cena nie wzrośnie tak znacząco jak w przypadku paliw kopalnych objętych systemem ETS2. Drugim czynnikiem stojącym za tym wynikiem jest szybszy wzrost dochodów gospodarstw domowych. Można zatem powiedzieć, że z punktu widzenia wydatków gospodarstw domowych na paliwa i energię, realizacja </w:t>
      </w:r>
      <w:r w:rsidRPr="00CB5993">
        <w:rPr>
          <w:b/>
        </w:rPr>
        <w:t>scenariusz</w:t>
      </w:r>
      <w:r>
        <w:rPr>
          <w:b/>
        </w:rPr>
        <w:t>a</w:t>
      </w:r>
      <w:r w:rsidRPr="00CB5993">
        <w:rPr>
          <w:b/>
        </w:rPr>
        <w:t xml:space="preserve"> </w:t>
      </w:r>
      <w:r>
        <w:rPr>
          <w:b/>
        </w:rPr>
        <w:t>WAM</w:t>
      </w:r>
      <w:r w:rsidRPr="00CB5993">
        <w:rPr>
          <w:b/>
        </w:rPr>
        <w:t xml:space="preserve"> przyczyni się do poprawy społecznych aspektów transformacji</w:t>
      </w:r>
      <w:r w:rsidR="005C4144">
        <w:rPr>
          <w:b/>
        </w:rPr>
        <w:t>.</w:t>
      </w:r>
    </w:p>
    <w:bookmarkEnd w:id="735"/>
    <w:p w14:paraId="30840475" w14:textId="39A5D29E" w:rsidR="005C4144" w:rsidRDefault="005C4144" w:rsidP="005C4144"/>
    <w:p w14:paraId="4DBEFDF9" w14:textId="358D493F" w:rsidR="00DB4AFB" w:rsidRDefault="00D364C3" w:rsidP="00DB4AFB">
      <w:pPr>
        <w:jc w:val="center"/>
      </w:pPr>
      <w:r>
        <w:rPr>
          <w:noProof/>
          <w:lang w:eastAsia="pl-PL"/>
        </w:rPr>
        <w:drawing>
          <wp:inline distT="0" distB="0" distL="0" distR="0" wp14:anchorId="0015A043" wp14:editId="12D632BD">
            <wp:extent cx="5760720" cy="3387725"/>
            <wp:effectExtent l="0" t="0" r="0" b="3175"/>
            <wp:docPr id="727008035" name="Wykres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53ABC2DC" w14:textId="6EBC6A08" w:rsidR="005C4144" w:rsidRDefault="005C4144" w:rsidP="005C4144">
      <w:pPr>
        <w:pStyle w:val="Legenda"/>
        <w:ind w:left="1134" w:hanging="1134"/>
      </w:pPr>
      <w:bookmarkStart w:id="736" w:name="_Ref167823562"/>
      <w:bookmarkStart w:id="737" w:name="_Toc171587277"/>
      <w:bookmarkStart w:id="738" w:name="_Toc174711044"/>
      <w:bookmarkStart w:id="739" w:name="_Toc202967055"/>
      <w:r>
        <w:t xml:space="preserve">Rysunek </w:t>
      </w:r>
      <w:r w:rsidRPr="00F66A00">
        <w:fldChar w:fldCharType="begin"/>
      </w:r>
      <w:r>
        <w:rPr>
          <w:noProof/>
        </w:rPr>
        <w:instrText xml:space="preserve"> STYLEREF 1 \s </w:instrText>
      </w:r>
      <w:r w:rsidRPr="00F66A00">
        <w:rPr>
          <w:noProof/>
        </w:rPr>
        <w:fldChar w:fldCharType="separate"/>
      </w:r>
      <w:r w:rsidR="00F27D6F">
        <w:rPr>
          <w:noProof/>
        </w:rPr>
        <w:t>6</w:t>
      </w:r>
      <w:r w:rsidRPr="00F66A00">
        <w:fldChar w:fldCharType="end"/>
      </w:r>
      <w:r>
        <w:t>.</w:t>
      </w:r>
      <w:r w:rsidRPr="00F66A00">
        <w:fldChar w:fldCharType="begin"/>
      </w:r>
      <w:r>
        <w:rPr>
          <w:noProof/>
        </w:rPr>
        <w:instrText xml:space="preserve"> SEQ Rysunek \* ARABIC \s 1 </w:instrText>
      </w:r>
      <w:r w:rsidRPr="00F66A00">
        <w:rPr>
          <w:noProof/>
        </w:rPr>
        <w:fldChar w:fldCharType="separate"/>
      </w:r>
      <w:r w:rsidR="00F27D6F">
        <w:rPr>
          <w:noProof/>
        </w:rPr>
        <w:t>2</w:t>
      </w:r>
      <w:r w:rsidRPr="00F66A00">
        <w:fldChar w:fldCharType="end"/>
      </w:r>
      <w:bookmarkEnd w:id="736"/>
      <w:r>
        <w:t xml:space="preserve">. </w:t>
      </w:r>
      <w:r w:rsidRPr="006912F7">
        <w:t>Udziały wydatków gospodarstw domowych na paliwa i energię w podziale na kwintyle dochodowe dla scenariusza WAM w Polsce w latach 20</w:t>
      </w:r>
      <w:r>
        <w:t>20</w:t>
      </w:r>
      <w:r w:rsidRPr="006912F7">
        <w:t>-20</w:t>
      </w:r>
      <w:r w:rsidR="00DB4AFB">
        <w:t>4</w:t>
      </w:r>
      <w:r w:rsidRPr="006912F7">
        <w:t>0.</w:t>
      </w:r>
      <w:bookmarkEnd w:id="737"/>
      <w:bookmarkEnd w:id="738"/>
      <w:bookmarkEnd w:id="739"/>
    </w:p>
    <w:p w14:paraId="7F5F6143" w14:textId="77777777" w:rsidR="005C4144" w:rsidRDefault="005C4144" w:rsidP="005C4144">
      <w:pPr>
        <w:pStyle w:val="ardo"/>
      </w:pPr>
      <w:r w:rsidRPr="006912F7">
        <w:t>Źródło: opracowanie własne IOŚ-PIB</w:t>
      </w:r>
    </w:p>
    <w:p w14:paraId="09234466" w14:textId="36716DD5" w:rsidR="005C4144" w:rsidRDefault="005C4144" w:rsidP="004F5D0E">
      <w:pPr>
        <w:pStyle w:val="Nagwek3"/>
      </w:pPr>
      <w:bookmarkStart w:id="740" w:name="_Toc171587357"/>
      <w:bookmarkStart w:id="741" w:name="_Toc174710927"/>
      <w:bookmarkStart w:id="742" w:name="_Toc202966927"/>
      <w:r>
        <w:t>Skutki zdrowotne i środowiskowe</w:t>
      </w:r>
      <w:bookmarkEnd w:id="740"/>
      <w:bookmarkEnd w:id="741"/>
      <w:bookmarkEnd w:id="742"/>
    </w:p>
    <w:p w14:paraId="2C87AB65" w14:textId="36B42784" w:rsidR="00FA091E" w:rsidRPr="004D1F95" w:rsidRDefault="00FA091E" w:rsidP="00FA091E">
      <w:pPr>
        <w:rPr>
          <w:rFonts w:cstheme="minorHAnsi"/>
        </w:rPr>
      </w:pPr>
      <w:r w:rsidRPr="004D1F95">
        <w:rPr>
          <w:rFonts w:cstheme="minorHAnsi"/>
        </w:rPr>
        <w:t xml:space="preserve">Wdrożenie polityk i </w:t>
      </w:r>
      <w:r>
        <w:rPr>
          <w:rFonts w:cstheme="minorHAnsi"/>
        </w:rPr>
        <w:t xml:space="preserve">działań </w:t>
      </w:r>
      <w:r w:rsidRPr="004D1F95">
        <w:rPr>
          <w:rFonts w:cstheme="minorHAnsi"/>
        </w:rPr>
        <w:t xml:space="preserve">w ramach scenariuszy WEM i WAM do </w:t>
      </w:r>
      <w:r w:rsidR="00F128CB">
        <w:rPr>
          <w:rFonts w:cstheme="minorHAnsi"/>
        </w:rPr>
        <w:t>2040 r.</w:t>
      </w:r>
      <w:r w:rsidRPr="004D1F95">
        <w:rPr>
          <w:rFonts w:cstheme="minorHAnsi"/>
        </w:rPr>
        <w:t xml:space="preserve">, mających na celu poprawę efektywności energetycznej i związane z nią ograniczenie zużycia paliw, a także znaczący wzrost wykorzystania źródeł odnawialnych w strukturze produkcji i zużycia energii, będzie miało istotny, pozytywny wpływ zarówno na zdrowie ludzi jak i środowisko. </w:t>
      </w:r>
    </w:p>
    <w:p w14:paraId="6BC6FAB6" w14:textId="5DE9F72B" w:rsidR="00FA091E" w:rsidRPr="004D1F95" w:rsidRDefault="00FA091E" w:rsidP="00FA091E">
      <w:pPr>
        <w:rPr>
          <w:rFonts w:cstheme="minorHAnsi"/>
        </w:rPr>
      </w:pPr>
      <w:r w:rsidRPr="004D1F95">
        <w:rPr>
          <w:rFonts w:cstheme="minorHAnsi"/>
        </w:rPr>
        <w:t xml:space="preserve">Przyczyni się ono nie tylko do redukcji emisji gazów cieplarnianych, ale również wyraźnego ograniczenia emisji zanieczyszczeń powietrza (dane w zakresie redukcji emisji </w:t>
      </w:r>
      <w:r w:rsidRPr="00551D6C">
        <w:rPr>
          <w:rFonts w:cstheme="minorHAnsi"/>
        </w:rPr>
        <w:t>przedstawiono w</w:t>
      </w:r>
      <w:r w:rsidR="009703B8">
        <w:rPr>
          <w:rFonts w:cstheme="minorHAnsi"/>
        </w:rPr>
        <w:t>cześniej</w:t>
      </w:r>
      <w:r w:rsidR="00F20462">
        <w:rPr>
          <w:rFonts w:cstheme="minorHAnsi"/>
        </w:rPr>
        <w:t>)</w:t>
      </w:r>
      <w:r w:rsidRPr="00551D6C">
        <w:rPr>
          <w:rFonts w:cstheme="minorHAnsi"/>
        </w:rPr>
        <w:t>, w</w:t>
      </w:r>
      <w:r>
        <w:rPr>
          <w:rFonts w:cstheme="minorHAnsi"/>
        </w:rPr>
        <w:t> </w:t>
      </w:r>
      <w:r w:rsidRPr="00551D6C">
        <w:rPr>
          <w:rFonts w:cstheme="minorHAnsi"/>
        </w:rPr>
        <w:t>głównej mierze powstających w wyniku spalania</w:t>
      </w:r>
      <w:r w:rsidRPr="004D1F95">
        <w:rPr>
          <w:rFonts w:cstheme="minorHAnsi"/>
        </w:rPr>
        <w:t xml:space="preserve"> paliw kopalnych. Do zanieczyszczeń tych należą m.in. tlenki azotu (NO</w:t>
      </w:r>
      <w:r w:rsidRPr="004D1F95">
        <w:rPr>
          <w:rFonts w:cstheme="minorHAnsi"/>
          <w:vertAlign w:val="subscript"/>
        </w:rPr>
        <w:t>2</w:t>
      </w:r>
      <w:r w:rsidRPr="004D1F95">
        <w:rPr>
          <w:rFonts w:cstheme="minorHAnsi"/>
        </w:rPr>
        <w:t>), dwutlenek siarki (SO</w:t>
      </w:r>
      <w:r w:rsidRPr="004D1F95">
        <w:rPr>
          <w:rFonts w:cstheme="minorHAnsi"/>
          <w:vertAlign w:val="subscript"/>
        </w:rPr>
        <w:t>2</w:t>
      </w:r>
      <w:r w:rsidRPr="004D1F95">
        <w:rPr>
          <w:rFonts w:cstheme="minorHAnsi"/>
        </w:rPr>
        <w:t>) oraz pył, w tym pył drobny PM2,5, który wywiera szczególnie niekorzystny, potwierdzony licznymi badaniami, wpływ na zdrowie populacji, powodując m.in. schorzenia układu oddechowego i układu krążenia. Ekspozycja na zanieczyszczenia powietrza przyczynia się do skrócenia średniej długości życia mieszkańców.</w:t>
      </w:r>
    </w:p>
    <w:p w14:paraId="4B8CFAB9" w14:textId="0C8A9FF8" w:rsidR="00FA091E" w:rsidRPr="004D1F95" w:rsidRDefault="00FA091E" w:rsidP="00FA091E">
      <w:pPr>
        <w:rPr>
          <w:rFonts w:cstheme="minorHAnsi"/>
        </w:rPr>
      </w:pPr>
      <w:r w:rsidRPr="004D1F95">
        <w:rPr>
          <w:rFonts w:cstheme="minorHAnsi"/>
        </w:rPr>
        <w:t xml:space="preserve">W celu określenia zmiany narażenia populacji Polski na działanie zanieczyszczeń powietrza, w wyniku wdrożenia założonych polityk i </w:t>
      </w:r>
      <w:r>
        <w:rPr>
          <w:rFonts w:cstheme="minorHAnsi"/>
        </w:rPr>
        <w:t>działań</w:t>
      </w:r>
      <w:r w:rsidRPr="004D1F95">
        <w:rPr>
          <w:rFonts w:cstheme="minorHAnsi"/>
        </w:rPr>
        <w:t>, wykonano analizy dla scenariuszy WEM i WAM oraz lat prognozy 2025-20</w:t>
      </w:r>
      <w:r w:rsidR="00ED5A11">
        <w:rPr>
          <w:rFonts w:cstheme="minorHAnsi"/>
        </w:rPr>
        <w:t>4</w:t>
      </w:r>
      <w:r w:rsidRPr="004D1F95">
        <w:rPr>
          <w:rFonts w:cstheme="minorHAnsi"/>
        </w:rPr>
        <w:t>0 w odniesieniu do roku bazowego 2020, a także analizę porównawczą pomiędzy scenariuszami.</w:t>
      </w:r>
    </w:p>
    <w:p w14:paraId="73B39EE1" w14:textId="2621FB72" w:rsidR="00FA091E" w:rsidRPr="004D1F95" w:rsidRDefault="00FA091E" w:rsidP="00FA091E">
      <w:pPr>
        <w:rPr>
          <w:rFonts w:cstheme="minorHAnsi"/>
          <w:color w:val="000000"/>
        </w:rPr>
      </w:pPr>
      <w:r w:rsidRPr="004D1F95">
        <w:rPr>
          <w:rFonts w:cstheme="minorHAnsi"/>
        </w:rPr>
        <w:t>W analizach wykorzystano narzędzie screeningowe SHERPA (</w:t>
      </w:r>
      <w:r w:rsidRPr="004D1F95">
        <w:rPr>
          <w:rFonts w:cstheme="minorHAnsi"/>
          <w:b/>
        </w:rPr>
        <w:t>S</w:t>
      </w:r>
      <w:r w:rsidRPr="004D1F95">
        <w:rPr>
          <w:rFonts w:cstheme="minorHAnsi"/>
        </w:rPr>
        <w:t xml:space="preserve">creening for </w:t>
      </w:r>
      <w:r w:rsidRPr="004D1F95">
        <w:rPr>
          <w:rFonts w:cstheme="minorHAnsi"/>
          <w:b/>
        </w:rPr>
        <w:t>H</w:t>
      </w:r>
      <w:r w:rsidRPr="004D1F95">
        <w:rPr>
          <w:rFonts w:cstheme="minorHAnsi"/>
        </w:rPr>
        <w:t xml:space="preserve">igh </w:t>
      </w:r>
      <w:r w:rsidRPr="004D1F95">
        <w:rPr>
          <w:rFonts w:cstheme="minorHAnsi"/>
          <w:b/>
        </w:rPr>
        <w:t>E</w:t>
      </w:r>
      <w:r w:rsidRPr="004D1F95">
        <w:rPr>
          <w:rFonts w:cstheme="minorHAnsi"/>
        </w:rPr>
        <w:t xml:space="preserve">mission </w:t>
      </w:r>
      <w:r w:rsidRPr="004D1F95">
        <w:rPr>
          <w:rFonts w:cstheme="minorHAnsi"/>
          <w:b/>
        </w:rPr>
        <w:t>R</w:t>
      </w:r>
      <w:r w:rsidRPr="004D1F95">
        <w:rPr>
          <w:rFonts w:cstheme="minorHAnsi"/>
        </w:rPr>
        <w:t xml:space="preserve">eduction </w:t>
      </w:r>
      <w:r w:rsidRPr="004D1F95">
        <w:rPr>
          <w:rFonts w:cstheme="minorHAnsi"/>
          <w:b/>
        </w:rPr>
        <w:t>P</w:t>
      </w:r>
      <w:r w:rsidRPr="004D1F95">
        <w:rPr>
          <w:rFonts w:cstheme="minorHAnsi"/>
        </w:rPr>
        <w:t xml:space="preserve">otential on </w:t>
      </w:r>
      <w:r w:rsidRPr="004D1F95">
        <w:rPr>
          <w:rFonts w:cstheme="minorHAnsi"/>
          <w:b/>
        </w:rPr>
        <w:t>A</w:t>
      </w:r>
      <w:r w:rsidRPr="004D1F95">
        <w:rPr>
          <w:rFonts w:cstheme="minorHAnsi"/>
        </w:rPr>
        <w:t>ir), opracowane przez JRC EC. Narzędzie w wersji bottom-up</w:t>
      </w:r>
      <w:r>
        <w:rPr>
          <w:rFonts w:cstheme="minorHAnsi"/>
        </w:rPr>
        <w:t xml:space="preserve"> </w:t>
      </w:r>
      <w:r w:rsidRPr="004D1F95">
        <w:rPr>
          <w:rFonts w:cstheme="minorHAnsi"/>
        </w:rPr>
        <w:t>(</w:t>
      </w:r>
      <w:hyperlink r:id="rId49" w:history="1">
        <w:r w:rsidRPr="004D1F95">
          <w:rPr>
            <w:rStyle w:val="Hipercze"/>
            <w:rFonts w:cstheme="minorHAnsi"/>
          </w:rPr>
          <w:t>https://sherpa.zmaik.pl/</w:t>
        </w:r>
      </w:hyperlink>
      <w:r w:rsidRPr="004D1F95">
        <w:rPr>
          <w:rFonts w:cstheme="minorHAnsi"/>
          <w:color w:val="000000"/>
        </w:rPr>
        <w:t xml:space="preserve">) zostało </w:t>
      </w:r>
      <w:r w:rsidRPr="004D1F95">
        <w:rPr>
          <w:rFonts w:cstheme="minorHAnsi"/>
        </w:rPr>
        <w:t xml:space="preserve">dostosowane do warunków krajowych w IOŚ-PIB. Narzędzie bazuje na relacji pomiędzy stężeniami obliczonymi modelem GEM-AQ w rozdzielczości </w:t>
      </w:r>
      <w:r w:rsidRPr="004D1F95">
        <w:rPr>
          <w:rFonts w:cstheme="minorHAnsi"/>
          <w:color w:val="000000"/>
        </w:rPr>
        <w:t>2,5x2,5 km</w:t>
      </w:r>
      <w:r w:rsidRPr="004D1F95">
        <w:rPr>
          <w:rFonts w:cstheme="minorHAnsi"/>
          <w:color w:val="000000"/>
          <w:vertAlign w:val="superscript"/>
        </w:rPr>
        <w:t>2</w:t>
      </w:r>
      <w:r w:rsidRPr="004D1F95">
        <w:rPr>
          <w:rFonts w:cstheme="minorHAnsi"/>
          <w:color w:val="000000"/>
        </w:rPr>
        <w:t xml:space="preserve"> </w:t>
      </w:r>
      <w:r w:rsidRPr="004D1F95">
        <w:rPr>
          <w:rFonts w:cstheme="minorHAnsi"/>
        </w:rPr>
        <w:t>a poziomami emisji zanieczyszczeń, pochodzących z krajowej inwentaryzacji CBE (Centralna Baza Emisyjna).</w:t>
      </w:r>
      <w:r w:rsidRPr="004D1F95">
        <w:rPr>
          <w:rFonts w:cstheme="minorHAnsi"/>
          <w:color w:val="000000"/>
        </w:rPr>
        <w:t xml:space="preserve"> </w:t>
      </w:r>
    </w:p>
    <w:p w14:paraId="4CE32223" w14:textId="5A270420" w:rsidR="00FA091E" w:rsidRPr="004D1F95" w:rsidRDefault="00FA091E" w:rsidP="00FA091E">
      <w:pPr>
        <w:rPr>
          <w:rFonts w:cstheme="minorHAnsi"/>
        </w:rPr>
      </w:pPr>
      <w:r w:rsidRPr="004D1F95">
        <w:rPr>
          <w:rFonts w:cstheme="minorHAnsi"/>
          <w:color w:val="000000"/>
        </w:rPr>
        <w:t xml:space="preserve">Narzędzie to </w:t>
      </w:r>
      <w:r w:rsidRPr="004D1F95">
        <w:rPr>
          <w:rFonts w:cstheme="minorHAnsi"/>
        </w:rPr>
        <w:t xml:space="preserve">umożliwiło oszacowanie potencjalnej poprawy jakości powietrza na zadanym obszarze, wynikającej z redukcji emisji w efekcie wdrożenia planowanych polityk i </w:t>
      </w:r>
      <w:r>
        <w:rPr>
          <w:rFonts w:cstheme="minorHAnsi"/>
        </w:rPr>
        <w:t>działań</w:t>
      </w:r>
      <w:r w:rsidRPr="004D1F95">
        <w:rPr>
          <w:rFonts w:cstheme="minorHAnsi"/>
        </w:rPr>
        <w:t>. Jako obszar badań przyjęto cały obszar Polski. Spośród zanieczyszczeń powietrza charakterystycznych dla procesów spalania paliw, do analizy wybrano pył PM2,5. Wybór tego zanieczyszczenia podyktowany był przyjętą metodyką oceny, zgodnie z którą w kolejnym etapie wykorzystano dane dot. średniego stężenia pyłu PM2,5 jako dane wejściowe do modelu AirQ+.</w:t>
      </w:r>
    </w:p>
    <w:p w14:paraId="40A1710E" w14:textId="77777777" w:rsidR="00FA091E" w:rsidRPr="004D1F95" w:rsidRDefault="00FA091E" w:rsidP="00FA091E">
      <w:pPr>
        <w:rPr>
          <w:rFonts w:cstheme="minorHAnsi"/>
        </w:rPr>
      </w:pPr>
      <w:r w:rsidRPr="004D1F95">
        <w:rPr>
          <w:rFonts w:cstheme="minorHAnsi"/>
        </w:rPr>
        <w:t xml:space="preserve">Model AirQ+ (The </w:t>
      </w:r>
      <w:r w:rsidRPr="009E4444">
        <w:rPr>
          <w:rFonts w:cstheme="minorHAnsi"/>
        </w:rPr>
        <w:t>Air</w:t>
      </w:r>
      <w:r w:rsidRPr="004D1F95">
        <w:rPr>
          <w:rFonts w:cstheme="minorHAnsi"/>
        </w:rPr>
        <w:t xml:space="preserve"> </w:t>
      </w:r>
      <w:r w:rsidRPr="009E4444">
        <w:rPr>
          <w:rFonts w:cstheme="minorHAnsi"/>
        </w:rPr>
        <w:t>Q</w:t>
      </w:r>
      <w:r w:rsidRPr="004D1F95">
        <w:rPr>
          <w:rFonts w:cstheme="minorHAnsi"/>
        </w:rPr>
        <w:t>uality Health Impact Assessment Tool) został opracowany przez Światową Organizację Zdrowia (WHO)</w:t>
      </w:r>
      <w:r w:rsidRPr="004D1F95">
        <w:rPr>
          <w:rStyle w:val="Odwoanieprzypisudolnego"/>
          <w:rFonts w:cstheme="minorHAnsi"/>
        </w:rPr>
        <w:footnoteReference w:id="44"/>
      </w:r>
      <w:r w:rsidRPr="004D1F95">
        <w:rPr>
          <w:rFonts w:cstheme="minorHAnsi"/>
        </w:rPr>
        <w:t xml:space="preserve"> do oceny wpływu zanieczyszczeń powietrza na zdrowie. Przy jego zastosowaniu można ocenić skutki zdrowotne długookresowego i krótkookresowego narażenia na zanieczyszczenia powietrza. Metodyka obliczeń wykorzystuje dane uzyskane z epidemiologicznych badań kohortowych, w ramach których został wykazany związek między średnim długoterminowym poziomem zanieczyszczeń a ryzykiem śmiertelności w narażonej populacji. Skutki zdrowotne można oszacować dla kilku wybranych zanieczyszczeń, w tym pyłu PM2,5.</w:t>
      </w:r>
    </w:p>
    <w:p w14:paraId="3C6798B5" w14:textId="77777777" w:rsidR="00FA091E" w:rsidRDefault="00FA091E" w:rsidP="00FA091E">
      <w:pPr>
        <w:rPr>
          <w:rFonts w:cstheme="minorHAnsi"/>
        </w:rPr>
      </w:pPr>
      <w:r w:rsidRPr="004D1F95">
        <w:rPr>
          <w:rFonts w:cstheme="minorHAnsi"/>
        </w:rPr>
        <w:t>Wyniki obliczeń skutków zdrowotnych długookresowego narażenia na pył PM2,5 dla scenariuszy WEM i</w:t>
      </w:r>
      <w:r>
        <w:rPr>
          <w:rFonts w:cstheme="minorHAnsi"/>
        </w:rPr>
        <w:t> </w:t>
      </w:r>
      <w:r w:rsidRPr="004D1F95">
        <w:rPr>
          <w:rFonts w:cstheme="minorHAnsi"/>
        </w:rPr>
        <w:t xml:space="preserve">WAM oraz różnicę pomiędzy scenariuszami przedstawiono w poniższej tabeli. </w:t>
      </w:r>
    </w:p>
    <w:p w14:paraId="5AC8F160" w14:textId="170D59AA" w:rsidR="00C323FB" w:rsidRDefault="00237571" w:rsidP="00C323FB">
      <w:pPr>
        <w:pStyle w:val="Legenda"/>
        <w:keepNext/>
      </w:pPr>
      <w:bookmarkStart w:id="743" w:name="_Toc202967028"/>
      <w:r>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6</w:t>
      </w:r>
      <w:r w:rsidR="00653D9A">
        <w:rPr>
          <w:noProof/>
        </w:rPr>
        <w:fldChar w:fldCharType="end"/>
      </w:r>
      <w:r>
        <w:t>.</w:t>
      </w:r>
      <w:r>
        <w:fldChar w:fldCharType="begin"/>
      </w:r>
      <w:r w:rsidRPr="00623D3E">
        <w:instrText xml:space="preserve"> SEQ Tabela \* ARABIC \s 1 </w:instrText>
      </w:r>
      <w:r>
        <w:fldChar w:fldCharType="separate"/>
      </w:r>
      <w:r w:rsidR="00F27D6F">
        <w:rPr>
          <w:noProof/>
        </w:rPr>
        <w:t>13</w:t>
      </w:r>
      <w:r>
        <w:fldChar w:fldCharType="end"/>
      </w:r>
      <w:r w:rsidR="00130A39">
        <w:t>.</w:t>
      </w:r>
      <w:r w:rsidR="00325005">
        <w:rPr>
          <w:noProof/>
        </w:rPr>
        <w:t xml:space="preserve"> </w:t>
      </w:r>
      <w:r w:rsidR="00C323FB" w:rsidRPr="004D1F95">
        <w:rPr>
          <w:rFonts w:cstheme="minorHAnsi"/>
        </w:rPr>
        <w:t>Skutki zdrowotne długookresowego narażenia na pył PM2,5 dla scenariuszy WEM i WAM</w:t>
      </w:r>
      <w:bookmarkEnd w:id="743"/>
    </w:p>
    <w:tbl>
      <w:tblPr>
        <w:tblStyle w:val="KPEiK"/>
        <w:tblW w:w="5000" w:type="pct"/>
        <w:tblLook w:val="04A0" w:firstRow="1" w:lastRow="0" w:firstColumn="1" w:lastColumn="0" w:noHBand="0" w:noVBand="1"/>
      </w:tblPr>
      <w:tblGrid>
        <w:gridCol w:w="905"/>
        <w:gridCol w:w="631"/>
        <w:gridCol w:w="959"/>
        <w:gridCol w:w="1404"/>
        <w:gridCol w:w="1405"/>
        <w:gridCol w:w="1404"/>
        <w:gridCol w:w="1232"/>
        <w:gridCol w:w="1122"/>
      </w:tblGrid>
      <w:tr w:rsidR="00C323FB" w:rsidRPr="0030044C" w14:paraId="337FF8E9" w14:textId="77777777" w:rsidTr="00DF6CBC">
        <w:trPr>
          <w:cnfStyle w:val="100000000000" w:firstRow="1" w:lastRow="0" w:firstColumn="0" w:lastColumn="0" w:oddVBand="0" w:evenVBand="0" w:oddHBand="0" w:evenHBand="0" w:firstRowFirstColumn="0" w:firstRowLastColumn="0" w:lastRowFirstColumn="0" w:lastRowLastColumn="0"/>
          <w:tblHeader/>
        </w:trPr>
        <w:tc>
          <w:tcPr>
            <w:tcW w:w="905" w:type="dxa"/>
          </w:tcPr>
          <w:p w14:paraId="69E0CD9C" w14:textId="77777777" w:rsidR="00C323FB" w:rsidRPr="0030044C" w:rsidRDefault="00C323FB" w:rsidP="00DF6CBC">
            <w:pPr>
              <w:pStyle w:val="Tabele"/>
              <w:jc w:val="center"/>
              <w:rPr>
                <w:szCs w:val="16"/>
              </w:rPr>
            </w:pPr>
            <w:r w:rsidRPr="0030044C">
              <w:rPr>
                <w:szCs w:val="16"/>
              </w:rPr>
              <w:t>Scenariusz</w:t>
            </w:r>
          </w:p>
        </w:tc>
        <w:tc>
          <w:tcPr>
            <w:tcW w:w="631" w:type="dxa"/>
          </w:tcPr>
          <w:p w14:paraId="703CBC6D" w14:textId="77777777" w:rsidR="00C323FB" w:rsidRPr="0030044C" w:rsidRDefault="00C323FB" w:rsidP="00DF6CBC">
            <w:pPr>
              <w:pStyle w:val="Tabele"/>
              <w:jc w:val="center"/>
              <w:rPr>
                <w:szCs w:val="16"/>
              </w:rPr>
            </w:pPr>
            <w:r w:rsidRPr="0030044C">
              <w:rPr>
                <w:szCs w:val="16"/>
              </w:rPr>
              <w:t>Rok</w:t>
            </w:r>
          </w:p>
        </w:tc>
        <w:tc>
          <w:tcPr>
            <w:tcW w:w="959" w:type="dxa"/>
          </w:tcPr>
          <w:p w14:paraId="65158ADF" w14:textId="77777777" w:rsidR="00C323FB" w:rsidRPr="0030044C" w:rsidRDefault="00C323FB" w:rsidP="00DF6CBC">
            <w:pPr>
              <w:pStyle w:val="Tabele"/>
              <w:jc w:val="center"/>
              <w:rPr>
                <w:szCs w:val="16"/>
              </w:rPr>
            </w:pPr>
            <w:r w:rsidRPr="0030044C">
              <w:rPr>
                <w:szCs w:val="16"/>
              </w:rPr>
              <w:t>Stężenie PM2,5 [µg/m</w:t>
            </w:r>
            <w:r w:rsidRPr="0053655E">
              <w:rPr>
                <w:szCs w:val="16"/>
                <w:vertAlign w:val="superscript"/>
              </w:rPr>
              <w:t>3</w:t>
            </w:r>
            <w:r w:rsidRPr="0030044C">
              <w:rPr>
                <w:szCs w:val="16"/>
              </w:rPr>
              <w:t>]</w:t>
            </w:r>
          </w:p>
        </w:tc>
        <w:tc>
          <w:tcPr>
            <w:tcW w:w="1404" w:type="dxa"/>
          </w:tcPr>
          <w:p w14:paraId="067D6ECC" w14:textId="77777777" w:rsidR="00C323FB" w:rsidRPr="0030044C" w:rsidRDefault="00C323FB" w:rsidP="00DF6CBC">
            <w:pPr>
              <w:pStyle w:val="Tabele"/>
              <w:jc w:val="center"/>
              <w:rPr>
                <w:szCs w:val="16"/>
              </w:rPr>
            </w:pPr>
            <w:r w:rsidRPr="0030044C">
              <w:rPr>
                <w:szCs w:val="16"/>
              </w:rPr>
              <w:t>Liczba przedwczesnych zgonów</w:t>
            </w:r>
          </w:p>
        </w:tc>
        <w:tc>
          <w:tcPr>
            <w:tcW w:w="1405" w:type="dxa"/>
          </w:tcPr>
          <w:p w14:paraId="15103D29" w14:textId="77777777" w:rsidR="00C323FB" w:rsidRPr="0030044C" w:rsidRDefault="00C323FB" w:rsidP="00DF6CBC">
            <w:pPr>
              <w:pStyle w:val="Tabele"/>
              <w:jc w:val="center"/>
              <w:rPr>
                <w:szCs w:val="16"/>
              </w:rPr>
            </w:pPr>
            <w:r w:rsidRPr="0030044C">
              <w:rPr>
                <w:szCs w:val="16"/>
              </w:rPr>
              <w:t>Procent przedwczesnych zgonów [%]</w:t>
            </w:r>
          </w:p>
        </w:tc>
        <w:tc>
          <w:tcPr>
            <w:tcW w:w="1404" w:type="dxa"/>
          </w:tcPr>
          <w:p w14:paraId="2B071873" w14:textId="77777777" w:rsidR="00C323FB" w:rsidRPr="0030044C" w:rsidRDefault="00C323FB" w:rsidP="00DF6CBC">
            <w:pPr>
              <w:pStyle w:val="Tabele"/>
              <w:jc w:val="center"/>
              <w:rPr>
                <w:szCs w:val="16"/>
              </w:rPr>
            </w:pPr>
            <w:r w:rsidRPr="0030044C">
              <w:rPr>
                <w:szCs w:val="16"/>
              </w:rPr>
              <w:t>Liczba przedwczesnych zgonów w przeliczeniu na 100 tys. mieszkańców</w:t>
            </w:r>
          </w:p>
        </w:tc>
        <w:tc>
          <w:tcPr>
            <w:tcW w:w="1232" w:type="dxa"/>
          </w:tcPr>
          <w:p w14:paraId="4A41C35A" w14:textId="77777777" w:rsidR="00C323FB" w:rsidRPr="0030044C" w:rsidRDefault="00C323FB" w:rsidP="00DF6CBC">
            <w:pPr>
              <w:pStyle w:val="Tabele"/>
              <w:jc w:val="center"/>
              <w:rPr>
                <w:szCs w:val="16"/>
              </w:rPr>
            </w:pPr>
            <w:r w:rsidRPr="0030044C">
              <w:rPr>
                <w:szCs w:val="16"/>
              </w:rPr>
              <w:t>Liczba utraconych lat życia w pierwszym roku*</w:t>
            </w:r>
          </w:p>
        </w:tc>
        <w:tc>
          <w:tcPr>
            <w:tcW w:w="1122" w:type="dxa"/>
          </w:tcPr>
          <w:p w14:paraId="57F029C9" w14:textId="77777777" w:rsidR="00C323FB" w:rsidRPr="0030044C" w:rsidRDefault="00C323FB" w:rsidP="00DF6CBC">
            <w:pPr>
              <w:pStyle w:val="Tabele"/>
              <w:jc w:val="center"/>
              <w:rPr>
                <w:szCs w:val="16"/>
              </w:rPr>
            </w:pPr>
            <w:r w:rsidRPr="0030044C">
              <w:rPr>
                <w:szCs w:val="16"/>
              </w:rPr>
              <w:t>Utracone lata życia po 10 latach</w:t>
            </w:r>
          </w:p>
        </w:tc>
      </w:tr>
      <w:tr w:rsidR="00C323FB" w:rsidRPr="0030044C" w14:paraId="74C6EBF6" w14:textId="77777777" w:rsidTr="00DF6CBC">
        <w:tc>
          <w:tcPr>
            <w:tcW w:w="905" w:type="dxa"/>
            <w:vMerge w:val="restart"/>
          </w:tcPr>
          <w:p w14:paraId="4F7CC3E8" w14:textId="77777777" w:rsidR="00C323FB" w:rsidRPr="00A519BC" w:rsidRDefault="00C323FB" w:rsidP="00DF6CBC">
            <w:pPr>
              <w:pStyle w:val="Tabele"/>
              <w:jc w:val="center"/>
              <w:rPr>
                <w:color w:val="auto"/>
                <w:sz w:val="14"/>
                <w:szCs w:val="14"/>
              </w:rPr>
            </w:pPr>
            <w:r w:rsidRPr="00A519BC">
              <w:rPr>
                <w:color w:val="auto"/>
                <w:sz w:val="14"/>
                <w:szCs w:val="14"/>
              </w:rPr>
              <w:t>WEM</w:t>
            </w:r>
          </w:p>
        </w:tc>
        <w:tc>
          <w:tcPr>
            <w:tcW w:w="631" w:type="dxa"/>
          </w:tcPr>
          <w:p w14:paraId="00747D24" w14:textId="77777777" w:rsidR="00C323FB" w:rsidRPr="00A519BC" w:rsidRDefault="00C323FB" w:rsidP="00DF6CBC">
            <w:pPr>
              <w:pStyle w:val="Tabele"/>
              <w:rPr>
                <w:color w:val="auto"/>
                <w:sz w:val="14"/>
                <w:szCs w:val="14"/>
              </w:rPr>
            </w:pPr>
            <w:r w:rsidRPr="00A519BC">
              <w:rPr>
                <w:color w:val="auto"/>
                <w:sz w:val="14"/>
                <w:szCs w:val="14"/>
              </w:rPr>
              <w:t>2020</w:t>
            </w:r>
          </w:p>
        </w:tc>
        <w:tc>
          <w:tcPr>
            <w:tcW w:w="959" w:type="dxa"/>
            <w:vAlign w:val="bottom"/>
          </w:tcPr>
          <w:p w14:paraId="0FF18A19" w14:textId="77777777" w:rsidR="00C323FB" w:rsidRPr="00A519BC" w:rsidRDefault="00C323FB" w:rsidP="00DF6CBC">
            <w:pPr>
              <w:pStyle w:val="Tabele"/>
              <w:jc w:val="right"/>
              <w:rPr>
                <w:rFonts w:cs="Calibri"/>
                <w:color w:val="auto"/>
                <w:szCs w:val="16"/>
              </w:rPr>
            </w:pPr>
            <w:r w:rsidRPr="00A519BC">
              <w:rPr>
                <w:rFonts w:cs="Calibri"/>
                <w:color w:val="auto"/>
                <w:szCs w:val="16"/>
              </w:rPr>
              <w:t>21,8</w:t>
            </w:r>
          </w:p>
        </w:tc>
        <w:tc>
          <w:tcPr>
            <w:tcW w:w="1404" w:type="dxa"/>
            <w:vAlign w:val="bottom"/>
          </w:tcPr>
          <w:p w14:paraId="404BA784"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57 107 </w:t>
            </w:r>
          </w:p>
        </w:tc>
        <w:tc>
          <w:tcPr>
            <w:tcW w:w="1405" w:type="dxa"/>
            <w:vAlign w:val="bottom"/>
          </w:tcPr>
          <w:p w14:paraId="31664E68"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12,1 </w:t>
            </w:r>
          </w:p>
        </w:tc>
        <w:tc>
          <w:tcPr>
            <w:tcW w:w="1404" w:type="dxa"/>
            <w:vAlign w:val="bottom"/>
          </w:tcPr>
          <w:p w14:paraId="3CDAA6AD"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219 </w:t>
            </w:r>
          </w:p>
        </w:tc>
        <w:tc>
          <w:tcPr>
            <w:tcW w:w="1232" w:type="dxa"/>
            <w:vAlign w:val="bottom"/>
          </w:tcPr>
          <w:p w14:paraId="2B390BD9"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81 513 </w:t>
            </w:r>
          </w:p>
        </w:tc>
        <w:tc>
          <w:tcPr>
            <w:tcW w:w="1122" w:type="dxa"/>
            <w:vAlign w:val="bottom"/>
          </w:tcPr>
          <w:p w14:paraId="468844DF"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2 367 313 </w:t>
            </w:r>
          </w:p>
        </w:tc>
      </w:tr>
      <w:tr w:rsidR="00C323FB" w:rsidRPr="0030044C" w14:paraId="229DA917" w14:textId="77777777" w:rsidTr="00DF6CBC">
        <w:tc>
          <w:tcPr>
            <w:tcW w:w="905" w:type="dxa"/>
            <w:vMerge/>
          </w:tcPr>
          <w:p w14:paraId="0E572B1D" w14:textId="77777777" w:rsidR="00C323FB" w:rsidRPr="00A519BC" w:rsidRDefault="00C323FB" w:rsidP="00DF6CBC">
            <w:pPr>
              <w:pStyle w:val="Tabele"/>
              <w:rPr>
                <w:color w:val="auto"/>
                <w:sz w:val="14"/>
                <w:szCs w:val="14"/>
              </w:rPr>
            </w:pPr>
          </w:p>
        </w:tc>
        <w:tc>
          <w:tcPr>
            <w:tcW w:w="631" w:type="dxa"/>
          </w:tcPr>
          <w:p w14:paraId="411DBCFE" w14:textId="77777777" w:rsidR="00C323FB" w:rsidRPr="00A519BC" w:rsidRDefault="00C323FB" w:rsidP="00DF6CBC">
            <w:pPr>
              <w:pStyle w:val="Tabele"/>
              <w:rPr>
                <w:color w:val="auto"/>
                <w:sz w:val="14"/>
                <w:szCs w:val="14"/>
              </w:rPr>
            </w:pPr>
            <w:r w:rsidRPr="00A519BC">
              <w:rPr>
                <w:color w:val="auto"/>
                <w:sz w:val="14"/>
                <w:szCs w:val="14"/>
              </w:rPr>
              <w:t>2025</w:t>
            </w:r>
          </w:p>
        </w:tc>
        <w:tc>
          <w:tcPr>
            <w:tcW w:w="959" w:type="dxa"/>
            <w:vAlign w:val="bottom"/>
          </w:tcPr>
          <w:p w14:paraId="2CE844BA" w14:textId="77777777" w:rsidR="00C323FB" w:rsidRPr="00A519BC" w:rsidRDefault="00C323FB" w:rsidP="00DF6CBC">
            <w:pPr>
              <w:pStyle w:val="Tabele"/>
              <w:jc w:val="right"/>
              <w:rPr>
                <w:rFonts w:cs="Calibri"/>
                <w:color w:val="auto"/>
                <w:szCs w:val="16"/>
              </w:rPr>
            </w:pPr>
            <w:r w:rsidRPr="00A519BC">
              <w:rPr>
                <w:rFonts w:cs="Calibri"/>
                <w:color w:val="auto"/>
                <w:szCs w:val="16"/>
              </w:rPr>
              <w:t>19,2</w:t>
            </w:r>
          </w:p>
        </w:tc>
        <w:tc>
          <w:tcPr>
            <w:tcW w:w="1404" w:type="dxa"/>
            <w:vAlign w:val="bottom"/>
          </w:tcPr>
          <w:p w14:paraId="65A14EFD"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48 886 </w:t>
            </w:r>
          </w:p>
        </w:tc>
        <w:tc>
          <w:tcPr>
            <w:tcW w:w="1405" w:type="dxa"/>
            <w:vAlign w:val="bottom"/>
          </w:tcPr>
          <w:p w14:paraId="78601B52"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10,4 </w:t>
            </w:r>
          </w:p>
        </w:tc>
        <w:tc>
          <w:tcPr>
            <w:tcW w:w="1404" w:type="dxa"/>
            <w:vAlign w:val="bottom"/>
          </w:tcPr>
          <w:p w14:paraId="1A0509B5"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188 </w:t>
            </w:r>
          </w:p>
        </w:tc>
        <w:tc>
          <w:tcPr>
            <w:tcW w:w="1232" w:type="dxa"/>
            <w:vAlign w:val="bottom"/>
          </w:tcPr>
          <w:p w14:paraId="4E523467"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69 551 </w:t>
            </w:r>
          </w:p>
        </w:tc>
        <w:tc>
          <w:tcPr>
            <w:tcW w:w="1122" w:type="dxa"/>
            <w:vAlign w:val="bottom"/>
          </w:tcPr>
          <w:p w14:paraId="42B1307B"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2 014 806 </w:t>
            </w:r>
          </w:p>
        </w:tc>
      </w:tr>
      <w:tr w:rsidR="00C323FB" w:rsidRPr="0030044C" w14:paraId="57838E62" w14:textId="77777777" w:rsidTr="00DF6CBC">
        <w:tc>
          <w:tcPr>
            <w:tcW w:w="905" w:type="dxa"/>
            <w:vMerge/>
          </w:tcPr>
          <w:p w14:paraId="156C98FF" w14:textId="77777777" w:rsidR="00C323FB" w:rsidRPr="00A519BC" w:rsidRDefault="00C323FB" w:rsidP="00DF6CBC">
            <w:pPr>
              <w:pStyle w:val="Tabele"/>
              <w:rPr>
                <w:color w:val="auto"/>
                <w:sz w:val="14"/>
                <w:szCs w:val="14"/>
              </w:rPr>
            </w:pPr>
          </w:p>
        </w:tc>
        <w:tc>
          <w:tcPr>
            <w:tcW w:w="631" w:type="dxa"/>
          </w:tcPr>
          <w:p w14:paraId="0236269D" w14:textId="77777777" w:rsidR="00C323FB" w:rsidRPr="00A519BC" w:rsidRDefault="00C323FB" w:rsidP="00DF6CBC">
            <w:pPr>
              <w:pStyle w:val="Tabele"/>
              <w:rPr>
                <w:color w:val="auto"/>
                <w:sz w:val="14"/>
                <w:szCs w:val="14"/>
              </w:rPr>
            </w:pPr>
            <w:r w:rsidRPr="00A519BC">
              <w:rPr>
                <w:color w:val="auto"/>
                <w:sz w:val="14"/>
                <w:szCs w:val="14"/>
              </w:rPr>
              <w:t>2030</w:t>
            </w:r>
          </w:p>
        </w:tc>
        <w:tc>
          <w:tcPr>
            <w:tcW w:w="959" w:type="dxa"/>
            <w:vAlign w:val="bottom"/>
          </w:tcPr>
          <w:p w14:paraId="7273FC72" w14:textId="77777777" w:rsidR="00C323FB" w:rsidRPr="00A519BC" w:rsidRDefault="00C323FB" w:rsidP="00DF6CBC">
            <w:pPr>
              <w:pStyle w:val="Tabele"/>
              <w:jc w:val="right"/>
              <w:rPr>
                <w:rFonts w:cs="Calibri"/>
                <w:color w:val="auto"/>
                <w:szCs w:val="16"/>
              </w:rPr>
            </w:pPr>
            <w:r w:rsidRPr="00A519BC">
              <w:rPr>
                <w:rFonts w:cs="Calibri"/>
                <w:color w:val="auto"/>
                <w:szCs w:val="16"/>
              </w:rPr>
              <w:t>17,5</w:t>
            </w:r>
          </w:p>
        </w:tc>
        <w:tc>
          <w:tcPr>
            <w:tcW w:w="1404" w:type="dxa"/>
            <w:vAlign w:val="bottom"/>
          </w:tcPr>
          <w:p w14:paraId="66A89015"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43 183 </w:t>
            </w:r>
          </w:p>
        </w:tc>
        <w:tc>
          <w:tcPr>
            <w:tcW w:w="1405" w:type="dxa"/>
            <w:vAlign w:val="bottom"/>
          </w:tcPr>
          <w:p w14:paraId="6BAC7155"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9,2 </w:t>
            </w:r>
          </w:p>
        </w:tc>
        <w:tc>
          <w:tcPr>
            <w:tcW w:w="1404" w:type="dxa"/>
            <w:vAlign w:val="bottom"/>
          </w:tcPr>
          <w:p w14:paraId="5184C5CF"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166 </w:t>
            </w:r>
          </w:p>
        </w:tc>
        <w:tc>
          <w:tcPr>
            <w:tcW w:w="1232" w:type="dxa"/>
            <w:vAlign w:val="bottom"/>
          </w:tcPr>
          <w:p w14:paraId="6DA580D2"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61 394 </w:t>
            </w:r>
          </w:p>
        </w:tc>
        <w:tc>
          <w:tcPr>
            <w:tcW w:w="1122" w:type="dxa"/>
            <w:vAlign w:val="bottom"/>
          </w:tcPr>
          <w:p w14:paraId="014BE457"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1 775 460 </w:t>
            </w:r>
          </w:p>
        </w:tc>
      </w:tr>
      <w:tr w:rsidR="00C323FB" w:rsidRPr="0030044C" w14:paraId="15086B19" w14:textId="77777777" w:rsidTr="00DF6CBC">
        <w:tc>
          <w:tcPr>
            <w:tcW w:w="905" w:type="dxa"/>
            <w:vMerge/>
          </w:tcPr>
          <w:p w14:paraId="6CFA28F5" w14:textId="77777777" w:rsidR="00C323FB" w:rsidRPr="00A519BC" w:rsidRDefault="00C323FB" w:rsidP="00DF6CBC">
            <w:pPr>
              <w:pStyle w:val="Tabele"/>
              <w:rPr>
                <w:color w:val="auto"/>
                <w:sz w:val="14"/>
                <w:szCs w:val="14"/>
              </w:rPr>
            </w:pPr>
          </w:p>
        </w:tc>
        <w:tc>
          <w:tcPr>
            <w:tcW w:w="631" w:type="dxa"/>
          </w:tcPr>
          <w:p w14:paraId="54021EC3" w14:textId="77777777" w:rsidR="00C323FB" w:rsidRPr="00A519BC" w:rsidRDefault="00C323FB" w:rsidP="00DF6CBC">
            <w:pPr>
              <w:pStyle w:val="Tabele"/>
              <w:rPr>
                <w:color w:val="auto"/>
                <w:sz w:val="14"/>
                <w:szCs w:val="14"/>
              </w:rPr>
            </w:pPr>
            <w:r w:rsidRPr="00A519BC">
              <w:rPr>
                <w:color w:val="auto"/>
                <w:sz w:val="14"/>
                <w:szCs w:val="14"/>
              </w:rPr>
              <w:t>2035</w:t>
            </w:r>
          </w:p>
        </w:tc>
        <w:tc>
          <w:tcPr>
            <w:tcW w:w="959" w:type="dxa"/>
            <w:vAlign w:val="bottom"/>
          </w:tcPr>
          <w:p w14:paraId="7062FE12" w14:textId="77777777" w:rsidR="00C323FB" w:rsidRPr="00A519BC" w:rsidRDefault="00C323FB" w:rsidP="00DF6CBC">
            <w:pPr>
              <w:pStyle w:val="Tabele"/>
              <w:jc w:val="right"/>
              <w:rPr>
                <w:rFonts w:cs="Calibri"/>
                <w:color w:val="auto"/>
                <w:szCs w:val="16"/>
              </w:rPr>
            </w:pPr>
            <w:r w:rsidRPr="00A519BC">
              <w:rPr>
                <w:rFonts w:cs="Calibri"/>
                <w:color w:val="auto"/>
                <w:szCs w:val="16"/>
              </w:rPr>
              <w:t>16,1</w:t>
            </w:r>
          </w:p>
        </w:tc>
        <w:tc>
          <w:tcPr>
            <w:tcW w:w="1404" w:type="dxa"/>
            <w:vAlign w:val="bottom"/>
          </w:tcPr>
          <w:p w14:paraId="20B9F393"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38 427 </w:t>
            </w:r>
          </w:p>
        </w:tc>
        <w:tc>
          <w:tcPr>
            <w:tcW w:w="1405" w:type="dxa"/>
            <w:vAlign w:val="bottom"/>
          </w:tcPr>
          <w:p w14:paraId="18C20BC5"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 8,2 </w:t>
            </w:r>
          </w:p>
        </w:tc>
        <w:tc>
          <w:tcPr>
            <w:tcW w:w="1404" w:type="dxa"/>
            <w:vAlign w:val="bottom"/>
          </w:tcPr>
          <w:p w14:paraId="674A5556"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148 </w:t>
            </w:r>
          </w:p>
        </w:tc>
        <w:tc>
          <w:tcPr>
            <w:tcW w:w="1232" w:type="dxa"/>
            <w:vAlign w:val="bottom"/>
          </w:tcPr>
          <w:p w14:paraId="29B8BD1A"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54 664 </w:t>
            </w:r>
          </w:p>
        </w:tc>
        <w:tc>
          <w:tcPr>
            <w:tcW w:w="1122" w:type="dxa"/>
            <w:vAlign w:val="bottom"/>
          </w:tcPr>
          <w:p w14:paraId="2F3B67C3"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1 578 621 </w:t>
            </w:r>
          </w:p>
        </w:tc>
      </w:tr>
      <w:tr w:rsidR="00C323FB" w:rsidRPr="0030044C" w14:paraId="720AC72A" w14:textId="77777777" w:rsidTr="00DF6CBC">
        <w:tc>
          <w:tcPr>
            <w:tcW w:w="905" w:type="dxa"/>
            <w:vMerge/>
          </w:tcPr>
          <w:p w14:paraId="7F016DF4" w14:textId="77777777" w:rsidR="00C323FB" w:rsidRPr="00A519BC" w:rsidRDefault="00C323FB" w:rsidP="00DF6CBC">
            <w:pPr>
              <w:pStyle w:val="Tabele"/>
              <w:rPr>
                <w:color w:val="auto"/>
                <w:sz w:val="14"/>
                <w:szCs w:val="14"/>
              </w:rPr>
            </w:pPr>
          </w:p>
        </w:tc>
        <w:tc>
          <w:tcPr>
            <w:tcW w:w="631" w:type="dxa"/>
          </w:tcPr>
          <w:p w14:paraId="74E41B9B" w14:textId="77777777" w:rsidR="00C323FB" w:rsidRPr="00A519BC" w:rsidRDefault="00C323FB" w:rsidP="00DF6CBC">
            <w:pPr>
              <w:pStyle w:val="Tabele"/>
              <w:rPr>
                <w:color w:val="auto"/>
                <w:sz w:val="14"/>
                <w:szCs w:val="14"/>
              </w:rPr>
            </w:pPr>
            <w:r w:rsidRPr="00A519BC">
              <w:rPr>
                <w:color w:val="auto"/>
                <w:sz w:val="14"/>
                <w:szCs w:val="14"/>
              </w:rPr>
              <w:t>2040</w:t>
            </w:r>
          </w:p>
        </w:tc>
        <w:tc>
          <w:tcPr>
            <w:tcW w:w="959" w:type="dxa"/>
            <w:vAlign w:val="bottom"/>
          </w:tcPr>
          <w:p w14:paraId="6E03EDC9" w14:textId="77777777" w:rsidR="00C323FB" w:rsidRPr="00A519BC" w:rsidRDefault="00C323FB" w:rsidP="00DF6CBC">
            <w:pPr>
              <w:pStyle w:val="Tabele"/>
              <w:jc w:val="right"/>
              <w:rPr>
                <w:rFonts w:cs="Calibri"/>
                <w:color w:val="auto"/>
                <w:szCs w:val="16"/>
              </w:rPr>
            </w:pPr>
            <w:r w:rsidRPr="00A519BC">
              <w:rPr>
                <w:rFonts w:cs="Calibri"/>
                <w:color w:val="auto"/>
                <w:szCs w:val="16"/>
              </w:rPr>
              <w:t>15,9</w:t>
            </w:r>
          </w:p>
        </w:tc>
        <w:tc>
          <w:tcPr>
            <w:tcW w:w="1404" w:type="dxa"/>
            <w:vAlign w:val="bottom"/>
          </w:tcPr>
          <w:p w14:paraId="27C62830"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38 072 </w:t>
            </w:r>
          </w:p>
        </w:tc>
        <w:tc>
          <w:tcPr>
            <w:tcW w:w="1405" w:type="dxa"/>
            <w:vAlign w:val="bottom"/>
          </w:tcPr>
          <w:p w14:paraId="78009020"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8,1 </w:t>
            </w:r>
          </w:p>
        </w:tc>
        <w:tc>
          <w:tcPr>
            <w:tcW w:w="1404" w:type="dxa"/>
            <w:vAlign w:val="bottom"/>
          </w:tcPr>
          <w:p w14:paraId="48A621E5"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146 </w:t>
            </w:r>
          </w:p>
        </w:tc>
        <w:tc>
          <w:tcPr>
            <w:tcW w:w="1232" w:type="dxa"/>
            <w:vAlign w:val="bottom"/>
          </w:tcPr>
          <w:p w14:paraId="286F3B37"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54 092 </w:t>
            </w:r>
          </w:p>
        </w:tc>
        <w:tc>
          <w:tcPr>
            <w:tcW w:w="1122" w:type="dxa"/>
            <w:vAlign w:val="bottom"/>
          </w:tcPr>
          <w:p w14:paraId="4E3F6B78" w14:textId="77777777" w:rsidR="00C323FB" w:rsidRPr="00A519BC" w:rsidRDefault="00C323FB" w:rsidP="00DF6CBC">
            <w:pPr>
              <w:pStyle w:val="Tabele"/>
              <w:jc w:val="right"/>
              <w:rPr>
                <w:rFonts w:cs="Calibri"/>
                <w:color w:val="auto"/>
                <w:szCs w:val="16"/>
              </w:rPr>
            </w:pPr>
            <w:r w:rsidRPr="00A519BC">
              <w:rPr>
                <w:rFonts w:cs="Calibri"/>
                <w:color w:val="auto"/>
                <w:szCs w:val="16"/>
              </w:rPr>
              <w:t xml:space="preserve">1 561 924 </w:t>
            </w:r>
          </w:p>
        </w:tc>
      </w:tr>
      <w:tr w:rsidR="00C323FB" w:rsidRPr="0030044C" w14:paraId="31AB3F7F" w14:textId="77777777" w:rsidTr="00DF6CBC">
        <w:tc>
          <w:tcPr>
            <w:tcW w:w="905" w:type="dxa"/>
            <w:vMerge w:val="restart"/>
          </w:tcPr>
          <w:p w14:paraId="1090D4A9" w14:textId="77777777" w:rsidR="00C323FB" w:rsidRPr="00A519BC" w:rsidRDefault="00C323FB" w:rsidP="00DF6CBC">
            <w:pPr>
              <w:pStyle w:val="Tabele"/>
              <w:jc w:val="center"/>
              <w:rPr>
                <w:color w:val="auto"/>
                <w:sz w:val="14"/>
                <w:szCs w:val="14"/>
              </w:rPr>
            </w:pPr>
            <w:r w:rsidRPr="00A519BC">
              <w:rPr>
                <w:color w:val="auto"/>
                <w:sz w:val="14"/>
                <w:szCs w:val="14"/>
              </w:rPr>
              <w:t>WAM</w:t>
            </w:r>
          </w:p>
        </w:tc>
        <w:tc>
          <w:tcPr>
            <w:tcW w:w="631" w:type="dxa"/>
          </w:tcPr>
          <w:p w14:paraId="1F3B14B0" w14:textId="77777777" w:rsidR="00C323FB" w:rsidRPr="00A519BC" w:rsidRDefault="00C323FB" w:rsidP="00DF6CBC">
            <w:pPr>
              <w:pStyle w:val="Tabele"/>
              <w:rPr>
                <w:color w:val="auto"/>
                <w:sz w:val="14"/>
                <w:szCs w:val="14"/>
              </w:rPr>
            </w:pPr>
            <w:r w:rsidRPr="00A519BC">
              <w:rPr>
                <w:color w:val="auto"/>
                <w:sz w:val="14"/>
                <w:szCs w:val="14"/>
              </w:rPr>
              <w:t>2020</w:t>
            </w:r>
          </w:p>
        </w:tc>
        <w:tc>
          <w:tcPr>
            <w:tcW w:w="959" w:type="dxa"/>
            <w:vAlign w:val="bottom"/>
          </w:tcPr>
          <w:p w14:paraId="38956DBE" w14:textId="77777777" w:rsidR="00C323FB" w:rsidRPr="00A519BC" w:rsidRDefault="00C323FB" w:rsidP="00DF6CBC">
            <w:pPr>
              <w:pStyle w:val="Tabele"/>
              <w:jc w:val="right"/>
              <w:rPr>
                <w:rFonts w:cs="Calibri"/>
                <w:color w:val="auto"/>
                <w:szCs w:val="16"/>
              </w:rPr>
            </w:pPr>
            <w:r w:rsidRPr="00A519BC">
              <w:rPr>
                <w:rFonts w:cs="Calibri"/>
                <w:color w:val="auto"/>
                <w:szCs w:val="16"/>
              </w:rPr>
              <w:t>21,8</w:t>
            </w:r>
          </w:p>
        </w:tc>
        <w:tc>
          <w:tcPr>
            <w:tcW w:w="1404" w:type="dxa"/>
            <w:vAlign w:val="top"/>
          </w:tcPr>
          <w:p w14:paraId="579FE8A4" w14:textId="77777777" w:rsidR="00C323FB" w:rsidRPr="00A519BC" w:rsidRDefault="00C323FB" w:rsidP="00DF6CBC">
            <w:pPr>
              <w:pStyle w:val="Tabele"/>
              <w:jc w:val="right"/>
              <w:rPr>
                <w:color w:val="auto"/>
                <w:szCs w:val="16"/>
              </w:rPr>
            </w:pPr>
            <w:r w:rsidRPr="00A519BC">
              <w:rPr>
                <w:color w:val="auto"/>
              </w:rPr>
              <w:t xml:space="preserve"> 57 107 </w:t>
            </w:r>
          </w:p>
        </w:tc>
        <w:tc>
          <w:tcPr>
            <w:tcW w:w="1405" w:type="dxa"/>
            <w:vAlign w:val="top"/>
          </w:tcPr>
          <w:p w14:paraId="2CACB485" w14:textId="77777777" w:rsidR="00C323FB" w:rsidRPr="00A519BC" w:rsidRDefault="00C323FB" w:rsidP="00DF6CBC">
            <w:pPr>
              <w:pStyle w:val="Tabele"/>
              <w:jc w:val="right"/>
              <w:rPr>
                <w:color w:val="auto"/>
                <w:szCs w:val="16"/>
              </w:rPr>
            </w:pPr>
            <w:r w:rsidRPr="00A519BC">
              <w:rPr>
                <w:color w:val="auto"/>
              </w:rPr>
              <w:t xml:space="preserve"> 12,1 </w:t>
            </w:r>
          </w:p>
        </w:tc>
        <w:tc>
          <w:tcPr>
            <w:tcW w:w="1404" w:type="dxa"/>
            <w:vAlign w:val="top"/>
          </w:tcPr>
          <w:p w14:paraId="78961D17" w14:textId="77777777" w:rsidR="00C323FB" w:rsidRPr="00A519BC" w:rsidRDefault="00C323FB" w:rsidP="00DF6CBC">
            <w:pPr>
              <w:pStyle w:val="Tabele"/>
              <w:jc w:val="right"/>
              <w:rPr>
                <w:color w:val="auto"/>
                <w:szCs w:val="16"/>
              </w:rPr>
            </w:pPr>
            <w:r w:rsidRPr="00A519BC">
              <w:rPr>
                <w:color w:val="auto"/>
              </w:rPr>
              <w:t xml:space="preserve"> 219 </w:t>
            </w:r>
          </w:p>
        </w:tc>
        <w:tc>
          <w:tcPr>
            <w:tcW w:w="1232" w:type="dxa"/>
            <w:vAlign w:val="top"/>
          </w:tcPr>
          <w:p w14:paraId="31E70633" w14:textId="77777777" w:rsidR="00C323FB" w:rsidRPr="00A519BC" w:rsidRDefault="00C323FB" w:rsidP="00DF6CBC">
            <w:pPr>
              <w:pStyle w:val="Tabele"/>
              <w:jc w:val="right"/>
              <w:rPr>
                <w:color w:val="auto"/>
                <w:szCs w:val="16"/>
              </w:rPr>
            </w:pPr>
            <w:r w:rsidRPr="00A519BC">
              <w:rPr>
                <w:color w:val="auto"/>
              </w:rPr>
              <w:t xml:space="preserve"> 81 513 </w:t>
            </w:r>
          </w:p>
        </w:tc>
        <w:tc>
          <w:tcPr>
            <w:tcW w:w="1122" w:type="dxa"/>
            <w:vAlign w:val="top"/>
          </w:tcPr>
          <w:p w14:paraId="06E59C56" w14:textId="77777777" w:rsidR="00C323FB" w:rsidRPr="00A519BC" w:rsidRDefault="00C323FB" w:rsidP="00DF6CBC">
            <w:pPr>
              <w:pStyle w:val="Tabele"/>
              <w:jc w:val="right"/>
              <w:rPr>
                <w:rFonts w:cs="Calibri"/>
                <w:color w:val="auto"/>
                <w:szCs w:val="16"/>
              </w:rPr>
            </w:pPr>
            <w:r w:rsidRPr="00A519BC">
              <w:rPr>
                <w:color w:val="auto"/>
              </w:rPr>
              <w:t xml:space="preserve"> 2 367 313 </w:t>
            </w:r>
          </w:p>
        </w:tc>
      </w:tr>
      <w:tr w:rsidR="00C323FB" w:rsidRPr="0030044C" w14:paraId="7BA4205A" w14:textId="77777777" w:rsidTr="00DF6CBC">
        <w:tc>
          <w:tcPr>
            <w:tcW w:w="905" w:type="dxa"/>
            <w:vMerge/>
          </w:tcPr>
          <w:p w14:paraId="11AFC414" w14:textId="77777777" w:rsidR="00C323FB" w:rsidRPr="00A519BC" w:rsidRDefault="00C323FB" w:rsidP="00DF6CBC">
            <w:pPr>
              <w:pStyle w:val="Tabele"/>
              <w:rPr>
                <w:color w:val="auto"/>
                <w:sz w:val="14"/>
                <w:szCs w:val="14"/>
              </w:rPr>
            </w:pPr>
          </w:p>
        </w:tc>
        <w:tc>
          <w:tcPr>
            <w:tcW w:w="631" w:type="dxa"/>
          </w:tcPr>
          <w:p w14:paraId="1F01FE0C" w14:textId="77777777" w:rsidR="00C323FB" w:rsidRPr="00A519BC" w:rsidRDefault="00C323FB" w:rsidP="00DF6CBC">
            <w:pPr>
              <w:pStyle w:val="Tabele"/>
              <w:rPr>
                <w:color w:val="auto"/>
                <w:sz w:val="14"/>
                <w:szCs w:val="14"/>
              </w:rPr>
            </w:pPr>
            <w:r w:rsidRPr="00A519BC">
              <w:rPr>
                <w:color w:val="auto"/>
                <w:sz w:val="14"/>
                <w:szCs w:val="14"/>
              </w:rPr>
              <w:t>2025</w:t>
            </w:r>
          </w:p>
        </w:tc>
        <w:tc>
          <w:tcPr>
            <w:tcW w:w="959" w:type="dxa"/>
            <w:vAlign w:val="bottom"/>
          </w:tcPr>
          <w:p w14:paraId="2A7BD07A" w14:textId="77777777" w:rsidR="00C323FB" w:rsidRPr="00A519BC" w:rsidRDefault="00C323FB" w:rsidP="00DF6CBC">
            <w:pPr>
              <w:pStyle w:val="Tabele"/>
              <w:jc w:val="right"/>
              <w:rPr>
                <w:rFonts w:cs="Calibri"/>
                <w:color w:val="auto"/>
                <w:szCs w:val="16"/>
              </w:rPr>
            </w:pPr>
            <w:r w:rsidRPr="00A519BC">
              <w:rPr>
                <w:rFonts w:cs="Calibri"/>
                <w:color w:val="auto"/>
                <w:szCs w:val="16"/>
              </w:rPr>
              <w:t>19,3</w:t>
            </w:r>
          </w:p>
        </w:tc>
        <w:tc>
          <w:tcPr>
            <w:tcW w:w="1404" w:type="dxa"/>
            <w:vAlign w:val="top"/>
          </w:tcPr>
          <w:p w14:paraId="6AF9A20C" w14:textId="77777777" w:rsidR="00C323FB" w:rsidRPr="00A519BC" w:rsidRDefault="00C323FB" w:rsidP="00DF6CBC">
            <w:pPr>
              <w:pStyle w:val="Tabele"/>
              <w:jc w:val="right"/>
              <w:rPr>
                <w:color w:val="auto"/>
                <w:szCs w:val="16"/>
              </w:rPr>
            </w:pPr>
            <w:r w:rsidRPr="00A519BC">
              <w:rPr>
                <w:color w:val="auto"/>
              </w:rPr>
              <w:t xml:space="preserve"> 49 016 </w:t>
            </w:r>
          </w:p>
        </w:tc>
        <w:tc>
          <w:tcPr>
            <w:tcW w:w="1405" w:type="dxa"/>
            <w:vAlign w:val="top"/>
          </w:tcPr>
          <w:p w14:paraId="05CA9C60" w14:textId="77777777" w:rsidR="00C323FB" w:rsidRPr="00A519BC" w:rsidRDefault="00C323FB" w:rsidP="00DF6CBC">
            <w:pPr>
              <w:pStyle w:val="Tabele"/>
              <w:jc w:val="right"/>
              <w:rPr>
                <w:color w:val="auto"/>
                <w:szCs w:val="16"/>
              </w:rPr>
            </w:pPr>
            <w:r w:rsidRPr="00A519BC">
              <w:rPr>
                <w:color w:val="auto"/>
              </w:rPr>
              <w:t xml:space="preserve"> 10,4 </w:t>
            </w:r>
          </w:p>
        </w:tc>
        <w:tc>
          <w:tcPr>
            <w:tcW w:w="1404" w:type="dxa"/>
            <w:vAlign w:val="top"/>
          </w:tcPr>
          <w:p w14:paraId="48DDC5A6" w14:textId="77777777" w:rsidR="00C323FB" w:rsidRPr="00A519BC" w:rsidRDefault="00C323FB" w:rsidP="00DF6CBC">
            <w:pPr>
              <w:pStyle w:val="Tabele"/>
              <w:jc w:val="right"/>
              <w:rPr>
                <w:color w:val="auto"/>
                <w:szCs w:val="16"/>
              </w:rPr>
            </w:pPr>
            <w:r w:rsidRPr="00A519BC">
              <w:rPr>
                <w:color w:val="auto"/>
              </w:rPr>
              <w:t xml:space="preserve"> 188 </w:t>
            </w:r>
          </w:p>
        </w:tc>
        <w:tc>
          <w:tcPr>
            <w:tcW w:w="1232" w:type="dxa"/>
            <w:vAlign w:val="top"/>
          </w:tcPr>
          <w:p w14:paraId="7EF442AC" w14:textId="77777777" w:rsidR="00C323FB" w:rsidRPr="00A519BC" w:rsidRDefault="00C323FB" w:rsidP="00DF6CBC">
            <w:pPr>
              <w:pStyle w:val="Tabele"/>
              <w:jc w:val="right"/>
              <w:rPr>
                <w:color w:val="auto"/>
                <w:szCs w:val="16"/>
              </w:rPr>
            </w:pPr>
            <w:r w:rsidRPr="00A519BC">
              <w:rPr>
                <w:color w:val="auto"/>
              </w:rPr>
              <w:t xml:space="preserve"> 69 737 </w:t>
            </w:r>
          </w:p>
        </w:tc>
        <w:tc>
          <w:tcPr>
            <w:tcW w:w="1122" w:type="dxa"/>
            <w:vAlign w:val="top"/>
          </w:tcPr>
          <w:p w14:paraId="7BAECAB9" w14:textId="77777777" w:rsidR="00C323FB" w:rsidRPr="00A519BC" w:rsidRDefault="00C323FB" w:rsidP="00DF6CBC">
            <w:pPr>
              <w:pStyle w:val="Tabele"/>
              <w:jc w:val="right"/>
              <w:rPr>
                <w:rFonts w:cs="Calibri"/>
                <w:color w:val="auto"/>
                <w:szCs w:val="16"/>
              </w:rPr>
            </w:pPr>
            <w:r w:rsidRPr="00A519BC">
              <w:rPr>
                <w:color w:val="auto"/>
              </w:rPr>
              <w:t xml:space="preserve"> 2 020 285 </w:t>
            </w:r>
          </w:p>
        </w:tc>
      </w:tr>
      <w:tr w:rsidR="00C323FB" w:rsidRPr="0030044C" w14:paraId="33011080" w14:textId="77777777" w:rsidTr="00DF6CBC">
        <w:tc>
          <w:tcPr>
            <w:tcW w:w="905" w:type="dxa"/>
            <w:vMerge/>
          </w:tcPr>
          <w:p w14:paraId="627A145B" w14:textId="77777777" w:rsidR="00C323FB" w:rsidRPr="00A519BC" w:rsidRDefault="00C323FB" w:rsidP="00DF6CBC">
            <w:pPr>
              <w:pStyle w:val="Tabele"/>
              <w:rPr>
                <w:color w:val="auto"/>
                <w:sz w:val="14"/>
                <w:szCs w:val="14"/>
              </w:rPr>
            </w:pPr>
          </w:p>
        </w:tc>
        <w:tc>
          <w:tcPr>
            <w:tcW w:w="631" w:type="dxa"/>
          </w:tcPr>
          <w:p w14:paraId="006BC40C" w14:textId="77777777" w:rsidR="00C323FB" w:rsidRPr="00A519BC" w:rsidRDefault="00C323FB" w:rsidP="00DF6CBC">
            <w:pPr>
              <w:pStyle w:val="Tabele"/>
              <w:rPr>
                <w:color w:val="auto"/>
                <w:sz w:val="14"/>
                <w:szCs w:val="14"/>
              </w:rPr>
            </w:pPr>
            <w:r w:rsidRPr="00A519BC">
              <w:rPr>
                <w:color w:val="auto"/>
                <w:sz w:val="14"/>
                <w:szCs w:val="14"/>
              </w:rPr>
              <w:t>2030</w:t>
            </w:r>
          </w:p>
        </w:tc>
        <w:tc>
          <w:tcPr>
            <w:tcW w:w="959" w:type="dxa"/>
            <w:vAlign w:val="bottom"/>
          </w:tcPr>
          <w:p w14:paraId="414CC3CC" w14:textId="77777777" w:rsidR="00C323FB" w:rsidRPr="00A519BC" w:rsidRDefault="00C323FB" w:rsidP="00DF6CBC">
            <w:pPr>
              <w:pStyle w:val="Tabele"/>
              <w:jc w:val="right"/>
              <w:rPr>
                <w:rFonts w:cs="Calibri"/>
                <w:color w:val="auto"/>
                <w:szCs w:val="16"/>
              </w:rPr>
            </w:pPr>
            <w:r w:rsidRPr="00A519BC">
              <w:rPr>
                <w:rFonts w:cs="Calibri"/>
                <w:color w:val="auto"/>
                <w:szCs w:val="16"/>
              </w:rPr>
              <w:t>17,5</w:t>
            </w:r>
          </w:p>
        </w:tc>
        <w:tc>
          <w:tcPr>
            <w:tcW w:w="1404" w:type="dxa"/>
            <w:vAlign w:val="top"/>
          </w:tcPr>
          <w:p w14:paraId="39002EDF" w14:textId="77777777" w:rsidR="00C323FB" w:rsidRPr="00A519BC" w:rsidRDefault="00C323FB" w:rsidP="00DF6CBC">
            <w:pPr>
              <w:pStyle w:val="Tabele"/>
              <w:jc w:val="right"/>
              <w:rPr>
                <w:color w:val="auto"/>
                <w:szCs w:val="16"/>
              </w:rPr>
            </w:pPr>
            <w:r w:rsidRPr="00A519BC">
              <w:rPr>
                <w:color w:val="auto"/>
              </w:rPr>
              <w:t xml:space="preserve"> 43 216 </w:t>
            </w:r>
          </w:p>
        </w:tc>
        <w:tc>
          <w:tcPr>
            <w:tcW w:w="1405" w:type="dxa"/>
            <w:vAlign w:val="top"/>
          </w:tcPr>
          <w:p w14:paraId="5712E412" w14:textId="77777777" w:rsidR="00C323FB" w:rsidRPr="00A519BC" w:rsidRDefault="00C323FB" w:rsidP="00DF6CBC">
            <w:pPr>
              <w:pStyle w:val="Tabele"/>
              <w:jc w:val="right"/>
              <w:rPr>
                <w:color w:val="auto"/>
                <w:szCs w:val="16"/>
              </w:rPr>
            </w:pPr>
            <w:r w:rsidRPr="00A519BC">
              <w:rPr>
                <w:color w:val="auto"/>
              </w:rPr>
              <w:t xml:space="preserve"> 9,2 </w:t>
            </w:r>
          </w:p>
        </w:tc>
        <w:tc>
          <w:tcPr>
            <w:tcW w:w="1404" w:type="dxa"/>
            <w:vAlign w:val="top"/>
          </w:tcPr>
          <w:p w14:paraId="0AC47630" w14:textId="77777777" w:rsidR="00C323FB" w:rsidRPr="00A519BC" w:rsidRDefault="00C323FB" w:rsidP="00DF6CBC">
            <w:pPr>
              <w:pStyle w:val="Tabele"/>
              <w:jc w:val="right"/>
              <w:rPr>
                <w:color w:val="auto"/>
                <w:szCs w:val="16"/>
              </w:rPr>
            </w:pPr>
            <w:r w:rsidRPr="00A519BC">
              <w:rPr>
                <w:color w:val="auto"/>
              </w:rPr>
              <w:t xml:space="preserve"> 166 </w:t>
            </w:r>
          </w:p>
        </w:tc>
        <w:tc>
          <w:tcPr>
            <w:tcW w:w="1232" w:type="dxa"/>
            <w:vAlign w:val="top"/>
          </w:tcPr>
          <w:p w14:paraId="2DF6B547" w14:textId="77777777" w:rsidR="00C323FB" w:rsidRPr="00A519BC" w:rsidRDefault="00C323FB" w:rsidP="00DF6CBC">
            <w:pPr>
              <w:pStyle w:val="Tabele"/>
              <w:jc w:val="right"/>
              <w:rPr>
                <w:color w:val="auto"/>
                <w:szCs w:val="16"/>
              </w:rPr>
            </w:pPr>
            <w:r w:rsidRPr="00A519BC">
              <w:rPr>
                <w:color w:val="auto"/>
              </w:rPr>
              <w:t xml:space="preserve"> 61 441 </w:t>
            </w:r>
          </w:p>
        </w:tc>
        <w:tc>
          <w:tcPr>
            <w:tcW w:w="1122" w:type="dxa"/>
            <w:vAlign w:val="top"/>
          </w:tcPr>
          <w:p w14:paraId="6C953437" w14:textId="77777777" w:rsidR="00C323FB" w:rsidRPr="00A519BC" w:rsidRDefault="00C323FB" w:rsidP="00DF6CBC">
            <w:pPr>
              <w:pStyle w:val="Tabele"/>
              <w:jc w:val="right"/>
              <w:rPr>
                <w:rFonts w:cs="Calibri"/>
                <w:color w:val="auto"/>
                <w:szCs w:val="16"/>
              </w:rPr>
            </w:pPr>
            <w:r w:rsidRPr="00A519BC">
              <w:rPr>
                <w:color w:val="auto"/>
              </w:rPr>
              <w:t xml:space="preserve"> 1 776 842 </w:t>
            </w:r>
          </w:p>
        </w:tc>
      </w:tr>
      <w:tr w:rsidR="00C323FB" w:rsidRPr="0030044C" w14:paraId="2D006D81" w14:textId="77777777" w:rsidTr="00DF6CBC">
        <w:tc>
          <w:tcPr>
            <w:tcW w:w="905" w:type="dxa"/>
            <w:vMerge/>
          </w:tcPr>
          <w:p w14:paraId="4AE2D557" w14:textId="77777777" w:rsidR="00C323FB" w:rsidRPr="00A519BC" w:rsidRDefault="00C323FB" w:rsidP="00DF6CBC">
            <w:pPr>
              <w:pStyle w:val="Tabele"/>
              <w:rPr>
                <w:color w:val="auto"/>
                <w:sz w:val="14"/>
                <w:szCs w:val="14"/>
              </w:rPr>
            </w:pPr>
          </w:p>
        </w:tc>
        <w:tc>
          <w:tcPr>
            <w:tcW w:w="631" w:type="dxa"/>
          </w:tcPr>
          <w:p w14:paraId="7B1F5872" w14:textId="77777777" w:rsidR="00C323FB" w:rsidRPr="00A519BC" w:rsidRDefault="00C323FB" w:rsidP="00DF6CBC">
            <w:pPr>
              <w:pStyle w:val="Tabele"/>
              <w:rPr>
                <w:color w:val="auto"/>
                <w:sz w:val="14"/>
                <w:szCs w:val="14"/>
              </w:rPr>
            </w:pPr>
            <w:r w:rsidRPr="00A519BC">
              <w:rPr>
                <w:color w:val="auto"/>
                <w:sz w:val="14"/>
                <w:szCs w:val="14"/>
              </w:rPr>
              <w:t>2035</w:t>
            </w:r>
          </w:p>
        </w:tc>
        <w:tc>
          <w:tcPr>
            <w:tcW w:w="959" w:type="dxa"/>
            <w:vAlign w:val="bottom"/>
          </w:tcPr>
          <w:p w14:paraId="7C91188D" w14:textId="77777777" w:rsidR="00C323FB" w:rsidRPr="00A519BC" w:rsidRDefault="00C323FB" w:rsidP="00DF6CBC">
            <w:pPr>
              <w:pStyle w:val="Tabele"/>
              <w:jc w:val="right"/>
              <w:rPr>
                <w:rFonts w:cs="Calibri"/>
                <w:color w:val="auto"/>
                <w:szCs w:val="16"/>
              </w:rPr>
            </w:pPr>
            <w:r w:rsidRPr="00A519BC">
              <w:rPr>
                <w:rFonts w:cs="Calibri"/>
                <w:color w:val="auto"/>
                <w:szCs w:val="16"/>
              </w:rPr>
              <w:t>15,9</w:t>
            </w:r>
          </w:p>
        </w:tc>
        <w:tc>
          <w:tcPr>
            <w:tcW w:w="1404" w:type="dxa"/>
            <w:vAlign w:val="top"/>
          </w:tcPr>
          <w:p w14:paraId="6567E543" w14:textId="77777777" w:rsidR="00C323FB" w:rsidRPr="00A519BC" w:rsidRDefault="00C323FB" w:rsidP="00DF6CBC">
            <w:pPr>
              <w:pStyle w:val="Tabele"/>
              <w:jc w:val="right"/>
              <w:rPr>
                <w:color w:val="auto"/>
                <w:szCs w:val="16"/>
              </w:rPr>
            </w:pPr>
            <w:r w:rsidRPr="00A519BC">
              <w:rPr>
                <w:color w:val="auto"/>
              </w:rPr>
              <w:t xml:space="preserve"> 38 072 </w:t>
            </w:r>
          </w:p>
        </w:tc>
        <w:tc>
          <w:tcPr>
            <w:tcW w:w="1405" w:type="dxa"/>
            <w:vAlign w:val="top"/>
          </w:tcPr>
          <w:p w14:paraId="5DD327E9" w14:textId="77777777" w:rsidR="00C323FB" w:rsidRPr="00A519BC" w:rsidRDefault="00C323FB" w:rsidP="00DF6CBC">
            <w:pPr>
              <w:pStyle w:val="Tabele"/>
              <w:jc w:val="right"/>
              <w:rPr>
                <w:color w:val="auto"/>
                <w:szCs w:val="16"/>
              </w:rPr>
            </w:pPr>
            <w:r w:rsidRPr="00A519BC">
              <w:rPr>
                <w:color w:val="auto"/>
              </w:rPr>
              <w:t xml:space="preserve"> 8,1 </w:t>
            </w:r>
          </w:p>
        </w:tc>
        <w:tc>
          <w:tcPr>
            <w:tcW w:w="1404" w:type="dxa"/>
            <w:vAlign w:val="top"/>
          </w:tcPr>
          <w:p w14:paraId="08AEF70E" w14:textId="77777777" w:rsidR="00C323FB" w:rsidRPr="00A519BC" w:rsidRDefault="00C323FB" w:rsidP="00DF6CBC">
            <w:pPr>
              <w:pStyle w:val="Tabele"/>
              <w:jc w:val="right"/>
              <w:rPr>
                <w:color w:val="auto"/>
                <w:szCs w:val="16"/>
              </w:rPr>
            </w:pPr>
            <w:r w:rsidRPr="00A519BC">
              <w:rPr>
                <w:color w:val="auto"/>
              </w:rPr>
              <w:t xml:space="preserve"> 146 </w:t>
            </w:r>
          </w:p>
        </w:tc>
        <w:tc>
          <w:tcPr>
            <w:tcW w:w="1232" w:type="dxa"/>
            <w:vAlign w:val="top"/>
          </w:tcPr>
          <w:p w14:paraId="3B488CA8" w14:textId="77777777" w:rsidR="00C323FB" w:rsidRPr="00A519BC" w:rsidRDefault="00C323FB" w:rsidP="00DF6CBC">
            <w:pPr>
              <w:pStyle w:val="Tabele"/>
              <w:jc w:val="right"/>
              <w:rPr>
                <w:color w:val="auto"/>
                <w:szCs w:val="16"/>
              </w:rPr>
            </w:pPr>
            <w:r w:rsidRPr="00A519BC">
              <w:rPr>
                <w:color w:val="auto"/>
              </w:rPr>
              <w:t xml:space="preserve"> 54 092 </w:t>
            </w:r>
          </w:p>
        </w:tc>
        <w:tc>
          <w:tcPr>
            <w:tcW w:w="1122" w:type="dxa"/>
            <w:vAlign w:val="top"/>
          </w:tcPr>
          <w:p w14:paraId="6948E830" w14:textId="77777777" w:rsidR="00C323FB" w:rsidRPr="00A519BC" w:rsidRDefault="00C323FB" w:rsidP="00DF6CBC">
            <w:pPr>
              <w:pStyle w:val="Tabele"/>
              <w:jc w:val="right"/>
              <w:rPr>
                <w:rFonts w:cs="Calibri"/>
                <w:color w:val="auto"/>
                <w:szCs w:val="16"/>
              </w:rPr>
            </w:pPr>
            <w:r w:rsidRPr="00A519BC">
              <w:rPr>
                <w:color w:val="auto"/>
              </w:rPr>
              <w:t xml:space="preserve"> 1 561 924 </w:t>
            </w:r>
          </w:p>
        </w:tc>
      </w:tr>
      <w:tr w:rsidR="00C323FB" w:rsidRPr="0030044C" w14:paraId="3E2B6BFA" w14:textId="77777777" w:rsidTr="00DF6CBC">
        <w:tc>
          <w:tcPr>
            <w:tcW w:w="905" w:type="dxa"/>
            <w:vMerge/>
          </w:tcPr>
          <w:p w14:paraId="0475AF34" w14:textId="77777777" w:rsidR="00C323FB" w:rsidRPr="00A519BC" w:rsidRDefault="00C323FB" w:rsidP="00DF6CBC">
            <w:pPr>
              <w:pStyle w:val="Tabele"/>
              <w:rPr>
                <w:color w:val="auto"/>
                <w:sz w:val="14"/>
                <w:szCs w:val="14"/>
              </w:rPr>
            </w:pPr>
          </w:p>
        </w:tc>
        <w:tc>
          <w:tcPr>
            <w:tcW w:w="631" w:type="dxa"/>
          </w:tcPr>
          <w:p w14:paraId="31CF205A" w14:textId="77777777" w:rsidR="00C323FB" w:rsidRPr="00A519BC" w:rsidRDefault="00C323FB" w:rsidP="00DF6CBC">
            <w:pPr>
              <w:pStyle w:val="Tabele"/>
              <w:rPr>
                <w:color w:val="auto"/>
                <w:sz w:val="14"/>
                <w:szCs w:val="14"/>
              </w:rPr>
            </w:pPr>
            <w:r w:rsidRPr="00A519BC">
              <w:rPr>
                <w:color w:val="auto"/>
                <w:sz w:val="14"/>
                <w:szCs w:val="14"/>
              </w:rPr>
              <w:t>2040</w:t>
            </w:r>
          </w:p>
        </w:tc>
        <w:tc>
          <w:tcPr>
            <w:tcW w:w="959" w:type="dxa"/>
            <w:vAlign w:val="bottom"/>
          </w:tcPr>
          <w:p w14:paraId="7218FAF4" w14:textId="77777777" w:rsidR="00C323FB" w:rsidRPr="00A519BC" w:rsidRDefault="00C323FB" w:rsidP="00DF6CBC">
            <w:pPr>
              <w:pStyle w:val="Tabele"/>
              <w:jc w:val="right"/>
              <w:rPr>
                <w:rFonts w:cs="Calibri"/>
                <w:color w:val="auto"/>
                <w:szCs w:val="16"/>
              </w:rPr>
            </w:pPr>
            <w:r w:rsidRPr="00A519BC">
              <w:rPr>
                <w:rFonts w:cs="Calibri"/>
                <w:color w:val="auto"/>
                <w:szCs w:val="16"/>
              </w:rPr>
              <w:t>15,8</w:t>
            </w:r>
          </w:p>
        </w:tc>
        <w:tc>
          <w:tcPr>
            <w:tcW w:w="1404" w:type="dxa"/>
            <w:vAlign w:val="top"/>
          </w:tcPr>
          <w:p w14:paraId="43604FD0" w14:textId="77777777" w:rsidR="00C323FB" w:rsidRPr="00A519BC" w:rsidRDefault="00C323FB" w:rsidP="00DF6CBC">
            <w:pPr>
              <w:pStyle w:val="Tabele"/>
              <w:jc w:val="right"/>
              <w:rPr>
                <w:color w:val="auto"/>
                <w:szCs w:val="16"/>
              </w:rPr>
            </w:pPr>
            <w:r w:rsidRPr="00A519BC">
              <w:rPr>
                <w:color w:val="auto"/>
              </w:rPr>
              <w:t xml:space="preserve"> 37 638 </w:t>
            </w:r>
          </w:p>
        </w:tc>
        <w:tc>
          <w:tcPr>
            <w:tcW w:w="1405" w:type="dxa"/>
            <w:vAlign w:val="top"/>
          </w:tcPr>
          <w:p w14:paraId="60E2AB10" w14:textId="77777777" w:rsidR="00C323FB" w:rsidRPr="00A519BC" w:rsidRDefault="00C323FB" w:rsidP="00DF6CBC">
            <w:pPr>
              <w:pStyle w:val="Tabele"/>
              <w:jc w:val="right"/>
              <w:rPr>
                <w:color w:val="auto"/>
                <w:szCs w:val="16"/>
              </w:rPr>
            </w:pPr>
            <w:r w:rsidRPr="00A519BC">
              <w:rPr>
                <w:color w:val="auto"/>
              </w:rPr>
              <w:t xml:space="preserve"> 8,0 </w:t>
            </w:r>
          </w:p>
        </w:tc>
        <w:tc>
          <w:tcPr>
            <w:tcW w:w="1404" w:type="dxa"/>
            <w:vAlign w:val="top"/>
          </w:tcPr>
          <w:p w14:paraId="72C9701B" w14:textId="77777777" w:rsidR="00C323FB" w:rsidRPr="00A519BC" w:rsidRDefault="00C323FB" w:rsidP="00DF6CBC">
            <w:pPr>
              <w:pStyle w:val="Tabele"/>
              <w:jc w:val="right"/>
              <w:rPr>
                <w:color w:val="auto"/>
                <w:szCs w:val="16"/>
              </w:rPr>
            </w:pPr>
            <w:r w:rsidRPr="00A519BC">
              <w:rPr>
                <w:color w:val="auto"/>
              </w:rPr>
              <w:t xml:space="preserve"> 144 </w:t>
            </w:r>
          </w:p>
        </w:tc>
        <w:tc>
          <w:tcPr>
            <w:tcW w:w="1232" w:type="dxa"/>
            <w:vAlign w:val="top"/>
          </w:tcPr>
          <w:p w14:paraId="34DEC035" w14:textId="77777777" w:rsidR="00C323FB" w:rsidRPr="00A519BC" w:rsidRDefault="00C323FB" w:rsidP="00DF6CBC">
            <w:pPr>
              <w:pStyle w:val="Tabele"/>
              <w:jc w:val="right"/>
              <w:rPr>
                <w:color w:val="auto"/>
                <w:szCs w:val="16"/>
              </w:rPr>
            </w:pPr>
            <w:r w:rsidRPr="00A519BC">
              <w:rPr>
                <w:color w:val="auto"/>
              </w:rPr>
              <w:t xml:space="preserve"> 53 472 </w:t>
            </w:r>
          </w:p>
        </w:tc>
        <w:tc>
          <w:tcPr>
            <w:tcW w:w="1122" w:type="dxa"/>
            <w:vAlign w:val="top"/>
          </w:tcPr>
          <w:p w14:paraId="60808998" w14:textId="77777777" w:rsidR="00C323FB" w:rsidRPr="00A519BC" w:rsidRDefault="00C323FB" w:rsidP="00DF6CBC">
            <w:pPr>
              <w:pStyle w:val="Tabele"/>
              <w:jc w:val="right"/>
              <w:rPr>
                <w:rFonts w:cs="Calibri"/>
                <w:color w:val="auto"/>
                <w:szCs w:val="16"/>
              </w:rPr>
            </w:pPr>
            <w:r w:rsidRPr="00A519BC">
              <w:rPr>
                <w:color w:val="auto"/>
              </w:rPr>
              <w:t xml:space="preserve"> 1 543 825 </w:t>
            </w:r>
          </w:p>
        </w:tc>
      </w:tr>
      <w:tr w:rsidR="00C323FB" w:rsidRPr="0030044C" w14:paraId="1952B407" w14:textId="77777777" w:rsidTr="00DF6CBC">
        <w:trPr>
          <w:trHeight w:val="32"/>
        </w:trPr>
        <w:tc>
          <w:tcPr>
            <w:tcW w:w="905" w:type="dxa"/>
            <w:vMerge w:val="restart"/>
          </w:tcPr>
          <w:p w14:paraId="587CE7B0" w14:textId="77777777" w:rsidR="00C323FB" w:rsidRPr="00A519BC" w:rsidRDefault="00C323FB" w:rsidP="00DF6CBC">
            <w:pPr>
              <w:pStyle w:val="Tabele"/>
              <w:jc w:val="center"/>
              <w:rPr>
                <w:color w:val="auto"/>
                <w:sz w:val="14"/>
                <w:szCs w:val="14"/>
              </w:rPr>
            </w:pPr>
            <w:r w:rsidRPr="00A519BC">
              <w:rPr>
                <w:color w:val="auto"/>
                <w:sz w:val="14"/>
                <w:szCs w:val="14"/>
              </w:rPr>
              <w:t xml:space="preserve">Różnica </w:t>
            </w:r>
          </w:p>
          <w:p w14:paraId="4AD137E2" w14:textId="77777777" w:rsidR="00C323FB" w:rsidRPr="00A519BC" w:rsidRDefault="00C323FB" w:rsidP="00DF6CBC">
            <w:pPr>
              <w:pStyle w:val="Tabele"/>
              <w:jc w:val="center"/>
              <w:rPr>
                <w:color w:val="auto"/>
                <w:sz w:val="14"/>
                <w:szCs w:val="14"/>
              </w:rPr>
            </w:pPr>
            <w:r w:rsidRPr="00A519BC">
              <w:rPr>
                <w:color w:val="auto"/>
                <w:sz w:val="14"/>
                <w:szCs w:val="14"/>
              </w:rPr>
              <w:t>WEM - WAM</w:t>
            </w:r>
          </w:p>
        </w:tc>
        <w:tc>
          <w:tcPr>
            <w:tcW w:w="631" w:type="dxa"/>
          </w:tcPr>
          <w:p w14:paraId="5759B6FC" w14:textId="77777777" w:rsidR="00C323FB" w:rsidRPr="00A519BC" w:rsidRDefault="00C323FB" w:rsidP="00DF6CBC">
            <w:pPr>
              <w:pStyle w:val="Tabele"/>
              <w:rPr>
                <w:color w:val="auto"/>
                <w:sz w:val="14"/>
                <w:szCs w:val="14"/>
              </w:rPr>
            </w:pPr>
            <w:r w:rsidRPr="00A519BC">
              <w:rPr>
                <w:color w:val="auto"/>
                <w:sz w:val="14"/>
                <w:szCs w:val="14"/>
              </w:rPr>
              <w:t>2020</w:t>
            </w:r>
          </w:p>
        </w:tc>
        <w:tc>
          <w:tcPr>
            <w:tcW w:w="959" w:type="dxa"/>
            <w:vAlign w:val="bottom"/>
          </w:tcPr>
          <w:p w14:paraId="27CDD23E" w14:textId="77777777" w:rsidR="00C323FB" w:rsidRPr="00A519BC" w:rsidRDefault="00C323FB" w:rsidP="00DF6CBC">
            <w:pPr>
              <w:pStyle w:val="Tabele"/>
              <w:spacing w:line="240" w:lineRule="auto"/>
              <w:jc w:val="right"/>
              <w:rPr>
                <w:color w:val="auto"/>
              </w:rPr>
            </w:pPr>
            <w:r w:rsidRPr="00A519BC">
              <w:rPr>
                <w:color w:val="auto"/>
              </w:rPr>
              <w:t>-</w:t>
            </w:r>
          </w:p>
        </w:tc>
        <w:tc>
          <w:tcPr>
            <w:tcW w:w="1404" w:type="dxa"/>
            <w:vAlign w:val="top"/>
          </w:tcPr>
          <w:p w14:paraId="1E074F32" w14:textId="15B1ABA4" w:rsidR="00C323FB" w:rsidRPr="00A519BC" w:rsidRDefault="00C323FB" w:rsidP="00DF6CBC">
            <w:pPr>
              <w:pStyle w:val="Tabele"/>
              <w:spacing w:line="240" w:lineRule="auto"/>
              <w:jc w:val="right"/>
              <w:rPr>
                <w:color w:val="auto"/>
                <w:szCs w:val="16"/>
              </w:rPr>
            </w:pPr>
            <w:r w:rsidRPr="00A519BC">
              <w:rPr>
                <w:color w:val="auto"/>
              </w:rPr>
              <w:t xml:space="preserve"> -</w:t>
            </w:r>
            <w:r w:rsidR="002A532C">
              <w:rPr>
                <w:color w:val="auto"/>
              </w:rPr>
              <w:t xml:space="preserve"> </w:t>
            </w:r>
            <w:r w:rsidRPr="00A519BC">
              <w:rPr>
                <w:color w:val="auto"/>
              </w:rPr>
              <w:t xml:space="preserve"> </w:t>
            </w:r>
          </w:p>
        </w:tc>
        <w:tc>
          <w:tcPr>
            <w:tcW w:w="1405" w:type="dxa"/>
            <w:vAlign w:val="top"/>
          </w:tcPr>
          <w:p w14:paraId="1975ED42" w14:textId="47F3637E" w:rsidR="00C323FB" w:rsidRPr="00A519BC" w:rsidRDefault="00C323FB" w:rsidP="00DF6CBC">
            <w:pPr>
              <w:pStyle w:val="Tabele"/>
              <w:spacing w:line="240" w:lineRule="auto"/>
              <w:jc w:val="right"/>
              <w:rPr>
                <w:color w:val="auto"/>
                <w:szCs w:val="16"/>
              </w:rPr>
            </w:pPr>
            <w:r w:rsidRPr="00A519BC">
              <w:rPr>
                <w:color w:val="auto"/>
              </w:rPr>
              <w:t xml:space="preserve"> -</w:t>
            </w:r>
            <w:r w:rsidR="002A532C">
              <w:rPr>
                <w:color w:val="auto"/>
              </w:rPr>
              <w:t xml:space="preserve"> </w:t>
            </w:r>
            <w:r w:rsidRPr="00A519BC">
              <w:rPr>
                <w:color w:val="auto"/>
              </w:rPr>
              <w:t xml:space="preserve"> </w:t>
            </w:r>
          </w:p>
        </w:tc>
        <w:tc>
          <w:tcPr>
            <w:tcW w:w="1404" w:type="dxa"/>
            <w:vAlign w:val="top"/>
          </w:tcPr>
          <w:p w14:paraId="5C1BCA60" w14:textId="3610290B" w:rsidR="00C323FB" w:rsidRPr="00A519BC" w:rsidRDefault="00C323FB" w:rsidP="00DF6CBC">
            <w:pPr>
              <w:pStyle w:val="Tabele"/>
              <w:spacing w:line="240" w:lineRule="auto"/>
              <w:jc w:val="right"/>
              <w:rPr>
                <w:color w:val="auto"/>
                <w:szCs w:val="16"/>
              </w:rPr>
            </w:pPr>
            <w:r w:rsidRPr="00A519BC">
              <w:rPr>
                <w:color w:val="auto"/>
              </w:rPr>
              <w:t xml:space="preserve"> -</w:t>
            </w:r>
            <w:r w:rsidR="002A532C">
              <w:rPr>
                <w:color w:val="auto"/>
              </w:rPr>
              <w:t xml:space="preserve"> </w:t>
            </w:r>
            <w:r w:rsidRPr="00A519BC">
              <w:rPr>
                <w:color w:val="auto"/>
              </w:rPr>
              <w:t xml:space="preserve"> </w:t>
            </w:r>
          </w:p>
        </w:tc>
        <w:tc>
          <w:tcPr>
            <w:tcW w:w="1232" w:type="dxa"/>
            <w:vAlign w:val="top"/>
          </w:tcPr>
          <w:p w14:paraId="312FB711" w14:textId="0FB306BC" w:rsidR="00C323FB" w:rsidRPr="00A519BC" w:rsidRDefault="00C323FB" w:rsidP="00DF6CBC">
            <w:pPr>
              <w:pStyle w:val="Tabele"/>
              <w:spacing w:line="240" w:lineRule="auto"/>
              <w:jc w:val="right"/>
              <w:rPr>
                <w:color w:val="auto"/>
                <w:szCs w:val="16"/>
              </w:rPr>
            </w:pPr>
            <w:r w:rsidRPr="00A519BC">
              <w:rPr>
                <w:color w:val="auto"/>
              </w:rPr>
              <w:t xml:space="preserve"> -</w:t>
            </w:r>
            <w:r w:rsidR="002A532C">
              <w:rPr>
                <w:color w:val="auto"/>
              </w:rPr>
              <w:t xml:space="preserve"> </w:t>
            </w:r>
            <w:r w:rsidRPr="00A519BC">
              <w:rPr>
                <w:color w:val="auto"/>
              </w:rPr>
              <w:t xml:space="preserve"> </w:t>
            </w:r>
          </w:p>
        </w:tc>
        <w:tc>
          <w:tcPr>
            <w:tcW w:w="1122" w:type="dxa"/>
            <w:vAlign w:val="top"/>
          </w:tcPr>
          <w:p w14:paraId="0E8EDA20" w14:textId="03DBCDF1" w:rsidR="00C323FB" w:rsidRPr="00A519BC" w:rsidRDefault="00C323FB" w:rsidP="00DF6CBC">
            <w:pPr>
              <w:pStyle w:val="Tabele"/>
              <w:spacing w:line="240" w:lineRule="auto"/>
              <w:jc w:val="right"/>
              <w:rPr>
                <w:color w:val="auto"/>
              </w:rPr>
            </w:pPr>
            <w:r w:rsidRPr="00A519BC">
              <w:rPr>
                <w:color w:val="auto"/>
              </w:rPr>
              <w:t xml:space="preserve"> -</w:t>
            </w:r>
            <w:r w:rsidR="002A532C">
              <w:rPr>
                <w:color w:val="auto"/>
              </w:rPr>
              <w:t xml:space="preserve"> </w:t>
            </w:r>
            <w:r w:rsidRPr="00A519BC">
              <w:rPr>
                <w:color w:val="auto"/>
              </w:rPr>
              <w:t xml:space="preserve"> </w:t>
            </w:r>
          </w:p>
        </w:tc>
      </w:tr>
      <w:tr w:rsidR="00C323FB" w:rsidRPr="0030044C" w14:paraId="54C064E9" w14:textId="77777777" w:rsidTr="00DF6CBC">
        <w:tc>
          <w:tcPr>
            <w:tcW w:w="905" w:type="dxa"/>
            <w:vMerge/>
          </w:tcPr>
          <w:p w14:paraId="14D11F14" w14:textId="77777777" w:rsidR="00C323FB" w:rsidRPr="00A519BC" w:rsidRDefault="00C323FB" w:rsidP="00DF6CBC">
            <w:pPr>
              <w:pStyle w:val="Tabele"/>
              <w:rPr>
                <w:color w:val="auto"/>
                <w:sz w:val="14"/>
                <w:szCs w:val="14"/>
              </w:rPr>
            </w:pPr>
          </w:p>
        </w:tc>
        <w:tc>
          <w:tcPr>
            <w:tcW w:w="631" w:type="dxa"/>
          </w:tcPr>
          <w:p w14:paraId="35A1EE06" w14:textId="77777777" w:rsidR="00C323FB" w:rsidRPr="00A519BC" w:rsidRDefault="00C323FB" w:rsidP="00DF6CBC">
            <w:pPr>
              <w:pStyle w:val="Tabele"/>
              <w:rPr>
                <w:color w:val="auto"/>
                <w:sz w:val="14"/>
                <w:szCs w:val="14"/>
              </w:rPr>
            </w:pPr>
            <w:r w:rsidRPr="00A519BC">
              <w:rPr>
                <w:color w:val="auto"/>
                <w:sz w:val="14"/>
                <w:szCs w:val="14"/>
              </w:rPr>
              <w:t>2025</w:t>
            </w:r>
          </w:p>
        </w:tc>
        <w:tc>
          <w:tcPr>
            <w:tcW w:w="959" w:type="dxa"/>
            <w:vAlign w:val="bottom"/>
          </w:tcPr>
          <w:p w14:paraId="20353905" w14:textId="77777777" w:rsidR="00C323FB" w:rsidRPr="00A519BC" w:rsidRDefault="00C323FB" w:rsidP="00DF6CBC">
            <w:pPr>
              <w:pStyle w:val="Tabele"/>
              <w:jc w:val="right"/>
              <w:rPr>
                <w:rFonts w:cs="Calibri"/>
                <w:color w:val="auto"/>
                <w:szCs w:val="16"/>
              </w:rPr>
            </w:pPr>
            <w:r w:rsidRPr="00A519BC">
              <w:rPr>
                <w:rFonts w:cs="Calibri"/>
                <w:color w:val="auto"/>
                <w:szCs w:val="16"/>
              </w:rPr>
              <w:t>-0,04</w:t>
            </w:r>
          </w:p>
        </w:tc>
        <w:tc>
          <w:tcPr>
            <w:tcW w:w="1404" w:type="dxa"/>
            <w:vAlign w:val="top"/>
          </w:tcPr>
          <w:p w14:paraId="34D92A51" w14:textId="77777777" w:rsidR="00C323FB" w:rsidRPr="00A519BC" w:rsidRDefault="00C323FB" w:rsidP="00DF6CBC">
            <w:pPr>
              <w:pStyle w:val="Tabele"/>
              <w:jc w:val="right"/>
              <w:rPr>
                <w:color w:val="auto"/>
                <w:szCs w:val="16"/>
              </w:rPr>
            </w:pPr>
            <w:r w:rsidRPr="00A519BC">
              <w:rPr>
                <w:color w:val="auto"/>
              </w:rPr>
              <w:t xml:space="preserve">-130 </w:t>
            </w:r>
          </w:p>
        </w:tc>
        <w:tc>
          <w:tcPr>
            <w:tcW w:w="1405" w:type="dxa"/>
            <w:vAlign w:val="top"/>
          </w:tcPr>
          <w:p w14:paraId="0A39336E" w14:textId="77777777" w:rsidR="00C323FB" w:rsidRPr="00A519BC" w:rsidRDefault="00C323FB" w:rsidP="00DF6CBC">
            <w:pPr>
              <w:pStyle w:val="Tabele"/>
              <w:jc w:val="right"/>
              <w:rPr>
                <w:color w:val="auto"/>
                <w:szCs w:val="16"/>
              </w:rPr>
            </w:pPr>
            <w:r w:rsidRPr="00A519BC">
              <w:rPr>
                <w:color w:val="auto"/>
              </w:rPr>
              <w:t xml:space="preserve">-0,0 </w:t>
            </w:r>
          </w:p>
        </w:tc>
        <w:tc>
          <w:tcPr>
            <w:tcW w:w="1404" w:type="dxa"/>
            <w:vAlign w:val="top"/>
          </w:tcPr>
          <w:p w14:paraId="4F76B9CF" w14:textId="77777777" w:rsidR="00C323FB" w:rsidRPr="00A519BC" w:rsidRDefault="00C323FB" w:rsidP="00DF6CBC">
            <w:pPr>
              <w:pStyle w:val="Tabele"/>
              <w:jc w:val="right"/>
              <w:rPr>
                <w:color w:val="auto"/>
                <w:szCs w:val="16"/>
              </w:rPr>
            </w:pPr>
            <w:r w:rsidRPr="00A519BC">
              <w:rPr>
                <w:color w:val="auto"/>
              </w:rPr>
              <w:t xml:space="preserve">-0,5 </w:t>
            </w:r>
          </w:p>
        </w:tc>
        <w:tc>
          <w:tcPr>
            <w:tcW w:w="1232" w:type="dxa"/>
            <w:vAlign w:val="top"/>
          </w:tcPr>
          <w:p w14:paraId="18C3128B" w14:textId="77777777" w:rsidR="00C323FB" w:rsidRPr="00A519BC" w:rsidRDefault="00C323FB" w:rsidP="00DF6CBC">
            <w:pPr>
              <w:pStyle w:val="Tabele"/>
              <w:jc w:val="right"/>
              <w:rPr>
                <w:color w:val="auto"/>
                <w:szCs w:val="16"/>
              </w:rPr>
            </w:pPr>
            <w:r w:rsidRPr="00A519BC">
              <w:rPr>
                <w:color w:val="auto"/>
              </w:rPr>
              <w:t xml:space="preserve">-186 </w:t>
            </w:r>
          </w:p>
        </w:tc>
        <w:tc>
          <w:tcPr>
            <w:tcW w:w="1122" w:type="dxa"/>
            <w:vAlign w:val="top"/>
          </w:tcPr>
          <w:p w14:paraId="0EAB17E5" w14:textId="77777777" w:rsidR="00C323FB" w:rsidRPr="00A519BC" w:rsidRDefault="00C323FB" w:rsidP="00DF6CBC">
            <w:pPr>
              <w:pStyle w:val="Tabele"/>
              <w:jc w:val="right"/>
              <w:rPr>
                <w:rFonts w:cs="Calibri"/>
                <w:color w:val="auto"/>
                <w:szCs w:val="16"/>
              </w:rPr>
            </w:pPr>
            <w:r w:rsidRPr="00A519BC">
              <w:rPr>
                <w:color w:val="auto"/>
              </w:rPr>
              <w:t xml:space="preserve">-5 479 </w:t>
            </w:r>
          </w:p>
        </w:tc>
      </w:tr>
      <w:tr w:rsidR="00C323FB" w:rsidRPr="0030044C" w14:paraId="01A23CC2" w14:textId="77777777" w:rsidTr="00DF6CBC">
        <w:tc>
          <w:tcPr>
            <w:tcW w:w="905" w:type="dxa"/>
            <w:vMerge/>
          </w:tcPr>
          <w:p w14:paraId="73EC2BBD" w14:textId="77777777" w:rsidR="00C323FB" w:rsidRPr="00A519BC" w:rsidRDefault="00C323FB" w:rsidP="00DF6CBC">
            <w:pPr>
              <w:pStyle w:val="Tabele"/>
              <w:rPr>
                <w:color w:val="auto"/>
                <w:sz w:val="14"/>
                <w:szCs w:val="14"/>
              </w:rPr>
            </w:pPr>
          </w:p>
        </w:tc>
        <w:tc>
          <w:tcPr>
            <w:tcW w:w="631" w:type="dxa"/>
          </w:tcPr>
          <w:p w14:paraId="4656DD7B" w14:textId="77777777" w:rsidR="00C323FB" w:rsidRPr="00A519BC" w:rsidRDefault="00C323FB" w:rsidP="00DF6CBC">
            <w:pPr>
              <w:pStyle w:val="Tabele"/>
              <w:rPr>
                <w:color w:val="auto"/>
                <w:sz w:val="14"/>
                <w:szCs w:val="14"/>
              </w:rPr>
            </w:pPr>
            <w:r w:rsidRPr="00A519BC">
              <w:rPr>
                <w:color w:val="auto"/>
                <w:sz w:val="14"/>
                <w:szCs w:val="14"/>
              </w:rPr>
              <w:t>2030</w:t>
            </w:r>
          </w:p>
        </w:tc>
        <w:tc>
          <w:tcPr>
            <w:tcW w:w="959" w:type="dxa"/>
            <w:vAlign w:val="bottom"/>
          </w:tcPr>
          <w:p w14:paraId="0D7BA036" w14:textId="77777777" w:rsidR="00C323FB" w:rsidRPr="00A519BC" w:rsidRDefault="00C323FB" w:rsidP="00DF6CBC">
            <w:pPr>
              <w:pStyle w:val="Tabele"/>
              <w:jc w:val="right"/>
              <w:rPr>
                <w:rFonts w:cs="Calibri"/>
                <w:color w:val="auto"/>
                <w:szCs w:val="16"/>
              </w:rPr>
            </w:pPr>
            <w:r w:rsidRPr="00A519BC">
              <w:rPr>
                <w:rFonts w:cs="Calibri"/>
                <w:color w:val="auto"/>
                <w:szCs w:val="16"/>
              </w:rPr>
              <w:t>-0,01</w:t>
            </w:r>
          </w:p>
        </w:tc>
        <w:tc>
          <w:tcPr>
            <w:tcW w:w="1404" w:type="dxa"/>
            <w:vAlign w:val="top"/>
          </w:tcPr>
          <w:p w14:paraId="5ABDFA01" w14:textId="77777777" w:rsidR="00C323FB" w:rsidRPr="00A519BC" w:rsidRDefault="00C323FB" w:rsidP="00DF6CBC">
            <w:pPr>
              <w:pStyle w:val="Tabele"/>
              <w:jc w:val="right"/>
              <w:rPr>
                <w:color w:val="auto"/>
                <w:szCs w:val="16"/>
              </w:rPr>
            </w:pPr>
            <w:r w:rsidRPr="00A519BC">
              <w:rPr>
                <w:color w:val="auto"/>
              </w:rPr>
              <w:t xml:space="preserve">-33 </w:t>
            </w:r>
          </w:p>
        </w:tc>
        <w:tc>
          <w:tcPr>
            <w:tcW w:w="1405" w:type="dxa"/>
            <w:vAlign w:val="top"/>
          </w:tcPr>
          <w:p w14:paraId="452CCFA8" w14:textId="77777777" w:rsidR="00C323FB" w:rsidRPr="00A519BC" w:rsidRDefault="00C323FB" w:rsidP="00DF6CBC">
            <w:pPr>
              <w:pStyle w:val="Tabele"/>
              <w:jc w:val="right"/>
              <w:rPr>
                <w:color w:val="auto"/>
                <w:szCs w:val="16"/>
              </w:rPr>
            </w:pPr>
            <w:r w:rsidRPr="00A519BC">
              <w:rPr>
                <w:color w:val="auto"/>
              </w:rPr>
              <w:t xml:space="preserve">-0,0 </w:t>
            </w:r>
          </w:p>
        </w:tc>
        <w:tc>
          <w:tcPr>
            <w:tcW w:w="1404" w:type="dxa"/>
            <w:vAlign w:val="top"/>
          </w:tcPr>
          <w:p w14:paraId="63272AF5" w14:textId="77777777" w:rsidR="00C323FB" w:rsidRPr="00A519BC" w:rsidRDefault="00C323FB" w:rsidP="00DF6CBC">
            <w:pPr>
              <w:pStyle w:val="Tabele"/>
              <w:jc w:val="right"/>
              <w:rPr>
                <w:color w:val="auto"/>
                <w:szCs w:val="16"/>
              </w:rPr>
            </w:pPr>
            <w:r w:rsidRPr="00A519BC">
              <w:rPr>
                <w:color w:val="auto"/>
              </w:rPr>
              <w:t xml:space="preserve">-0,1 </w:t>
            </w:r>
          </w:p>
        </w:tc>
        <w:tc>
          <w:tcPr>
            <w:tcW w:w="1232" w:type="dxa"/>
            <w:vAlign w:val="top"/>
          </w:tcPr>
          <w:p w14:paraId="70A7EB6B" w14:textId="77777777" w:rsidR="00C323FB" w:rsidRPr="00A519BC" w:rsidRDefault="00C323FB" w:rsidP="00DF6CBC">
            <w:pPr>
              <w:pStyle w:val="Tabele"/>
              <w:jc w:val="right"/>
              <w:rPr>
                <w:color w:val="auto"/>
                <w:szCs w:val="16"/>
              </w:rPr>
            </w:pPr>
            <w:r w:rsidRPr="00A519BC">
              <w:rPr>
                <w:color w:val="auto"/>
              </w:rPr>
              <w:t xml:space="preserve">-47 </w:t>
            </w:r>
          </w:p>
        </w:tc>
        <w:tc>
          <w:tcPr>
            <w:tcW w:w="1122" w:type="dxa"/>
            <w:vAlign w:val="top"/>
          </w:tcPr>
          <w:p w14:paraId="74FF4FB8" w14:textId="77777777" w:rsidR="00C323FB" w:rsidRPr="00A519BC" w:rsidRDefault="00C323FB" w:rsidP="00DF6CBC">
            <w:pPr>
              <w:pStyle w:val="Tabele"/>
              <w:jc w:val="right"/>
              <w:rPr>
                <w:rFonts w:cs="Calibri"/>
                <w:color w:val="auto"/>
                <w:szCs w:val="16"/>
              </w:rPr>
            </w:pPr>
            <w:r w:rsidRPr="00A519BC">
              <w:rPr>
                <w:color w:val="auto"/>
              </w:rPr>
              <w:t xml:space="preserve">-1 382 </w:t>
            </w:r>
          </w:p>
        </w:tc>
      </w:tr>
      <w:tr w:rsidR="00C323FB" w:rsidRPr="0030044C" w14:paraId="4E2F62BF" w14:textId="77777777" w:rsidTr="00DF6CBC">
        <w:tc>
          <w:tcPr>
            <w:tcW w:w="905" w:type="dxa"/>
            <w:vMerge/>
          </w:tcPr>
          <w:p w14:paraId="48019C24" w14:textId="77777777" w:rsidR="00C323FB" w:rsidRPr="00A519BC" w:rsidRDefault="00C323FB" w:rsidP="00DF6CBC">
            <w:pPr>
              <w:pStyle w:val="Tabele"/>
              <w:rPr>
                <w:color w:val="auto"/>
                <w:sz w:val="14"/>
                <w:szCs w:val="14"/>
              </w:rPr>
            </w:pPr>
          </w:p>
        </w:tc>
        <w:tc>
          <w:tcPr>
            <w:tcW w:w="631" w:type="dxa"/>
          </w:tcPr>
          <w:p w14:paraId="00CFFDBB" w14:textId="77777777" w:rsidR="00C323FB" w:rsidRPr="00A519BC" w:rsidRDefault="00C323FB" w:rsidP="00DF6CBC">
            <w:pPr>
              <w:pStyle w:val="Tabele"/>
              <w:rPr>
                <w:color w:val="auto"/>
                <w:sz w:val="14"/>
                <w:szCs w:val="14"/>
              </w:rPr>
            </w:pPr>
            <w:r w:rsidRPr="00A519BC">
              <w:rPr>
                <w:color w:val="auto"/>
                <w:sz w:val="14"/>
                <w:szCs w:val="14"/>
              </w:rPr>
              <w:t>2035</w:t>
            </w:r>
          </w:p>
        </w:tc>
        <w:tc>
          <w:tcPr>
            <w:tcW w:w="959" w:type="dxa"/>
            <w:vAlign w:val="bottom"/>
          </w:tcPr>
          <w:p w14:paraId="4645960C" w14:textId="77777777" w:rsidR="00C323FB" w:rsidRPr="00A519BC" w:rsidRDefault="00C323FB" w:rsidP="00DF6CBC">
            <w:pPr>
              <w:pStyle w:val="Tabele"/>
              <w:jc w:val="right"/>
              <w:rPr>
                <w:rFonts w:cs="Calibri"/>
                <w:color w:val="auto"/>
                <w:szCs w:val="16"/>
              </w:rPr>
            </w:pPr>
            <w:r w:rsidRPr="00A519BC">
              <w:rPr>
                <w:rFonts w:cs="Calibri"/>
                <w:color w:val="auto"/>
                <w:szCs w:val="16"/>
              </w:rPr>
              <w:t>0,12</w:t>
            </w:r>
          </w:p>
        </w:tc>
        <w:tc>
          <w:tcPr>
            <w:tcW w:w="1404" w:type="dxa"/>
            <w:vAlign w:val="top"/>
          </w:tcPr>
          <w:p w14:paraId="769A1D27" w14:textId="77777777" w:rsidR="00C323FB" w:rsidRPr="00A519BC" w:rsidRDefault="00C323FB" w:rsidP="00DF6CBC">
            <w:pPr>
              <w:pStyle w:val="Tabele"/>
              <w:jc w:val="right"/>
              <w:rPr>
                <w:color w:val="auto"/>
                <w:szCs w:val="16"/>
              </w:rPr>
            </w:pPr>
            <w:r w:rsidRPr="00A519BC">
              <w:rPr>
                <w:color w:val="auto"/>
              </w:rPr>
              <w:t xml:space="preserve"> 355 </w:t>
            </w:r>
          </w:p>
        </w:tc>
        <w:tc>
          <w:tcPr>
            <w:tcW w:w="1405" w:type="dxa"/>
            <w:vAlign w:val="top"/>
          </w:tcPr>
          <w:p w14:paraId="115D61D3" w14:textId="77777777" w:rsidR="00C323FB" w:rsidRPr="00A519BC" w:rsidRDefault="00C323FB" w:rsidP="00DF6CBC">
            <w:pPr>
              <w:pStyle w:val="Tabele"/>
              <w:jc w:val="right"/>
              <w:rPr>
                <w:color w:val="auto"/>
                <w:szCs w:val="16"/>
              </w:rPr>
            </w:pPr>
            <w:r w:rsidRPr="00A519BC">
              <w:rPr>
                <w:color w:val="auto"/>
              </w:rPr>
              <w:t xml:space="preserve"> 0,1 </w:t>
            </w:r>
          </w:p>
        </w:tc>
        <w:tc>
          <w:tcPr>
            <w:tcW w:w="1404" w:type="dxa"/>
            <w:vAlign w:val="top"/>
          </w:tcPr>
          <w:p w14:paraId="467E8A7C" w14:textId="77777777" w:rsidR="00C323FB" w:rsidRPr="00A519BC" w:rsidRDefault="00C323FB" w:rsidP="00DF6CBC">
            <w:pPr>
              <w:pStyle w:val="Tabele"/>
              <w:jc w:val="right"/>
              <w:rPr>
                <w:color w:val="auto"/>
                <w:szCs w:val="16"/>
              </w:rPr>
            </w:pPr>
            <w:r w:rsidRPr="00A519BC">
              <w:rPr>
                <w:color w:val="auto"/>
              </w:rPr>
              <w:t xml:space="preserve"> 1,5 </w:t>
            </w:r>
          </w:p>
        </w:tc>
        <w:tc>
          <w:tcPr>
            <w:tcW w:w="1232" w:type="dxa"/>
            <w:vAlign w:val="top"/>
          </w:tcPr>
          <w:p w14:paraId="7F937EAD" w14:textId="77777777" w:rsidR="00C323FB" w:rsidRPr="00A519BC" w:rsidRDefault="00C323FB" w:rsidP="00DF6CBC">
            <w:pPr>
              <w:pStyle w:val="Tabele"/>
              <w:jc w:val="right"/>
              <w:rPr>
                <w:color w:val="auto"/>
                <w:szCs w:val="16"/>
              </w:rPr>
            </w:pPr>
            <w:r w:rsidRPr="00A519BC">
              <w:rPr>
                <w:color w:val="auto"/>
              </w:rPr>
              <w:t xml:space="preserve"> 572 </w:t>
            </w:r>
          </w:p>
        </w:tc>
        <w:tc>
          <w:tcPr>
            <w:tcW w:w="1122" w:type="dxa"/>
            <w:vAlign w:val="top"/>
          </w:tcPr>
          <w:p w14:paraId="586FA590" w14:textId="77777777" w:rsidR="00C323FB" w:rsidRPr="00A519BC" w:rsidRDefault="00C323FB" w:rsidP="00DF6CBC">
            <w:pPr>
              <w:pStyle w:val="Tabele"/>
              <w:jc w:val="right"/>
              <w:rPr>
                <w:rFonts w:cs="Calibri"/>
                <w:color w:val="auto"/>
                <w:szCs w:val="16"/>
              </w:rPr>
            </w:pPr>
            <w:r w:rsidRPr="00A519BC">
              <w:rPr>
                <w:color w:val="auto"/>
              </w:rPr>
              <w:t xml:space="preserve"> 16 697 </w:t>
            </w:r>
          </w:p>
        </w:tc>
      </w:tr>
      <w:tr w:rsidR="00C323FB" w:rsidRPr="0030044C" w14:paraId="57E2498A" w14:textId="77777777" w:rsidTr="00DF6CBC">
        <w:tc>
          <w:tcPr>
            <w:tcW w:w="905" w:type="dxa"/>
            <w:vMerge/>
          </w:tcPr>
          <w:p w14:paraId="0AEC26A3" w14:textId="77777777" w:rsidR="00C323FB" w:rsidRPr="00A519BC" w:rsidRDefault="00C323FB" w:rsidP="00DF6CBC">
            <w:pPr>
              <w:pStyle w:val="Tabele"/>
              <w:rPr>
                <w:color w:val="auto"/>
                <w:sz w:val="14"/>
                <w:szCs w:val="14"/>
              </w:rPr>
            </w:pPr>
          </w:p>
        </w:tc>
        <w:tc>
          <w:tcPr>
            <w:tcW w:w="631" w:type="dxa"/>
          </w:tcPr>
          <w:p w14:paraId="2092E840" w14:textId="77777777" w:rsidR="00C323FB" w:rsidRPr="00A519BC" w:rsidRDefault="00C323FB" w:rsidP="00DF6CBC">
            <w:pPr>
              <w:pStyle w:val="Tabele"/>
              <w:rPr>
                <w:color w:val="auto"/>
                <w:sz w:val="14"/>
                <w:szCs w:val="14"/>
              </w:rPr>
            </w:pPr>
            <w:r w:rsidRPr="00A519BC">
              <w:rPr>
                <w:color w:val="auto"/>
                <w:sz w:val="14"/>
                <w:szCs w:val="14"/>
              </w:rPr>
              <w:t>2040</w:t>
            </w:r>
          </w:p>
        </w:tc>
        <w:tc>
          <w:tcPr>
            <w:tcW w:w="959" w:type="dxa"/>
            <w:vAlign w:val="bottom"/>
          </w:tcPr>
          <w:p w14:paraId="3EE49918" w14:textId="77777777" w:rsidR="00C323FB" w:rsidRPr="00A519BC" w:rsidRDefault="00C323FB" w:rsidP="00DF6CBC">
            <w:pPr>
              <w:pStyle w:val="Tabele"/>
              <w:jc w:val="right"/>
              <w:rPr>
                <w:rFonts w:cs="Calibri"/>
                <w:color w:val="auto"/>
                <w:szCs w:val="16"/>
              </w:rPr>
            </w:pPr>
            <w:r w:rsidRPr="00A519BC">
              <w:rPr>
                <w:rFonts w:cs="Calibri"/>
                <w:color w:val="auto"/>
                <w:szCs w:val="16"/>
              </w:rPr>
              <w:t>0,13</w:t>
            </w:r>
          </w:p>
        </w:tc>
        <w:tc>
          <w:tcPr>
            <w:tcW w:w="1404" w:type="dxa"/>
            <w:vAlign w:val="top"/>
          </w:tcPr>
          <w:p w14:paraId="62D2103F" w14:textId="77777777" w:rsidR="00C323FB" w:rsidRPr="00A519BC" w:rsidRDefault="00C323FB" w:rsidP="00DF6CBC">
            <w:pPr>
              <w:pStyle w:val="Tabele"/>
              <w:jc w:val="right"/>
              <w:rPr>
                <w:color w:val="auto"/>
                <w:szCs w:val="16"/>
              </w:rPr>
            </w:pPr>
            <w:r w:rsidRPr="00A519BC">
              <w:rPr>
                <w:color w:val="auto"/>
              </w:rPr>
              <w:t xml:space="preserve"> 434 </w:t>
            </w:r>
          </w:p>
        </w:tc>
        <w:tc>
          <w:tcPr>
            <w:tcW w:w="1405" w:type="dxa"/>
            <w:vAlign w:val="top"/>
          </w:tcPr>
          <w:p w14:paraId="2FC63B9F" w14:textId="77777777" w:rsidR="00C323FB" w:rsidRPr="00A519BC" w:rsidRDefault="00C323FB" w:rsidP="00DF6CBC">
            <w:pPr>
              <w:pStyle w:val="Tabele"/>
              <w:jc w:val="right"/>
              <w:rPr>
                <w:color w:val="auto"/>
                <w:szCs w:val="16"/>
              </w:rPr>
            </w:pPr>
            <w:r w:rsidRPr="00A519BC">
              <w:rPr>
                <w:color w:val="auto"/>
              </w:rPr>
              <w:t xml:space="preserve"> 0,1 </w:t>
            </w:r>
          </w:p>
        </w:tc>
        <w:tc>
          <w:tcPr>
            <w:tcW w:w="1404" w:type="dxa"/>
            <w:vAlign w:val="top"/>
          </w:tcPr>
          <w:p w14:paraId="62EA0A77" w14:textId="77777777" w:rsidR="00C323FB" w:rsidRPr="00A519BC" w:rsidRDefault="00C323FB" w:rsidP="00DF6CBC">
            <w:pPr>
              <w:pStyle w:val="Tabele"/>
              <w:jc w:val="right"/>
              <w:rPr>
                <w:color w:val="auto"/>
                <w:szCs w:val="16"/>
              </w:rPr>
            </w:pPr>
            <w:r w:rsidRPr="00A519BC">
              <w:rPr>
                <w:color w:val="auto"/>
              </w:rPr>
              <w:t xml:space="preserve"> 1,7 </w:t>
            </w:r>
          </w:p>
        </w:tc>
        <w:tc>
          <w:tcPr>
            <w:tcW w:w="1232" w:type="dxa"/>
            <w:vAlign w:val="top"/>
          </w:tcPr>
          <w:p w14:paraId="47A070EA" w14:textId="77777777" w:rsidR="00C323FB" w:rsidRPr="00A519BC" w:rsidRDefault="00C323FB" w:rsidP="00DF6CBC">
            <w:pPr>
              <w:pStyle w:val="Tabele"/>
              <w:jc w:val="right"/>
              <w:rPr>
                <w:color w:val="auto"/>
                <w:szCs w:val="16"/>
              </w:rPr>
            </w:pPr>
            <w:r w:rsidRPr="00A519BC">
              <w:rPr>
                <w:color w:val="auto"/>
              </w:rPr>
              <w:t xml:space="preserve"> 620 </w:t>
            </w:r>
          </w:p>
        </w:tc>
        <w:tc>
          <w:tcPr>
            <w:tcW w:w="1122" w:type="dxa"/>
            <w:vAlign w:val="top"/>
          </w:tcPr>
          <w:p w14:paraId="71189A3F" w14:textId="77777777" w:rsidR="00C323FB" w:rsidRPr="00A519BC" w:rsidRDefault="00C323FB" w:rsidP="00DF6CBC">
            <w:pPr>
              <w:pStyle w:val="Tabele"/>
              <w:jc w:val="right"/>
              <w:rPr>
                <w:rFonts w:cs="Calibri"/>
                <w:color w:val="auto"/>
                <w:szCs w:val="16"/>
              </w:rPr>
            </w:pPr>
            <w:r w:rsidRPr="00A519BC">
              <w:rPr>
                <w:color w:val="auto"/>
              </w:rPr>
              <w:t xml:space="preserve"> 18 099 </w:t>
            </w:r>
          </w:p>
        </w:tc>
      </w:tr>
    </w:tbl>
    <w:p w14:paraId="76058879" w14:textId="77777777" w:rsidR="00C323FB" w:rsidRPr="00551D6C" w:rsidRDefault="00C323FB" w:rsidP="00C323FB">
      <w:pPr>
        <w:pStyle w:val="adnotacje"/>
      </w:pPr>
      <w:r w:rsidRPr="00551D6C">
        <w:t>* Liczba utraconych lat życia z powodu śmierci w pierwszym roku obserwacji, dla każdej grupy wiekowej w wyniku skrócenia oczekiwanego życia z powodu zanieczyszczeń powietrza</w:t>
      </w:r>
    </w:p>
    <w:p w14:paraId="5B0F0C4D" w14:textId="2711C072" w:rsidR="00237571" w:rsidRDefault="00C323FB" w:rsidP="00FA091E">
      <w:pPr>
        <w:rPr>
          <w:rFonts w:cstheme="minorHAnsi"/>
        </w:rPr>
      </w:pPr>
      <w:r w:rsidRPr="00A519BC">
        <w:rPr>
          <w:i/>
          <w:iCs/>
          <w:color w:val="44546A" w:themeColor="text2"/>
          <w:sz w:val="18"/>
          <w:szCs w:val="18"/>
        </w:rPr>
        <w:t>Źródło</w:t>
      </w:r>
      <w:r w:rsidRPr="00D96CC6">
        <w:t xml:space="preserve">: </w:t>
      </w:r>
      <w:r w:rsidRPr="00A519BC">
        <w:rPr>
          <w:i/>
          <w:iCs/>
          <w:color w:val="44546A" w:themeColor="text2"/>
          <w:sz w:val="18"/>
          <w:szCs w:val="18"/>
        </w:rPr>
        <w:t>IOŚ-</w:t>
      </w:r>
      <w:r w:rsidR="00A519BC" w:rsidRPr="00A519BC">
        <w:rPr>
          <w:i/>
          <w:iCs/>
          <w:color w:val="44546A" w:themeColor="text2"/>
          <w:sz w:val="18"/>
          <w:szCs w:val="18"/>
        </w:rPr>
        <w:t>PIB</w:t>
      </w:r>
    </w:p>
    <w:p w14:paraId="5C6895DF" w14:textId="77777777" w:rsidR="00C323FB" w:rsidRDefault="00C323FB" w:rsidP="00FA091E">
      <w:pPr>
        <w:rPr>
          <w:rFonts w:cstheme="minorHAnsi"/>
        </w:rPr>
      </w:pPr>
    </w:p>
    <w:p w14:paraId="20E9F34C" w14:textId="758650F0" w:rsidR="001F4346" w:rsidRDefault="001F4346" w:rsidP="001F4346">
      <w:pPr>
        <w:rPr>
          <w:rFonts w:cstheme="minorHAnsi"/>
          <w:color w:val="000000"/>
        </w:rPr>
      </w:pPr>
      <w:r w:rsidRPr="004D1F95">
        <w:rPr>
          <w:rFonts w:cstheme="minorHAnsi"/>
        </w:rPr>
        <w:t xml:space="preserve">W scenariuszu WEM, liczba przedwczesnych zgonów spowodowanych długookresowym narażeniem na pył PM2,5 wynosi </w:t>
      </w:r>
      <w:r w:rsidRPr="004D1F95">
        <w:rPr>
          <w:rFonts w:cstheme="minorHAnsi"/>
          <w:color w:val="000000"/>
        </w:rPr>
        <w:t>57</w:t>
      </w:r>
      <w:r>
        <w:rPr>
          <w:rFonts w:cstheme="minorHAnsi"/>
          <w:color w:val="000000"/>
        </w:rPr>
        <w:t> </w:t>
      </w:r>
      <w:r w:rsidRPr="004D1F95">
        <w:rPr>
          <w:rFonts w:cstheme="minorHAnsi"/>
          <w:color w:val="000000"/>
        </w:rPr>
        <w:t xml:space="preserve">107 </w:t>
      </w:r>
      <w:r w:rsidRPr="004D1F95">
        <w:rPr>
          <w:rFonts w:cstheme="minorHAnsi"/>
        </w:rPr>
        <w:t xml:space="preserve">dla </w:t>
      </w:r>
      <w:r w:rsidR="00A16CDB">
        <w:rPr>
          <w:rFonts w:cstheme="minorHAnsi"/>
        </w:rPr>
        <w:t>2020 r.</w:t>
      </w:r>
      <w:r w:rsidRPr="004D1F95">
        <w:rPr>
          <w:rFonts w:cstheme="minorHAnsi"/>
        </w:rPr>
        <w:t xml:space="preserve">, </w:t>
      </w:r>
      <w:r w:rsidRPr="00D46BE7">
        <w:rPr>
          <w:rFonts w:cs="Calibri"/>
          <w:color w:val="000000"/>
          <w:szCs w:val="16"/>
        </w:rPr>
        <w:t>43</w:t>
      </w:r>
      <w:r>
        <w:rPr>
          <w:rFonts w:cs="Calibri"/>
          <w:color w:val="000000"/>
          <w:szCs w:val="16"/>
        </w:rPr>
        <w:t> </w:t>
      </w:r>
      <w:r w:rsidRPr="00D46BE7">
        <w:rPr>
          <w:rFonts w:cs="Calibri"/>
          <w:color w:val="000000"/>
          <w:szCs w:val="16"/>
        </w:rPr>
        <w:t xml:space="preserve">183 </w:t>
      </w:r>
      <w:r w:rsidRPr="004D1F95">
        <w:rPr>
          <w:rFonts w:cstheme="minorHAnsi"/>
        </w:rPr>
        <w:t xml:space="preserve">dla </w:t>
      </w:r>
      <w:r w:rsidR="00F128CB">
        <w:rPr>
          <w:rFonts w:cstheme="minorHAnsi"/>
        </w:rPr>
        <w:t>2030 r.</w:t>
      </w:r>
      <w:r>
        <w:rPr>
          <w:rFonts w:cstheme="minorHAnsi"/>
        </w:rPr>
        <w:t xml:space="preserve">, co stanowi spadek o 24,4% w stosunku do </w:t>
      </w:r>
      <w:r w:rsidR="00A16CDB">
        <w:rPr>
          <w:rFonts w:cstheme="minorHAnsi"/>
        </w:rPr>
        <w:t>2020 r.</w:t>
      </w:r>
      <w:r w:rsidRPr="004D1F95">
        <w:rPr>
          <w:rFonts w:cstheme="minorHAnsi"/>
        </w:rPr>
        <w:t xml:space="preserve"> oraz </w:t>
      </w:r>
      <w:r w:rsidR="00A427DE" w:rsidRPr="001B5D62">
        <w:rPr>
          <w:rFonts w:cstheme="minorHAnsi"/>
        </w:rPr>
        <w:t xml:space="preserve">38 072 </w:t>
      </w:r>
      <w:r w:rsidRPr="001B5D62">
        <w:rPr>
          <w:rFonts w:cstheme="minorHAnsi"/>
          <w:color w:val="000000"/>
        </w:rPr>
        <w:t xml:space="preserve">dla </w:t>
      </w:r>
      <w:r w:rsidR="00F128CB">
        <w:rPr>
          <w:rFonts w:cstheme="minorHAnsi"/>
          <w:color w:val="000000"/>
        </w:rPr>
        <w:t>2040 r.</w:t>
      </w:r>
      <w:r w:rsidRPr="001B5D62">
        <w:rPr>
          <w:rFonts w:cstheme="minorHAnsi"/>
          <w:color w:val="000000"/>
        </w:rPr>
        <w:t xml:space="preserve"> (spadek o </w:t>
      </w:r>
      <w:r w:rsidR="00FA57F1">
        <w:rPr>
          <w:rFonts w:cstheme="minorHAnsi"/>
          <w:color w:val="000000"/>
        </w:rPr>
        <w:t>33</w:t>
      </w:r>
      <w:r w:rsidRPr="001B5D62">
        <w:rPr>
          <w:rFonts w:cstheme="minorHAnsi"/>
          <w:color w:val="000000"/>
        </w:rPr>
        <w:t>%</w:t>
      </w:r>
      <w:r>
        <w:rPr>
          <w:rFonts w:cstheme="minorHAnsi"/>
          <w:color w:val="000000"/>
        </w:rPr>
        <w:t xml:space="preserve"> w stosunku do </w:t>
      </w:r>
      <w:r w:rsidR="00A16CDB">
        <w:rPr>
          <w:rFonts w:cstheme="minorHAnsi"/>
          <w:color w:val="000000"/>
        </w:rPr>
        <w:t>2020 r.</w:t>
      </w:r>
      <w:r>
        <w:rPr>
          <w:rFonts w:cstheme="minorHAnsi"/>
          <w:color w:val="000000"/>
        </w:rPr>
        <w:t>)</w:t>
      </w:r>
      <w:r w:rsidRPr="004D1F95">
        <w:rPr>
          <w:rFonts w:cstheme="minorHAnsi"/>
          <w:color w:val="000000"/>
        </w:rPr>
        <w:t>.</w:t>
      </w:r>
      <w:r>
        <w:rPr>
          <w:rFonts w:cstheme="minorHAnsi"/>
          <w:color w:val="000000"/>
        </w:rPr>
        <w:t xml:space="preserve"> </w:t>
      </w:r>
    </w:p>
    <w:p w14:paraId="4A277E27" w14:textId="5D2EBA71" w:rsidR="001F4346" w:rsidRDefault="001F4346" w:rsidP="001F4346">
      <w:pPr>
        <w:rPr>
          <w:rFonts w:cstheme="minorHAnsi"/>
          <w:color w:val="000000"/>
        </w:rPr>
      </w:pPr>
      <w:r>
        <w:rPr>
          <w:rFonts w:cstheme="minorHAnsi"/>
          <w:color w:val="000000"/>
        </w:rPr>
        <w:t xml:space="preserve">W scenariuszu WAM </w:t>
      </w:r>
      <w:r w:rsidRPr="004D1F95">
        <w:rPr>
          <w:rFonts w:cstheme="minorHAnsi"/>
        </w:rPr>
        <w:t xml:space="preserve">liczba przedwczesnych zgonów </w:t>
      </w:r>
      <w:r>
        <w:rPr>
          <w:rFonts w:cstheme="minorHAnsi"/>
          <w:color w:val="000000"/>
        </w:rPr>
        <w:t xml:space="preserve">dla </w:t>
      </w:r>
      <w:r w:rsidR="00F128CB">
        <w:rPr>
          <w:rFonts w:cstheme="minorHAnsi"/>
          <w:color w:val="000000"/>
        </w:rPr>
        <w:t>2030 r.</w:t>
      </w:r>
      <w:r>
        <w:rPr>
          <w:rFonts w:cstheme="minorHAnsi"/>
          <w:color w:val="000000"/>
        </w:rPr>
        <w:t xml:space="preserve"> wynosi 43 216, co stanowi spadek o 24,3% w stosunku do </w:t>
      </w:r>
      <w:r w:rsidR="00A16CDB">
        <w:rPr>
          <w:rFonts w:cstheme="minorHAnsi"/>
          <w:color w:val="000000"/>
        </w:rPr>
        <w:t>2020 r.</w:t>
      </w:r>
      <w:r>
        <w:rPr>
          <w:rFonts w:cstheme="minorHAnsi"/>
          <w:color w:val="000000"/>
        </w:rPr>
        <w:t xml:space="preserve"> oraz</w:t>
      </w:r>
      <w:r w:rsidR="002A532C">
        <w:rPr>
          <w:rFonts w:cstheme="minorHAnsi"/>
          <w:color w:val="000000"/>
        </w:rPr>
        <w:t xml:space="preserve"> </w:t>
      </w:r>
      <w:r w:rsidR="00D12DDC" w:rsidRPr="00B74905">
        <w:rPr>
          <w:rFonts w:cstheme="minorHAnsi"/>
          <w:color w:val="000000"/>
        </w:rPr>
        <w:t xml:space="preserve">37 638 </w:t>
      </w:r>
      <w:r w:rsidRPr="00B74905">
        <w:rPr>
          <w:rFonts w:cstheme="minorHAnsi"/>
          <w:color w:val="000000"/>
        </w:rPr>
        <w:t xml:space="preserve">dla </w:t>
      </w:r>
      <w:r w:rsidR="00F128CB">
        <w:rPr>
          <w:rFonts w:cstheme="minorHAnsi"/>
          <w:color w:val="000000"/>
        </w:rPr>
        <w:t>2040 r.</w:t>
      </w:r>
      <w:r w:rsidRPr="00B74905">
        <w:rPr>
          <w:rFonts w:cstheme="minorHAnsi"/>
          <w:color w:val="000000"/>
        </w:rPr>
        <w:t xml:space="preserve">, co stanowi spadek o </w:t>
      </w:r>
      <w:r w:rsidR="00B74905" w:rsidRPr="00B74905">
        <w:rPr>
          <w:rFonts w:cstheme="minorHAnsi"/>
          <w:color w:val="000000"/>
        </w:rPr>
        <w:t>34</w:t>
      </w:r>
      <w:r w:rsidRPr="00B74905">
        <w:rPr>
          <w:rFonts w:cstheme="minorHAnsi"/>
          <w:color w:val="000000"/>
        </w:rPr>
        <w:t>%</w:t>
      </w:r>
      <w:r>
        <w:rPr>
          <w:rFonts w:cstheme="minorHAnsi"/>
          <w:color w:val="000000"/>
        </w:rPr>
        <w:t xml:space="preserve"> w stosunku do </w:t>
      </w:r>
      <w:r w:rsidR="00A16CDB">
        <w:rPr>
          <w:rFonts w:cstheme="minorHAnsi"/>
          <w:color w:val="000000"/>
        </w:rPr>
        <w:t>2020 r.</w:t>
      </w:r>
      <w:r>
        <w:rPr>
          <w:rFonts w:cstheme="minorHAnsi"/>
          <w:color w:val="000000"/>
        </w:rPr>
        <w:t xml:space="preserve"> </w:t>
      </w:r>
    </w:p>
    <w:p w14:paraId="681F8C4F" w14:textId="454F6FDF" w:rsidR="001F4346" w:rsidRPr="004D1F95" w:rsidRDefault="001F4346" w:rsidP="001F4346">
      <w:pPr>
        <w:rPr>
          <w:rFonts w:cstheme="minorHAnsi"/>
        </w:rPr>
      </w:pPr>
      <w:r>
        <w:rPr>
          <w:rFonts w:cstheme="minorHAnsi"/>
        </w:rPr>
        <w:t xml:space="preserve">Zarówno w </w:t>
      </w:r>
      <w:r w:rsidRPr="00F306DA">
        <w:rPr>
          <w:rFonts w:cstheme="minorHAnsi"/>
        </w:rPr>
        <w:t xml:space="preserve">scenariuszu WEM </w:t>
      </w:r>
      <w:r>
        <w:rPr>
          <w:rFonts w:cstheme="minorHAnsi"/>
        </w:rPr>
        <w:t xml:space="preserve">jak i WAM </w:t>
      </w:r>
      <w:r w:rsidRPr="00F306DA">
        <w:rPr>
          <w:rFonts w:cstheme="minorHAnsi"/>
        </w:rPr>
        <w:t xml:space="preserve">liczba przedwczesnych zgonów </w:t>
      </w:r>
      <w:r>
        <w:rPr>
          <w:rFonts w:cstheme="minorHAnsi"/>
        </w:rPr>
        <w:t xml:space="preserve">oraz liczba utraconych lat życia </w:t>
      </w:r>
      <w:r w:rsidRPr="00F306DA">
        <w:rPr>
          <w:rFonts w:cstheme="minorHAnsi"/>
        </w:rPr>
        <w:t xml:space="preserve">stopniowo </w:t>
      </w:r>
      <w:r>
        <w:rPr>
          <w:rFonts w:cstheme="minorHAnsi"/>
        </w:rPr>
        <w:t>maleje, przy czym dynamika zmian w początkowym okresie prognozy jest wyższa. Wskazuje to na skuteczność planowanych do w</w:t>
      </w:r>
      <w:r w:rsidRPr="004D1F95">
        <w:rPr>
          <w:rFonts w:cstheme="minorHAnsi"/>
        </w:rPr>
        <w:t>drożenie polityk i środków</w:t>
      </w:r>
      <w:r>
        <w:rPr>
          <w:rFonts w:cstheme="minorHAnsi"/>
        </w:rPr>
        <w:t xml:space="preserve"> zmierzających do redukcji emisji, a w konsekwencji do poprawy jakości powietrza. </w:t>
      </w:r>
      <w:r w:rsidRPr="00A343D2">
        <w:rPr>
          <w:rFonts w:cstheme="minorHAnsi"/>
        </w:rPr>
        <w:t>Porównując liczby przedwczesnych zgonów z</w:t>
      </w:r>
      <w:r>
        <w:rPr>
          <w:rFonts w:cstheme="minorHAnsi"/>
        </w:rPr>
        <w:t> </w:t>
      </w:r>
      <w:r w:rsidRPr="00A343D2">
        <w:rPr>
          <w:rFonts w:cstheme="minorHAnsi"/>
        </w:rPr>
        <w:t>pierwszego roku i po 10 latach, można uzyskać wgląd w długoterminowy wpływ działań na poprawę jakości powietrza</w:t>
      </w:r>
      <w:r>
        <w:rPr>
          <w:rFonts w:cstheme="minorHAnsi"/>
        </w:rPr>
        <w:t>.</w:t>
      </w:r>
    </w:p>
    <w:p w14:paraId="1D56B35B" w14:textId="77777777" w:rsidR="001F4346" w:rsidRPr="004D1F95" w:rsidRDefault="001F4346" w:rsidP="001F4346">
      <w:pPr>
        <w:rPr>
          <w:rFonts w:cstheme="minorHAnsi"/>
        </w:rPr>
      </w:pPr>
      <w:r w:rsidRPr="004D1F95">
        <w:rPr>
          <w:rFonts w:cstheme="minorHAnsi"/>
        </w:rPr>
        <w:t xml:space="preserve">Analiza wpływu polityk i środków zaplanowanych w ramach scenariusza WEM i WAM na poszczególne komponenty środowiska wraz ze wskazaniem oddziaływań skumulowanych </w:t>
      </w:r>
      <w:r>
        <w:rPr>
          <w:rFonts w:cstheme="minorHAnsi"/>
        </w:rPr>
        <w:t>została</w:t>
      </w:r>
      <w:r w:rsidRPr="004D1F95">
        <w:rPr>
          <w:rFonts w:cstheme="minorHAnsi"/>
        </w:rPr>
        <w:t xml:space="preserve"> wykonana na etapie opracowania prognozy oddziaływania na środowisko. Zgodnie z wymaganiami prawa krajowego i</w:t>
      </w:r>
      <w:r>
        <w:rPr>
          <w:rFonts w:cstheme="minorHAnsi"/>
        </w:rPr>
        <w:t> </w:t>
      </w:r>
      <w:r w:rsidRPr="004D1F95">
        <w:rPr>
          <w:rFonts w:cstheme="minorHAnsi"/>
        </w:rPr>
        <w:t xml:space="preserve">unijnego, na tym etapie </w:t>
      </w:r>
      <w:r>
        <w:rPr>
          <w:rFonts w:cstheme="minorHAnsi"/>
        </w:rPr>
        <w:t>została</w:t>
      </w:r>
      <w:r w:rsidRPr="004D1F95">
        <w:rPr>
          <w:rFonts w:cstheme="minorHAnsi"/>
        </w:rPr>
        <w:t xml:space="preserve"> również przeprowadzona ocena spójności aKPEiK z politykami i</w:t>
      </w:r>
      <w:r>
        <w:rPr>
          <w:rFonts w:cstheme="minorHAnsi"/>
        </w:rPr>
        <w:t> </w:t>
      </w:r>
      <w:r w:rsidRPr="004D1F95">
        <w:rPr>
          <w:rFonts w:cstheme="minorHAnsi"/>
        </w:rPr>
        <w:t>strategiami UE oraz p</w:t>
      </w:r>
      <w:r>
        <w:rPr>
          <w:rFonts w:cstheme="minorHAnsi"/>
        </w:rPr>
        <w:t>lanami i strategiami krajowymi.</w:t>
      </w:r>
    </w:p>
    <w:p w14:paraId="5B312210" w14:textId="2AC9CAAE" w:rsidR="005C4144" w:rsidRPr="000E3731" w:rsidRDefault="005903C6" w:rsidP="00332A31">
      <w:pPr>
        <w:pStyle w:val="Nagwek2"/>
        <w:spacing w:before="600"/>
      </w:pPr>
      <w:bookmarkStart w:id="744" w:name="_Toc202966928"/>
      <w:r>
        <w:t>Czynniki ryzyka</w:t>
      </w:r>
      <w:r w:rsidR="00840065">
        <w:t xml:space="preserve"> w procesach inwestycyjnych</w:t>
      </w:r>
      <w:bookmarkEnd w:id="744"/>
    </w:p>
    <w:p w14:paraId="02C0A65D" w14:textId="77777777" w:rsidR="00571586" w:rsidRDefault="00571586" w:rsidP="00332A31">
      <w:pPr>
        <w:pStyle w:val="Nagwek3"/>
        <w:spacing w:before="480"/>
      </w:pPr>
      <w:bookmarkStart w:id="745" w:name="_Toc171587342"/>
      <w:bookmarkStart w:id="746" w:name="_Toc174710929"/>
      <w:bookmarkStart w:id="747" w:name="_Toc202966929"/>
      <w:bookmarkStart w:id="748" w:name="_Toc171587359"/>
      <w:r>
        <w:t>Czynniki ryzyka finansowego</w:t>
      </w:r>
      <w:bookmarkEnd w:id="745"/>
      <w:bookmarkEnd w:id="746"/>
      <w:bookmarkEnd w:id="747"/>
    </w:p>
    <w:p w14:paraId="242CDAD3" w14:textId="77777777" w:rsidR="00BA7305" w:rsidRPr="004A0C96" w:rsidRDefault="00BA7305" w:rsidP="00BA7305">
      <w:r w:rsidRPr="004A0C96">
        <w:t>Do podstawowych zagrożeń</w:t>
      </w:r>
      <w:r>
        <w:t xml:space="preserve"> w </w:t>
      </w:r>
      <w:r w:rsidRPr="004A0C96">
        <w:t>zakresie finansowania inwestycji</w:t>
      </w:r>
      <w:r>
        <w:t xml:space="preserve"> w </w:t>
      </w:r>
      <w:r w:rsidRPr="004A0C96">
        <w:t xml:space="preserve">energetyce należy, utworzenie </w:t>
      </w:r>
      <w:r>
        <w:t>1 </w:t>
      </w:r>
      <w:r w:rsidRPr="004A0C96">
        <w:t>kwietnia 2021 r</w:t>
      </w:r>
      <w:r>
        <w:t>.</w:t>
      </w:r>
      <w:r w:rsidRPr="004A0C96">
        <w:t xml:space="preserve"> przez 43 instytucje finansowe</w:t>
      </w:r>
      <w:r>
        <w:t xml:space="preserve"> z </w:t>
      </w:r>
      <w:r w:rsidRPr="004A0C96">
        <w:t>całego świata Net Zero Banking Alliance (NZBA), który skupia ponad 100 członków, reprezentujących 40 krajów</w:t>
      </w:r>
      <w:r>
        <w:t xml:space="preserve"> i </w:t>
      </w:r>
      <w:r w:rsidRPr="004A0C96">
        <w:t>ponad 43% globalnych aktywów bankowych. Zrzeszone</w:t>
      </w:r>
      <w:r>
        <w:t xml:space="preserve"> w </w:t>
      </w:r>
      <w:r w:rsidRPr="004A0C96">
        <w:t>organizacji instytucje zobowiązały się do osiągnięcia zerowej emisji netto gazów cieplarnianych</w:t>
      </w:r>
      <w:r>
        <w:t xml:space="preserve"> w </w:t>
      </w:r>
      <w:r w:rsidRPr="004A0C96">
        <w:t>ich portfelach kredytowych do 2050 r. Instytucje finansowe przy stosowaniu Standardu Net Zero maj</w:t>
      </w:r>
      <w:r>
        <w:t>ą</w:t>
      </w:r>
      <w:r w:rsidRPr="004A0C96">
        <w:t xml:space="preserve"> stosować następujące kryteria:</w:t>
      </w:r>
    </w:p>
    <w:p w14:paraId="67D3A7CB" w14:textId="77777777" w:rsidR="00BA7305" w:rsidRPr="004A0C96" w:rsidRDefault="00BA7305" w:rsidP="00BA7305">
      <w:pPr>
        <w:pStyle w:val="wyliczenie"/>
      </w:pPr>
      <w:r w:rsidRPr="004A0C96">
        <w:t>działalność operacyjna</w:t>
      </w:r>
      <w:r>
        <w:t xml:space="preserve"> i </w:t>
      </w:r>
      <w:r w:rsidRPr="004A0C96">
        <w:t>finansowa generująca emisję gazów cieplarnianych powinna być zgodna</w:t>
      </w:r>
      <w:r>
        <w:t xml:space="preserve"> z </w:t>
      </w:r>
      <w:r w:rsidRPr="004A0C96">
        <w:t>globalnym celem net zero,</w:t>
      </w:r>
    </w:p>
    <w:p w14:paraId="3DD8FA1A" w14:textId="77777777" w:rsidR="00BA7305" w:rsidRPr="004A0C96" w:rsidRDefault="00BA7305" w:rsidP="00BA7305">
      <w:pPr>
        <w:pStyle w:val="wyliczenie"/>
      </w:pPr>
      <w:r w:rsidRPr="004A0C96">
        <w:t>instytucje finansowe powinny dostosować działalność dostarczania finansowania nie tylko do celu net zero, ale także do celów zrównoważonego rozwoju,</w:t>
      </w:r>
    </w:p>
    <w:p w14:paraId="47FF8BBD" w14:textId="77777777" w:rsidR="00BA7305" w:rsidRPr="004A0C96" w:rsidRDefault="00BA7305" w:rsidP="00BA7305">
      <w:pPr>
        <w:pStyle w:val="wyliczenie"/>
      </w:pPr>
      <w:r w:rsidRPr="004A0C96">
        <w:t>instytucje finansowe powinny wykorzystać swoje umiejętności wpływania</w:t>
      </w:r>
      <w:r>
        <w:t xml:space="preserve"> i </w:t>
      </w:r>
      <w:r w:rsidRPr="004A0C96">
        <w:t>angażowania przedsiębiorstw niefinansowych</w:t>
      </w:r>
      <w:r>
        <w:t xml:space="preserve"> i </w:t>
      </w:r>
      <w:r w:rsidRPr="004A0C96">
        <w:t>skoncentrować się na finansowaniu działań, wspierających ogólnogospodarczą dekarbonizację</w:t>
      </w:r>
      <w:r>
        <w:t xml:space="preserve"> i </w:t>
      </w:r>
      <w:r w:rsidRPr="004A0C96">
        <w:t>zieloną transformację,</w:t>
      </w:r>
    </w:p>
    <w:p w14:paraId="31A0B8C3" w14:textId="402886E0" w:rsidR="00BA7305" w:rsidRPr="004A0C96" w:rsidRDefault="00BA7305" w:rsidP="00BA7305">
      <w:r w:rsidRPr="004A0C96">
        <w:t>Wprowadzane aktualnie plany przejścia banków na nowe podejście do finansowania inwestycji między innymi</w:t>
      </w:r>
      <w:r>
        <w:t xml:space="preserve"> w </w:t>
      </w:r>
      <w:r w:rsidRPr="004A0C96">
        <w:t>sektorze energetycznym, będą miały znaczący wpływ na inwestycje przedsiębiorstw ukierunkowując je, na zrównoważone rozwiązania</w:t>
      </w:r>
      <w:r>
        <w:t xml:space="preserve"> i </w:t>
      </w:r>
      <w:r w:rsidRPr="004A0C96">
        <w:t xml:space="preserve">technologie, które są nieodzownym warunkiem osiągnięcia przez Unię celów klimatycznych do </w:t>
      </w:r>
      <w:r w:rsidR="00F128CB">
        <w:t>2030 r.</w:t>
      </w:r>
      <w:r>
        <w:t xml:space="preserve"> i </w:t>
      </w:r>
      <w:r w:rsidRPr="004A0C96">
        <w:t>2050. Zapewnienie odpowiedniego poziomu tych inwestycji będzie szczególnym wyzwaniem</w:t>
      </w:r>
      <w:r>
        <w:t xml:space="preserve"> w </w:t>
      </w:r>
      <w:r w:rsidRPr="004A0C96">
        <w:t>krótkim okresie</w:t>
      </w:r>
      <w:r>
        <w:t xml:space="preserve"> w </w:t>
      </w:r>
      <w:r w:rsidRPr="004A0C96">
        <w:t>kontekście wyższych stóp procentowych</w:t>
      </w:r>
      <w:r>
        <w:t xml:space="preserve"> i </w:t>
      </w:r>
      <w:r w:rsidRPr="004A0C96">
        <w:t>możliwej recesji.</w:t>
      </w:r>
    </w:p>
    <w:p w14:paraId="7DDCE847" w14:textId="77777777" w:rsidR="00BA7305" w:rsidRPr="004A0C96" w:rsidRDefault="00BA7305" w:rsidP="00BA7305">
      <w:r w:rsidRPr="004A0C96">
        <w:t>Europejski Plan Działania dla Finansowania Zrównoważonego Wzrostu</w:t>
      </w:r>
      <w:r>
        <w:t xml:space="preserve"> z </w:t>
      </w:r>
      <w:r w:rsidRPr="004A0C96">
        <w:t>2018</w:t>
      </w:r>
      <w:r>
        <w:t> r.</w:t>
      </w:r>
      <w:r w:rsidRPr="004A0C96">
        <w:t xml:space="preserve"> oraz przyjęta niedawno przez Komisję Europejską Odnowiona Strategia Zrównoważonych Finansów wprowadziły szereg nowych regulacji wobec uczestników polskiego rynku kapitałowego. Obowiązki takie jak: raportowanie informacji na temat wpływu na środowisko, strategii dekarbonizacyjnych</w:t>
      </w:r>
      <w:r>
        <w:t xml:space="preserve"> i </w:t>
      </w:r>
      <w:r w:rsidRPr="004A0C96">
        <w:t>potencjalnych ryzyk klimatycznych oznaczają nie tylko dodatkowe koszty, ale także spore zmiany organizacyjne</w:t>
      </w:r>
      <w:r>
        <w:t xml:space="preserve"> w </w:t>
      </w:r>
      <w:r w:rsidRPr="004A0C96">
        <w:t>instytucjach finansowych</w:t>
      </w:r>
      <w:r>
        <w:t xml:space="preserve"> i </w:t>
      </w:r>
      <w:r w:rsidRPr="004A0C96">
        <w:t xml:space="preserve">spółkach publicznych. Wyzwania nie ominą również Ministerstwa Finansów, bo państwowy budżet także będzie musiał dostosować się do zasad europejskiej Taksonomii. </w:t>
      </w:r>
    </w:p>
    <w:p w14:paraId="1EC7EB06" w14:textId="014F5445" w:rsidR="00BA7305" w:rsidRPr="004A0C96" w:rsidRDefault="00BA7305" w:rsidP="00BA7305">
      <w:r w:rsidRPr="004A0C96">
        <w:t xml:space="preserve">Podstawowym instrumentem jaki będzie wpływał na podejmowanie decyzji co do </w:t>
      </w:r>
      <w:r w:rsidR="00BA7556" w:rsidRPr="004A0C96">
        <w:t>finansowani</w:t>
      </w:r>
      <w:r w:rsidR="00BA7556">
        <w:t>a</w:t>
      </w:r>
      <w:r w:rsidR="00BA7556" w:rsidRPr="004A0C96">
        <w:t xml:space="preserve"> </w:t>
      </w:r>
      <w:r w:rsidRPr="004A0C96">
        <w:t>inwestycji</w:t>
      </w:r>
      <w:r>
        <w:t xml:space="preserve"> w </w:t>
      </w:r>
      <w:r w:rsidRPr="004A0C96">
        <w:t xml:space="preserve">energetyce będzie taksonomia, która jest potoczną nazwą rozporządzenia </w:t>
      </w:r>
      <w:r w:rsidR="00697CB8">
        <w:t>PE i Rady</w:t>
      </w:r>
      <w:r w:rsidRPr="004A0C96">
        <w:t xml:space="preserve"> (UE) 2020/852</w:t>
      </w:r>
      <w:r>
        <w:t xml:space="preserve"> z </w:t>
      </w:r>
      <w:r w:rsidRPr="004A0C96">
        <w:t>dnia 18 czerwca 2020</w:t>
      </w:r>
      <w:r>
        <w:t> r. w </w:t>
      </w:r>
      <w:r w:rsidRPr="004A0C96">
        <w:t>sprawie ustanowienia ram ułatwiających zrównoważone inwestycje oraz zmiany rozporządzenia (UE) 2019/2088. Stanowi ona zbiór ogólnoeuropejskich zasad</w:t>
      </w:r>
      <w:r>
        <w:t xml:space="preserve"> i </w:t>
      </w:r>
      <w:r w:rsidRPr="004A0C96">
        <w:t>technicznych wskaźników, które odzwierciedlają cele</w:t>
      </w:r>
      <w:r>
        <w:t xml:space="preserve"> i </w:t>
      </w:r>
      <w:r w:rsidRPr="004A0C96">
        <w:t xml:space="preserve">ambicje klimatyczne UE dla poszczególnych obszarów gospodarki. Rozporządzenie określa nadrzędne warunki, które musi spełnić dana działalność gospodarcza, aby mogła zostać zakwalifikowana jako działalność zrównoważona środowiskowo. Warunki, które pozwalają uznać daną działalność za zrównoważoną są następujące: </w:t>
      </w:r>
    </w:p>
    <w:p w14:paraId="76900923" w14:textId="77777777" w:rsidR="00BA7305" w:rsidRPr="004A0C96" w:rsidRDefault="00BA7305" w:rsidP="00BA7305">
      <w:pPr>
        <w:pStyle w:val="wyliczenie"/>
      </w:pPr>
      <w:r w:rsidRPr="004A0C96">
        <w:t>prowadzona działalność przyczynia się znacząco do realizacji co najmniej jednego</w:t>
      </w:r>
      <w:r>
        <w:t xml:space="preserve"> z </w:t>
      </w:r>
      <w:r w:rsidRPr="004A0C96">
        <w:t>sześciu celów środowiskowych;</w:t>
      </w:r>
    </w:p>
    <w:p w14:paraId="0EBB7A41" w14:textId="77777777" w:rsidR="00BA7305" w:rsidRPr="004A0C96" w:rsidRDefault="00BA7305" w:rsidP="00BA7305">
      <w:pPr>
        <w:pStyle w:val="wyliczenie"/>
      </w:pPr>
      <w:r w:rsidRPr="004A0C96">
        <w:t>nie szkodzi znacząco żadnemu</w:t>
      </w:r>
      <w:r>
        <w:t xml:space="preserve"> z </w:t>
      </w:r>
      <w:r w:rsidRPr="004A0C96">
        <w:t>celów środowiskowych;</w:t>
      </w:r>
    </w:p>
    <w:p w14:paraId="494DD0E0" w14:textId="77777777" w:rsidR="00BA7305" w:rsidRPr="004A0C96" w:rsidRDefault="00BA7305" w:rsidP="00BA7305">
      <w:pPr>
        <w:pStyle w:val="wyliczenie"/>
      </w:pPr>
      <w:r w:rsidRPr="004A0C96">
        <w:t>działalność odbywa się zgodnie</w:t>
      </w:r>
      <w:r>
        <w:t xml:space="preserve"> z </w:t>
      </w:r>
      <w:r w:rsidRPr="004A0C96">
        <w:t>minimalnymi gwarancjami;</w:t>
      </w:r>
    </w:p>
    <w:p w14:paraId="4953033B" w14:textId="77777777" w:rsidR="00BA7305" w:rsidRPr="004A0C96" w:rsidRDefault="00BA7305" w:rsidP="00BA7305">
      <w:pPr>
        <w:pStyle w:val="wyliczenie"/>
      </w:pPr>
      <w:r w:rsidRPr="004A0C96">
        <w:t>prowadzona działalność spełnia techniczne kryteria kwalifikacji ustanowione przez Komisję.</w:t>
      </w:r>
    </w:p>
    <w:p w14:paraId="10AFD0D1" w14:textId="77777777" w:rsidR="00BA7305" w:rsidRPr="004A0C96" w:rsidRDefault="00BA7305" w:rsidP="00BA7305">
      <w:r w:rsidRPr="004A0C96">
        <w:t>Warto przypomnieć ze główne cele środowiskowe uznane przez Unie Europejską to:</w:t>
      </w:r>
    </w:p>
    <w:p w14:paraId="43EAA85C" w14:textId="77777777" w:rsidR="00BA7305" w:rsidRPr="004A0C96" w:rsidRDefault="00BA7305" w:rsidP="00BA7305">
      <w:pPr>
        <w:pStyle w:val="Akapitzlist"/>
        <w:numPr>
          <w:ilvl w:val="0"/>
          <w:numId w:val="6"/>
        </w:numPr>
      </w:pPr>
      <w:r w:rsidRPr="004A0C96">
        <w:t>łagodzenie zmiany klimatu;</w:t>
      </w:r>
    </w:p>
    <w:p w14:paraId="1C49A15F" w14:textId="77777777" w:rsidR="00BA7305" w:rsidRPr="004A0C96" w:rsidRDefault="00BA7305" w:rsidP="00BA7305">
      <w:pPr>
        <w:pStyle w:val="Akapitzlist"/>
        <w:numPr>
          <w:ilvl w:val="0"/>
          <w:numId w:val="6"/>
        </w:numPr>
      </w:pPr>
      <w:r w:rsidRPr="004A0C96">
        <w:t>adaptacja do zmian klimatu;</w:t>
      </w:r>
    </w:p>
    <w:p w14:paraId="4FC08C15" w14:textId="77777777" w:rsidR="00BA7305" w:rsidRPr="004A0C96" w:rsidRDefault="00BA7305" w:rsidP="00BA7305">
      <w:pPr>
        <w:pStyle w:val="Akapitzlist"/>
        <w:numPr>
          <w:ilvl w:val="0"/>
          <w:numId w:val="6"/>
        </w:numPr>
      </w:pPr>
      <w:r w:rsidRPr="004A0C96">
        <w:t>zrównoważone użytkowanie</w:t>
      </w:r>
      <w:r>
        <w:t xml:space="preserve"> i </w:t>
      </w:r>
      <w:r w:rsidRPr="004A0C96">
        <w:t>ochrona zasobów wodnych</w:t>
      </w:r>
      <w:r>
        <w:t xml:space="preserve"> i </w:t>
      </w:r>
      <w:r w:rsidRPr="004A0C96">
        <w:t>morskich;</w:t>
      </w:r>
    </w:p>
    <w:p w14:paraId="28CAE1EA" w14:textId="77777777" w:rsidR="00BA7305" w:rsidRPr="004A0C96" w:rsidRDefault="00BA7305" w:rsidP="00BA7305">
      <w:pPr>
        <w:pStyle w:val="Akapitzlist"/>
        <w:numPr>
          <w:ilvl w:val="0"/>
          <w:numId w:val="6"/>
        </w:numPr>
      </w:pPr>
      <w:r w:rsidRPr="004A0C96">
        <w:t>przejście na gospodarkę</w:t>
      </w:r>
      <w:r>
        <w:t xml:space="preserve"> o </w:t>
      </w:r>
      <w:r w:rsidRPr="004A0C96">
        <w:t>obiegu zamkniętym;</w:t>
      </w:r>
    </w:p>
    <w:p w14:paraId="0A499126" w14:textId="77777777" w:rsidR="00BA7305" w:rsidRPr="004A0C96" w:rsidRDefault="00BA7305" w:rsidP="00BA7305">
      <w:pPr>
        <w:pStyle w:val="Akapitzlist"/>
        <w:numPr>
          <w:ilvl w:val="0"/>
          <w:numId w:val="6"/>
        </w:numPr>
      </w:pPr>
      <w:r w:rsidRPr="004A0C96">
        <w:t>zapobieganie zanieczyszczeniom</w:t>
      </w:r>
      <w:r>
        <w:t xml:space="preserve"> i </w:t>
      </w:r>
      <w:r w:rsidRPr="004A0C96">
        <w:t>ich kontrola;</w:t>
      </w:r>
    </w:p>
    <w:p w14:paraId="435208B1" w14:textId="77777777" w:rsidR="00BA7305" w:rsidRPr="004A0C96" w:rsidRDefault="00BA7305" w:rsidP="00BA7305">
      <w:pPr>
        <w:pStyle w:val="Akapitzlist"/>
        <w:numPr>
          <w:ilvl w:val="0"/>
          <w:numId w:val="6"/>
        </w:numPr>
      </w:pPr>
      <w:r w:rsidRPr="004A0C96">
        <w:t>ochrona</w:t>
      </w:r>
      <w:r>
        <w:t xml:space="preserve"> i </w:t>
      </w:r>
      <w:r w:rsidRPr="004A0C96">
        <w:t>odbudowa różnorodności biologicznej</w:t>
      </w:r>
      <w:r>
        <w:t xml:space="preserve"> i </w:t>
      </w:r>
      <w:r w:rsidRPr="004A0C96">
        <w:t>ekosystemów.</w:t>
      </w:r>
    </w:p>
    <w:p w14:paraId="3D243662" w14:textId="4D3CA333" w:rsidR="00BA7305" w:rsidRPr="004A0C96" w:rsidRDefault="00BA7305" w:rsidP="00BA7305">
      <w:r w:rsidRPr="004A0C96">
        <w:t>Rozporządzenie</w:t>
      </w:r>
      <w:r>
        <w:t xml:space="preserve"> w </w:t>
      </w:r>
      <w:r w:rsidRPr="004A0C96">
        <w:t>zakresie Taksonomii zostało opublikowane</w:t>
      </w:r>
      <w:r>
        <w:t xml:space="preserve"> w </w:t>
      </w:r>
      <w:r w:rsidRPr="004A0C96">
        <w:t>Dzienniku Urzędowym Unii Europejskiej</w:t>
      </w:r>
      <w:r>
        <w:t xml:space="preserve"> w </w:t>
      </w:r>
      <w:r w:rsidRPr="004A0C96">
        <w:t>dniu 22 czerwca 2020 r</w:t>
      </w:r>
      <w:r>
        <w:t>. i </w:t>
      </w:r>
      <w:r w:rsidRPr="004A0C96">
        <w:t>weszło</w:t>
      </w:r>
      <w:r>
        <w:t xml:space="preserve"> w </w:t>
      </w:r>
      <w:r w:rsidRPr="004A0C96">
        <w:t>życie</w:t>
      </w:r>
      <w:r>
        <w:t xml:space="preserve"> w </w:t>
      </w:r>
      <w:r w:rsidRPr="004A0C96">
        <w:t>dniu 12 lipca 2020 r</w:t>
      </w:r>
      <w:r>
        <w:t>.</w:t>
      </w:r>
      <w:r w:rsidRPr="004A0C96">
        <w:t xml:space="preserve"> Należy pamiętać, że</w:t>
      </w:r>
      <w:r>
        <w:t xml:space="preserve"> w </w:t>
      </w:r>
      <w:r w:rsidRPr="004A0C96">
        <w:t>odniesieniu do rozporządzeń</w:t>
      </w:r>
      <w:r>
        <w:t xml:space="preserve"> i </w:t>
      </w:r>
      <w:r w:rsidRPr="004A0C96">
        <w:t>decyzji poszczególne kraje UE zobowiązane są do ich stosowania</w:t>
      </w:r>
      <w:r>
        <w:t xml:space="preserve"> z </w:t>
      </w:r>
      <w:r w:rsidRPr="004A0C96">
        <w:t>dniem wejścia</w:t>
      </w:r>
      <w:r>
        <w:t xml:space="preserve"> w </w:t>
      </w:r>
      <w:r w:rsidRPr="004A0C96">
        <w:t>życie. Obowiązek stosowania kryteriów wynikających</w:t>
      </w:r>
      <w:r>
        <w:t xml:space="preserve"> z </w:t>
      </w:r>
      <w:r w:rsidRPr="004A0C96">
        <w:t>Taksonomii oraz wskazywania ich</w:t>
      </w:r>
      <w:r>
        <w:t xml:space="preserve"> w </w:t>
      </w:r>
      <w:r w:rsidRPr="004A0C96">
        <w:t>sprawozdaniach niefinansowych</w:t>
      </w:r>
      <w:r>
        <w:t xml:space="preserve"> i </w:t>
      </w:r>
      <w:r w:rsidRPr="004A0C96">
        <w:t>informacjach</w:t>
      </w:r>
      <w:r>
        <w:t xml:space="preserve"> o </w:t>
      </w:r>
      <w:r w:rsidRPr="004A0C96">
        <w:t>produktach dla celów środowiskowych wszedł</w:t>
      </w:r>
      <w:r>
        <w:t xml:space="preserve"> w </w:t>
      </w:r>
      <w:r w:rsidRPr="004A0C96">
        <w:t>życie</w:t>
      </w:r>
      <w:r>
        <w:t xml:space="preserve"> z </w:t>
      </w:r>
      <w:r w:rsidRPr="004A0C96">
        <w:t>dniem 1</w:t>
      </w:r>
      <w:r w:rsidR="00B6518A">
        <w:t> </w:t>
      </w:r>
      <w:r w:rsidRPr="004A0C96">
        <w:t>stycznia 2022</w:t>
      </w:r>
      <w:r>
        <w:t> r. W </w:t>
      </w:r>
      <w:r w:rsidRPr="004A0C96">
        <w:t>momencie wejścia</w:t>
      </w:r>
      <w:r>
        <w:t xml:space="preserve"> w </w:t>
      </w:r>
      <w:r w:rsidRPr="004A0C96">
        <w:t>życie rozporządzenia obowiązek raportowania informacji niefinansowych na podstawie Taksonomii UE zostały zobowiązane podmioty, które publikują oświadczenia na temat informacji niefinansowych lub sprawozdania na temat informacji niefinansowych, zgodnie</w:t>
      </w:r>
      <w:r>
        <w:t xml:space="preserve"> z </w:t>
      </w:r>
      <w:r w:rsidRPr="004A0C96">
        <w:t>wymogami ustawy</w:t>
      </w:r>
      <w:r>
        <w:t xml:space="preserve"> z </w:t>
      </w:r>
      <w:r w:rsidRPr="004A0C96">
        <w:t>dnia 29 września 1994</w:t>
      </w:r>
      <w:r>
        <w:t> r. o </w:t>
      </w:r>
      <w:r w:rsidRPr="004A0C96">
        <w:t>rachunkowości. Przepisy ustawy</w:t>
      </w:r>
      <w:r>
        <w:t xml:space="preserve"> o </w:t>
      </w:r>
      <w:r w:rsidRPr="004A0C96">
        <w:t xml:space="preserve">rachunkowości dotyczące raportowania niefinansowego są implementacją dyrektywy </w:t>
      </w:r>
      <w:r w:rsidR="00697CB8">
        <w:t>PE i Rady</w:t>
      </w:r>
      <w:r w:rsidRPr="004A0C96">
        <w:t xml:space="preserve"> 2014/95/UE</w:t>
      </w:r>
      <w:r>
        <w:t xml:space="preserve"> z </w:t>
      </w:r>
      <w:r w:rsidRPr="004A0C96">
        <w:t>dnia 22 października 2014</w:t>
      </w:r>
      <w:r>
        <w:t> r. w </w:t>
      </w:r>
      <w:r w:rsidRPr="004A0C96">
        <w:t>odniesieniu do ujawniania informacji niefinansowych</w:t>
      </w:r>
      <w:r>
        <w:t xml:space="preserve"> i </w:t>
      </w:r>
      <w:r w:rsidRPr="004A0C96">
        <w:t>informacji dotyczących różnorodności przez niektóre duże jednostki oraz grupy (NFRD). Obowiązki sprawozdawcze wprowadzone</w:t>
      </w:r>
      <w:r>
        <w:t xml:space="preserve"> w </w:t>
      </w:r>
      <w:r w:rsidRPr="004A0C96">
        <w:t>taksonomii dotyczą:</w:t>
      </w:r>
    </w:p>
    <w:p w14:paraId="31471D67" w14:textId="155648ED" w:rsidR="00BA7305" w:rsidRPr="004A0C96" w:rsidRDefault="00BA7305" w:rsidP="00BA7305">
      <w:pPr>
        <w:pStyle w:val="wyliczenie"/>
      </w:pPr>
      <w:r w:rsidRPr="004A0C96">
        <w:t>podmiotów</w:t>
      </w:r>
      <w:r>
        <w:t xml:space="preserve"> z </w:t>
      </w:r>
      <w:r w:rsidRPr="004A0C96">
        <w:t>sektora finansowego (objętych SF</w:t>
      </w:r>
      <w:r w:rsidR="00C140FF">
        <w:t>DR</w:t>
      </w:r>
      <w:r w:rsidRPr="004A0C96">
        <w:t xml:space="preserve"> – rozporządzenie (UE)2019/2088</w:t>
      </w:r>
      <w:r>
        <w:t xml:space="preserve"> w </w:t>
      </w:r>
      <w:r w:rsidRPr="004A0C96">
        <w:t>sprawie ujawniania informacji związanych ze zrównoważonym rozwojem</w:t>
      </w:r>
      <w:r>
        <w:t xml:space="preserve"> w </w:t>
      </w:r>
      <w:r w:rsidRPr="004A0C96">
        <w:t>sektorze usług finansowych), które oferują „zielone” produkty</w:t>
      </w:r>
      <w:r>
        <w:t xml:space="preserve"> i </w:t>
      </w:r>
      <w:r w:rsidRPr="004A0C96">
        <w:t>usługi finansowe – podmioty te zobowiązane są do ujawnienia,</w:t>
      </w:r>
      <w:r>
        <w:t xml:space="preserve"> w </w:t>
      </w:r>
      <w:r w:rsidRPr="004A0C96">
        <w:t>jakim stopniu działalność przyczynia się do realizacji wskazanych celów oraz jaki procent inwestycji (obrót, CAPEX lub OPEX) jest zgodny</w:t>
      </w:r>
      <w:r>
        <w:t xml:space="preserve"> z </w:t>
      </w:r>
      <w:r w:rsidRPr="004A0C96">
        <w:t xml:space="preserve">jej wymogami; </w:t>
      </w:r>
    </w:p>
    <w:p w14:paraId="103FBD0E" w14:textId="77777777" w:rsidR="00BA7305" w:rsidRPr="004A0C96" w:rsidRDefault="00BA7305" w:rsidP="00BA7305">
      <w:pPr>
        <w:pStyle w:val="wyliczenie"/>
      </w:pPr>
      <w:r w:rsidRPr="004A0C96">
        <w:t>spółki giełdowe (objęte NFDR – dyrektywą 2014/95/UE</w:t>
      </w:r>
      <w:r>
        <w:t xml:space="preserve"> o </w:t>
      </w:r>
      <w:r w:rsidRPr="004A0C96">
        <w:t>ujawnianiu informacji niefinansowych) – wskazane jednostki zainteresowania publicznego zobowiązane są do ujawnienia, czy</w:t>
      </w:r>
      <w:r>
        <w:t xml:space="preserve"> i w </w:t>
      </w:r>
      <w:r w:rsidRPr="004A0C96">
        <w:t>jakim stopniu ich działalność biznesowa jest zgodna</w:t>
      </w:r>
      <w:r>
        <w:t xml:space="preserve"> z </w:t>
      </w:r>
      <w:r w:rsidRPr="004A0C96">
        <w:t>założeniami Taksonomii poprzez wskazanie, jaki odsetek obrotu, CAPEX-u</w:t>
      </w:r>
      <w:r>
        <w:t xml:space="preserve"> i </w:t>
      </w:r>
      <w:r w:rsidRPr="004A0C96">
        <w:t>OPEX-u</w:t>
      </w:r>
      <w:r>
        <w:t xml:space="preserve"> w </w:t>
      </w:r>
      <w:r w:rsidRPr="004A0C96">
        <w:t>danym roku przyczynił się do realizacji celów wyszczególnionych</w:t>
      </w:r>
      <w:r>
        <w:t xml:space="preserve"> w </w:t>
      </w:r>
      <w:r w:rsidRPr="004A0C96">
        <w:t>Taksonomii.</w:t>
      </w:r>
    </w:p>
    <w:p w14:paraId="7844843F" w14:textId="77777777" w:rsidR="00BA7305" w:rsidRPr="004A0C96" w:rsidRDefault="00BA7305" w:rsidP="00BA7305">
      <w:r w:rsidRPr="004A0C96">
        <w:t>Zgodnie</w:t>
      </w:r>
      <w:r>
        <w:t xml:space="preserve"> z </w:t>
      </w:r>
      <w:r w:rsidRPr="004A0C96">
        <w:t>harmonogramem wprowadzania obowiązku raportowania informacji</w:t>
      </w:r>
      <w:r>
        <w:t xml:space="preserve"> z </w:t>
      </w:r>
      <w:r w:rsidRPr="004A0C96">
        <w:t>zakresu taksonomii od 1</w:t>
      </w:r>
      <w:r>
        <w:t> </w:t>
      </w:r>
      <w:r w:rsidRPr="004A0C96">
        <w:t>stycznia 2023</w:t>
      </w:r>
      <w:r>
        <w:t> r.</w:t>
      </w:r>
      <w:r w:rsidRPr="004A0C96">
        <w:t xml:space="preserve"> przedsiębiorstwa są zobowiązane do ujawniania wszystkich informacje ilościowych wymaganych przez załączniki do rozporządzenia delegowanego (w tym m.in. udział procentowy działalności gospodarczej zgodnej</w:t>
      </w:r>
      <w:r>
        <w:t xml:space="preserve"> z </w:t>
      </w:r>
      <w:r w:rsidRPr="004A0C96">
        <w:t>Taksonomią – tj. zrównoważonej środowiskowo –</w:t>
      </w:r>
      <w:r>
        <w:t xml:space="preserve"> w </w:t>
      </w:r>
      <w:r w:rsidRPr="004A0C96">
        <w:t>łącznym obrocie, kapitale</w:t>
      </w:r>
      <w:r>
        <w:t xml:space="preserve"> i </w:t>
      </w:r>
      <w:r w:rsidRPr="004A0C96">
        <w:t>wydatkach operacyjnych</w:t>
      </w:r>
      <w:r>
        <w:t xml:space="preserve"> w </w:t>
      </w:r>
      <w:r w:rsidRPr="004A0C96">
        <w:t>wielu przekrojach prezentacyjnych).</w:t>
      </w:r>
    </w:p>
    <w:p w14:paraId="77924DA2" w14:textId="2A4DC3C1" w:rsidR="00BA7305" w:rsidRPr="004A0C96" w:rsidRDefault="00BA7305" w:rsidP="00BA7305">
      <w:r w:rsidRPr="00C37AEC">
        <w:t xml:space="preserve"> </w:t>
      </w:r>
      <w:r>
        <w:t xml:space="preserve">W 2022 r. przyjęte zostało rozporządzenie delegowane 2022/1214 zmieniające rozporządzenie delegowane (UE) 2021/2139 w odniesieniu do działalności gospodarczej w niektórych sektorach energetycznych (tzw. uzupełniający akt delegowany). </w:t>
      </w:r>
      <w:r w:rsidRPr="004A0C96">
        <w:t>Zgodnie</w:t>
      </w:r>
      <w:r>
        <w:t xml:space="preserve"> z </w:t>
      </w:r>
      <w:r w:rsidRPr="004A0C96">
        <w:t>uzupełniającym aktem delegowanym,</w:t>
      </w:r>
      <w:r>
        <w:t xml:space="preserve"> w </w:t>
      </w:r>
      <w:r w:rsidRPr="004A0C96">
        <w:t xml:space="preserve">przypadku gazu ziemnego instalacja gazowa musi: emitować nie więcej niż 270 g </w:t>
      </w:r>
      <w:r>
        <w:t xml:space="preserve">ekwiwalentu </w:t>
      </w:r>
      <w:r w:rsidRPr="004A0C96">
        <w:t>CO</w:t>
      </w:r>
      <w:r w:rsidRPr="00EA1954">
        <w:rPr>
          <w:vertAlign w:val="subscript"/>
        </w:rPr>
        <w:t>2</w:t>
      </w:r>
      <w:r w:rsidRPr="004A0C96">
        <w:t xml:space="preserve"> na 1</w:t>
      </w:r>
      <w:r>
        <w:t> </w:t>
      </w:r>
      <w:r w:rsidRPr="004A0C96">
        <w:t>kWh energii</w:t>
      </w:r>
      <w:r>
        <w:t xml:space="preserve"> lub</w:t>
      </w:r>
      <w:r w:rsidRPr="004A0C96">
        <w:t xml:space="preserve"> emitować nie więcej niż </w:t>
      </w:r>
      <w:r>
        <w:t xml:space="preserve">średnio </w:t>
      </w:r>
      <w:r w:rsidRPr="004A0C96">
        <w:t xml:space="preserve">550 kg </w:t>
      </w:r>
      <w:r>
        <w:t xml:space="preserve">ekwiwalentu </w:t>
      </w:r>
      <w:r w:rsidRPr="004A0C96">
        <w:t>CO</w:t>
      </w:r>
      <w:r w:rsidRPr="00EA1954">
        <w:rPr>
          <w:vertAlign w:val="subscript"/>
        </w:rPr>
        <w:t>2</w:t>
      </w:r>
      <w:r w:rsidRPr="004A0C96">
        <w:t xml:space="preserve"> na 1 kW mocy rocznie </w:t>
      </w:r>
      <w:r>
        <w:t>w</w:t>
      </w:r>
      <w:r w:rsidR="00B6518A">
        <w:t> </w:t>
      </w:r>
      <w:r>
        <w:t xml:space="preserve">ciągu </w:t>
      </w:r>
      <w:r w:rsidRPr="004A0C96">
        <w:t>20 lat</w:t>
      </w:r>
      <w:r>
        <w:t xml:space="preserve"> (emisje bezpośrednie)</w:t>
      </w:r>
      <w:r w:rsidRPr="004A0C96">
        <w:t xml:space="preserve">; </w:t>
      </w:r>
      <w:r>
        <w:t xml:space="preserve">nie posiadać </w:t>
      </w:r>
      <w:r w:rsidRPr="00827B6C">
        <w:t>opłacaln</w:t>
      </w:r>
      <w:r>
        <w:t>ej</w:t>
      </w:r>
      <w:r w:rsidRPr="00827B6C">
        <w:t xml:space="preserve"> i technicznie wykonaln</w:t>
      </w:r>
      <w:r>
        <w:t>ej</w:t>
      </w:r>
      <w:r w:rsidRPr="00827B6C">
        <w:t xml:space="preserve"> alternatyw</w:t>
      </w:r>
      <w:r>
        <w:t>y</w:t>
      </w:r>
      <w:r w:rsidRPr="00827B6C">
        <w:t xml:space="preserve"> odnawialn</w:t>
      </w:r>
      <w:r>
        <w:t>ej dla tej samej mocy; zastępować istniejącą działalność o wyższym wskaźniku emisji, która wykorzystuje stałe lub płynne paliwa kopalne;</w:t>
      </w:r>
      <w:r w:rsidRPr="004A0C96">
        <w:t xml:space="preserve"> mieć moc</w:t>
      </w:r>
      <w:r>
        <w:t xml:space="preserve"> o </w:t>
      </w:r>
      <w:r w:rsidRPr="004A0C96">
        <w:t xml:space="preserve">15% mniejszą od swojej poprzedniczki; </w:t>
      </w:r>
      <w:r>
        <w:t>prowadzić do zmniejszenia emisji względem zastępowanej działalności o co najmniej 55 % na kWh energii wyjściowej; być zaprojektowana tak, by mogła wykorzystywać odnawialne lub niskoemisyjne paliwa gazowe, a przejście na ich pełne wykorzystanie nastąpiło do 31 grudnia 2035 r.;</w:t>
      </w:r>
      <w:r w:rsidRPr="004A0C96">
        <w:t xml:space="preserve"> </w:t>
      </w:r>
      <w:r>
        <w:t xml:space="preserve">otrzymać pozwolenie na budowę </w:t>
      </w:r>
      <w:r w:rsidRPr="004A0C96">
        <w:t xml:space="preserve">przed 31 </w:t>
      </w:r>
      <w:r>
        <w:t>grudnia</w:t>
      </w:r>
      <w:r w:rsidRPr="004A0C96">
        <w:t xml:space="preserve"> 2030</w:t>
      </w:r>
      <w:r>
        <w:t> r.</w:t>
      </w:r>
    </w:p>
    <w:p w14:paraId="42B93DA8" w14:textId="6BC6019A" w:rsidR="00BA7305" w:rsidRPr="004A0C96" w:rsidRDefault="00BA7305" w:rsidP="00BA7305">
      <w:r w:rsidRPr="00EB54A5">
        <w:t>W przypadku energetyki jądrowej</w:t>
      </w:r>
      <w:r>
        <w:t xml:space="preserve"> w </w:t>
      </w:r>
      <w:r w:rsidRPr="00EB54A5">
        <w:t>odniesieniu do przyszłych elektrowni jądrowych wprowadzono warunek uzyskania pozwolenia na budowę do 2045</w:t>
      </w:r>
      <w:r>
        <w:t> r.</w:t>
      </w:r>
      <w:r w:rsidRPr="00EB54A5">
        <w:t xml:space="preserve"> Ponadto, takie inwestycje muszą spełniać wymogi bezpieczeństwa jądrowego</w:t>
      </w:r>
      <w:r>
        <w:t xml:space="preserve"> i </w:t>
      </w:r>
      <w:r w:rsidRPr="00EB54A5">
        <w:t>środowiskowego. Od 2025 r</w:t>
      </w:r>
      <w:r>
        <w:t>.</w:t>
      </w:r>
      <w:r w:rsidRPr="00EB54A5">
        <w:t xml:space="preserve"> musi</w:t>
      </w:r>
      <w:r>
        <w:t xml:space="preserve"> w </w:t>
      </w:r>
      <w:r w:rsidRPr="00EB54A5">
        <w:t>nich być wykorzystywane paliwo odporne na wypadki. Koniecznym będzie również wykazanie, iż odpady</w:t>
      </w:r>
      <w:r>
        <w:t xml:space="preserve"> w </w:t>
      </w:r>
      <w:r w:rsidRPr="00EB54A5">
        <w:t>promieniotwórcze będą właściwie zagospodarowane, tj. bez szkody dla środowiska.</w:t>
      </w:r>
      <w:r>
        <w:t xml:space="preserve"> </w:t>
      </w:r>
      <w:r w:rsidRPr="004A0C96">
        <w:t>Obowiązki raportowania informacji</w:t>
      </w:r>
      <w:r>
        <w:t xml:space="preserve"> z </w:t>
      </w:r>
      <w:r w:rsidRPr="004A0C96">
        <w:t>zakresu ustalonego</w:t>
      </w:r>
      <w:r>
        <w:t xml:space="preserve"> w </w:t>
      </w:r>
      <w:r w:rsidRPr="004A0C96">
        <w:t xml:space="preserve">rozporządzeniu </w:t>
      </w:r>
      <w:r w:rsidR="00697CB8">
        <w:t>PE i Rady</w:t>
      </w:r>
      <w:r w:rsidRPr="004A0C96">
        <w:t xml:space="preserve"> (UE) 2020/852</w:t>
      </w:r>
      <w:r>
        <w:t xml:space="preserve"> z </w:t>
      </w:r>
      <w:r w:rsidRPr="004A0C96">
        <w:t>dnia 18 czerwca 2020</w:t>
      </w:r>
      <w:r>
        <w:t xml:space="preserve"> r.</w:t>
      </w:r>
      <w:r w:rsidRPr="004A0C96">
        <w:t xml:space="preserve"> zostaną</w:t>
      </w:r>
      <w:r>
        <w:t xml:space="preserve"> w </w:t>
      </w:r>
      <w:r w:rsidRPr="004A0C96">
        <w:t>najbliższych latach rozszerzone na znacznie większą liczbę podmiotów:</w:t>
      </w:r>
    </w:p>
    <w:p w14:paraId="577F2EF8" w14:textId="77777777" w:rsidR="00BA7305" w:rsidRPr="004A0C96" w:rsidRDefault="00487FD5" w:rsidP="00BA7305">
      <w:pPr>
        <w:pStyle w:val="wyliczenie"/>
      </w:pPr>
      <w:r>
        <w:t xml:space="preserve">za rok obrotowy </w:t>
      </w:r>
      <w:r w:rsidR="00BA7305" w:rsidRPr="004A0C96">
        <w:t>od 1 stycznia 2024 r</w:t>
      </w:r>
      <w:r w:rsidR="00BA7305">
        <w:t>.</w:t>
      </w:r>
      <w:r w:rsidR="00BA7305" w:rsidRPr="004A0C96">
        <w:t xml:space="preserve"> – obowiązek raportowania dla jednostek podlegających dyrektywie</w:t>
      </w:r>
      <w:r w:rsidR="00BA7305">
        <w:t xml:space="preserve"> w </w:t>
      </w:r>
      <w:r w:rsidR="00BA7305" w:rsidRPr="004A0C96">
        <w:t>sprawie sprawozdawczości niefinansowej (NFRD), które już dziś sporządzają raporty niefinansowe;</w:t>
      </w:r>
    </w:p>
    <w:p w14:paraId="4539D13C" w14:textId="7F86E1C9" w:rsidR="00BA7305" w:rsidRPr="004A0C96" w:rsidRDefault="00487FD5" w:rsidP="00BA7305">
      <w:pPr>
        <w:pStyle w:val="wyliczenie"/>
      </w:pPr>
      <w:r>
        <w:t xml:space="preserve">za rok obrotowy </w:t>
      </w:r>
      <w:r w:rsidR="00BA7305" w:rsidRPr="004A0C96">
        <w:t>od 1 stycznia 202</w:t>
      </w:r>
      <w:r w:rsidR="00216295">
        <w:t>7</w:t>
      </w:r>
      <w:r w:rsidR="00BA7305" w:rsidRPr="004A0C96">
        <w:t xml:space="preserve"> r</w:t>
      </w:r>
      <w:r w:rsidR="00BA7305">
        <w:t>.</w:t>
      </w:r>
      <w:r w:rsidR="00BA7305" w:rsidRPr="004A0C96">
        <w:t xml:space="preserve"> – obowiązek raportowania dla dużych jednostek, które obecnie nie podlegają dyrektywie NFRD;</w:t>
      </w:r>
    </w:p>
    <w:p w14:paraId="561CCF46" w14:textId="15DE072B" w:rsidR="00BA7305" w:rsidRPr="004A0C96" w:rsidRDefault="00487FD5" w:rsidP="00BA7305">
      <w:pPr>
        <w:pStyle w:val="wyliczenie"/>
      </w:pPr>
      <w:r>
        <w:t xml:space="preserve">za rok obrotowy </w:t>
      </w:r>
      <w:r w:rsidR="00BA7305" w:rsidRPr="004A0C96">
        <w:t xml:space="preserve">od </w:t>
      </w:r>
      <w:r>
        <w:t xml:space="preserve">1 stycznia </w:t>
      </w:r>
      <w:r w:rsidR="00BA7305" w:rsidRPr="004A0C96">
        <w:t>202</w:t>
      </w:r>
      <w:r w:rsidR="00216295">
        <w:t>8</w:t>
      </w:r>
      <w:r w:rsidR="00BA7305" w:rsidRPr="004A0C96">
        <w:t xml:space="preserve"> r</w:t>
      </w:r>
      <w:r w:rsidR="00BA7305">
        <w:t>.</w:t>
      </w:r>
      <w:r w:rsidR="00BA7305" w:rsidRPr="004A0C96">
        <w:t xml:space="preserve"> – obowiązek raportowania dla MŚP notowanych na giełdzie oraz małych</w:t>
      </w:r>
      <w:r w:rsidR="00BA7305">
        <w:t xml:space="preserve"> i </w:t>
      </w:r>
      <w:r w:rsidR="00BA7305" w:rsidRPr="004A0C96">
        <w:t>niezłożonych instytucji kredytowych</w:t>
      </w:r>
      <w:r w:rsidR="00BA7305">
        <w:t xml:space="preserve"> i </w:t>
      </w:r>
      <w:r w:rsidR="00BA7305" w:rsidRPr="004A0C96">
        <w:t>wewnętrznych zakładów ubezpieczeń.</w:t>
      </w:r>
    </w:p>
    <w:p w14:paraId="2A48A086" w14:textId="77777777" w:rsidR="00BA7305" w:rsidRPr="004A0C96" w:rsidRDefault="00BA7305" w:rsidP="00BA7305">
      <w:r w:rsidRPr="004A0C96">
        <w:t>W praktyce raportowanie przez przedsiębiorstwa</w:t>
      </w:r>
      <w:r>
        <w:t xml:space="preserve"> w </w:t>
      </w:r>
      <w:r w:rsidRPr="004A0C96">
        <w:t>zakresie taksonomii ma umożliwić instytucjom finansowym,</w:t>
      </w:r>
      <w:r>
        <w:t xml:space="preserve"> w </w:t>
      </w:r>
      <w:r w:rsidRPr="004A0C96">
        <w:t>kredytowanie działalności inwestycyjnej firm, zapewnienie informacji czy dany podmiot lub projekt inwestycyjny spełnia taksonomię lub też nie. Uzyskana informacja będzie miała decydujący wpływ</w:t>
      </w:r>
      <w:r>
        <w:t xml:space="preserve"> </w:t>
      </w:r>
      <w:r w:rsidRPr="004A0C96">
        <w:t>na ocenę poszczególnych przedsięwzięć inwersyjnych. Regulacja dotycząca taksonomii jest skierowana przede wszystkim do sektora finansowego, ale</w:t>
      </w:r>
      <w:r>
        <w:t xml:space="preserve"> </w:t>
      </w:r>
      <w:r w:rsidRPr="004A0C96">
        <w:t>to koncerny energetyczne będą musiały się zmierzyć</w:t>
      </w:r>
      <w:r>
        <w:t xml:space="preserve"> z </w:t>
      </w:r>
      <w:r w:rsidRPr="004A0C96">
        <w:t>nią jako spółki giełdowe</w:t>
      </w:r>
      <w:r>
        <w:t xml:space="preserve"> w </w:t>
      </w:r>
      <w:r w:rsidRPr="004A0C96">
        <w:t>momencie przygotowywania raportów niefinansowych oraz jako inwestorzy poszukujący finansowania na rynku dla nowych bloków energetycznych. Regulacje wprowadzone rozporządzeniem</w:t>
      </w:r>
      <w:r>
        <w:t xml:space="preserve"> o t</w:t>
      </w:r>
      <w:r w:rsidRPr="004A0C96">
        <w:t>aksonomii będą wymagały analizy działalności przedsiębiorstw pod kątem zgodności</w:t>
      </w:r>
      <w:r>
        <w:t xml:space="preserve"> z </w:t>
      </w:r>
      <w:r w:rsidRPr="004A0C96">
        <w:t>taksonomią</w:t>
      </w:r>
      <w:r>
        <w:t xml:space="preserve"> i </w:t>
      </w:r>
      <w:r w:rsidRPr="004A0C96">
        <w:t>wytycznymi, które zawiera ona dla energetyki. Tym samym koncerny energetyczne będą musiały wskazać jaka część obrotów, nakładów kapitałowych</w:t>
      </w:r>
      <w:r>
        <w:t xml:space="preserve"> i w </w:t>
      </w:r>
      <w:r w:rsidRPr="004A0C96">
        <w:t>uzasadnionych przypadkach wydatków operacyjnych jest zgodna</w:t>
      </w:r>
      <w:r>
        <w:t xml:space="preserve"> z </w:t>
      </w:r>
      <w:r w:rsidRPr="004A0C96">
        <w:t>taksonomią.</w:t>
      </w:r>
    </w:p>
    <w:p w14:paraId="49FF0D09" w14:textId="4DE0F0EE" w:rsidR="00B27B0C" w:rsidRDefault="00B27B0C" w:rsidP="00B27B0C">
      <w:pPr>
        <w:pStyle w:val="Nagwek3"/>
      </w:pPr>
      <w:bookmarkStart w:id="749" w:name="_Toc174710930"/>
      <w:bookmarkStart w:id="750" w:name="_Toc178931995"/>
      <w:bookmarkStart w:id="751" w:name="_Toc202966930"/>
      <w:bookmarkStart w:id="752" w:name="_Toc171587364"/>
      <w:bookmarkEnd w:id="748"/>
      <w:r w:rsidRPr="00995179">
        <w:t>Czynniki ryzyka sektorowego, rynkowego lub</w:t>
      </w:r>
      <w:r>
        <w:t xml:space="preserve"> </w:t>
      </w:r>
      <w:r w:rsidRPr="00995179">
        <w:t>regulacyjnego dot. rynków finansowych, bądź bariery</w:t>
      </w:r>
      <w:r>
        <w:t xml:space="preserve"> </w:t>
      </w:r>
      <w:r w:rsidRPr="00995179">
        <w:t>w</w:t>
      </w:r>
      <w:r>
        <w:t> </w:t>
      </w:r>
      <w:r w:rsidRPr="00995179">
        <w:t>kont</w:t>
      </w:r>
      <w:r>
        <w:t>ekście krajowym lub regionalnym</w:t>
      </w:r>
      <w:bookmarkEnd w:id="749"/>
      <w:bookmarkEnd w:id="750"/>
      <w:bookmarkEnd w:id="751"/>
    </w:p>
    <w:p w14:paraId="0EC0DFDB" w14:textId="58A3F7DF" w:rsidR="00F766C1" w:rsidRDefault="00D24E1B" w:rsidP="00B27B0C">
      <w:r>
        <w:t>Czynniki ryzyka określono dla czterech kluczowych sektorów: energetycznego, ciepłowniczego, gazowego oraz paliw ciekłych</w:t>
      </w:r>
    </w:p>
    <w:p w14:paraId="530129D0" w14:textId="77777777" w:rsidR="0017658D" w:rsidRPr="00B74905" w:rsidRDefault="0017658D" w:rsidP="000D2544">
      <w:pPr>
        <w:pStyle w:val="Nagwek4"/>
      </w:pPr>
      <w:bookmarkStart w:id="753" w:name="_Toc171587360"/>
      <w:bookmarkStart w:id="754" w:name="_Toc173478913"/>
      <w:bookmarkStart w:id="755" w:name="_Toc197666320"/>
      <w:r w:rsidRPr="00B74905">
        <w:t>Sektor elektroenergetyczny – ryzyka sektorowe</w:t>
      </w:r>
      <w:bookmarkEnd w:id="753"/>
      <w:bookmarkEnd w:id="754"/>
      <w:bookmarkEnd w:id="755"/>
    </w:p>
    <w:p w14:paraId="6EAE0560" w14:textId="77777777" w:rsidR="002D0F49" w:rsidRDefault="002D0F49" w:rsidP="002D0F49">
      <w:bookmarkStart w:id="756" w:name="_Toc171587361"/>
      <w:bookmarkStart w:id="757" w:name="_Toc173478914"/>
      <w:r>
        <w:t xml:space="preserve">Sektor elektroenergetyczny narażony jest na ryzyka i zagrożenia wynikające ze specyfiki prowadzonej działalności oraz funkcjonowania w określonym otoczeniu rynkowym i regulacyjnym. </w:t>
      </w:r>
    </w:p>
    <w:p w14:paraId="25111489" w14:textId="77777777" w:rsidR="002D0F49" w:rsidRDefault="002D0F49" w:rsidP="002D0F49">
      <w:r>
        <w:t xml:space="preserve">W energetyce zarówno procesy inwestycyjne, jak i czas zwrotu z inwestycji są długie. Dlatego formułowane przez organizacje międzynarodowe, w szczególności Unię Europejską, jak i przez państwo polskie dokumenty strategiczne, regulacje oraz polityka właścicielska państwa są bardzo istotne i mają duży wpływ zarówno na decyzje inwestycyjne przedsiębiorstw energetycznych jak i na skutki tych decyzji. </w:t>
      </w:r>
    </w:p>
    <w:p w14:paraId="1B4D8B89" w14:textId="77777777" w:rsidR="002D0F49" w:rsidRDefault="002D0F49" w:rsidP="002D0F49">
      <w:pPr>
        <w:pStyle w:val="podtytu2"/>
      </w:pPr>
      <w:r>
        <w:t xml:space="preserve">Ryzyko regulacyjne </w:t>
      </w:r>
    </w:p>
    <w:p w14:paraId="08EED05A" w14:textId="045B8FFE" w:rsidR="002D0F49" w:rsidRPr="00F70EA4" w:rsidRDefault="002D0F49" w:rsidP="002D0F49">
      <w:r>
        <w:t>Jednym z istotnych czynników wpływających na rozwój i funkcjonowanie polskiego sektora energetycznego są regulacje pakietu klimatyczno-energetycznego Unii Europejskiej, służącego realizacji celu redukcji emisji gazów cieplarnianych o 55% do 203</w:t>
      </w:r>
      <w:r w:rsidR="00BE2ED8">
        <w:t>0 r.</w:t>
      </w:r>
      <w:r>
        <w:t xml:space="preserve"> oraz pakietu: „Czysta energia dla </w:t>
      </w:r>
      <w:r w:rsidRPr="00F70EA4">
        <w:t>wszystkich Europejczyków”</w:t>
      </w:r>
      <w:r w:rsidRPr="00F70EA4">
        <w:rPr>
          <w:i/>
          <w:iCs/>
        </w:rPr>
        <w:t xml:space="preserve">, </w:t>
      </w:r>
      <w:r w:rsidRPr="00F70EA4">
        <w:t xml:space="preserve">którego celem jest prawna realizacja koncepcji unii energetycznej. Obok wielu szans istnieje także szereg ryzyk wynikających z zaostrzania się norm emisyjnych </w:t>
      </w:r>
      <w:r w:rsidR="00487FD5" w:rsidRPr="00F70EA4">
        <w:t>o</w:t>
      </w:r>
      <w:r w:rsidRPr="00F70EA4">
        <w:t xml:space="preserve">raz zasad funkcjonowania systemu handlu uprawnieniami do emisji EU ETS. </w:t>
      </w:r>
      <w:r w:rsidR="00E54D67" w:rsidRPr="00F70EA4">
        <w:t>Ceny</w:t>
      </w:r>
      <w:r w:rsidR="00236091" w:rsidRPr="00F70EA4">
        <w:t xml:space="preserve"> uprawnień do emisji GHG,</w:t>
      </w:r>
      <w:r w:rsidR="00972BD0" w:rsidRPr="00F70EA4">
        <w:t xml:space="preserve"> wpływają na koszty wytwarzania</w:t>
      </w:r>
      <w:r w:rsidR="00821D6B" w:rsidRPr="00F70EA4">
        <w:t xml:space="preserve"> </w:t>
      </w:r>
      <w:r w:rsidR="00833B46" w:rsidRPr="00F70EA4">
        <w:t>energii w jednostkach opartych na paliwach kopalnych</w:t>
      </w:r>
      <w:r w:rsidR="005C6304" w:rsidRPr="00F70EA4">
        <w:t>.</w:t>
      </w:r>
      <w:r w:rsidR="00FA6CD9" w:rsidRPr="00F70EA4">
        <w:t xml:space="preserve"> </w:t>
      </w:r>
      <w:r w:rsidR="005C6304" w:rsidRPr="00F70EA4">
        <w:t>W</w:t>
      </w:r>
      <w:r w:rsidR="00FA6CD9" w:rsidRPr="00F70EA4">
        <w:t>zrost</w:t>
      </w:r>
      <w:r w:rsidR="005C6304" w:rsidRPr="00F70EA4">
        <w:t xml:space="preserve"> tych cen</w:t>
      </w:r>
      <w:r w:rsidR="00FA6CD9" w:rsidRPr="00F70EA4">
        <w:t xml:space="preserve"> może stanowić </w:t>
      </w:r>
      <w:r w:rsidR="00AC13D5" w:rsidRPr="00F70EA4">
        <w:t>wyzwanie dla przedsiębiorstw energetycznych</w:t>
      </w:r>
      <w:r w:rsidR="00D8461B" w:rsidRPr="00F70EA4">
        <w:t>, tworząc jednocześnie impuls do przyspieszenia transformacji</w:t>
      </w:r>
      <w:r w:rsidR="00821D6B" w:rsidRPr="00F70EA4">
        <w:t xml:space="preserve"> </w:t>
      </w:r>
      <w:r w:rsidR="00D45199" w:rsidRPr="00F70EA4">
        <w:t xml:space="preserve">i inwestycji w nowoczesne, nisko- i zeroemisyjne rozwiązania </w:t>
      </w:r>
      <w:r w:rsidR="00D06E38" w:rsidRPr="00F70EA4">
        <w:t>wytwórcze, magazynowe i</w:t>
      </w:r>
      <w:r w:rsidR="00B6518A">
        <w:t> </w:t>
      </w:r>
      <w:r w:rsidR="00D06E38" w:rsidRPr="00F70EA4">
        <w:t>bilansujące.</w:t>
      </w:r>
      <w:r w:rsidR="00821D6B" w:rsidRPr="00F70EA4">
        <w:t xml:space="preserve"> </w:t>
      </w:r>
    </w:p>
    <w:p w14:paraId="4CBBCE68" w14:textId="587D8432" w:rsidR="002D0F49" w:rsidRDefault="00C17FC9" w:rsidP="002D0F49">
      <w:r w:rsidRPr="00F70EA4">
        <w:t>Inne r</w:t>
      </w:r>
      <w:r w:rsidR="002052D4" w:rsidRPr="00F70EA4">
        <w:t>egulacje</w:t>
      </w:r>
      <w:r w:rsidR="00644C5C" w:rsidRPr="00F70EA4">
        <w:t xml:space="preserve"> </w:t>
      </w:r>
      <w:r w:rsidR="002052D4" w:rsidRPr="00F70EA4">
        <w:t>UE wdrażane w ramach polityki środo</w:t>
      </w:r>
      <w:r w:rsidR="00375EAE" w:rsidRPr="00F70EA4">
        <w:t xml:space="preserve">wiskowej, ukierunkowane na </w:t>
      </w:r>
      <w:r w:rsidRPr="00F70EA4">
        <w:t>ograniczanie</w:t>
      </w:r>
      <w:r w:rsidR="00375EAE" w:rsidRPr="00F70EA4">
        <w:t xml:space="preserve"> emisji zanieczyszczeń</w:t>
      </w:r>
      <w:r w:rsidR="00C74E00" w:rsidRPr="00F70EA4">
        <w:t xml:space="preserve"> i</w:t>
      </w:r>
      <w:r w:rsidR="00524C9B" w:rsidRPr="00F70EA4">
        <w:t xml:space="preserve"> wpływają</w:t>
      </w:r>
      <w:r w:rsidR="00C74E00" w:rsidRPr="00F70EA4">
        <w:t>ce</w:t>
      </w:r>
      <w:r w:rsidR="00524C9B" w:rsidRPr="00F70EA4">
        <w:t xml:space="preserve"> na </w:t>
      </w:r>
      <w:r w:rsidR="00B54C48" w:rsidRPr="00F70EA4">
        <w:t xml:space="preserve">konieczność dostosowania </w:t>
      </w:r>
      <w:r w:rsidR="009B4674" w:rsidRPr="00F70EA4">
        <w:t>sektora energetycznego</w:t>
      </w:r>
      <w:r w:rsidR="00057C2D" w:rsidRPr="00F70EA4">
        <w:t xml:space="preserve"> to również</w:t>
      </w:r>
      <w:r w:rsidRPr="00F70EA4">
        <w:t xml:space="preserve"> </w:t>
      </w:r>
      <w:r w:rsidR="00DE0E89" w:rsidRPr="00F70EA4">
        <w:t>dyrektywa</w:t>
      </w:r>
      <w:r w:rsidRPr="00F70EA4">
        <w:t xml:space="preserve"> </w:t>
      </w:r>
      <w:r w:rsidR="002D0F49" w:rsidRPr="00F70EA4">
        <w:t>IED oraz konkluzje dotyczące najlepszych dostępnych technik w odniesieniu do dużych obiektów energetycznego spalania, zgodnie</w:t>
      </w:r>
      <w:r w:rsidR="002D0F49">
        <w:t xml:space="preserve"> z unijną dyrektywą 2010/75/UE („Konkluzje BAT dla LCP”). Z uwagi na niepewność co do ich brzmienia w ostatecznym kształcie (w szczególności w odniesieniu do rewizji BAT/BREF), są potencjalnie istotnym czynnikiem ryzyka, mogącym przełożyć się na zmianę poziomu wydatków inwestycyjnych w sektorze, kierunku tych wydatków lub nawet rentowności projektów, które po kilku latach budowy mogą zostać uznane za niesprzyjające transformacji energetycznej.</w:t>
      </w:r>
    </w:p>
    <w:p w14:paraId="5BEA5115" w14:textId="77777777" w:rsidR="002D0F49" w:rsidRDefault="002D0F49" w:rsidP="002D0F49">
      <w:r>
        <w:t xml:space="preserve">Przy odpowiednio dużej przepustowości połączeń transgranicznych istotna część popytu krajowego na energię będzie mogła być zaspokojona przez wytwórców, zlokalizowanych poza granicami Polski. Inwestor badający wykonalność projektu inwestycyjnego musi </w:t>
      </w:r>
      <w:r>
        <w:rPr>
          <w:i/>
          <w:iCs/>
        </w:rPr>
        <w:t xml:space="preserve">de facto </w:t>
      </w:r>
      <w:r>
        <w:t>wziąć pod uwagę potencjalne ryzyko, a także strategie i ceny energii elektrycznej, oferowanej przez wytwórców zlokalizowanych poza granicami Polski. Istotną barierą są również nieuregulowane stany prawne, związane z trudnościami w pozyskiwaniu terenów lub dostępu do nich w ramach prowadzenia nowych inwestycji (w szczególności w segmencie dystrybucji).</w:t>
      </w:r>
    </w:p>
    <w:p w14:paraId="473582A6" w14:textId="77777777" w:rsidR="002D0F49" w:rsidRDefault="002D0F49" w:rsidP="002D0F49">
      <w:pPr>
        <w:pStyle w:val="podtytu2"/>
      </w:pPr>
      <w:r w:rsidRPr="00106FED">
        <w:t xml:space="preserve">Ryzyko rynkowe </w:t>
      </w:r>
    </w:p>
    <w:p w14:paraId="6AE1E2FC" w14:textId="77777777" w:rsidR="002D0F49" w:rsidRDefault="002D0F49" w:rsidP="002D0F49">
      <w:r>
        <w:t>Istotnym czynnikiem rynkowym jest niepewność w odniesieniu do przyszłych poziomów cen energii elektrycznej oraz produktów powiązanych, np. praw majątkowych czy uprawnień do emisji GHG</w:t>
      </w:r>
      <w:r>
        <w:rPr>
          <w:sz w:val="14"/>
          <w:szCs w:val="14"/>
        </w:rPr>
        <w:t xml:space="preserve"> </w:t>
      </w:r>
      <w:r>
        <w:t xml:space="preserve">oraz ryzyko związane z wolumenem sprzedawanej energii elektrycznej (wynikające z niepewności co do determinant popytu na energię elektryczną oraz ciepło). Rzeczywiste wystąpienie czynników ryzyka należących do tej grupy, może mieć niekorzystny wpływ na wynik finansowy podmiotu, przejawiający się m.in. jako ograniczenie generowanych przychodów, wzrost kosztów czy też redukcja marży. </w:t>
      </w:r>
    </w:p>
    <w:p w14:paraId="76CDBEBA" w14:textId="414214F5" w:rsidR="002D0F49" w:rsidRDefault="002D0F49" w:rsidP="002D0F49">
      <w:r>
        <w:t xml:space="preserve">Dość duże znaczenie ma istotny udział wyeksploatowanej, wysokoemisyjnej energetyki opartej na węglu kamiennym i brunatnym, która w najbliższych kilkunastu latach zostanie stopniowo wycofana z sytemu, także ze względu na niespełnianie norm emisyjnych. Stanowi to problem dla generowania nowych inwestycji, zwłaszcza przy niedostatecznych środkach w gospodarce. Występuje również Presja na wyniki operacyjne polskich koncernów energetycznych, wywołana przez konkurencję wolnego rynku energii w UE, co będzie powodowało ograniczenie ich możliwości inwestycyjnych. </w:t>
      </w:r>
    </w:p>
    <w:p w14:paraId="769209D5" w14:textId="77777777" w:rsidR="002D0F49" w:rsidRDefault="002D0F49" w:rsidP="002D0F49">
      <w:pPr>
        <w:pStyle w:val="podtytu2"/>
      </w:pPr>
      <w:r>
        <w:t xml:space="preserve">Ryzyko wynikające z zasad tzw. zrównoważonego finansowania </w:t>
      </w:r>
    </w:p>
    <w:p w14:paraId="6A21A05E" w14:textId="47AFC4B0" w:rsidR="002D0F49" w:rsidRDefault="002D0F49" w:rsidP="002D0F49">
      <w:r>
        <w:t xml:space="preserve">Zgodnie </w:t>
      </w:r>
      <w:r w:rsidR="00487FD5">
        <w:t>z koncepcją</w:t>
      </w:r>
      <w:r>
        <w:t xml:space="preserve"> zrównoważonego finansowania działalność ekonomiczna ma być klasyfikowana pod kątem środowiskowym. Wśród kryteriów określających czy dana działalność jest zrównoważona, proponowane jest wygaszanie antropogenicznej emisji gazów cieplarnianych, w tym ze źródeł bazujących na paliwach kopalnych. Można przyjąć, że w przypadku działalności, która zostanie zaklasyfikowana jako niezrównoważona stworzone zostaną bodźce, aby skierować kapitał z rynków finansowych w kierunku innej działalności np. poprzez większe wymogi ostrożnościowe w zakresie zabezpieczenia pożyczek na te inwestycje, czy też niższy rating. Oznacza to, że pozyskanie kapitału prywatnego na inwestycje w</w:t>
      </w:r>
      <w:r w:rsidR="00B6518A">
        <w:t> </w:t>
      </w:r>
      <w:r>
        <w:t xml:space="preserve">działalność uznaną za niezrównoważoną będzie trudniejsze niż obecnie. </w:t>
      </w:r>
    </w:p>
    <w:p w14:paraId="441507C7" w14:textId="0AA400ED" w:rsidR="002D0F49" w:rsidRDefault="002D0F49" w:rsidP="002D0F49">
      <w:r>
        <w:t>W związku z tym dla instytucji zajmujących się zarządzaniem aktywami i inwestycjami ma zostać wprowadzony obowiązek włączenia czynników związanych ze zrównoważonym finansowaniem (</w:t>
      </w:r>
      <w:r w:rsidR="00157B6E">
        <w:t xml:space="preserve">ESG, ang. </w:t>
      </w:r>
      <w:r w:rsidRPr="00157B6E">
        <w:rPr>
          <w:i/>
          <w:iCs/>
        </w:rPr>
        <w:t>Economic, Social &amp; Governance</w:t>
      </w:r>
      <w:r>
        <w:t xml:space="preserve">) do swojej głównej działalności, tj. dopasowanie procesów, wewnętrznych procedur, zasad zarządzania ryzykiem oraz polityki sprzedaży do propozycji Komisji Europejskiej. W przypadku gdy projekt nie sprzyja realizacji celów klimatycznych i Agendy 2030 może być trudniej o kredyt, bądź ubezpieczenie projektu. Aktualnie znaczna część członków rynku finansowego (m.in. fundusze inwestycyjne, firmy ubezpieczeniowe, jak również banki) ma już obowiązek poinformowania klienta o istnieniu rozwiązania uwzględniającego ESG. </w:t>
      </w:r>
    </w:p>
    <w:p w14:paraId="75D8340F" w14:textId="77777777" w:rsidR="002D0F49" w:rsidRDefault="002D0F49" w:rsidP="002D0F49">
      <w:pPr>
        <w:pStyle w:val="podtytu2"/>
      </w:pPr>
      <w:r>
        <w:t xml:space="preserve">Ryzyko technologiczne </w:t>
      </w:r>
    </w:p>
    <w:p w14:paraId="02520A54" w14:textId="111FB94A" w:rsidR="002D0F49" w:rsidRPr="00F70EA4" w:rsidRDefault="002D0F49" w:rsidP="002D0F49">
      <w:r w:rsidRPr="00F70EA4">
        <w:t xml:space="preserve">Rozwój sektora energetycznego w kierunku niskoemisyjnym, oprócz spodziewanych ogromnych korzyści niesie ze sobą także ryzyka. Znaczna część inwestycji w moce wytwórcze kierowana jest w odnawialne, źródła energii, </w:t>
      </w:r>
      <w:r w:rsidR="00C677AC" w:rsidRPr="00F70EA4">
        <w:t>co wiąże się z koniec</w:t>
      </w:r>
      <w:r w:rsidR="007A3793" w:rsidRPr="00F70EA4">
        <w:t>znością równoległego</w:t>
      </w:r>
      <w:r w:rsidR="00502BBF" w:rsidRPr="00F70EA4">
        <w:t xml:space="preserve"> rozwoju technologii wspierających</w:t>
      </w:r>
      <w:r w:rsidR="000004B2" w:rsidRPr="00F70EA4">
        <w:t xml:space="preserve"> i</w:t>
      </w:r>
      <w:r w:rsidR="00B6518A">
        <w:t> </w:t>
      </w:r>
      <w:r w:rsidRPr="00F70EA4">
        <w:t>pozwalaj</w:t>
      </w:r>
      <w:r w:rsidR="000004B2" w:rsidRPr="00F70EA4">
        <w:t>ących</w:t>
      </w:r>
      <w:r w:rsidRPr="00F70EA4">
        <w:t xml:space="preserve"> na lepszą integrację OZE z systemem elektroenergetycznym – w szczególności </w:t>
      </w:r>
      <w:r w:rsidR="000004B2" w:rsidRPr="00F70EA4">
        <w:t xml:space="preserve">elastyczne </w:t>
      </w:r>
      <w:r w:rsidRPr="00F70EA4">
        <w:t xml:space="preserve">dyspozycyjne źródła wytwarzające energię po konkurencyjnych cenach, a przede wszystkim rozwój technologii magazynowania energii, w tym wykorzystania wodoru. </w:t>
      </w:r>
    </w:p>
    <w:p w14:paraId="52248A2D" w14:textId="622C3C14" w:rsidR="009675B4" w:rsidRPr="00F70EA4" w:rsidRDefault="0088347E" w:rsidP="00A027C9">
      <w:r w:rsidRPr="00F70EA4">
        <w:t>Ponadto</w:t>
      </w:r>
      <w:r w:rsidR="00BC0A0B" w:rsidRPr="00F70EA4">
        <w:t>,</w:t>
      </w:r>
      <w:r w:rsidRPr="00F70EA4">
        <w:t xml:space="preserve"> k</w:t>
      </w:r>
      <w:r w:rsidR="00225CCD" w:rsidRPr="00F70EA4">
        <w:t xml:space="preserve">rajowy sektor </w:t>
      </w:r>
      <w:r w:rsidR="00BC0A0B" w:rsidRPr="00F70EA4">
        <w:t xml:space="preserve">energetyczny </w:t>
      </w:r>
      <w:r w:rsidR="00157B6E">
        <w:t xml:space="preserve">– </w:t>
      </w:r>
      <w:r w:rsidR="00225CCD" w:rsidRPr="00F70EA4">
        <w:t>aby móc</w:t>
      </w:r>
      <w:r w:rsidR="00DC779C" w:rsidRPr="00F70EA4">
        <w:t xml:space="preserve"> </w:t>
      </w:r>
      <w:r w:rsidR="000A0276" w:rsidRPr="00F70EA4">
        <w:t>w pełni</w:t>
      </w:r>
      <w:r w:rsidR="00DC779C" w:rsidRPr="00F70EA4">
        <w:t xml:space="preserve"> konkurować z zagranicznymi dostawcami </w:t>
      </w:r>
      <w:r w:rsidR="00BC0A0B" w:rsidRPr="00F70EA4">
        <w:t>technologii</w:t>
      </w:r>
      <w:r w:rsidR="00157B6E">
        <w:t xml:space="preserve"> –</w:t>
      </w:r>
      <w:r w:rsidR="00BC0A0B" w:rsidRPr="00F70EA4">
        <w:t xml:space="preserve"> </w:t>
      </w:r>
      <w:r w:rsidR="002D4210" w:rsidRPr="00F70EA4">
        <w:t>wymaga wzmocnienia</w:t>
      </w:r>
      <w:r w:rsidR="008D6885" w:rsidRPr="00F70EA4">
        <w:t xml:space="preserve"> i rozwoju </w:t>
      </w:r>
      <w:r w:rsidR="00F912F1" w:rsidRPr="00F70EA4">
        <w:t xml:space="preserve">kompetencji oraz </w:t>
      </w:r>
      <w:r w:rsidR="008D6885" w:rsidRPr="00F70EA4">
        <w:t>zaplecza przemysłowego</w:t>
      </w:r>
      <w:r w:rsidR="00F912F1" w:rsidRPr="00F70EA4">
        <w:t xml:space="preserve"> i</w:t>
      </w:r>
      <w:r w:rsidR="00B6518A">
        <w:t> </w:t>
      </w:r>
      <w:r w:rsidR="006646EB" w:rsidRPr="00F70EA4">
        <w:t>technologicznego</w:t>
      </w:r>
      <w:r w:rsidR="00C8122E" w:rsidRPr="00F70EA4">
        <w:t>.</w:t>
      </w:r>
      <w:r w:rsidR="003512A2" w:rsidRPr="00F70EA4">
        <w:t xml:space="preserve"> W tym celu konieczne jest </w:t>
      </w:r>
      <w:r w:rsidR="00EC3BAD" w:rsidRPr="00F70EA4">
        <w:t xml:space="preserve">m.in. </w:t>
      </w:r>
      <w:r w:rsidR="00C6634F" w:rsidRPr="00F70EA4">
        <w:t>zwiększenie</w:t>
      </w:r>
      <w:r w:rsidR="000A0276" w:rsidRPr="00F70EA4">
        <w:t xml:space="preserve"> </w:t>
      </w:r>
      <w:r w:rsidR="00025332" w:rsidRPr="00F70EA4">
        <w:t>wydatków na działalność badawczo-rozwojową</w:t>
      </w:r>
      <w:r w:rsidR="00714D4C" w:rsidRPr="00F70EA4">
        <w:t xml:space="preserve"> oraz</w:t>
      </w:r>
      <w:r w:rsidR="006354A5" w:rsidRPr="00F70EA4">
        <w:t xml:space="preserve"> </w:t>
      </w:r>
      <w:r w:rsidR="006256D4" w:rsidRPr="00F70EA4">
        <w:t xml:space="preserve">zwiększenie </w:t>
      </w:r>
      <w:r w:rsidR="00AA6AB3" w:rsidRPr="00F70EA4">
        <w:t>ws</w:t>
      </w:r>
      <w:r w:rsidR="00E46755" w:rsidRPr="00F70EA4">
        <w:t xml:space="preserve">półpracy </w:t>
      </w:r>
      <w:r w:rsidR="007D2890" w:rsidRPr="00F70EA4">
        <w:t>międzynarodowej</w:t>
      </w:r>
      <w:r w:rsidR="00925EF3" w:rsidRPr="00F70EA4">
        <w:t>.</w:t>
      </w:r>
    </w:p>
    <w:p w14:paraId="1048E6D4" w14:textId="77777777" w:rsidR="002D0F49" w:rsidRDefault="002D0F49" w:rsidP="002D0F49">
      <w:pPr>
        <w:pStyle w:val="podtytu2"/>
      </w:pPr>
      <w:r>
        <w:t xml:space="preserve">Ryzyko w obszarze przesyłu i dystrybucji </w:t>
      </w:r>
    </w:p>
    <w:p w14:paraId="57CC0238" w14:textId="5609C15A" w:rsidR="002D0F49" w:rsidRDefault="002D0F49" w:rsidP="002D0F49">
      <w:r>
        <w:t xml:space="preserve">Choć wyzwania wynikające z nowych regulacji nakładają na </w:t>
      </w:r>
      <w:r w:rsidR="00BF45DA">
        <w:t>operatoró</w:t>
      </w:r>
      <w:r w:rsidR="008E0B96">
        <w:t>w systemu przesyłowego i</w:t>
      </w:r>
      <w:r w:rsidR="00B6518A">
        <w:t> </w:t>
      </w:r>
      <w:r w:rsidR="008E0B96">
        <w:t>dystrybucyjnego</w:t>
      </w:r>
      <w:r w:rsidR="007E258F">
        <w:t>,</w:t>
      </w:r>
      <w:r>
        <w:t xml:space="preserve"> szereg zadań, ryzyko inwestycyjne </w:t>
      </w:r>
      <w:r w:rsidR="00924CE0">
        <w:t xml:space="preserve">w tym przypadku </w:t>
      </w:r>
      <w:r>
        <w:t xml:space="preserve">jest dużo niższe, głównie z uwagi na stabilne regulacje, jakim podlegają te podsektory, tj. określony zwrot nakładów inwestycyjnych, zapewniony przez regulatora w taryfie przesyłowej i dystrybucyjnej. Pomimo tego, podsektor przesyłu, boryka się z problemem planowania długoterminowych projektów. Plany budowy nowych mocy kształtują się i zmieniają na przestrzeni lat, np. w zakresie parametrów bądź wyboru technologii. Sieć jest budowana w procesie wieloletnim, dlatego trudno jest nadążyć za zmianami rynkowymi, które dokonują się w międzyczasie. Budowa sieci przesyłowej jest silnie uzależnienia od tego, w jakim tempie i zakresie są budowane nowe jednostki wytwórcze. Rolą OSP jest bowiem zapewnienie mocy i włączenie tych jednostek do wspólnej sieci. </w:t>
      </w:r>
    </w:p>
    <w:p w14:paraId="6DC16226" w14:textId="77777777" w:rsidR="002D0F49" w:rsidRDefault="002D0F49" w:rsidP="002D0F49">
      <w:r>
        <w:t>Ponadto dużą przeszkodą w prognozowaniu rozwoju sieci, zarówno przesyłowych jak i dystrybucyjnych, jest też brak społecznego zrozumienia dla konieczności budowy nowych sieci.</w:t>
      </w:r>
    </w:p>
    <w:p w14:paraId="2625180A" w14:textId="6F1D2B2E" w:rsidR="0017658D" w:rsidRPr="00B74905" w:rsidRDefault="0017658D" w:rsidP="000D2544">
      <w:pPr>
        <w:pStyle w:val="Nagwek4"/>
      </w:pPr>
      <w:bookmarkStart w:id="758" w:name="_Toc197666321"/>
      <w:r w:rsidRPr="00B74905">
        <w:t>Sektor ciepłowniczy – ryzyka sektorowe</w:t>
      </w:r>
      <w:bookmarkEnd w:id="756"/>
      <w:bookmarkEnd w:id="757"/>
      <w:bookmarkEnd w:id="758"/>
    </w:p>
    <w:p w14:paraId="6C906AF9" w14:textId="77777777" w:rsidR="001F624B" w:rsidRDefault="001F624B" w:rsidP="001F624B">
      <w:pPr>
        <w:pStyle w:val="NormalnyWeb"/>
        <w:spacing w:before="0" w:beforeAutospacing="0" w:after="0" w:afterAutospacing="0" w:line="276" w:lineRule="auto"/>
        <w:jc w:val="both"/>
        <w:rPr>
          <w:rFonts w:ascii="Lato" w:hAnsi="Lato"/>
          <w:sz w:val="20"/>
          <w:szCs w:val="20"/>
        </w:rPr>
      </w:pPr>
      <w:r w:rsidRPr="009359C5">
        <w:rPr>
          <w:rFonts w:ascii="Lato" w:hAnsi="Lato"/>
          <w:sz w:val="20"/>
          <w:szCs w:val="20"/>
        </w:rPr>
        <w:t>Przed sektorem ciepłownictwa w Polsce stoją liczne wyzwania</w:t>
      </w:r>
      <w:r>
        <w:rPr>
          <w:rFonts w:ascii="Lato" w:hAnsi="Lato"/>
          <w:sz w:val="20"/>
          <w:szCs w:val="20"/>
        </w:rPr>
        <w:t xml:space="preserve"> </w:t>
      </w:r>
      <w:r w:rsidRPr="00547544">
        <w:rPr>
          <w:rFonts w:ascii="Lato" w:hAnsi="Lato"/>
          <w:sz w:val="20"/>
          <w:szCs w:val="20"/>
        </w:rPr>
        <w:t>związany</w:t>
      </w:r>
      <w:r>
        <w:rPr>
          <w:rFonts w:ascii="Lato" w:hAnsi="Lato"/>
          <w:sz w:val="20"/>
          <w:szCs w:val="20"/>
        </w:rPr>
        <w:t>mi</w:t>
      </w:r>
      <w:r w:rsidRPr="00547544">
        <w:rPr>
          <w:rFonts w:ascii="Lato" w:hAnsi="Lato"/>
          <w:sz w:val="20"/>
          <w:szCs w:val="20"/>
        </w:rPr>
        <w:t xml:space="preserve"> z nowymi regulacjami. </w:t>
      </w:r>
      <w:r w:rsidR="00AE6892" w:rsidRPr="00547544">
        <w:rPr>
          <w:rFonts w:ascii="Lato" w:hAnsi="Lato"/>
          <w:sz w:val="20"/>
          <w:szCs w:val="20"/>
        </w:rPr>
        <w:t xml:space="preserve">Dla branży najważniejszymi aktami prawnymi mającymi wpływ na jej funkcjonowanie na lokalnym rynku, jest dyrektywa o OZE i efektywności energetycznej, oraz dyrektywa o charakterystyce energetycznej budynków. </w:t>
      </w:r>
      <w:r w:rsidRPr="009359C5">
        <w:rPr>
          <w:rFonts w:ascii="Lato" w:hAnsi="Lato"/>
          <w:sz w:val="20"/>
          <w:szCs w:val="20"/>
        </w:rPr>
        <w:t>W obliczu nowych regulacji oraz rosnących wymagań środowiskowych, kluczową rolę może odegrać elektryfikacja i wdrażanie innowacyjnych technologii, które pozwolą na zwiększenie efektywności energetycznej, obniżenie kosztów eksploatacji i redukcję emisji.</w:t>
      </w:r>
    </w:p>
    <w:p w14:paraId="7B64B67C" w14:textId="77777777" w:rsidR="001F624B" w:rsidRPr="009359C5" w:rsidRDefault="001F624B" w:rsidP="001F624B">
      <w:pPr>
        <w:pStyle w:val="NormalnyWeb"/>
        <w:spacing w:before="0" w:beforeAutospacing="0" w:after="0" w:afterAutospacing="0" w:line="276" w:lineRule="auto"/>
        <w:jc w:val="both"/>
        <w:rPr>
          <w:rFonts w:ascii="Lato" w:hAnsi="Lato"/>
          <w:sz w:val="20"/>
          <w:szCs w:val="20"/>
        </w:rPr>
      </w:pPr>
    </w:p>
    <w:p w14:paraId="61B99FC4" w14:textId="733BA030" w:rsidR="001F624B" w:rsidRDefault="001F624B" w:rsidP="001F624B">
      <w:pPr>
        <w:pStyle w:val="NormalnyWeb"/>
        <w:spacing w:before="0" w:beforeAutospacing="0" w:after="0" w:afterAutospacing="0" w:line="276" w:lineRule="auto"/>
        <w:jc w:val="both"/>
        <w:rPr>
          <w:rFonts w:ascii="Lato" w:hAnsi="Lato"/>
          <w:sz w:val="20"/>
          <w:szCs w:val="20"/>
        </w:rPr>
      </w:pPr>
      <w:r w:rsidRPr="009359C5">
        <w:rPr>
          <w:rFonts w:ascii="Lato" w:hAnsi="Lato"/>
          <w:sz w:val="20"/>
          <w:szCs w:val="20"/>
        </w:rPr>
        <w:t xml:space="preserve">Obecnie wytwarzanie ciepła </w:t>
      </w:r>
      <w:r>
        <w:rPr>
          <w:rFonts w:ascii="Lato" w:hAnsi="Lato"/>
          <w:sz w:val="20"/>
          <w:szCs w:val="20"/>
        </w:rPr>
        <w:t xml:space="preserve">systemowego </w:t>
      </w:r>
      <w:r w:rsidRPr="009359C5">
        <w:rPr>
          <w:rFonts w:ascii="Lato" w:hAnsi="Lato"/>
          <w:sz w:val="20"/>
          <w:szCs w:val="20"/>
        </w:rPr>
        <w:t xml:space="preserve">w dużej mierze opiera się na węglu kamiennym, </w:t>
      </w:r>
      <w:r>
        <w:rPr>
          <w:rFonts w:ascii="Lato" w:hAnsi="Lato"/>
          <w:sz w:val="20"/>
          <w:szCs w:val="20"/>
        </w:rPr>
        <w:t xml:space="preserve">dodatkowo systemy wytwarzania i dystrybucji ciepła są przestarzałe </w:t>
      </w:r>
      <w:r w:rsidRPr="009359C5">
        <w:rPr>
          <w:rFonts w:ascii="Lato" w:hAnsi="Lato"/>
          <w:sz w:val="20"/>
          <w:szCs w:val="20"/>
        </w:rPr>
        <w:t xml:space="preserve">co wiąże się ze znacznymi kosztami oraz </w:t>
      </w:r>
      <w:r>
        <w:rPr>
          <w:rFonts w:ascii="Lato" w:hAnsi="Lato"/>
          <w:sz w:val="20"/>
          <w:szCs w:val="20"/>
        </w:rPr>
        <w:t>wyzwaniami</w:t>
      </w:r>
      <w:r w:rsidRPr="009359C5">
        <w:rPr>
          <w:rFonts w:ascii="Lato" w:hAnsi="Lato"/>
          <w:sz w:val="20"/>
          <w:szCs w:val="20"/>
        </w:rPr>
        <w:t xml:space="preserve"> związanymi z modernizacją </w:t>
      </w:r>
      <w:r>
        <w:rPr>
          <w:rFonts w:ascii="Lato" w:hAnsi="Lato"/>
          <w:sz w:val="20"/>
          <w:szCs w:val="20"/>
        </w:rPr>
        <w:t xml:space="preserve">tych </w:t>
      </w:r>
      <w:r w:rsidRPr="009359C5">
        <w:rPr>
          <w:rFonts w:ascii="Lato" w:hAnsi="Lato"/>
          <w:sz w:val="20"/>
          <w:szCs w:val="20"/>
        </w:rPr>
        <w:t xml:space="preserve">systemów. Zmiana technologii </w:t>
      </w:r>
      <w:r>
        <w:rPr>
          <w:rFonts w:ascii="Lato" w:hAnsi="Lato"/>
          <w:sz w:val="20"/>
          <w:szCs w:val="20"/>
        </w:rPr>
        <w:t xml:space="preserve">bez zadbania o efektywność energetyczną budynków, źródeł ciepła i sieci przesyłowych </w:t>
      </w:r>
      <w:r w:rsidRPr="009359C5">
        <w:rPr>
          <w:rFonts w:ascii="Lato" w:hAnsi="Lato"/>
          <w:sz w:val="20"/>
          <w:szCs w:val="20"/>
        </w:rPr>
        <w:t xml:space="preserve">często wymaga przejścia na </w:t>
      </w:r>
      <w:r>
        <w:rPr>
          <w:rFonts w:ascii="Lato" w:hAnsi="Lato"/>
          <w:sz w:val="20"/>
          <w:szCs w:val="20"/>
        </w:rPr>
        <w:t xml:space="preserve">inne </w:t>
      </w:r>
      <w:r w:rsidRPr="009359C5">
        <w:rPr>
          <w:rFonts w:ascii="Lato" w:hAnsi="Lato"/>
          <w:sz w:val="20"/>
          <w:szCs w:val="20"/>
        </w:rPr>
        <w:t>paliwa konwencjonalne</w:t>
      </w:r>
      <w:r>
        <w:rPr>
          <w:rFonts w:ascii="Lato" w:hAnsi="Lato"/>
          <w:sz w:val="20"/>
          <w:szCs w:val="20"/>
        </w:rPr>
        <w:t xml:space="preserve">, gdzie do wysokich kosztów inwestycyjnych dochodzą </w:t>
      </w:r>
      <w:r w:rsidRPr="009359C5">
        <w:rPr>
          <w:rFonts w:ascii="Lato" w:hAnsi="Lato"/>
          <w:sz w:val="20"/>
          <w:szCs w:val="20"/>
        </w:rPr>
        <w:t>wy</w:t>
      </w:r>
      <w:r>
        <w:rPr>
          <w:rFonts w:ascii="Lato" w:hAnsi="Lato"/>
          <w:sz w:val="20"/>
          <w:szCs w:val="20"/>
        </w:rPr>
        <w:t>sokie</w:t>
      </w:r>
      <w:r w:rsidRPr="009359C5">
        <w:rPr>
          <w:rFonts w:ascii="Lato" w:hAnsi="Lato"/>
          <w:sz w:val="20"/>
          <w:szCs w:val="20"/>
        </w:rPr>
        <w:t xml:space="preserve"> koszt</w:t>
      </w:r>
      <w:r>
        <w:rPr>
          <w:rFonts w:ascii="Lato" w:hAnsi="Lato"/>
          <w:sz w:val="20"/>
          <w:szCs w:val="20"/>
        </w:rPr>
        <w:t>y zakupu paliw</w:t>
      </w:r>
      <w:r w:rsidRPr="009359C5">
        <w:rPr>
          <w:rFonts w:ascii="Lato" w:hAnsi="Lato"/>
          <w:sz w:val="20"/>
          <w:szCs w:val="20"/>
        </w:rPr>
        <w:t xml:space="preserve">, co stanowi wyzwanie dla przedsiębiorstw o ograniczonych zasobach finansowych. W tym kontekście </w:t>
      </w:r>
      <w:r>
        <w:rPr>
          <w:rFonts w:ascii="Lato" w:hAnsi="Lato"/>
          <w:sz w:val="20"/>
          <w:szCs w:val="20"/>
        </w:rPr>
        <w:t xml:space="preserve">właściwe zaplanowanie procesu transformacji systemów ciepłowniczych wykorzystujących docelowe rozwiązania takie jak </w:t>
      </w:r>
      <w:r w:rsidRPr="009359C5">
        <w:rPr>
          <w:rFonts w:ascii="Lato" w:hAnsi="Lato"/>
          <w:sz w:val="20"/>
          <w:szCs w:val="20"/>
        </w:rPr>
        <w:t xml:space="preserve">elektryfikacja </w:t>
      </w:r>
      <w:r>
        <w:rPr>
          <w:rFonts w:ascii="Lato" w:hAnsi="Lato"/>
          <w:sz w:val="20"/>
          <w:szCs w:val="20"/>
        </w:rPr>
        <w:t>i zastosowanie technologii Power-to-Heat</w:t>
      </w:r>
      <w:r w:rsidRPr="009359C5">
        <w:rPr>
          <w:rFonts w:ascii="Lato" w:hAnsi="Lato"/>
          <w:sz w:val="20"/>
          <w:szCs w:val="20"/>
        </w:rPr>
        <w:t xml:space="preserve"> staje się rozwiązaniem, które może </w:t>
      </w:r>
      <w:r>
        <w:rPr>
          <w:rFonts w:ascii="Lato" w:hAnsi="Lato"/>
          <w:sz w:val="20"/>
          <w:szCs w:val="20"/>
        </w:rPr>
        <w:t xml:space="preserve">ograniczyć koszty eksploatacji, </w:t>
      </w:r>
      <w:r w:rsidRPr="009359C5">
        <w:rPr>
          <w:rFonts w:ascii="Lato" w:hAnsi="Lato"/>
          <w:sz w:val="20"/>
          <w:szCs w:val="20"/>
        </w:rPr>
        <w:t xml:space="preserve">zależność od paliw kopalnych, ale także </w:t>
      </w:r>
      <w:r>
        <w:rPr>
          <w:rFonts w:ascii="Lato" w:hAnsi="Lato"/>
          <w:sz w:val="20"/>
          <w:szCs w:val="20"/>
        </w:rPr>
        <w:t xml:space="preserve">może </w:t>
      </w:r>
      <w:r w:rsidRPr="009359C5">
        <w:rPr>
          <w:rFonts w:ascii="Lato" w:hAnsi="Lato"/>
          <w:sz w:val="20"/>
          <w:szCs w:val="20"/>
        </w:rPr>
        <w:t>wprowadzić sektor na ścieżkę innowacji.</w:t>
      </w:r>
      <w:r>
        <w:rPr>
          <w:rFonts w:ascii="Lato" w:hAnsi="Lato"/>
          <w:sz w:val="20"/>
          <w:szCs w:val="20"/>
        </w:rPr>
        <w:t xml:space="preserve"> Technologie</w:t>
      </w:r>
      <w:r w:rsidRPr="009359C5">
        <w:rPr>
          <w:rFonts w:ascii="Lato" w:hAnsi="Lato"/>
          <w:sz w:val="20"/>
          <w:szCs w:val="20"/>
        </w:rPr>
        <w:t xml:space="preserve">, takie jak pompy ciepła, </w:t>
      </w:r>
      <w:r>
        <w:rPr>
          <w:rFonts w:ascii="Lato" w:hAnsi="Lato"/>
          <w:sz w:val="20"/>
          <w:szCs w:val="20"/>
        </w:rPr>
        <w:t>kotły elektrodowe</w:t>
      </w:r>
      <w:r w:rsidRPr="009359C5">
        <w:rPr>
          <w:rFonts w:ascii="Lato" w:hAnsi="Lato"/>
          <w:sz w:val="20"/>
          <w:szCs w:val="20"/>
        </w:rPr>
        <w:t xml:space="preserve">, magazyny </w:t>
      </w:r>
      <w:r>
        <w:rPr>
          <w:rFonts w:ascii="Lato" w:hAnsi="Lato"/>
          <w:sz w:val="20"/>
          <w:szCs w:val="20"/>
        </w:rPr>
        <w:t xml:space="preserve">ciepła </w:t>
      </w:r>
      <w:r w:rsidRPr="009359C5">
        <w:rPr>
          <w:rFonts w:ascii="Lato" w:hAnsi="Lato"/>
          <w:sz w:val="20"/>
          <w:szCs w:val="20"/>
        </w:rPr>
        <w:t xml:space="preserve">czy elektrociepłownie </w:t>
      </w:r>
      <w:r>
        <w:rPr>
          <w:rFonts w:ascii="Lato" w:hAnsi="Lato"/>
          <w:sz w:val="20"/>
          <w:szCs w:val="20"/>
        </w:rPr>
        <w:t>pracujące dyspozycyjnie</w:t>
      </w:r>
      <w:r w:rsidRPr="009359C5">
        <w:rPr>
          <w:rFonts w:ascii="Lato" w:hAnsi="Lato"/>
          <w:sz w:val="20"/>
          <w:szCs w:val="20"/>
        </w:rPr>
        <w:t xml:space="preserve">, </w:t>
      </w:r>
      <w:r w:rsidRPr="00A60513">
        <w:rPr>
          <w:rFonts w:ascii="Lato" w:hAnsi="Lato"/>
          <w:sz w:val="20"/>
          <w:szCs w:val="20"/>
        </w:rPr>
        <w:t xml:space="preserve">czyli w okresach niedoboru energii elektrycznej i </w:t>
      </w:r>
      <w:r>
        <w:rPr>
          <w:rFonts w:ascii="Lato" w:hAnsi="Lato"/>
          <w:sz w:val="20"/>
          <w:szCs w:val="20"/>
        </w:rPr>
        <w:t xml:space="preserve">ich </w:t>
      </w:r>
      <w:r w:rsidRPr="00A60513">
        <w:rPr>
          <w:rFonts w:ascii="Lato" w:hAnsi="Lato"/>
          <w:sz w:val="20"/>
          <w:szCs w:val="20"/>
        </w:rPr>
        <w:t>wysokich cen—tworzą dla ciepłownictwa nowe możliwości</w:t>
      </w:r>
      <w:r>
        <w:rPr>
          <w:rFonts w:ascii="Lato" w:hAnsi="Lato"/>
          <w:sz w:val="20"/>
          <w:szCs w:val="20"/>
        </w:rPr>
        <w:t xml:space="preserve"> </w:t>
      </w:r>
      <w:r w:rsidRPr="00A60513">
        <w:rPr>
          <w:rFonts w:ascii="Lato" w:hAnsi="Lato"/>
          <w:sz w:val="20"/>
          <w:szCs w:val="20"/>
        </w:rPr>
        <w:t>zwiększenia efektywności</w:t>
      </w:r>
      <w:r>
        <w:rPr>
          <w:rFonts w:ascii="Lato" w:hAnsi="Lato"/>
          <w:sz w:val="20"/>
          <w:szCs w:val="20"/>
        </w:rPr>
        <w:t>,</w:t>
      </w:r>
      <w:r w:rsidR="002A532C">
        <w:rPr>
          <w:rFonts w:ascii="Lato" w:hAnsi="Lato"/>
          <w:sz w:val="20"/>
          <w:szCs w:val="20"/>
        </w:rPr>
        <w:t xml:space="preserve"> </w:t>
      </w:r>
      <w:r w:rsidRPr="00A60513">
        <w:rPr>
          <w:rFonts w:ascii="Lato" w:hAnsi="Lato"/>
          <w:sz w:val="20"/>
          <w:szCs w:val="20"/>
        </w:rPr>
        <w:t xml:space="preserve">oraz </w:t>
      </w:r>
      <w:r>
        <w:rPr>
          <w:rFonts w:ascii="Lato" w:hAnsi="Lato"/>
          <w:sz w:val="20"/>
          <w:szCs w:val="20"/>
        </w:rPr>
        <w:t>współpracy z sektorem elektroenergetycznym umożliwiającej uzyskiwania korzyści finansowych płynących ze stabilizacji systemu</w:t>
      </w:r>
      <w:r w:rsidRPr="009359C5">
        <w:rPr>
          <w:rFonts w:ascii="Lato" w:hAnsi="Lato"/>
          <w:sz w:val="20"/>
          <w:szCs w:val="20"/>
        </w:rPr>
        <w:t>. Wykorzystanie cyfryzacji oraz zaawansowanych systemów zarządzania energią pozwala na optymalizację kosztów i zwiększenie elastyczności działania, co może przynieść korzyści zarówno przedsiębiorstwom, jak i odbiorcom końcowym</w:t>
      </w:r>
      <w:r>
        <w:rPr>
          <w:rFonts w:ascii="Lato" w:hAnsi="Lato"/>
          <w:sz w:val="20"/>
          <w:szCs w:val="20"/>
        </w:rPr>
        <w:t xml:space="preserve"> w postaci akceptowalnych cen ciepła</w:t>
      </w:r>
      <w:r w:rsidRPr="009359C5">
        <w:rPr>
          <w:rFonts w:ascii="Lato" w:hAnsi="Lato"/>
          <w:sz w:val="20"/>
          <w:szCs w:val="20"/>
        </w:rPr>
        <w:t>.</w:t>
      </w:r>
    </w:p>
    <w:p w14:paraId="293311A0" w14:textId="77777777" w:rsidR="001F624B" w:rsidRPr="009359C5" w:rsidRDefault="001F624B" w:rsidP="001F624B">
      <w:pPr>
        <w:pStyle w:val="NormalnyWeb"/>
        <w:spacing w:before="0" w:beforeAutospacing="0" w:after="0" w:afterAutospacing="0" w:line="276" w:lineRule="auto"/>
        <w:jc w:val="both"/>
        <w:rPr>
          <w:rFonts w:ascii="Lato" w:hAnsi="Lato"/>
          <w:sz w:val="20"/>
          <w:szCs w:val="20"/>
        </w:rPr>
      </w:pPr>
    </w:p>
    <w:p w14:paraId="2737DE6D" w14:textId="4F4B7DB9" w:rsidR="001F624B" w:rsidRPr="009359C5" w:rsidRDefault="001F624B" w:rsidP="001F624B">
      <w:pPr>
        <w:pStyle w:val="NormalnyWeb"/>
        <w:spacing w:before="0" w:beforeAutospacing="0" w:after="0" w:afterAutospacing="0" w:line="276" w:lineRule="auto"/>
        <w:jc w:val="both"/>
        <w:rPr>
          <w:rFonts w:ascii="Lato" w:hAnsi="Lato"/>
          <w:sz w:val="20"/>
          <w:szCs w:val="20"/>
        </w:rPr>
      </w:pPr>
      <w:r w:rsidRPr="009359C5">
        <w:rPr>
          <w:rFonts w:ascii="Lato" w:hAnsi="Lato"/>
          <w:sz w:val="20"/>
          <w:szCs w:val="20"/>
        </w:rPr>
        <w:t>Dodatkowym impulsem dla rozwoju elektryfikacji jest wprowadzenie nowych mechanizmów wsparcia, takich jak dyrektywa o OZE, efektywności energetycznej oraz charakterystyce energetycznej budynków. Polska polityka energetyczna oraz fundusze dedykowane modernizacji mogą odegrać kluczową rolę w</w:t>
      </w:r>
      <w:r w:rsidR="00B6518A">
        <w:rPr>
          <w:rFonts w:ascii="Lato" w:hAnsi="Lato"/>
          <w:sz w:val="20"/>
          <w:szCs w:val="20"/>
        </w:rPr>
        <w:t> </w:t>
      </w:r>
      <w:r w:rsidRPr="009359C5">
        <w:rPr>
          <w:rFonts w:ascii="Lato" w:hAnsi="Lato"/>
          <w:sz w:val="20"/>
          <w:szCs w:val="20"/>
        </w:rPr>
        <w:t>przekształceniu sektora ciepłowniczego i wdrożeniu ekologicznych oraz ekonomicznych rozwiązań.</w:t>
      </w:r>
    </w:p>
    <w:p w14:paraId="255CB106" w14:textId="77777777" w:rsidR="001F624B" w:rsidRDefault="001F624B" w:rsidP="001F624B">
      <w:pPr>
        <w:pStyle w:val="NormalnyWeb"/>
        <w:spacing w:before="0" w:beforeAutospacing="0" w:after="0" w:afterAutospacing="0" w:line="276" w:lineRule="auto"/>
        <w:jc w:val="both"/>
        <w:rPr>
          <w:rFonts w:ascii="Lato" w:hAnsi="Lato"/>
          <w:sz w:val="20"/>
          <w:szCs w:val="20"/>
        </w:rPr>
      </w:pPr>
      <w:r w:rsidRPr="009359C5">
        <w:rPr>
          <w:rFonts w:ascii="Lato" w:hAnsi="Lato"/>
          <w:sz w:val="20"/>
          <w:szCs w:val="20"/>
        </w:rPr>
        <w:t xml:space="preserve">Choć wyzwania pozostają, </w:t>
      </w:r>
      <w:r>
        <w:rPr>
          <w:rFonts w:ascii="Lato" w:hAnsi="Lato"/>
          <w:sz w:val="20"/>
          <w:szCs w:val="20"/>
        </w:rPr>
        <w:t>transformacja</w:t>
      </w:r>
      <w:r w:rsidRPr="009359C5">
        <w:rPr>
          <w:rFonts w:ascii="Lato" w:hAnsi="Lato"/>
          <w:sz w:val="20"/>
          <w:szCs w:val="20"/>
        </w:rPr>
        <w:t xml:space="preserve"> ciepłownictwa i zastosowanie nowoczesnych technologii oferują obiecującą ścieżkę ku bardziej zrównoważonemu i konkurencyjnemu rynkowi. Odpowiednio zaplanowane inwestycje mogą sprawić, że przyszłość sektora stanie się bardziej ekologiczna, efektywna i korzystna dla wszystkich uczestników rynku.</w:t>
      </w:r>
    </w:p>
    <w:p w14:paraId="16BCEAE9" w14:textId="17E5B7FB" w:rsidR="00AE6892" w:rsidRDefault="00AE6892" w:rsidP="00AE6892">
      <w:pPr>
        <w:pStyle w:val="podtytu2"/>
      </w:pPr>
      <w:r>
        <w:t xml:space="preserve">Ryzyko właścicielskie </w:t>
      </w:r>
    </w:p>
    <w:p w14:paraId="25C2BD77" w14:textId="77777777" w:rsidR="00A57DCD" w:rsidRDefault="00A57DCD" w:rsidP="00A57DCD">
      <w:pPr>
        <w:pStyle w:val="NormalnyWeb"/>
        <w:spacing w:before="0" w:beforeAutospacing="0" w:after="0" w:afterAutospacing="0" w:line="276" w:lineRule="auto"/>
        <w:jc w:val="both"/>
        <w:rPr>
          <w:rFonts w:ascii="Lato" w:hAnsi="Lato"/>
          <w:sz w:val="20"/>
          <w:szCs w:val="20"/>
        </w:rPr>
      </w:pPr>
      <w:r w:rsidRPr="009359C5">
        <w:rPr>
          <w:rFonts w:ascii="Lato" w:hAnsi="Lato"/>
          <w:sz w:val="20"/>
          <w:szCs w:val="20"/>
        </w:rPr>
        <w:t>Większość systemów ciepłowniczych w Polsce pozostaje w rękach samorządów, co oznacza ograniczone zasoby finansowe na realizację dużych inwestycji modernizacyjnych. Większe grupy kapitałowe mogą kierować swoje środki na strategiczne przedsięwzięcia, podczas gdy mniejsze przedsiębiorstwa często mierzą się z trudnościami w uzyskaniu korzystnego finansowania.</w:t>
      </w:r>
    </w:p>
    <w:p w14:paraId="3AEB5380" w14:textId="77777777" w:rsidR="00A57DCD" w:rsidRPr="009359C5" w:rsidRDefault="00A57DCD" w:rsidP="00A57DCD">
      <w:pPr>
        <w:pStyle w:val="NormalnyWeb"/>
        <w:spacing w:before="0" w:beforeAutospacing="0" w:after="0" w:afterAutospacing="0" w:line="276" w:lineRule="auto"/>
        <w:jc w:val="both"/>
        <w:rPr>
          <w:rFonts w:ascii="Lato" w:hAnsi="Lato"/>
          <w:sz w:val="20"/>
          <w:szCs w:val="20"/>
        </w:rPr>
      </w:pPr>
    </w:p>
    <w:p w14:paraId="70EF2419" w14:textId="1E230EDB" w:rsidR="00A57DCD" w:rsidRDefault="00A57DCD" w:rsidP="00A57DCD">
      <w:pPr>
        <w:pStyle w:val="NormalnyWeb"/>
        <w:spacing w:before="0" w:beforeAutospacing="0" w:after="0" w:afterAutospacing="0" w:line="276" w:lineRule="auto"/>
        <w:jc w:val="both"/>
        <w:rPr>
          <w:rFonts w:ascii="Lato" w:hAnsi="Lato"/>
          <w:sz w:val="20"/>
          <w:szCs w:val="20"/>
        </w:rPr>
      </w:pPr>
      <w:r w:rsidRPr="009359C5">
        <w:rPr>
          <w:rFonts w:ascii="Lato" w:hAnsi="Lato"/>
          <w:sz w:val="20"/>
          <w:szCs w:val="20"/>
        </w:rPr>
        <w:t xml:space="preserve">Dostęp do </w:t>
      </w:r>
      <w:r>
        <w:rPr>
          <w:rFonts w:ascii="Lato" w:hAnsi="Lato"/>
          <w:sz w:val="20"/>
          <w:szCs w:val="20"/>
        </w:rPr>
        <w:t xml:space="preserve">wsparcia </w:t>
      </w:r>
      <w:r w:rsidRPr="009359C5">
        <w:rPr>
          <w:rFonts w:ascii="Lato" w:hAnsi="Lato"/>
          <w:sz w:val="20"/>
          <w:szCs w:val="20"/>
        </w:rPr>
        <w:t>kredyt</w:t>
      </w:r>
      <w:r>
        <w:rPr>
          <w:rFonts w:ascii="Lato" w:hAnsi="Lato"/>
          <w:sz w:val="20"/>
          <w:szCs w:val="20"/>
        </w:rPr>
        <w:t>owego</w:t>
      </w:r>
      <w:r w:rsidR="002A532C">
        <w:rPr>
          <w:rFonts w:ascii="Lato" w:hAnsi="Lato"/>
          <w:sz w:val="20"/>
          <w:szCs w:val="20"/>
        </w:rPr>
        <w:t xml:space="preserve"> </w:t>
      </w:r>
      <w:r w:rsidRPr="009359C5">
        <w:rPr>
          <w:rFonts w:ascii="Lato" w:hAnsi="Lato"/>
          <w:sz w:val="20"/>
          <w:szCs w:val="20"/>
        </w:rPr>
        <w:t>bywa wyzwaniem, zwłaszcza w obliczu zaostrzających się norm środowiskowych. Wsparciem dla sektora mogą być mechanizmy finansowe ukierunkowane na poprawę efektywności energetycznej i rozwój odnawialnych źródeł energii. Dzięki nim przedsiębiorstwa ciepłownicze mogą stopniowo wdrażać nowoczesne rozwiązania, zapewniając bardziej zrównoważony i</w:t>
      </w:r>
      <w:r w:rsidR="00B6518A">
        <w:rPr>
          <w:rFonts w:ascii="Lato" w:hAnsi="Lato"/>
          <w:sz w:val="20"/>
          <w:szCs w:val="20"/>
        </w:rPr>
        <w:t> </w:t>
      </w:r>
      <w:r w:rsidRPr="009359C5">
        <w:rPr>
          <w:rFonts w:ascii="Lato" w:hAnsi="Lato"/>
          <w:sz w:val="20"/>
          <w:szCs w:val="20"/>
        </w:rPr>
        <w:t>przyszłościowy rozwój branży.</w:t>
      </w:r>
      <w:r>
        <w:rPr>
          <w:rFonts w:ascii="Lato" w:hAnsi="Lato"/>
          <w:sz w:val="20"/>
          <w:szCs w:val="20"/>
        </w:rPr>
        <w:t xml:space="preserve"> </w:t>
      </w:r>
      <w:r w:rsidRPr="00BD1501">
        <w:rPr>
          <w:rFonts w:ascii="Lato" w:hAnsi="Lato"/>
          <w:sz w:val="20"/>
          <w:szCs w:val="20"/>
        </w:rPr>
        <w:t>Wsparcie ze środków publicznych oraz funduszy dedykowanych poprawie efektywności energetycznej może pomóc przedsiębiorstwom w przeprowadzeniu niezbędnych zmian oraz zwiększeniu bezpieczeństwa dostaw ciepła dla odbiorców.</w:t>
      </w:r>
    </w:p>
    <w:p w14:paraId="75D377D6" w14:textId="62CFC4C4" w:rsidR="00AE6892" w:rsidRDefault="00AE6892" w:rsidP="00AE6892">
      <w:pPr>
        <w:pStyle w:val="podtytu2"/>
      </w:pPr>
      <w:r>
        <w:t xml:space="preserve">Ryzyko regulacyjne </w:t>
      </w:r>
    </w:p>
    <w:p w14:paraId="3FA45963" w14:textId="41FDA992" w:rsidR="003A15A4" w:rsidRDefault="003A15A4" w:rsidP="003A15A4">
      <w:pPr>
        <w:pStyle w:val="NormalnyWeb"/>
        <w:spacing w:before="0" w:beforeAutospacing="0" w:after="0" w:afterAutospacing="0" w:line="276" w:lineRule="auto"/>
        <w:jc w:val="both"/>
        <w:rPr>
          <w:rFonts w:ascii="Lato" w:hAnsi="Lato"/>
          <w:sz w:val="20"/>
          <w:szCs w:val="20"/>
        </w:rPr>
      </w:pPr>
      <w:r w:rsidRPr="008E3DD7">
        <w:rPr>
          <w:rFonts w:ascii="Lato" w:hAnsi="Lato"/>
          <w:sz w:val="20"/>
          <w:szCs w:val="20"/>
        </w:rPr>
        <w:t>W odpowiedzi na zmieniające się przepisy oraz rosnące wymagania środowiskowe, coraz większe znaczenie zyskują rozwiązania oparte na elektryfikacji ciepłownictwa. Kotły elektrodowe, pompy ciepła oraz technologie pozwalające na magazynowanie i wykorzystanie nadmiaru energii z odnawialnych źródeł, takich jak wiatr i słońce, mogą odegrać kluczową rolę w tej transformacji. Dzięki nim możliwe jest stopniowe odejście od tradycyjnych paliw kopalnych, a także zwiększenie elastyczności systemów ciepłowniczych.</w:t>
      </w:r>
      <w:r>
        <w:rPr>
          <w:rFonts w:ascii="Lato" w:hAnsi="Lato"/>
          <w:b/>
          <w:bCs/>
          <w:sz w:val="20"/>
          <w:szCs w:val="20"/>
        </w:rPr>
        <w:t xml:space="preserve"> </w:t>
      </w:r>
      <w:r w:rsidRPr="008E3DD7">
        <w:rPr>
          <w:rFonts w:ascii="Lato" w:hAnsi="Lato"/>
          <w:sz w:val="20"/>
          <w:szCs w:val="20"/>
        </w:rPr>
        <w:t>Regulacje unijne, takie jak dyrektywa MCP dotycząca średnich obiektów spalania</w:t>
      </w:r>
      <w:r>
        <w:rPr>
          <w:rFonts w:ascii="Lato" w:hAnsi="Lato"/>
          <w:sz w:val="20"/>
          <w:szCs w:val="20"/>
        </w:rPr>
        <w:t xml:space="preserve"> </w:t>
      </w:r>
      <w:r w:rsidRPr="008E3DD7">
        <w:rPr>
          <w:rFonts w:ascii="Lato" w:hAnsi="Lato"/>
          <w:sz w:val="20"/>
          <w:szCs w:val="20"/>
        </w:rPr>
        <w:t>oraz standardy BAT dla dużych jednostek energetyczn</w:t>
      </w:r>
      <w:r>
        <w:rPr>
          <w:rFonts w:ascii="Lato" w:hAnsi="Lato"/>
          <w:sz w:val="20"/>
          <w:szCs w:val="20"/>
        </w:rPr>
        <w:t>ego spalania LCP</w:t>
      </w:r>
      <w:r w:rsidRPr="008E3DD7">
        <w:rPr>
          <w:rFonts w:ascii="Lato" w:hAnsi="Lato"/>
          <w:sz w:val="20"/>
          <w:szCs w:val="20"/>
        </w:rPr>
        <w:t>, nakładają coraz bardziej restrykcyjne normy dotyczące emisji zanieczyszczeń, w tym związków azotu, siarki i pyłów. Wprowadzenie tych standardów wymaga dostosowania technologii wytwarzania ciepła do nowych wymogów, co wiąże się z</w:t>
      </w:r>
      <w:r w:rsidR="00B6518A">
        <w:rPr>
          <w:rFonts w:ascii="Lato" w:hAnsi="Lato"/>
          <w:sz w:val="20"/>
          <w:szCs w:val="20"/>
        </w:rPr>
        <w:t> </w:t>
      </w:r>
      <w:r w:rsidRPr="008E3DD7">
        <w:rPr>
          <w:rFonts w:ascii="Lato" w:hAnsi="Lato"/>
          <w:sz w:val="20"/>
          <w:szCs w:val="20"/>
        </w:rPr>
        <w:t>koniecznością wdrażania czystszych i bardziej efektywnych rozwiązań.</w:t>
      </w:r>
      <w:r>
        <w:rPr>
          <w:rFonts w:ascii="Lato" w:hAnsi="Lato"/>
          <w:b/>
          <w:bCs/>
          <w:sz w:val="20"/>
          <w:szCs w:val="20"/>
        </w:rPr>
        <w:t xml:space="preserve"> </w:t>
      </w:r>
      <w:r w:rsidRPr="008E3DD7">
        <w:rPr>
          <w:rFonts w:ascii="Lato" w:hAnsi="Lato"/>
          <w:sz w:val="20"/>
          <w:szCs w:val="20"/>
        </w:rPr>
        <w:t>Dodatkowo, regulacje dotyczące charakterystyki energetycznej budynków (dyrektywa EPBD) mają istotny wpływ na przyszłość systemów ciepłowniczych, ponieważ zmieniają podejście do źródeł ogrzewania. Systemy ciepłownicze bazujące na węglu</w:t>
      </w:r>
      <w:r>
        <w:rPr>
          <w:rFonts w:ascii="Lato" w:hAnsi="Lato"/>
          <w:sz w:val="20"/>
          <w:szCs w:val="20"/>
        </w:rPr>
        <w:t>, które nie wykorzystują odnawialnych źródeł energii</w:t>
      </w:r>
      <w:r w:rsidRPr="008E3DD7">
        <w:rPr>
          <w:rFonts w:ascii="Lato" w:hAnsi="Lato"/>
          <w:sz w:val="20"/>
          <w:szCs w:val="20"/>
        </w:rPr>
        <w:t xml:space="preserve"> </w:t>
      </w:r>
      <w:r>
        <w:rPr>
          <w:rFonts w:ascii="Lato" w:hAnsi="Lato"/>
          <w:sz w:val="20"/>
          <w:szCs w:val="20"/>
        </w:rPr>
        <w:t>stają się</w:t>
      </w:r>
      <w:r w:rsidRPr="008E3DD7">
        <w:rPr>
          <w:rFonts w:ascii="Lato" w:hAnsi="Lato"/>
          <w:sz w:val="20"/>
          <w:szCs w:val="20"/>
        </w:rPr>
        <w:t xml:space="preserve"> mniej atrakcyjne dla nowych inwestycji budowlanych, co sprawia, że przejście na technologie niskoemisyjne, takie jak elektryfikacja ciepłownictwa, staje się nie tylko koniecznością, ale również sposobem na utrzymanie konkurencyjności.</w:t>
      </w:r>
    </w:p>
    <w:p w14:paraId="1F060E19" w14:textId="77777777" w:rsidR="003A15A4" w:rsidRDefault="003A15A4" w:rsidP="003A15A4">
      <w:pPr>
        <w:pStyle w:val="NormalnyWeb"/>
        <w:spacing w:before="0" w:beforeAutospacing="0" w:after="0" w:afterAutospacing="0" w:line="276" w:lineRule="auto"/>
        <w:jc w:val="both"/>
        <w:rPr>
          <w:rFonts w:ascii="Lato" w:hAnsi="Lato"/>
          <w:sz w:val="20"/>
          <w:szCs w:val="20"/>
        </w:rPr>
      </w:pPr>
    </w:p>
    <w:p w14:paraId="46579479" w14:textId="77777777" w:rsidR="003A15A4" w:rsidRDefault="003A15A4" w:rsidP="003A15A4">
      <w:pPr>
        <w:pStyle w:val="NormalnyWeb"/>
        <w:spacing w:before="0" w:beforeAutospacing="0" w:after="0" w:afterAutospacing="0" w:line="276" w:lineRule="auto"/>
        <w:jc w:val="both"/>
        <w:rPr>
          <w:rFonts w:ascii="Lato" w:hAnsi="Lato"/>
          <w:sz w:val="20"/>
          <w:szCs w:val="20"/>
        </w:rPr>
      </w:pPr>
      <w:r>
        <w:rPr>
          <w:rFonts w:ascii="Lato" w:hAnsi="Lato"/>
          <w:sz w:val="20"/>
          <w:szCs w:val="20"/>
        </w:rPr>
        <w:t>Wyzwaniem</w:t>
      </w:r>
      <w:r w:rsidRPr="007578A7">
        <w:rPr>
          <w:rFonts w:ascii="Lato" w:hAnsi="Lato"/>
          <w:sz w:val="20"/>
          <w:szCs w:val="20"/>
        </w:rPr>
        <w:t xml:space="preserve"> dla inwestycji w rozwój branży ciepłowniczej są unijne i krajowe regulacje, które pozbawiają tzw. nieefektywne systemy ciepłownicze możliwości pozyskania wsparcia ze środków publicznych.</w:t>
      </w:r>
      <w:r>
        <w:rPr>
          <w:rFonts w:ascii="Lato" w:hAnsi="Lato"/>
          <w:sz w:val="20"/>
          <w:szCs w:val="20"/>
        </w:rPr>
        <w:t xml:space="preserve"> Dodatkowo w przypadku, gdy system ciepłowniczy nie będzie posiadać statusu efektywnego, odbiorcy ciepła będą mogli odłączyć się od takiego systemu.</w:t>
      </w:r>
      <w:r w:rsidRPr="007578A7">
        <w:rPr>
          <w:rFonts w:ascii="Lato" w:hAnsi="Lato"/>
          <w:sz w:val="20"/>
          <w:szCs w:val="20"/>
        </w:rPr>
        <w:t xml:space="preserve"> </w:t>
      </w:r>
      <w:r>
        <w:rPr>
          <w:rFonts w:ascii="Lato" w:hAnsi="Lato"/>
          <w:sz w:val="20"/>
          <w:szCs w:val="20"/>
        </w:rPr>
        <w:t>Dlatego bardzo ważnym jest, aby systemy ciepłownicze były modernizowane i dostosowywane do wymagań efektywnych systemów ciepłowniczych.</w:t>
      </w:r>
      <w:r w:rsidRPr="007578A7">
        <w:rPr>
          <w:rFonts w:ascii="Lato" w:hAnsi="Lato"/>
          <w:sz w:val="20"/>
          <w:szCs w:val="20"/>
        </w:rPr>
        <w:t xml:space="preserve"> Obecnie w całym systemie ciepłowniczym w Polsce, tylko 20 proc. systemów, są to systemy efektywne</w:t>
      </w:r>
      <w:r>
        <w:rPr>
          <w:rFonts w:ascii="Lato" w:hAnsi="Lato"/>
          <w:sz w:val="20"/>
          <w:szCs w:val="20"/>
        </w:rPr>
        <w:t>.</w:t>
      </w:r>
    </w:p>
    <w:p w14:paraId="28E7B30F" w14:textId="77777777" w:rsidR="003A15A4" w:rsidRDefault="003A15A4" w:rsidP="003A15A4">
      <w:pPr>
        <w:pStyle w:val="NormalnyWeb"/>
        <w:spacing w:before="0" w:beforeAutospacing="0" w:after="0" w:afterAutospacing="0" w:line="276" w:lineRule="auto"/>
        <w:jc w:val="both"/>
        <w:rPr>
          <w:rFonts w:ascii="Lato" w:hAnsi="Lato"/>
          <w:sz w:val="20"/>
          <w:szCs w:val="20"/>
        </w:rPr>
      </w:pPr>
    </w:p>
    <w:p w14:paraId="5BCD1CC4" w14:textId="3B5F20DA" w:rsidR="003A15A4" w:rsidRDefault="003A15A4" w:rsidP="003A15A4">
      <w:pPr>
        <w:pStyle w:val="NormalnyWeb"/>
        <w:spacing w:before="0" w:beforeAutospacing="0" w:after="0" w:afterAutospacing="0" w:line="276" w:lineRule="auto"/>
        <w:jc w:val="both"/>
        <w:rPr>
          <w:rFonts w:ascii="Lato" w:hAnsi="Lato"/>
          <w:sz w:val="20"/>
          <w:szCs w:val="20"/>
        </w:rPr>
      </w:pPr>
      <w:r>
        <w:rPr>
          <w:rFonts w:ascii="Lato" w:hAnsi="Lato"/>
          <w:sz w:val="20"/>
          <w:szCs w:val="20"/>
        </w:rPr>
        <w:t>Z</w:t>
      </w:r>
      <w:r w:rsidRPr="007578A7">
        <w:rPr>
          <w:rFonts w:ascii="Lato" w:hAnsi="Lato"/>
          <w:sz w:val="20"/>
          <w:szCs w:val="20"/>
        </w:rPr>
        <w:t xml:space="preserve">agrożeniem i ryzykiem dla inwestycji w branży ciepłowniczej, </w:t>
      </w:r>
      <w:r>
        <w:rPr>
          <w:rFonts w:ascii="Lato" w:hAnsi="Lato"/>
          <w:sz w:val="20"/>
          <w:szCs w:val="20"/>
        </w:rPr>
        <w:t>może być również</w:t>
      </w:r>
      <w:r w:rsidRPr="007578A7">
        <w:rPr>
          <w:rFonts w:ascii="Lato" w:hAnsi="Lato"/>
          <w:sz w:val="20"/>
          <w:szCs w:val="20"/>
        </w:rPr>
        <w:t xml:space="preserve"> obecny model regulacji, który powinien być bardziej elastyczny i dawać przedsiębiorcy możliwość uzyskania zwrotu na kapitale, </w:t>
      </w:r>
      <w:r>
        <w:rPr>
          <w:rFonts w:ascii="Lato" w:hAnsi="Lato"/>
          <w:sz w:val="20"/>
          <w:szCs w:val="20"/>
        </w:rPr>
        <w:t>aby</w:t>
      </w:r>
      <w:r w:rsidRPr="007578A7">
        <w:rPr>
          <w:rFonts w:ascii="Lato" w:hAnsi="Lato"/>
          <w:sz w:val="20"/>
          <w:szCs w:val="20"/>
        </w:rPr>
        <w:t xml:space="preserve"> m</w:t>
      </w:r>
      <w:r>
        <w:rPr>
          <w:rFonts w:ascii="Lato" w:hAnsi="Lato"/>
          <w:sz w:val="20"/>
          <w:szCs w:val="20"/>
        </w:rPr>
        <w:t>ożna było</w:t>
      </w:r>
      <w:r w:rsidRPr="007578A7">
        <w:rPr>
          <w:rFonts w:ascii="Lato" w:hAnsi="Lato"/>
          <w:sz w:val="20"/>
          <w:szCs w:val="20"/>
        </w:rPr>
        <w:t xml:space="preserve"> pozysk</w:t>
      </w:r>
      <w:r>
        <w:rPr>
          <w:rFonts w:ascii="Lato" w:hAnsi="Lato"/>
          <w:sz w:val="20"/>
          <w:szCs w:val="20"/>
        </w:rPr>
        <w:t>iwać</w:t>
      </w:r>
      <w:r w:rsidRPr="007578A7">
        <w:rPr>
          <w:rFonts w:ascii="Lato" w:hAnsi="Lato"/>
          <w:sz w:val="20"/>
          <w:szCs w:val="20"/>
        </w:rPr>
        <w:t xml:space="preserve"> środki na inwestycje niezbędne do sprostania wymogom emisyjnym. Aktualnie przedsiębiorstwa ciepłownicze mają ograniczone możliwości pozyskania przychodów, które pozwoliłyby im na odtworzenie majątku wytwórczego i rozwoju sieci. Koniecznym działaniem jest </w:t>
      </w:r>
      <w:r>
        <w:rPr>
          <w:rFonts w:ascii="Lato" w:hAnsi="Lato"/>
          <w:sz w:val="20"/>
          <w:szCs w:val="20"/>
        </w:rPr>
        <w:t>weryfikacja</w:t>
      </w:r>
      <w:r w:rsidRPr="007578A7">
        <w:rPr>
          <w:rFonts w:ascii="Lato" w:hAnsi="Lato"/>
          <w:sz w:val="20"/>
          <w:szCs w:val="20"/>
        </w:rPr>
        <w:t xml:space="preserve"> obecnej polityki taryfowej, aby w większym stopniu przyczyniała się do rozwoju sektora i</w:t>
      </w:r>
      <w:r w:rsidR="00B6518A">
        <w:rPr>
          <w:rFonts w:ascii="Lato" w:hAnsi="Lato"/>
          <w:sz w:val="20"/>
          <w:szCs w:val="20"/>
        </w:rPr>
        <w:t> </w:t>
      </w:r>
      <w:r w:rsidRPr="007578A7">
        <w:rPr>
          <w:rFonts w:ascii="Lato" w:hAnsi="Lato"/>
          <w:sz w:val="20"/>
          <w:szCs w:val="20"/>
        </w:rPr>
        <w:t>zapewniała zagwarantowanie więcej środków na rozwój system</w:t>
      </w:r>
      <w:r>
        <w:rPr>
          <w:rFonts w:ascii="Lato" w:hAnsi="Lato"/>
          <w:sz w:val="20"/>
          <w:szCs w:val="20"/>
        </w:rPr>
        <w:t>ów.</w:t>
      </w:r>
    </w:p>
    <w:p w14:paraId="66D56EA2" w14:textId="77777777" w:rsidR="003A15A4" w:rsidRPr="007578A7" w:rsidRDefault="003A15A4" w:rsidP="003A15A4">
      <w:pPr>
        <w:pStyle w:val="NormalnyWeb"/>
        <w:spacing w:before="0" w:beforeAutospacing="0" w:after="0" w:afterAutospacing="0" w:line="276" w:lineRule="auto"/>
        <w:jc w:val="both"/>
        <w:rPr>
          <w:rFonts w:ascii="Lato" w:hAnsi="Lato"/>
          <w:sz w:val="20"/>
          <w:szCs w:val="20"/>
        </w:rPr>
      </w:pPr>
    </w:p>
    <w:p w14:paraId="2502181E" w14:textId="77777777" w:rsidR="003A15A4" w:rsidRDefault="003A15A4" w:rsidP="003A15A4">
      <w:pPr>
        <w:pStyle w:val="NormalnyWeb"/>
        <w:spacing w:before="0" w:beforeAutospacing="0" w:after="0" w:afterAutospacing="0" w:line="276" w:lineRule="auto"/>
        <w:jc w:val="both"/>
        <w:rPr>
          <w:rFonts w:ascii="Lato" w:hAnsi="Lato"/>
          <w:sz w:val="20"/>
          <w:szCs w:val="20"/>
        </w:rPr>
      </w:pPr>
      <w:r w:rsidRPr="008E3DD7">
        <w:rPr>
          <w:rFonts w:ascii="Lato" w:hAnsi="Lato"/>
          <w:sz w:val="20"/>
          <w:szCs w:val="20"/>
        </w:rPr>
        <w:t xml:space="preserve">Choć regulacje narzucają określone ograniczenia, jednocześnie otwierają drzwi do innowacji, które mogą wzmocnić konkurencyjność sektora oraz poprawić jakość powietrza. Inwestycje w nowoczesne technologie ciepłownicze stają się więc nie tylko koniecznością, ale także szansą na rozwój w kierunku bardziej zrównoważonych i odpornych systemów. </w:t>
      </w:r>
    </w:p>
    <w:p w14:paraId="5936D53A" w14:textId="0DE7BDD1" w:rsidR="0017658D" w:rsidRDefault="0017658D" w:rsidP="0017658D">
      <w:pPr>
        <w:pStyle w:val="podtytu2"/>
      </w:pPr>
      <w:r>
        <w:t xml:space="preserve">Ryzyko rynkowe </w:t>
      </w:r>
    </w:p>
    <w:p w14:paraId="5708A27E" w14:textId="77777777" w:rsidR="00045F07" w:rsidRDefault="00045F07" w:rsidP="00045F07">
      <w:pPr>
        <w:pStyle w:val="NormalnyWeb"/>
        <w:spacing w:before="0" w:beforeAutospacing="0" w:after="0" w:afterAutospacing="0" w:line="276" w:lineRule="auto"/>
        <w:jc w:val="both"/>
        <w:rPr>
          <w:rFonts w:ascii="Lato" w:hAnsi="Lato"/>
          <w:sz w:val="20"/>
          <w:szCs w:val="20"/>
        </w:rPr>
      </w:pPr>
      <w:r w:rsidRPr="005840DF">
        <w:rPr>
          <w:rFonts w:ascii="Lato" w:hAnsi="Lato"/>
          <w:sz w:val="20"/>
          <w:szCs w:val="20"/>
        </w:rPr>
        <w:t>Stabilność finansowa będzie miała decydujące znaczenie dla możliwości transformacji w kierunku nowoczesnych, niskoemisyjnych technologii</w:t>
      </w:r>
      <w:r>
        <w:rPr>
          <w:rFonts w:ascii="Lato" w:hAnsi="Lato"/>
          <w:sz w:val="20"/>
          <w:szCs w:val="20"/>
        </w:rPr>
        <w:t>.</w:t>
      </w:r>
      <w:r w:rsidRPr="005840DF">
        <w:rPr>
          <w:rFonts w:ascii="Lato" w:hAnsi="Lato"/>
          <w:sz w:val="20"/>
          <w:szCs w:val="20"/>
        </w:rPr>
        <w:t xml:space="preserve"> Aby skutecznie zniwelować ryzyko związane z dostępem do finansowania w sektorze ciepłowniczym, kluczowe jest przygotowanie dobrze przemyślanego planu finansowania, który pozwoli przedsiębiorstwom na realizację inwestycji modernizacyjnych oraz dostosowanie się do nowych regulacji. </w:t>
      </w:r>
    </w:p>
    <w:p w14:paraId="014E95EB" w14:textId="77777777" w:rsidR="00045F07" w:rsidRPr="005840DF" w:rsidRDefault="00045F07" w:rsidP="00045F07">
      <w:pPr>
        <w:pStyle w:val="NormalnyWeb"/>
        <w:spacing w:before="0" w:beforeAutospacing="0" w:after="0" w:afterAutospacing="0" w:line="276" w:lineRule="auto"/>
        <w:jc w:val="both"/>
        <w:rPr>
          <w:rFonts w:ascii="Lato" w:hAnsi="Lato"/>
          <w:sz w:val="20"/>
          <w:szCs w:val="20"/>
        </w:rPr>
      </w:pPr>
    </w:p>
    <w:p w14:paraId="3ED9F931" w14:textId="77777777" w:rsidR="00045F07" w:rsidRPr="005840DF" w:rsidRDefault="00045F07" w:rsidP="00045F07">
      <w:pPr>
        <w:pStyle w:val="NormalnyWeb"/>
        <w:spacing w:before="0" w:beforeAutospacing="0" w:after="0" w:afterAutospacing="0" w:line="276" w:lineRule="auto"/>
        <w:jc w:val="both"/>
        <w:rPr>
          <w:rFonts w:ascii="Lato" w:hAnsi="Lato"/>
          <w:sz w:val="20"/>
          <w:szCs w:val="20"/>
        </w:rPr>
      </w:pPr>
      <w:r w:rsidRPr="005840DF">
        <w:rPr>
          <w:rFonts w:ascii="Lato" w:hAnsi="Lato"/>
          <w:sz w:val="20"/>
          <w:szCs w:val="20"/>
        </w:rPr>
        <w:t>Integracja sektorów: elektroenergetyki i ciepłownictwa może odegrać istotną rolę w stabilizacji systemu elektroenergetycznego, efektywnie wykorzystując nadwyżki energii elektrycznej generowanej z OZE, szczególnie w okresach nadprodukcji z wiatru i słońca. Możliwe jest także wsparcie bilansowania sieci elektroenergetycznej poprzez magazynowanie energii w postaci ciepła i jej późniejsze wykorzystanie.</w:t>
      </w:r>
    </w:p>
    <w:p w14:paraId="4B3995B5" w14:textId="4B7C2ABA" w:rsidR="00045F07" w:rsidRDefault="00045F07" w:rsidP="00045F07">
      <w:pPr>
        <w:pStyle w:val="NormalnyWeb"/>
        <w:spacing w:before="0" w:beforeAutospacing="0" w:after="0" w:afterAutospacing="0" w:line="276" w:lineRule="auto"/>
        <w:jc w:val="both"/>
        <w:rPr>
          <w:rFonts w:ascii="Lato" w:hAnsi="Lato"/>
          <w:sz w:val="20"/>
          <w:szCs w:val="20"/>
        </w:rPr>
      </w:pPr>
      <w:r w:rsidRPr="005840DF">
        <w:rPr>
          <w:rFonts w:ascii="Lato" w:hAnsi="Lato"/>
          <w:sz w:val="20"/>
          <w:szCs w:val="20"/>
        </w:rPr>
        <w:t>Nowy model dla ciepłownictwa zakłada przejście na technologie bezemisyjne, takie jak pompy ciepła, kolektory słoneczne oraz kotły elektrodowe zasilane energią odnawialną. Ważnym elementem jest również rozwój magazynów ciepła, które pozwalają na skuteczne zarządzanie nadwyżkami energii i</w:t>
      </w:r>
      <w:r w:rsidR="00B6518A">
        <w:rPr>
          <w:rFonts w:ascii="Lato" w:hAnsi="Lato"/>
          <w:sz w:val="20"/>
          <w:szCs w:val="20"/>
        </w:rPr>
        <w:t> </w:t>
      </w:r>
      <w:r w:rsidRPr="005840DF">
        <w:rPr>
          <w:rFonts w:ascii="Lato" w:hAnsi="Lato"/>
          <w:sz w:val="20"/>
          <w:szCs w:val="20"/>
        </w:rPr>
        <w:t>stabilizację pracy systemów ciepłowniczych.</w:t>
      </w:r>
    </w:p>
    <w:p w14:paraId="7B311BF0" w14:textId="77777777" w:rsidR="00045F07" w:rsidRPr="005840DF" w:rsidRDefault="00045F07" w:rsidP="00045F07">
      <w:pPr>
        <w:pStyle w:val="NormalnyWeb"/>
        <w:spacing w:before="0" w:beforeAutospacing="0" w:after="0" w:afterAutospacing="0" w:line="276" w:lineRule="auto"/>
        <w:jc w:val="both"/>
        <w:rPr>
          <w:rFonts w:ascii="Lato" w:hAnsi="Lato"/>
          <w:sz w:val="20"/>
          <w:szCs w:val="20"/>
        </w:rPr>
      </w:pPr>
    </w:p>
    <w:p w14:paraId="2609C891" w14:textId="77777777" w:rsidR="00045F07" w:rsidRDefault="00045F07" w:rsidP="00045F07">
      <w:pPr>
        <w:pStyle w:val="NormalnyWeb"/>
        <w:spacing w:before="0" w:beforeAutospacing="0" w:after="0" w:afterAutospacing="0" w:line="276" w:lineRule="auto"/>
        <w:jc w:val="both"/>
        <w:rPr>
          <w:rFonts w:ascii="Lato" w:hAnsi="Lato"/>
          <w:sz w:val="20"/>
          <w:szCs w:val="20"/>
        </w:rPr>
      </w:pPr>
      <w:r w:rsidRPr="005840DF">
        <w:rPr>
          <w:rFonts w:ascii="Lato" w:hAnsi="Lato"/>
          <w:sz w:val="20"/>
          <w:szCs w:val="20"/>
        </w:rPr>
        <w:t>Podnoszenie efektywności energetycznej wymaga ograniczenia strat przesyłowych poprzez obniżenie parametrów pracy sieci oraz aktualizacji norm</w:t>
      </w:r>
      <w:r>
        <w:rPr>
          <w:rFonts w:ascii="Lato" w:hAnsi="Lato"/>
          <w:sz w:val="20"/>
          <w:szCs w:val="20"/>
        </w:rPr>
        <w:t xml:space="preserve"> i temperatur obliczeniowych</w:t>
      </w:r>
      <w:r w:rsidRPr="005840DF">
        <w:rPr>
          <w:rFonts w:ascii="Lato" w:hAnsi="Lato"/>
          <w:sz w:val="20"/>
          <w:szCs w:val="20"/>
        </w:rPr>
        <w:t xml:space="preserve"> w celu optymalizacji </w:t>
      </w:r>
      <w:r>
        <w:rPr>
          <w:rFonts w:ascii="Lato" w:hAnsi="Lato"/>
          <w:sz w:val="20"/>
          <w:szCs w:val="20"/>
        </w:rPr>
        <w:t>pracy sieci</w:t>
      </w:r>
      <w:r w:rsidRPr="005840DF">
        <w:rPr>
          <w:rFonts w:ascii="Lato" w:hAnsi="Lato"/>
          <w:sz w:val="20"/>
          <w:szCs w:val="20"/>
        </w:rPr>
        <w:t>. Ważnym działaniem jest także wspieranie programów termomodernizacji budynków, co pozwoli zmniejszyć zapotrzebowanie na energię cieplną, a także wykorzystanie ciepła odpadowego w systemach ciepłowniczych oraz cyfryzacja zarządzania ciepłownictwem.</w:t>
      </w:r>
    </w:p>
    <w:p w14:paraId="6060183F" w14:textId="77777777" w:rsidR="00045F07" w:rsidRPr="005840DF" w:rsidRDefault="00045F07" w:rsidP="00045F07">
      <w:pPr>
        <w:pStyle w:val="NormalnyWeb"/>
        <w:spacing w:before="0" w:beforeAutospacing="0" w:after="0" w:afterAutospacing="0" w:line="276" w:lineRule="auto"/>
        <w:jc w:val="both"/>
        <w:rPr>
          <w:rFonts w:ascii="Lato" w:hAnsi="Lato"/>
          <w:sz w:val="20"/>
          <w:szCs w:val="20"/>
        </w:rPr>
      </w:pPr>
    </w:p>
    <w:p w14:paraId="618F2438" w14:textId="77777777" w:rsidR="00045F07" w:rsidRPr="005840DF" w:rsidRDefault="00045F07" w:rsidP="00045F07">
      <w:pPr>
        <w:pStyle w:val="NormalnyWeb"/>
        <w:spacing w:before="0" w:beforeAutospacing="0" w:after="0" w:afterAutospacing="0" w:line="276" w:lineRule="auto"/>
        <w:jc w:val="both"/>
        <w:rPr>
          <w:rFonts w:ascii="Lato" w:hAnsi="Lato"/>
          <w:sz w:val="20"/>
          <w:szCs w:val="20"/>
        </w:rPr>
      </w:pPr>
      <w:r w:rsidRPr="005840DF">
        <w:rPr>
          <w:rFonts w:ascii="Lato" w:hAnsi="Lato"/>
          <w:sz w:val="20"/>
          <w:szCs w:val="20"/>
        </w:rPr>
        <w:t>Dostosowanie modelu taryfowego do potrzeb nowoczesnej energetyki powinno uwzględniać rozwój technologii OZE i umożliwiać efektywne wykorzystanie zielonej energii w sektorze ciepłowniczym. Wsparcie rozwoju ciepłownictwa opartego na OZE będzie miało kluczowe znaczenie dla przyszłości rynku oraz poprawy jakości powietrza.</w:t>
      </w:r>
    </w:p>
    <w:p w14:paraId="4B6D516F" w14:textId="77777777" w:rsidR="00045F07" w:rsidRPr="005840DF" w:rsidRDefault="00045F07" w:rsidP="00045F07">
      <w:pPr>
        <w:pStyle w:val="NormalnyWeb"/>
        <w:spacing w:before="0" w:beforeAutospacing="0" w:after="0" w:afterAutospacing="0" w:line="276" w:lineRule="auto"/>
        <w:jc w:val="both"/>
        <w:rPr>
          <w:rFonts w:ascii="Lato" w:hAnsi="Lato"/>
          <w:sz w:val="20"/>
          <w:szCs w:val="20"/>
        </w:rPr>
      </w:pPr>
      <w:r w:rsidRPr="005840DF">
        <w:rPr>
          <w:rFonts w:ascii="Lato" w:hAnsi="Lato"/>
          <w:sz w:val="20"/>
          <w:szCs w:val="20"/>
        </w:rPr>
        <w:t>Pomimo wyzwań rynkowych, sektor ciepłowniczy ma potencjał do transformacji, która pozwoli na poprawę jego konkurencyjności, stabilność finansową oraz przyczynienie się do budowy bardziej zrównoważonego systemu energetycznego.</w:t>
      </w:r>
    </w:p>
    <w:p w14:paraId="6121338D" w14:textId="77777777" w:rsidR="00282406" w:rsidRDefault="00282406" w:rsidP="0017658D"/>
    <w:p w14:paraId="0CBA3183" w14:textId="2E11C118" w:rsidR="0017658D" w:rsidRPr="00420964" w:rsidRDefault="0017658D" w:rsidP="000D2544">
      <w:pPr>
        <w:pStyle w:val="Nagwek4"/>
      </w:pPr>
      <w:bookmarkStart w:id="759" w:name="_Toc171587362"/>
      <w:bookmarkStart w:id="760" w:name="_Toc173478915"/>
      <w:bookmarkStart w:id="761" w:name="_Toc197666322"/>
      <w:r w:rsidRPr="00420964">
        <w:t>Sektor gazowy – ryzyka sektorowe</w:t>
      </w:r>
      <w:bookmarkEnd w:id="759"/>
      <w:bookmarkEnd w:id="760"/>
      <w:bookmarkEnd w:id="761"/>
    </w:p>
    <w:p w14:paraId="1104AB4C" w14:textId="77777777" w:rsidR="001A4759" w:rsidRDefault="001A4759" w:rsidP="001A4759">
      <w:r w:rsidRPr="00A546AC">
        <w:t>Rozwój infrastruktury gazowej w Polsce determinowany był przede wszystkim koniecznością zapewnienia dywersyfikacji źródeł dostaw oraz rozwojem połączeń transgranicznych zapewniających integrację europejskich rynków. Historyczne uwarunkowania spowodowały, że KSP wymagał rozbudowy w sposób umożliwiający dywersyfikację od dostaw gazu rosyjskiego i całkowite odejście od uzależnienia od dostaw z jednego kierunku. Z tego powodu operator sytemu przesyłowego w ostatnich latach zrealizował szereg inwestycji dywersyfikujących kierunki oraz źródła dostaw gazu ziemnego</w:t>
      </w:r>
      <w:r>
        <w:t xml:space="preserve"> Obecnie Polska jest całkowicie uniezależniona od dostaw gazu ziemnego z Rosji. </w:t>
      </w:r>
    </w:p>
    <w:p w14:paraId="7B2C407F" w14:textId="77777777" w:rsidR="001A4759" w:rsidRDefault="001A4759" w:rsidP="001A4759">
      <w:r>
        <w:t xml:space="preserve">Kontynuowane są przez OSP (GAZ-SYSTEM S.A.) działania w zakresie </w:t>
      </w:r>
      <w:r w:rsidRPr="00341E26">
        <w:t>realizacji projekt</w:t>
      </w:r>
      <w:r>
        <w:t xml:space="preserve">ów </w:t>
      </w:r>
      <w:r w:rsidRPr="00341E26">
        <w:t>dywersyfikacyjn</w:t>
      </w:r>
      <w:r>
        <w:t>ych.</w:t>
      </w:r>
      <w:r w:rsidRPr="00341E26">
        <w:t xml:space="preserve"> </w:t>
      </w:r>
      <w:r>
        <w:t>R</w:t>
      </w:r>
      <w:r w:rsidRPr="00341E26">
        <w:t>ozbudow</w:t>
      </w:r>
      <w:r>
        <w:t>a</w:t>
      </w:r>
      <w:r w:rsidRPr="00341E26">
        <w:t xml:space="preserve"> terminalu LNG w Świnoujściu </w:t>
      </w:r>
      <w:r>
        <w:t xml:space="preserve">jest bliska ukończeniu. W odpowiedzi na zapotrzebowanie rynku przystąpiono do realizacji </w:t>
      </w:r>
      <w:r w:rsidRPr="00341E26">
        <w:t>dodatkowego terminalu LNG w Zatoce Gdańskiej</w:t>
      </w:r>
      <w:r>
        <w:t xml:space="preserve"> wzmacniając bezpieczeństwo gazowe państwa i integracje z globalnymi rynkami gazowymi. Konsekwentnie rozbudowywana jest również krajowa sieć przesyłowa, umożliwiająca dostawy gazu ziemnego z dowolnego kierunku i udrażniająca przepływ w zidentyfikowanych tzw. „wąskich gardłach” w systemie przesyłowym. Likwidowane są dzięki temu kolejne bariery,</w:t>
      </w:r>
      <w:r w:rsidRPr="00C8349F">
        <w:t xml:space="preserve"> </w:t>
      </w:r>
      <w:r>
        <w:t>które uniemożliwiały zwiększenie wykorzystania gazu ziemnego w krajowej gospodarce.</w:t>
      </w:r>
    </w:p>
    <w:p w14:paraId="2B02BC10" w14:textId="77777777" w:rsidR="0017658D" w:rsidRDefault="0017658D" w:rsidP="0017658D">
      <w:pPr>
        <w:pStyle w:val="podtytu2"/>
      </w:pPr>
      <w:r>
        <w:t xml:space="preserve">Ryzyko rynkowe </w:t>
      </w:r>
    </w:p>
    <w:p w14:paraId="682289F5" w14:textId="77777777" w:rsidR="00F451DD" w:rsidRDefault="00F451DD" w:rsidP="00F451DD">
      <w:r>
        <w:t xml:space="preserve">W sektorze gazowym, operator gazociągów przesyłowych reagując na sygnały z rynku o wzroście zapotrzebowania na gaz ziemny prowadzi szereg inwestycji infrastrukturalnych. Trudności, które napotyka OSP są charakterystyczne dla całego sektora budowlanego i dotyczą ograniczonego potencjału, zarówno wykonawczego, jak i projektowego. Dostrzega się wzrost cen usług wykonawstwa, co jest spowodowane ograniczonymi zasobami na rynku. Ponadto w niektórych przetargach ceny ofert przekraczają szacunkową wartość budżetu zamawiającego. Duże przetargi na kompleksową realizację budowy gazociągów mogą wiązać się z zawyżonymi ofertami oraz ryzykiem niedotrzymania terminu ukończenia inwestycji przez wykonawcę. </w:t>
      </w:r>
    </w:p>
    <w:p w14:paraId="035B7950" w14:textId="59F63B4D" w:rsidR="007D3E05" w:rsidRDefault="003B3EFD" w:rsidP="0017658D">
      <w:r>
        <w:t>Największym wyzwaniem dla wykonawcy jest zgromadzenie niezbędnych zasobów i materiałów w początkowym okresie umowy. Kolejnym jest różnorodność branżowa prac przygotowawczych, które obejmują działania w kilku obszarach, wykraczających poza właściwe roboty gazownicze. Często wykonawcy nie realizują ich siłami własnymi. Komplikuje to proces wykonawczy, ze względu na konieczność pozyskania specjalistycznego wyposażenia i wykwalifikowanej kadry albo udziału podwykonawców. Problemy, z jakimi boryka się branża budowlana dotyczą głównie ograniczonego potencjału wykonawczego oraz projektowego.</w:t>
      </w:r>
    </w:p>
    <w:p w14:paraId="70287713" w14:textId="77777777" w:rsidR="0017658D" w:rsidRPr="00420964" w:rsidRDefault="0017658D" w:rsidP="000D2544">
      <w:pPr>
        <w:pStyle w:val="Nagwek4"/>
      </w:pPr>
      <w:bookmarkStart w:id="762" w:name="_Toc171587363"/>
      <w:bookmarkStart w:id="763" w:name="_Toc173478916"/>
      <w:bookmarkStart w:id="764" w:name="_Toc197666323"/>
      <w:r w:rsidRPr="00420964">
        <w:t>Sektor paliw ciekłych – ryzyka sektorowe</w:t>
      </w:r>
      <w:bookmarkEnd w:id="762"/>
      <w:bookmarkEnd w:id="763"/>
      <w:bookmarkEnd w:id="764"/>
    </w:p>
    <w:p w14:paraId="5B6D17ED" w14:textId="77777777" w:rsidR="00752A73" w:rsidRDefault="00752A73" w:rsidP="00752A73">
      <w:bookmarkStart w:id="765" w:name="_Toc171587365"/>
      <w:bookmarkStart w:id="766" w:name="_Toc174710931"/>
      <w:bookmarkEnd w:id="752"/>
      <w:r>
        <w:t xml:space="preserve">Ze względu na ograniczenia w dostępie do krajowych zasobów ropy naftowej, z punktu widzenia Polski kluczowe jest działanie w kierunku dywersyfikacji dostaw oraz zapewnienia bezpieczeństwa dostaw ropy naftowej i paliw ciekłych. Dalsza dywersyfikacja importu ropy naftowej wymaga przede wszystkim rozwiniętej i sprawnie funkcjonującej infrastruktury wewnętrznej, tak by ograniczyć bariery w dostawach i zapewnić możliwość zwiększenia importu surowca drogą morską. Aby zapewnić techniczne możliwości zróżnicowania źródeł dostaw ropy do krajowych rafinerii, konieczne są również inwestycje zwiększające naziemną infrastrukturę magazynową. </w:t>
      </w:r>
    </w:p>
    <w:p w14:paraId="033BBB0A" w14:textId="77777777" w:rsidR="00752A73" w:rsidRDefault="00752A73" w:rsidP="00752A73">
      <w:pPr>
        <w:pStyle w:val="podtytu2"/>
      </w:pPr>
      <w:r>
        <w:t xml:space="preserve">Ryzyko rynkowe </w:t>
      </w:r>
    </w:p>
    <w:p w14:paraId="25831D3D" w14:textId="77777777" w:rsidR="00752A73" w:rsidRDefault="00752A73" w:rsidP="00752A73">
      <w:r>
        <w:t>Rynek paliw w Polsce zaopatrywany jest z dwóch źródeł: producenci krajowi (PKN Orlen S.A.) oraz importerzy. Do głównych rodzajów ryzyk rynkowych, na które narażony jest sektor paliw ciekłych w ramach prowadzonej działalności, należy ryzyko towarowe – związane ze zmianami: marż rafineryjnych i petrochemicznych realizowanych na sprzedaży produktów, poziomu dyferencjału brent/ural, cen ropy naftowej i produktów oraz cen uprawnień do emisji GHG.</w:t>
      </w:r>
    </w:p>
    <w:p w14:paraId="32058641" w14:textId="3DBC8013" w:rsidR="00752A73" w:rsidRDefault="00752A73" w:rsidP="00752A73">
      <w:r>
        <w:t xml:space="preserve">Ogólna sytuacja gospodarcza wywiera istotny wpływ na poziom konsumpcji paliw i tym samym determinuje poziom sprzedaży, cen produktów sektora paliw ciekłych oraz jego sytuację finansową i w konsekwencji zdolność do dalszego rozwoju. Rynek paliw jest narażony również na ryzyko wynikające z działalności tzw. „szarej strefy”, związanej przede wszystkim z wprowadzeniem na rynek paliwa z pominięciem obowiązków zapłaty podatków. Firmy z sektora paliw ciekłych są narażone na zakłócenia przerobu ropy spowodowane niedostępnością usług logistycznych za pośrednictwem rurociągu oraz niestabilną sytuacją w państwach wydobywających ropę naftową. Istotne znaczenie może mieć również zmiana parametrów dostarczanej ropy i związane z nimi niższe uzyski produktów białych, a także prowadzone postoje remontowe instalacji produkcyjnych. Rozbudowa np. istniejących i budowa nowych rafinerii w Rosji, może skutkować zmniejszeniem wolumenów rosyjskiej ropy naftowej kierowanej na eksport i w konsekwencji zmniejszeniem dostępności tego surowca dla odbiorców europejskich, w tym do firm polskich. </w:t>
      </w:r>
    </w:p>
    <w:p w14:paraId="18FC34F9" w14:textId="77777777" w:rsidR="00752A73" w:rsidRDefault="00752A73" w:rsidP="00752A73">
      <w:r>
        <w:t xml:space="preserve">W sektorze paliw ciekłych głównym rodzajem działalności jest segment </w:t>
      </w:r>
      <w:r>
        <w:rPr>
          <w:i/>
          <w:iCs/>
        </w:rPr>
        <w:t>downstream</w:t>
      </w:r>
      <w:r>
        <w:t xml:space="preserve">, czyli przerób ropy naftowej na produkty ropopochodne, w tym paliwa oraz sprzedaż tych produktów odbiorcom. Segment </w:t>
      </w:r>
      <w:r>
        <w:rPr>
          <w:i/>
          <w:iCs/>
        </w:rPr>
        <w:t xml:space="preserve">upstream </w:t>
      </w:r>
      <w:r>
        <w:t xml:space="preserve">to sektor wydobywczy, który obejmuje poszukiwanie potencjalnych podziemnych lub podwodnych złóż ropy naftowej i gazu ziemnego, wiercenie odwiertów poszukiwawczych i eksploatację odwiertów, które pozwalają na odzyskanie i wyniesienie na powierzchnię ropy naftowej lub gazu ziemnego. Projekty wydobywcze są obarczone szeregiem ryzyk geologicznych i operacyjnych, które mogą uniemożliwić realizację oczekiwanych zysków. Realizacja tych projektów może się opóźnić lub może się nie powieść wcale, przede wszystkim z powodu wysokiego ryzyka poszukiwawczego tego typu działalności, przekroczenia kosztów, niższych niż zakładane cen ropy i gazu, wyższych niż zakładano obciążeń fiskalnych, niekorzystnych zmian w regulacjach sektorowych, niedoborów sprzętu oraz wykwalifikowanej kadry pracowników, trudnych warunków atmosferycznych czy trudności w znalezieniu partnerów do współdzielenia ryzyka i kosztów związanych z prowadzeniem projektów. Projekty te mogą również często wymagać korzystania z nowych, zaawansowanych technologii, które są kosztowne w opracowaniu, nabyciu i realizacji i mogą nie funkcjonować zgodnie z oczekiwaniami. </w:t>
      </w:r>
    </w:p>
    <w:p w14:paraId="1E88E144" w14:textId="50C43DB8" w:rsidR="00752A73" w:rsidRPr="00C50274" w:rsidRDefault="00752A73" w:rsidP="00752A73">
      <w:r>
        <w:t>Trzeba także zauważyć, że ryzykiem dla sektora jest konieczność udziału w realizacji celu zwiększania udziału OZE w transporcie. Podmioty napotykają trudności technologiczne w blendowaniu estrów metylowych i bioetanolu oraz spełnianiu wymogów dotyczących rodzajów biokomponentów do zaliczenia celu. Ponoszone koszty mogą mieć także wpływ na konkurencyjność tych podmiotów.</w:t>
      </w:r>
    </w:p>
    <w:p w14:paraId="37E7AC2C" w14:textId="3AC8818A" w:rsidR="005C4144" w:rsidRPr="007679BB" w:rsidRDefault="005C4144" w:rsidP="004F5D0E">
      <w:pPr>
        <w:pStyle w:val="Nagwek1"/>
      </w:pPr>
      <w:bookmarkStart w:id="767" w:name="_Toc202966931"/>
      <w:r>
        <w:t>Wpływ</w:t>
      </w:r>
      <w:r w:rsidRPr="007679BB">
        <w:t xml:space="preserve"> planowanych polityk i </w:t>
      </w:r>
      <w:r w:rsidR="002D48CA">
        <w:t>działań</w:t>
      </w:r>
      <w:r w:rsidRPr="007679BB">
        <w:t xml:space="preserve"> na </w:t>
      </w:r>
      <w:r>
        <w:t>inne państwa członkowskie i współpracę regionalną</w:t>
      </w:r>
      <w:bookmarkEnd w:id="765"/>
      <w:bookmarkEnd w:id="766"/>
      <w:bookmarkEnd w:id="767"/>
    </w:p>
    <w:p w14:paraId="4DC4F10B" w14:textId="7DD7784D" w:rsidR="005C4144" w:rsidRDefault="005C4144" w:rsidP="004F5D0E">
      <w:pPr>
        <w:pStyle w:val="Nagwek2"/>
      </w:pPr>
      <w:bookmarkStart w:id="768" w:name="_Toc171587366"/>
      <w:bookmarkStart w:id="769" w:name="_Toc174710932"/>
      <w:bookmarkStart w:id="770" w:name="_Toc202966932"/>
      <w:r>
        <w:t>Wpływ na system energetyczny w państwach sąsiednich i w innych państwach członkowskich w</w:t>
      </w:r>
      <w:r w:rsidR="000D2FDB">
        <w:t> </w:t>
      </w:r>
      <w:r>
        <w:t>regionie</w:t>
      </w:r>
      <w:bookmarkEnd w:id="768"/>
      <w:bookmarkEnd w:id="769"/>
      <w:bookmarkEnd w:id="770"/>
    </w:p>
    <w:p w14:paraId="176023C4" w14:textId="6A6E86D6" w:rsidR="005C4144" w:rsidRDefault="005C4144" w:rsidP="004F5D0E">
      <w:pPr>
        <w:pStyle w:val="Nagwek3"/>
      </w:pPr>
      <w:bookmarkStart w:id="771" w:name="_Toc171587367"/>
      <w:bookmarkStart w:id="772" w:name="_Toc174710933"/>
      <w:bookmarkStart w:id="773" w:name="_Toc202966933"/>
      <w:r>
        <w:t>Systemy elektroenergetyczne</w:t>
      </w:r>
      <w:bookmarkEnd w:id="771"/>
      <w:bookmarkEnd w:id="772"/>
      <w:bookmarkEnd w:id="773"/>
    </w:p>
    <w:p w14:paraId="1157981F" w14:textId="7D8B0936" w:rsidR="003149E7" w:rsidRDefault="003149E7" w:rsidP="003149E7">
      <w:bookmarkStart w:id="774" w:name="_Toc169105077"/>
      <w:bookmarkStart w:id="775" w:name="_Toc171587368"/>
      <w:bookmarkStart w:id="776" w:name="_Toc174710934"/>
      <w:r>
        <w:t>Efektywne wykorzystanie połączeń transgranicznych w Europie jest kluczow</w:t>
      </w:r>
      <w:r w:rsidR="00C55561">
        <w:t>e</w:t>
      </w:r>
      <w:r>
        <w:t xml:space="preserve"> dla bezpieczeństwa energetycznego. W tym celu Polska będzie kontynuować aktywną współpracę z państwami sąsiednimi</w:t>
      </w:r>
      <w:r w:rsidR="00C55561">
        <w:t xml:space="preserve"> UE i </w:t>
      </w:r>
      <w:r w:rsidR="00487FD5">
        <w:t>W</w:t>
      </w:r>
      <w:r w:rsidR="00C55561">
        <w:t xml:space="preserve">spólnoty </w:t>
      </w:r>
      <w:r w:rsidR="00487FD5">
        <w:t>E</w:t>
      </w:r>
      <w:r w:rsidR="00C55561">
        <w:t>nergetycznej</w:t>
      </w:r>
      <w:r>
        <w:t xml:space="preserve">. </w:t>
      </w:r>
    </w:p>
    <w:p w14:paraId="687390F6" w14:textId="6DA1B882" w:rsidR="003149E7" w:rsidRDefault="003149E7" w:rsidP="003149E7">
      <w:r>
        <w:t xml:space="preserve">Inwestycje w polskim systemie elektroenergetycznych w ostatnich latach jak i te planowane, mają szczególne znaczenie dla bezpieczeństwa elektroenergetycznego Państw bałtyckich oraz Ukrainy. Budowa połączenia elektroenergetycznego pomiędzy Polską i Litwą była jedną z ważniejszych inwestycji, zrealizowanych w </w:t>
      </w:r>
      <w:r w:rsidR="00C55561">
        <w:t xml:space="preserve">UE </w:t>
      </w:r>
      <w:r>
        <w:t>w ostatni</w:t>
      </w:r>
      <w:r w:rsidR="00C55561">
        <w:t>ej dekadzie</w:t>
      </w:r>
      <w:r>
        <w:t xml:space="preserve">. Linia dwutorowa 400 kV połączyła stacje Ełk Bis i Alytus na Litwie, która umożliwia </w:t>
      </w:r>
      <w:r w:rsidR="00C55561">
        <w:t>obecnie pracę synchroniczną państwom bałtyckim z obszarem synchronicznym Europy kontynentalnej (CESA)</w:t>
      </w:r>
      <w:r w:rsidR="00936564">
        <w:t>.</w:t>
      </w:r>
      <w:r>
        <w:t xml:space="preserve"> Linia „LitPol Link” jest jedynym połączeniem elektroenergetycznym pomiędzy krajami bałtyckimi oraz systemem Europy kontynentalnej</w:t>
      </w:r>
      <w:r w:rsidR="00C55561">
        <w:t xml:space="preserve"> (CESA)</w:t>
      </w:r>
      <w:r>
        <w:t xml:space="preserve">. </w:t>
      </w:r>
      <w:r w:rsidR="00C55561">
        <w:t>Drugim</w:t>
      </w:r>
      <w:r>
        <w:t xml:space="preserve">, obecnie realizowanym </w:t>
      </w:r>
      <w:r w:rsidR="00C55561">
        <w:t>połączeniem będzie</w:t>
      </w:r>
      <w:r>
        <w:t xml:space="preserve"> połączeni</w:t>
      </w:r>
      <w:r w:rsidR="00C55561">
        <w:t>e</w:t>
      </w:r>
      <w:r>
        <w:t xml:space="preserve"> Polska-Litwa </w:t>
      </w:r>
      <w:r w:rsidR="00C55561">
        <w:t>„</w:t>
      </w:r>
      <w:r>
        <w:t>Harmony Link</w:t>
      </w:r>
      <w:r w:rsidR="00C55561">
        <w:t>”</w:t>
      </w:r>
      <w:r>
        <w:t xml:space="preserve">. </w:t>
      </w:r>
      <w:r w:rsidR="00C55561">
        <w:t>S</w:t>
      </w:r>
      <w:r>
        <w:t>ynchronizacj</w:t>
      </w:r>
      <w:r w:rsidR="00C55561">
        <w:t>ę</w:t>
      </w:r>
      <w:r>
        <w:t xml:space="preserve"> państw bałtyckich z obszarem synchronicznym Europy kontynentalnej </w:t>
      </w:r>
      <w:r w:rsidR="00C55561">
        <w:t>przeprowadz</w:t>
      </w:r>
      <w:r w:rsidR="00487FD5">
        <w:t>o</w:t>
      </w:r>
      <w:r w:rsidR="00C55561">
        <w:t>no 9</w:t>
      </w:r>
      <w:r w:rsidR="002A532C">
        <w:t xml:space="preserve"> </w:t>
      </w:r>
      <w:r>
        <w:t>lut</w:t>
      </w:r>
      <w:r w:rsidR="00C55561">
        <w:t>ego</w:t>
      </w:r>
      <w:r>
        <w:t xml:space="preserve"> 2025 r. Wcześniej </w:t>
      </w:r>
      <w:r w:rsidR="00C55561">
        <w:t xml:space="preserve">systemy państw bałtyckich zostały trwale odłączone </w:t>
      </w:r>
      <w:r>
        <w:t>od pracy synchronicznej z systemem UPS/IPS, obejmującym Rosję i Białoruś.</w:t>
      </w:r>
    </w:p>
    <w:p w14:paraId="348D13F2" w14:textId="77777777" w:rsidR="003149E7" w:rsidRDefault="003149E7" w:rsidP="003149E7">
      <w:r>
        <w:t xml:space="preserve">W perspektywie najbliższej dekady PSE S.A. planują rozbudowę całej sieci wewnętrznej, w szczególności na wschodzie i północy, służącą przyłączeniu źródeł energii zlokalizowanych na północy kraju i integrację systemów państw bałtyckich oraz na zachodzie w celu zwiększenia możliwości handlowych w ramach regionu </w:t>
      </w:r>
      <w:r w:rsidR="00C55561">
        <w:t xml:space="preserve">kalkulacji zdolności przesyłowych </w:t>
      </w:r>
      <w:r>
        <w:t xml:space="preserve">Core (CCR Core). Podstawową korzyścią z rozbudowy sieci wewnętrznej jest wyprowadzenie mocy z krajowych źródeł wytwórczych, w tym OZE i nowych planowanych na północy kraju oraz wzrost pewności dostaw energii do odbiorców. </w:t>
      </w:r>
    </w:p>
    <w:p w14:paraId="2342F7F1" w14:textId="77777777" w:rsidR="003149E7" w:rsidRPr="00C611EF" w:rsidRDefault="003149E7" w:rsidP="003149E7">
      <w:pPr>
        <w:pStyle w:val="podtytu2"/>
      </w:pPr>
      <w:r w:rsidRPr="00C611EF">
        <w:t xml:space="preserve">– Wspólna zasada wyznaczania zdolności przesyłowych </w:t>
      </w:r>
    </w:p>
    <w:p w14:paraId="5B2EA7E6" w14:textId="119A7E57" w:rsidR="003149E7" w:rsidRPr="00C611EF" w:rsidRDefault="003149E7" w:rsidP="003149E7">
      <w:r>
        <w:t xml:space="preserve">Wprowadzony w europejskim rynku energii podział </w:t>
      </w:r>
      <w:r w:rsidRPr="00C611EF">
        <w:t xml:space="preserve">na obszary rynkowe CCR (Capacity Calculation Region), ma na celu zapewnienie </w:t>
      </w:r>
      <w:r>
        <w:t>optymalizacj</w:t>
      </w:r>
      <w:r w:rsidR="00C55561">
        <w:t>i</w:t>
      </w:r>
      <w:r>
        <w:t xml:space="preserve"> alokacji zdolności przesyłowych</w:t>
      </w:r>
      <w:r w:rsidRPr="00C611EF">
        <w:t xml:space="preserve">. W poszczególnych regionach CCR operatorzy sieci przesyłowych wspólnie </w:t>
      </w:r>
      <w:r>
        <w:t xml:space="preserve">w sposób skoordynowany </w:t>
      </w:r>
      <w:r w:rsidRPr="00C611EF">
        <w:t>wyznacza</w:t>
      </w:r>
      <w:r>
        <w:t>ją</w:t>
      </w:r>
      <w:r w:rsidRPr="00C611EF">
        <w:t xml:space="preserve"> zdolności przesyłowe na granicach obszarów rynkowych. Granice polskiego obszaru rynkowego przypisane </w:t>
      </w:r>
      <w:r>
        <w:t>są</w:t>
      </w:r>
      <w:r w:rsidRPr="00C611EF">
        <w:t xml:space="preserve"> do trzech CCR (Hansa, C</w:t>
      </w:r>
      <w:r w:rsidR="00C55561">
        <w:t>ore</w:t>
      </w:r>
      <w:r w:rsidRPr="00C611EF">
        <w:t xml:space="preserve">, Baltic). </w:t>
      </w:r>
    </w:p>
    <w:p w14:paraId="27EC0A1B" w14:textId="3CA29822" w:rsidR="003149E7" w:rsidRPr="00C611EF" w:rsidRDefault="00C55561" w:rsidP="003149E7">
      <w:r>
        <w:t>Do</w:t>
      </w:r>
      <w:r w:rsidR="002A532C">
        <w:t xml:space="preserve"> </w:t>
      </w:r>
      <w:r w:rsidR="003149E7" w:rsidRPr="00C611EF">
        <w:t>2025 r., w obrębie obszaru C</w:t>
      </w:r>
      <w:r w:rsidR="003149E7">
        <w:t>ore</w:t>
      </w:r>
      <w:r w:rsidR="003149E7" w:rsidRPr="00C611EF">
        <w:t>,</w:t>
      </w:r>
      <w:r w:rsidR="002A532C">
        <w:t xml:space="preserve"> </w:t>
      </w:r>
      <w:r w:rsidR="003149E7" w:rsidRPr="00C611EF">
        <w:t>wprowadz</w:t>
      </w:r>
      <w:r>
        <w:t>ono</w:t>
      </w:r>
      <w:r w:rsidR="003149E7" w:rsidRPr="00C611EF">
        <w:t xml:space="preserve"> metodyk</w:t>
      </w:r>
      <w:r>
        <w:t>ę</w:t>
      </w:r>
      <w:r w:rsidR="003149E7" w:rsidRPr="00C611EF">
        <w:t xml:space="preserve"> FBA (flow–based allocation) jako metody wyznaczania zdolności przesyłowych</w:t>
      </w:r>
      <w:r w:rsidR="003149E7">
        <w:t xml:space="preserve"> dla rynku dnia następnego</w:t>
      </w:r>
      <w:r>
        <w:t>. Trwają prace nad wprowadzeniem tej metody dla alokacji w re</w:t>
      </w:r>
      <w:r w:rsidR="00487FD5">
        <w:t>g</w:t>
      </w:r>
      <w:r>
        <w:t>ionie dla handl</w:t>
      </w:r>
      <w:r w:rsidR="00487FD5">
        <w:t>u</w:t>
      </w:r>
      <w:r>
        <w:t xml:space="preserve"> na rynku </w:t>
      </w:r>
      <w:r w:rsidR="003149E7">
        <w:t>dnia bieżącego</w:t>
      </w:r>
      <w:r w:rsidR="003149E7" w:rsidRPr="00C611EF">
        <w:t xml:space="preserve">. </w:t>
      </w:r>
      <w:r w:rsidR="003149E7">
        <w:t>M</w:t>
      </w:r>
      <w:r w:rsidR="003149E7" w:rsidRPr="00C611EF">
        <w:t xml:space="preserve">etoda </w:t>
      </w:r>
      <w:r w:rsidR="003149E7">
        <w:t xml:space="preserve">kalkulacji i </w:t>
      </w:r>
      <w:r w:rsidR="003149E7" w:rsidRPr="00C611EF">
        <w:t xml:space="preserve">wyznaczania zdolności przesyłowych, oparta </w:t>
      </w:r>
      <w:r w:rsidR="003149E7">
        <w:t>o</w:t>
      </w:r>
      <w:r w:rsidR="003149E7" w:rsidRPr="00C611EF">
        <w:t xml:space="preserve"> przepływy fizyczne</w:t>
      </w:r>
      <w:r w:rsidR="003149E7">
        <w:t xml:space="preserve"> FBA</w:t>
      </w:r>
      <w:r w:rsidR="003149E7" w:rsidRPr="00C611EF">
        <w:t xml:space="preserve">, </w:t>
      </w:r>
      <w:r w:rsidR="003149E7">
        <w:t>znacząco zwiększyła wolumen przepływów transgranicznych na granicach Polski w obszarze regionie Core</w:t>
      </w:r>
      <w:r w:rsidR="003149E7" w:rsidRPr="00C611EF">
        <w:t xml:space="preserve">. </w:t>
      </w:r>
    </w:p>
    <w:p w14:paraId="254C88B3" w14:textId="7580121C" w:rsidR="003149E7" w:rsidRDefault="003149E7" w:rsidP="003149E7">
      <w:r>
        <w:t>W</w:t>
      </w:r>
      <w:r w:rsidRPr="00C611EF">
        <w:t xml:space="preserve">skaźnik poziomu przepustowości </w:t>
      </w:r>
      <w:r w:rsidR="0048754D">
        <w:t xml:space="preserve">(ang. interconnectivity) </w:t>
      </w:r>
      <w:r w:rsidRPr="00C611EF">
        <w:t xml:space="preserve">wyliczany jest jako </w:t>
      </w:r>
      <w:r>
        <w:t>iloraz</w:t>
      </w:r>
      <w:r w:rsidRPr="00C611EF">
        <w:t xml:space="preserve"> udostępnianych zdolności przesyłowych </w:t>
      </w:r>
      <w:r>
        <w:t>i </w:t>
      </w:r>
      <w:r w:rsidRPr="00C611EF">
        <w:t xml:space="preserve">mocy zainstalowanej w jednostkach wytwórczych w </w:t>
      </w:r>
      <w:r w:rsidR="0048754D">
        <w:t xml:space="preserve">systemie </w:t>
      </w:r>
      <w:r w:rsidRPr="00C611EF">
        <w:t>dan</w:t>
      </w:r>
      <w:r w:rsidR="0048754D">
        <w:t>ego</w:t>
      </w:r>
      <w:r w:rsidR="002A532C">
        <w:t xml:space="preserve"> </w:t>
      </w:r>
      <w:r w:rsidRPr="00C611EF">
        <w:t>państw</w:t>
      </w:r>
      <w:r w:rsidR="0048754D">
        <w:t>a</w:t>
      </w:r>
      <w:r w:rsidRPr="00C611EF">
        <w:t xml:space="preserve"> członkowski</w:t>
      </w:r>
      <w:r w:rsidR="0048754D">
        <w:t xml:space="preserve">ego. Nie </w:t>
      </w:r>
      <w:r w:rsidRPr="00C611EF">
        <w:t xml:space="preserve">uwzględnia </w:t>
      </w:r>
      <w:r w:rsidR="0048754D">
        <w:t>zatem</w:t>
      </w:r>
      <w:r w:rsidRPr="00C611EF">
        <w:t xml:space="preserve"> uwarunkowań strukturalnych występujących w </w:t>
      </w:r>
      <w:r>
        <w:t xml:space="preserve">połączonych </w:t>
      </w:r>
      <w:r w:rsidRPr="00C611EF">
        <w:t>systemach elektroenergetycznych</w:t>
      </w:r>
      <w:r>
        <w:t xml:space="preserve">, w których zachodzą zjawiska przepływów kołowych i tranzytowych, które ograniczają faktyczne możliwości przepływów handlowych pomiędzy sąsiadującymi państwami. Może to </w:t>
      </w:r>
      <w:r w:rsidRPr="00C611EF">
        <w:t xml:space="preserve">prowadzić do błędnych wniosków w zakresie </w:t>
      </w:r>
      <w:r>
        <w:t xml:space="preserve">skali </w:t>
      </w:r>
      <w:r w:rsidRPr="00C611EF">
        <w:t xml:space="preserve">potrzeb budowy nowych połączeń transgranicznych. </w:t>
      </w:r>
      <w:r>
        <w:t xml:space="preserve">Dodatkowo w Polsce </w:t>
      </w:r>
      <w:r w:rsidR="0048754D">
        <w:t xml:space="preserve">odnotowywany jest skokowy </w:t>
      </w:r>
      <w:r>
        <w:t>wzrost mocy zainstalowanej w</w:t>
      </w:r>
      <w:r w:rsidR="00B6518A">
        <w:t> </w:t>
      </w:r>
      <w:r>
        <w:t>elektrowniach OZE, zarówno wiatrowych offshore jak i fotowoltaicznych, co sprawia, że pomimo znacznego wysiłku inwestycyjnego dotyczącego zwiększenia zdolności transgranicznych, wskaźnik te</w:t>
      </w:r>
      <w:r w:rsidR="0048754D">
        <w:t>n</w:t>
      </w:r>
      <w:r>
        <w:t xml:space="preserve"> pozostaj</w:t>
      </w:r>
      <w:r w:rsidR="0048754D">
        <w:t>e</w:t>
      </w:r>
      <w:r>
        <w:t xml:space="preserve"> na niskim poziomie.</w:t>
      </w:r>
    </w:p>
    <w:p w14:paraId="0424FB2C" w14:textId="12A94192" w:rsidR="003149E7" w:rsidRPr="009A177A" w:rsidRDefault="003149E7" w:rsidP="003149E7">
      <w:r w:rsidRPr="009A177A">
        <w:t xml:space="preserve">Oprócz istniejących już wskaźników przepustowości (interconnectivity), w </w:t>
      </w:r>
      <w:r w:rsidRPr="007F4941">
        <w:t xml:space="preserve">oparciu o wyniki prac grupy eksperckiej </w:t>
      </w:r>
      <w:r w:rsidRPr="009A177A">
        <w:t xml:space="preserve">wprowadzono rozporządzeniem w sprawie zarządzania unią energetyczną (rozporządzenie 2018/1999/UE, Aneks I, Część 1, Sekcja A, pkt. 2.4.1) </w:t>
      </w:r>
      <w:r w:rsidRPr="007F4941">
        <w:t xml:space="preserve">zestaw nowych </w:t>
      </w:r>
      <w:r w:rsidRPr="009A177A">
        <w:t>wskaźników</w:t>
      </w:r>
      <w:r w:rsidRPr="007F4941">
        <w:t xml:space="preserve"> służących </w:t>
      </w:r>
      <w:r>
        <w:t xml:space="preserve">jako przesłanka do </w:t>
      </w:r>
      <w:r w:rsidRPr="007F4941">
        <w:t>uruchomieni</w:t>
      </w:r>
      <w:r>
        <w:t>a przez państwo członkowskie</w:t>
      </w:r>
      <w:r w:rsidRPr="007F4941">
        <w:t xml:space="preserve"> pilnych działań w zakresie zapewnienia niezbędnej infrastruktury pomagającej osiągnąć cel „interconnectivity” na 2030 r. Te </w:t>
      </w:r>
      <w:r w:rsidRPr="009A177A">
        <w:t xml:space="preserve">wskaźniki </w:t>
      </w:r>
      <w:r w:rsidRPr="007F4941">
        <w:t xml:space="preserve">zostały </w:t>
      </w:r>
      <w:r w:rsidRPr="009A177A">
        <w:t>sformułowane w następujący sposób:</w:t>
      </w:r>
    </w:p>
    <w:p w14:paraId="19C466AF" w14:textId="77777777" w:rsidR="003149E7" w:rsidRPr="009A177A" w:rsidRDefault="003149E7" w:rsidP="003149E7">
      <w:pPr>
        <w:pStyle w:val="Akapitzlist"/>
        <w:numPr>
          <w:ilvl w:val="1"/>
          <w:numId w:val="21"/>
        </w:numPr>
        <w:ind w:left="567"/>
      </w:pPr>
      <w:r w:rsidRPr="001C37DF">
        <w:rPr>
          <w:rFonts w:eastAsia="Times New Roman" w:cs="Times New Roman"/>
          <w:szCs w:val="20"/>
          <w:lang w:eastAsia="pl-PL"/>
        </w:rPr>
        <w:t>różnica w cenie na rynku hurtowym przekraczająca orientacyjny próg 2 EUR/MWh między państwami członkowskimi, regionami lub obszarami rynkowymi;</w:t>
      </w:r>
    </w:p>
    <w:p w14:paraId="1EA3F4AF" w14:textId="77777777" w:rsidR="003149E7" w:rsidRPr="009A177A" w:rsidRDefault="003149E7" w:rsidP="003149E7">
      <w:pPr>
        <w:pStyle w:val="Akapitzlist"/>
        <w:numPr>
          <w:ilvl w:val="1"/>
          <w:numId w:val="21"/>
        </w:numPr>
        <w:ind w:left="567"/>
      </w:pPr>
      <w:r w:rsidRPr="001C37DF">
        <w:rPr>
          <w:rFonts w:eastAsia="Times New Roman" w:cs="Times New Roman"/>
          <w:szCs w:val="20"/>
          <w:lang w:eastAsia="pl-PL"/>
        </w:rPr>
        <w:t>nominalna zdolność przesyłowa połączeń międzysystemowych poniżej 30 % maksymalnego zapotrzebowania na moc;</w:t>
      </w:r>
    </w:p>
    <w:p w14:paraId="12EE9E64" w14:textId="77777777" w:rsidR="003149E7" w:rsidRPr="001C37DF" w:rsidRDefault="003149E7" w:rsidP="003149E7">
      <w:pPr>
        <w:pStyle w:val="Akapitzlist"/>
        <w:numPr>
          <w:ilvl w:val="1"/>
          <w:numId w:val="21"/>
        </w:numPr>
        <w:ind w:left="567"/>
        <w:rPr>
          <w:rFonts w:eastAsia="Times New Roman" w:cs="Times New Roman"/>
          <w:szCs w:val="20"/>
          <w:lang w:eastAsia="pl-PL"/>
        </w:rPr>
      </w:pPr>
      <w:r w:rsidRPr="001C37DF">
        <w:rPr>
          <w:rFonts w:eastAsia="Times New Roman" w:cs="Times New Roman"/>
          <w:szCs w:val="20"/>
          <w:lang w:eastAsia="pl-PL"/>
        </w:rPr>
        <w:t>nominalna zdolność przesyłowa połączeń międzysystemowych poniżej 30 % mocy zainstalowanej ze źródeł odnawialnych.</w:t>
      </w:r>
    </w:p>
    <w:p w14:paraId="673F1A5F" w14:textId="2D16ACCC" w:rsidR="003149E7" w:rsidRDefault="003149E7" w:rsidP="003149E7">
      <w:r w:rsidRPr="009A177A">
        <w:t xml:space="preserve">Polska monitoruje wartości tych wskaźników. Ich precyzyjne określenie w perspektywie </w:t>
      </w:r>
      <w:r w:rsidR="00F128CB">
        <w:t>2040 r.</w:t>
      </w:r>
      <w:r w:rsidRPr="009A177A">
        <w:t xml:space="preserve"> jest mało realne, dlatego analizy ich wartości dokonywane są sukcesywnie</w:t>
      </w:r>
      <w:r>
        <w:t xml:space="preserve">. </w:t>
      </w:r>
    </w:p>
    <w:p w14:paraId="629B375D" w14:textId="6DCA674D" w:rsidR="005C4144" w:rsidRDefault="005C4144" w:rsidP="004F5D0E">
      <w:pPr>
        <w:pStyle w:val="Nagwek3"/>
      </w:pPr>
      <w:bookmarkStart w:id="777" w:name="_Toc202966934"/>
      <w:r>
        <w:t>Systemy gazowe</w:t>
      </w:r>
      <w:bookmarkEnd w:id="774"/>
      <w:bookmarkEnd w:id="775"/>
      <w:bookmarkEnd w:id="776"/>
      <w:bookmarkEnd w:id="777"/>
    </w:p>
    <w:p w14:paraId="42CA03D4" w14:textId="77777777" w:rsidR="00AF1EF8" w:rsidRDefault="00AF1EF8" w:rsidP="00AF1EF8">
      <w:r w:rsidRPr="00F92B35">
        <w:t>W Polsce zrealizowano szereg inwestycji, które pozwoliły na realną dywersyfikację dostaw gazu ziemnego. Zrealizowano budowę gazociągu Baltic Pipe, połączenia ze Słowacją i Litwą, zwiększ</w:t>
      </w:r>
      <w:r>
        <w:t>ono</w:t>
      </w:r>
      <w:r w:rsidRPr="00F92B35">
        <w:t xml:space="preserve"> także przepustowość terminalu LNG w Świnoujściu. Projekty te stanowią polski wkład w realizację koncepcji: Trójmorza (której celem jest pogłębiona integracja państw w obszarze Morza Bałtyckiego, Adriatyckiego oraz Czarnego) oraz priorytetowych w skali Unii Europejskiej – korytarza gazowego północ-południe dla państw Europy Środkowo-Wschodniej oraz Planu integracji energetycznej państw bałtyckich (BEMIP). Realizowany jest także plan budowy drugiego terminala regazyfikacyjnego LNG typu FSRU w Zatoce Gdańskiej. </w:t>
      </w:r>
    </w:p>
    <w:p w14:paraId="398EEA98" w14:textId="77777777" w:rsidR="005F5827" w:rsidRPr="00F92B35" w:rsidRDefault="005F5827" w:rsidP="005F5827">
      <w:r w:rsidRPr="00F92B35">
        <w:t>Dodatkowo, rozbudowa połączeń transgranicznych gazu ziemnego pozwoliła krajom uczestnikom rynków gazu na zwiększone komercyjne zastosowanie wykorzystywanie pojemności magazynów gazu ziemnego w regionie.</w:t>
      </w:r>
    </w:p>
    <w:p w14:paraId="2DA217C7" w14:textId="3ACA89E2" w:rsidR="005F5827" w:rsidRPr="00F92B35" w:rsidRDefault="005F5827" w:rsidP="005F5827">
      <w:r w:rsidRPr="00F92B35">
        <w:t>Rozbudowa transgranicznych połączeń gazowych zrealizowana została we wspólnym interesie wszystkich krajów w regionie zwiększając dywersyfikację źródeł i kierunków dostaw gazu ziemnego na potrzeby gospodarek regionu Europy Środkowej i Południowo–Wschodniej. Działania takie pozwalają na podniesienie bezpieczeństwa energetycznego w regionie oraz stabilizowanie cen nośników energii</w:t>
      </w:r>
    </w:p>
    <w:p w14:paraId="68595429" w14:textId="1169EF0D" w:rsidR="005C4144" w:rsidRDefault="005C4144" w:rsidP="004F5D0E">
      <w:pPr>
        <w:pStyle w:val="Nagwek3"/>
      </w:pPr>
      <w:bookmarkStart w:id="778" w:name="_Toc169105078"/>
      <w:bookmarkStart w:id="779" w:name="_Toc171587369"/>
      <w:bookmarkStart w:id="780" w:name="_Toc174710935"/>
      <w:bookmarkStart w:id="781" w:name="_Toc202966935"/>
      <w:r>
        <w:t>Energetyka jądrowa</w:t>
      </w:r>
      <w:bookmarkEnd w:id="778"/>
      <w:bookmarkEnd w:id="779"/>
      <w:bookmarkEnd w:id="780"/>
      <w:bookmarkEnd w:id="781"/>
    </w:p>
    <w:p w14:paraId="45FEA3ED" w14:textId="22CB0E9F" w:rsidR="005C4144" w:rsidRPr="005D5D7F" w:rsidRDefault="00A73562" w:rsidP="005C4144">
      <w:r>
        <w:t>Ze względu na konieczność zastąpienia starzejących się mocy wytwórczych w krajowym systemie elektroenergetycznym od 203</w:t>
      </w:r>
      <w:r w:rsidR="00BE2ED8">
        <w:t>0 r.</w:t>
      </w:r>
      <w:r>
        <w:t>, a także wzrost zapotrzebowania na energię niezbędne jest inwestowanie w nowe źródła. Z budowy bloków elektrowni jądrowej w Polsce płyną przede korzyści w zakresie bezpieczeństwa energetycznego, dywersyfikacji oraz ograniczenia wpływu sektora energetycznego na środowisko. Ponadto wpłynie na rozwój rynku energii, zarówno dla Polski, jak i krajów sąsiadujących. Elektrownie jądrowe zapewniają przewidywalność i stabilność pracy. Podniesienie potencjału wytwórczego w Polsce wpłynie na możliwości eksportowe energii do krajów sąsiadujących, połączonych systemami elektroenergetycznymi z Polską, a także budowę wewnętrznego regionalnego rynku energii</w:t>
      </w:r>
      <w:r w:rsidR="005C4144">
        <w:t>.</w:t>
      </w:r>
    </w:p>
    <w:p w14:paraId="54E39EAD" w14:textId="08AA4A87" w:rsidR="005C4144" w:rsidRDefault="005C4144" w:rsidP="004F5D0E">
      <w:pPr>
        <w:pStyle w:val="Nagwek3"/>
      </w:pPr>
      <w:bookmarkStart w:id="782" w:name="_Toc169105079"/>
      <w:bookmarkStart w:id="783" w:name="_Toc171587370"/>
      <w:bookmarkStart w:id="784" w:name="_Toc174710936"/>
      <w:bookmarkStart w:id="785" w:name="_Toc202966936"/>
      <w:r>
        <w:t>Rynek mocy</w:t>
      </w:r>
      <w:bookmarkEnd w:id="782"/>
      <w:bookmarkEnd w:id="783"/>
      <w:bookmarkEnd w:id="784"/>
      <w:bookmarkEnd w:id="785"/>
    </w:p>
    <w:p w14:paraId="3B4B3C0C" w14:textId="4A8F62C6" w:rsidR="0083778B" w:rsidRDefault="0083778B" w:rsidP="0083778B">
      <w:bookmarkStart w:id="786" w:name="_Toc169105080"/>
      <w:bookmarkStart w:id="787" w:name="_Toc171587371"/>
      <w:bookmarkStart w:id="788" w:name="_Toc174710937"/>
      <w:bookmarkStart w:id="789" w:name="_Toc167443541"/>
      <w:r>
        <w:t xml:space="preserve">Rynek mocy stanowić ma impuls inwestycyjny dla zapewnienia stabilności dostaw energii elektrycznej. Rozbudowa aktualnego stanu mocy wytwórczych, w sytuacji znaczących wycofań obecnie funkcjonujących jednostek systemu, ma kluczowe znaczenie dla pewności dostaw oraz pokrycia wzrostu popytu. Zakłócenia działania systemu elektroenergetycznego w Polsce mogłyby mieć konsekwencje również dla krajów sąsiadujących, połączonych z KSE przez połączenia wzajemne. Mechanizm rynku mocy ma za zadanie zapobiec takim zakłóceniom, zapewniać bezpieczeństwo dostaw energii elektrycznej w Polsce i tym samym wspierać bezpieczeństwo dostaw w regionie. W wyniku przeprowadzenia kolejnych aukcji na rynku mocy wzrośnie zdolność rezerwowa, dzięki której okresy niedoboru mocy w ciągu roku ulegną zmniejszeniu, w efekcie czego, zmaleje ryzyko niedoboru podaży energii elektrycznej. Utrzymanie bezpiecznego, wymaganego poziomu mocy w systemie przyczyni się do budowy stabilnego europejskiego rynku energii. </w:t>
      </w:r>
    </w:p>
    <w:p w14:paraId="504B7319" w14:textId="77777777" w:rsidR="0083778B" w:rsidRDefault="0083778B" w:rsidP="0083778B">
      <w:r>
        <w:t xml:space="preserve">Realizowane na terenie połączonych europejskich rynków energii dostawy energii elektrycznej z założenia wspierają budowę unii energetycznej. Wykorzystywanie potencjału produkcyjnego stawianych do dyspozycji jednostek państw sąsiednich oraz handel transgraniczny mogą nieść korzyści dla wszystkich zainteresowanych krajów, takie jak zwiększona konkurencyjność technologiczna, a w rezultacie obniżenie kosztów produkcji. </w:t>
      </w:r>
    </w:p>
    <w:p w14:paraId="798B5EA5" w14:textId="79CD1DE4" w:rsidR="0083778B" w:rsidRPr="00C611EF" w:rsidRDefault="0083778B" w:rsidP="0083778B">
      <w:r>
        <w:t>Polska zapewniła otwartość mechanizmu dla wszelkiego rodzaju dostawców zdolności wytwórczych – w tym także dla zagranicznych, a także regularność przeprowadzania i konkurencyjność aukcji. Ponadto, w procesie notyfikacji Polska zobowiązała się do wdrożenia reform dotyczących funkcjonowania rynku energii elektrycznej. Mechanizm rynku mocy został zatwierdzony przez Komisję Europejską, co jednoznacznie wskazuje, iż nie zagraża on integracji rynków energii Polski z krajami sąsiadującymi. Przyczynia się on do zagwarantowania bezpieczeństwa dostaw energii, zapewniając równocześnie ochronę konkurencji jednolitego rynku, a także nie utrudnia transgranicznych przepływów energii elektrycznej w UE.</w:t>
      </w:r>
    </w:p>
    <w:p w14:paraId="72BAD49A" w14:textId="49E6240F" w:rsidR="005C4144" w:rsidRDefault="005C4144" w:rsidP="004F5D0E">
      <w:pPr>
        <w:pStyle w:val="Nagwek2"/>
      </w:pPr>
      <w:bookmarkStart w:id="790" w:name="_Toc202966937"/>
      <w:r>
        <w:t>Wpływ na ceny energii, usługi energetyczne i</w:t>
      </w:r>
      <w:r w:rsidR="00E7082F">
        <w:t> </w:t>
      </w:r>
      <w:r>
        <w:t>integrację rynku energii</w:t>
      </w:r>
      <w:bookmarkEnd w:id="786"/>
      <w:bookmarkEnd w:id="787"/>
      <w:bookmarkEnd w:id="788"/>
      <w:bookmarkEnd w:id="790"/>
    </w:p>
    <w:p w14:paraId="047B111C" w14:textId="5DB417EE" w:rsidR="005C4144" w:rsidRDefault="003C61E7" w:rsidP="004F5D0E">
      <w:pPr>
        <w:pStyle w:val="Nagwek3"/>
      </w:pPr>
      <w:bookmarkStart w:id="791" w:name="_Toc169105081"/>
      <w:bookmarkStart w:id="792" w:name="_Toc171587372"/>
      <w:bookmarkStart w:id="793" w:name="_Toc174710938"/>
      <w:bookmarkStart w:id="794" w:name="_Toc202966938"/>
      <w:r>
        <w:t>C</w:t>
      </w:r>
      <w:r w:rsidR="005C4144">
        <w:t>eny energii</w:t>
      </w:r>
      <w:bookmarkEnd w:id="791"/>
      <w:bookmarkEnd w:id="792"/>
      <w:bookmarkEnd w:id="793"/>
      <w:bookmarkEnd w:id="794"/>
    </w:p>
    <w:p w14:paraId="7F022A4C" w14:textId="77777777" w:rsidR="00D442AF" w:rsidRDefault="00D442AF" w:rsidP="00D442AF">
      <w:r>
        <w:t xml:space="preserve">Podjęte i zrealizowane w zakresie systemów gazowych działania zmieniły strukturę dostaw na rynku gazu. Zwiększona dostępność źródeł i kierunków dostaw w regionie prowadzi do wzrostu konkurencyjności i stabilności cen paliwa gazowego. Ciężar inwestycyjny, jaki poniesiony został przez spółki przesyłu gazu w Polsce i krajach sąsiadujących, był częściowo zmniejszony przez wsparcie z funduszy europejskich, a w szczególności przez fundusze przyznane w ramach wsparcia dla projektów będących projektami wspólnego zainteresowania PCI. Wsparcie to pozwoliło na częściową mitygację kosztów. </w:t>
      </w:r>
    </w:p>
    <w:p w14:paraId="111D9209" w14:textId="6D07EBA3" w:rsidR="00D442AF" w:rsidRDefault="00D442AF" w:rsidP="00D442AF">
      <w:r>
        <w:t>Obecnie ceny gazu ziemnego dla odbiorców nieprzemysłowych, w regionie są bardzo zróżnicowane. Według danych Eurostatu, w ostatnich trzech latach średnie ceny gazu ziemnego (nieuwzględniające opodatkowania) różniły się w skrajnych przypadkach dwukrotnie. Z wyjątkiem Czech (gdzie cena gazu dla największych odbiorców nieprzemysłowych oscyluje około 12 EUR/GJ), ceny gazu w regionie są niższe niż średnie europejskie. Najniższe ceny gazu (około 5 EUR/GJ) odnotowane zostały na Ukrainie. Od kilku lat ceny gazu na Litwie spadają (do poziomu 6 EUR/GJ w pierwszej połowie 2018 r</w:t>
      </w:r>
      <w:r w:rsidR="00F8689B">
        <w:t>.</w:t>
      </w:r>
      <w:r>
        <w:t xml:space="preserve">), podobnie na Słowacji (do 9,6 EUR/GJ). W przypadku odbiorców przemysłowych ceny gazu ziemnego są dużo bardziej zbliżone i odwrotnie niż poprzednio, wyższe od średniej unijnej. Ceny w regionie wahają się od 6,3 EUR/GJ na Ukrainie do 7,3 EUR/GJ na Litwie. Dostawy gazu z szelfu norweskiego pozwolą, w wieloletniej perspektywie, na zrównanie cen hurtowych paliwa gazowego w regionie. </w:t>
      </w:r>
    </w:p>
    <w:p w14:paraId="36781074" w14:textId="4912AAFA" w:rsidR="00D442AF" w:rsidRDefault="00D442AF" w:rsidP="00D442AF">
      <w:r>
        <w:t>W odniesieniu do energii elektrycznej należy wskazać, że niezwykle trudno jest ocenić wpływ prognozowanych polityk i działań wprowadzonych w Polsce na wysokość cen energii elektrycznej państw sąsiadujących oraz państw w regionie. Wdrażanie prawa UE w zakresie rynku energii elektrycznej, a także działania mające na celu dekarbonizacje sektora elektroenergetycznego powinny skutkować większym zbliżeniem się cen energii elektrycznej w regionie (tj. konwergencję cen).</w:t>
      </w:r>
    </w:p>
    <w:p w14:paraId="0B8799B4" w14:textId="79057198" w:rsidR="005C4144" w:rsidRDefault="005C4144" w:rsidP="003C61E7">
      <w:pPr>
        <w:pStyle w:val="Nagwek3"/>
      </w:pPr>
      <w:bookmarkStart w:id="795" w:name="_Toc202966939"/>
      <w:r>
        <w:t>Integracja rynku energii</w:t>
      </w:r>
      <w:bookmarkEnd w:id="795"/>
      <w:r>
        <w:t xml:space="preserve"> </w:t>
      </w:r>
    </w:p>
    <w:p w14:paraId="1F2C143B" w14:textId="77777777" w:rsidR="00C365FD" w:rsidRDefault="00C365FD" w:rsidP="00C365FD">
      <w:r>
        <w:t xml:space="preserve">W rozporządzeniu KE 2017/2195 (wytyczne dotyczące bilansowania) zawarto szereg zaleceń dotyczących bilansowania energii elektrycznej w tworzonym połączonym systemie europejskim. Współpraca w takim wymiarze pozwoli obniżyć koszty bilansowania oraz zwiększy bezpieczeństwo KSE. </w:t>
      </w:r>
    </w:p>
    <w:p w14:paraId="7910E0D0" w14:textId="38B04696" w:rsidR="00C365FD" w:rsidRDefault="00C365FD" w:rsidP="00C365FD">
      <w:r>
        <w:t xml:space="preserve">W obecnym momencie rozwijane są platformy wymiany usług bilansowania wg modelu OSP–OSP. W tym rozwiązaniu dostawca usług jest zobowiązany dostarczyć usługi na rzecz swojego OSP, który następnie może świadczyć wobec innego, wnioskującego OSP. W ramach rozporządzenia wdrażane są obecnie następujące projekty: </w:t>
      </w:r>
    </w:p>
    <w:p w14:paraId="178D9369" w14:textId="77777777" w:rsidR="00C365FD" w:rsidRDefault="00C365FD" w:rsidP="00C365FD">
      <w:pPr>
        <w:pStyle w:val="wyliczenie"/>
      </w:pPr>
      <w:r>
        <w:t>PICASSO (</w:t>
      </w:r>
      <w:r>
        <w:rPr>
          <w:i/>
          <w:iCs/>
        </w:rPr>
        <w:t>The Platform for the International Coordination of Automated Frequency Restoration and Stable System Operation</w:t>
      </w:r>
      <w:r>
        <w:t xml:space="preserve">) to platforma wymiany energii bilansującej z rezerw odbudowy częstotliwości z aktywacją automatyczną (wtórna automatyczna) aFRR. Projekt prowadzony jest przez OSP, którzy przystąpili do inicjatywy jego budowania. PICASSO jest projektowany i wdrażany jako inicjatywa wspólnej, europejskiej platformy do aktywacji regulacji wtórnej automatycznej biorąc pod uwagę aspekty ekonomiczne, prowadzące do optymalizacji kosztów wykorzystania usługi. </w:t>
      </w:r>
    </w:p>
    <w:p w14:paraId="2D5CE2C3" w14:textId="77777777" w:rsidR="00C365FD" w:rsidRDefault="00C365FD" w:rsidP="00C365FD">
      <w:pPr>
        <w:pStyle w:val="wyliczenie"/>
      </w:pPr>
      <w:r>
        <w:t>MARI (</w:t>
      </w:r>
      <w:r>
        <w:rPr>
          <w:i/>
          <w:iCs/>
        </w:rPr>
        <w:t>Manual Activated Reserve Initiative</w:t>
      </w:r>
      <w:r>
        <w:t xml:space="preserve">) jest platformą wymiany energii bilansującej z rezerw odbudowy częstotliwości z aktywacją nieautomatyczną (wtórna ręczna) mFRR. Projekt prowadzony jest przez OSP, którzy przystąpili do inicjatywy jego budowania. MARI jest projektowany i wdrażany jako inicjatywa wspólnej, europejskiej platformy do wymiany energii bilansującej pomiędzy obszarami regulacyjnymi. Energia pochodzi z jednostek zakontraktowanych jako świadczące usługę rezerwy wtórnej aktywowanej ręcznie. </w:t>
      </w:r>
    </w:p>
    <w:p w14:paraId="5F740E7B" w14:textId="77777777" w:rsidR="00C365FD" w:rsidRDefault="00C365FD" w:rsidP="00C365FD">
      <w:pPr>
        <w:pStyle w:val="wyliczenie"/>
      </w:pPr>
      <w:r>
        <w:t>TERRE (</w:t>
      </w:r>
      <w:r>
        <w:rPr>
          <w:i/>
          <w:iCs/>
        </w:rPr>
        <w:t>Trans European Replacement Reserves Exchange</w:t>
      </w:r>
      <w:r>
        <w:t xml:space="preserve">) czyli platforma wymiany energii bilansującej z rezerw zastępczych RR. W projekcie biorą udział poszczególni OSP, którzy dołączyli do inicjatywy jego budowania. TERRE projektowany i wdrażany jest jako inicjatywa wspólnej, europejskiej platformy do wymiany energii bilansującej pomiędzy obszarami regulacyjnymi. Energia pochodzi z jednostek zakontraktowanych jako świadczące usługę rezerwy trójnej. </w:t>
      </w:r>
    </w:p>
    <w:p w14:paraId="025C7501" w14:textId="77777777" w:rsidR="00C365FD" w:rsidRDefault="00C365FD" w:rsidP="00C365FD">
      <w:pPr>
        <w:pStyle w:val="wyliczenie"/>
      </w:pPr>
      <w:r>
        <w:t>IGCC (</w:t>
      </w:r>
      <w:r>
        <w:rPr>
          <w:i/>
          <w:iCs/>
        </w:rPr>
        <w:t>International Grid Control Cooperation</w:t>
      </w:r>
      <w:r>
        <w:t>) to projekt dotyczący wprowadzenia procesu kompensacji niezbilansowania pomiędzy OSP dwóch lub więcej obszarów LFC (obszar regulacyjny mocy i częstotliwości). Działania prowadzone są w obrębie jednego lub kilku obszarów połączonych synchronicznie, aby zapobiegać aktywacji energii bilansującej z rezerwy wtórnej (odbudowy) częstotliwości w przeciwnych kierunkach oraz korekty kontrolerów w obszarach LFC konkretnych OSP.</w:t>
      </w:r>
    </w:p>
    <w:p w14:paraId="23091176" w14:textId="77777777" w:rsidR="008B4CC0" w:rsidRDefault="008B4CC0" w:rsidP="008B4CC0">
      <w:pPr>
        <w:pStyle w:val="wyliczenie"/>
        <w:numPr>
          <w:ilvl w:val="0"/>
          <w:numId w:val="0"/>
        </w:numPr>
        <w:ind w:left="720"/>
      </w:pPr>
    </w:p>
    <w:p w14:paraId="31FC6D06" w14:textId="76B873DF" w:rsidR="005C4144" w:rsidRDefault="005C4144" w:rsidP="004F5D0E">
      <w:pPr>
        <w:pStyle w:val="Nagwek2"/>
      </w:pPr>
      <w:bookmarkStart w:id="796" w:name="_Toc169105082"/>
      <w:bookmarkStart w:id="797" w:name="_Toc171587373"/>
      <w:bookmarkStart w:id="798" w:name="_Toc174710939"/>
      <w:bookmarkStart w:id="799" w:name="_Toc202966940"/>
      <w:r>
        <w:t>Wpływ na współpracę regionalną</w:t>
      </w:r>
      <w:bookmarkEnd w:id="796"/>
      <w:bookmarkEnd w:id="797"/>
      <w:bookmarkEnd w:id="798"/>
      <w:bookmarkEnd w:id="799"/>
    </w:p>
    <w:p w14:paraId="3BEF5280" w14:textId="77777777" w:rsidR="00C74DC2" w:rsidRDefault="00C74DC2" w:rsidP="00C74DC2">
      <w:pPr>
        <w:pStyle w:val="podtytu2"/>
      </w:pPr>
      <w:bookmarkStart w:id="800" w:name="_Toc169105083"/>
      <w:bookmarkStart w:id="801" w:name="_Toc171587374"/>
      <w:bookmarkStart w:id="802" w:name="_Toc174710940"/>
      <w:r>
        <w:t xml:space="preserve">Porozumienie paryskie </w:t>
      </w:r>
    </w:p>
    <w:p w14:paraId="673CD1BD" w14:textId="10FAD565" w:rsidR="00C74DC2" w:rsidRDefault="00C74DC2" w:rsidP="00C74DC2">
      <w:r>
        <w:t>Od 202</w:t>
      </w:r>
      <w:r w:rsidR="00BE2ED8">
        <w:t>0 r.</w:t>
      </w:r>
      <w:r>
        <w:t xml:space="preserve"> kraje rozwinięte zobowiązały się do przekazywania krajom rozwijającym się 100 mld USD rocznie na inwestycje w efektywność energetyczną oraz walkę ze szkodliwymi emisjami. Polska znajduje się w gronie państw rozwiniętych i zadeklarowała na konferencji wkład w wysokości 8 mln USD. Kraje zobowiązały się do weryfikacji celów w cyklach 5-letnich. Polska aktywnie współpracuje z wszystkimi państwami, które ratyfikowały porozumienie, realizując działania zmierzające do redukcji emisji gazów cieplarnianych, z jednoczesnym poszanowaniem swojej specyfiki społeczno-gospodarczej. Bierze także czynny udział w organizacji kolejnych szczytów klimatycznych (Poznań, Warszawa, Katowice), których celem jest osiąganie postępu w tworzeniu zasad i obowiązków wdrażania Porozumienia.</w:t>
      </w:r>
    </w:p>
    <w:p w14:paraId="23472650" w14:textId="77777777" w:rsidR="00C74DC2" w:rsidRDefault="00C74DC2" w:rsidP="00C74DC2">
      <w:pPr>
        <w:pStyle w:val="podtytu2"/>
      </w:pPr>
      <w:r>
        <w:t xml:space="preserve">Transfer statystyczny </w:t>
      </w:r>
    </w:p>
    <w:p w14:paraId="7B959F0E" w14:textId="77777777" w:rsidR="00C74DC2" w:rsidRDefault="00C74DC2" w:rsidP="00C74DC2">
      <w:r>
        <w:t xml:space="preserve">W ramach współpracy na szczeblu międzynarodowym pomiędzy Polską a krajami UE (oraz Konfederacji Szwajcarskiej i członków EFTA) dozwolone jest przekazanie w danym roku określonej ilości energii elektrycznej wytworzonej w instalacjach OZE. Porozumienie odbywa się za pomocą tzw. transferu statystycznego, który jest tworzony na podstawie umowy międzynarodowej lub umowy cywilnoprawnej. Kraje mogą skorzystać z transferu w przypadku nieosiągnięcia krajowego celu w zakresie udziału energii ze źródeł odnawialnych w końcowym zużyciu brutto. Zakłada się, że Polska do 2030 r. będzie realizowała wytyczone cele w oparciu o własne zasoby, z uwzględnieniem wymaganych poziomów współpracy z innymi państwami. Jednocześnie nie przewiduje się uzyskania nadwyżki produkcji energii ze źródeł odnawialnych, którą Polska mogłaby przekazać do innych państw członkowskich w celu realizacji ich wkładu krajowego. </w:t>
      </w:r>
    </w:p>
    <w:p w14:paraId="3603CDAE" w14:textId="77777777" w:rsidR="00C74DC2" w:rsidRDefault="00C74DC2" w:rsidP="00C74DC2">
      <w:pPr>
        <w:pStyle w:val="podtytu2"/>
      </w:pPr>
      <w:r>
        <w:t xml:space="preserve">SET PLAN </w:t>
      </w:r>
    </w:p>
    <w:p w14:paraId="792FB17D" w14:textId="394E1CAD" w:rsidR="00C74DC2" w:rsidRDefault="00C74DC2" w:rsidP="00C74DC2">
      <w:r>
        <w:t>Polska obecnie aktywnie uczestniczy w dwóch zespołach Tymczasowych Grup Roboczych TWG (a</w:t>
      </w:r>
      <w:r w:rsidR="00592001">
        <w:t>n</w:t>
      </w:r>
      <w:r>
        <w:t xml:space="preserve">g. </w:t>
      </w:r>
      <w:r w:rsidRPr="00FC0725">
        <w:rPr>
          <w:lang w:val="en-US"/>
        </w:rPr>
        <w:t xml:space="preserve">Temporary Working Groups) w ramach SET (Strategic Energy Technology) Plan. Są to TWG Action 6 ‘Energy efficiency in industry’ oraz TWG Action 10 ‘Nuclear’. </w:t>
      </w:r>
      <w:r>
        <w:t xml:space="preserve">Czynny udział w pracach pozostałych TWG jest uzależniony od określenia priorytetów energetycznych Polski, które będą zgodne z priorytetami SET–Planu. Oznacza to, że obszary priorytetowe Polski w SET–Plan zostaną wyłonione w oparciu o politykę energetyczną państwa i na jej podstawie będą realizowane w późniejszym terminie. Po określeniu tych obszarów wyznaczeni zostaną krajowi przedstawicieli do wybranych TWG (MNISW będzie mogło wystąpić do NCBiR o zaangażowanie tej agencji i wyznaczenie ekspertów do TWG). </w:t>
      </w:r>
    </w:p>
    <w:p w14:paraId="66127C4B" w14:textId="7BD36DFE" w:rsidR="00C74DC2" w:rsidRDefault="00C74DC2" w:rsidP="00C74DC2">
      <w:pPr>
        <w:pStyle w:val="podtytu2"/>
      </w:pPr>
      <w:r>
        <w:t xml:space="preserve">Baltic Energy Market Interconnection Plan </w:t>
      </w:r>
    </w:p>
    <w:p w14:paraId="6E374181" w14:textId="0335E6F5" w:rsidR="00C74DC2" w:rsidRDefault="00C74DC2" w:rsidP="00C74DC2">
      <w:r>
        <w:t xml:space="preserve">Polska zakłada dalszą współpracę na poziomie europejskim w ramach BEMIP (Baltic Energy Market Interconnection Plan). Wymienione wcześniej projekty inwestycyjne pozwolą na realizację strategicznych założeń tego planu, np. omówioną wcześniej synchronizację systemów elektroenergetycznych państw bałtyckich z obszarem Europy kontynentalnej. W tym celu realizowana będzie ciągła komunikacja pomiędzy uczestnikami tej inicjatywy. Spodziewanym efektem będzie zacieśnianie współpracy regionalnej w zakresie energetyki oraz swobodny handel surowcami energetycznymi i energią elektryczną. </w:t>
      </w:r>
    </w:p>
    <w:p w14:paraId="58D8E028" w14:textId="77777777" w:rsidR="00C74DC2" w:rsidRDefault="00C74DC2" w:rsidP="00C74DC2">
      <w:pPr>
        <w:pStyle w:val="podtytu2"/>
      </w:pPr>
      <w:r>
        <w:t xml:space="preserve">Energetyka jądrowa </w:t>
      </w:r>
    </w:p>
    <w:p w14:paraId="131C46C2" w14:textId="057140A8" w:rsidR="00C74DC2" w:rsidRDefault="00C74DC2" w:rsidP="00C74DC2">
      <w:r>
        <w:t xml:space="preserve">Organem administracji rządowej powołanym do zapewnienia bezpieczeństwa jądrowego i ochrony radiologicznej kraju jest Państwowa Agencja Atomistyki. Ze względu na eksploatację elektrowni jądrowych w bliskim sąsiedztwie granic Polski, a także planowaną inwestycją w Polsce, kluczowa jest współpraca z dozorami jądrowymi krajów sąsiadujących. Państwowa Agencja Atomistyki zawarła umowy ze wszystkimi krajami graniczącymi z Polską, a także z Austrią, Danią i Norwegią. </w:t>
      </w:r>
    </w:p>
    <w:p w14:paraId="3ED34D5A" w14:textId="513A4AF4" w:rsidR="00C74DC2" w:rsidRDefault="00C74DC2" w:rsidP="00C74DC2">
      <w:r>
        <w:t xml:space="preserve">Dodatkowo, Państwowa Agencja Atomistyki współpracuje na arenie międzynarodowej w zakresie zwiększania kompetencji i wdrażania dobrych praktyk poprzez wymianę wiedzy i doświadczeń z zagranicznymi partnerami podczas udziału w pracach organizacji i stowarzyszeń międzynarodowych. Polska jest aktywnym członkiem wspólnot, grup, towarzystw, takich jak: Europejska Wspólnota Energii Atomowej (Euratom), Międzynarodowa Agencja Energii Atomowej (IAEA), Agencja Energii Jądrowej Organizacji Współpracy Gospodarczej i Rozwoju (NEA OECD), Grupa Szefów Europejskich Urzędów Dozoru Radiologicznego (HERCA), Zachodnioeuropejskie Stowarzyszenie Dozorów Jądrowych (WENRA) Rada Państw Morza Bałtyckiego (RPMB), Europejskie Stowarzyszenie Regulatorów Ochrony Fizycznej (ENSRA), Europejskie Towarzystwo Badań i Rozwoju Zabezpieczeń Materiałów Jądrowych (ESARDA). </w:t>
      </w:r>
    </w:p>
    <w:p w14:paraId="4B4B5D78" w14:textId="4637C493" w:rsidR="00C74DC2" w:rsidRDefault="00C74DC2" w:rsidP="00C74DC2">
      <w:r>
        <w:t xml:space="preserve">Otwarta współpraca międzynarodowa w podnoszeniu bezpieczeństwa elektrowni jądrowych ze względu na globalne skutki jakie mogłaby wywołać awaria jądrowa pozwala na czerpanie wiedzy i doświadczeń od innych państw oraz przejmowanie dobrych praktyk. </w:t>
      </w:r>
    </w:p>
    <w:p w14:paraId="254DB464" w14:textId="6431220A" w:rsidR="00C74DC2" w:rsidRDefault="00C74DC2" w:rsidP="00C74DC2">
      <w:r>
        <w:t xml:space="preserve">W ramach Unii Europejskiej Polska bierze udział w pracach Grupy Roboczej Rady UE ds. Jądrowych, na której dyskutowane są dokumenty legislacyjne i pozalegislacyjne wz. Wspólnoty Euratom. Polska uczestniczy w koalicji państw pro – jądrowych i występuje ze stanowiskami wspierającymi rozwój energetyki jądrowej w UE, warunki inwestycyjne w sektorze oraz zwiększenie środków na badania i rozwój jądrowy. Polska jest także członkiem grup roboczych dedykowanych Zadaniu 10 SET–Planu, który stanowi filar technologiczny europejskiej polityki klimatyczno-energetycznej, dbając o widoczność i dostęp do finansowania dla polskich projektów badawczych w zakresie nowych technologii (HTR), bezpieczeństwa jądrowego i gospodarki odpadami promieniotwórczymi. </w:t>
      </w:r>
    </w:p>
    <w:p w14:paraId="310E141B" w14:textId="77777777" w:rsidR="00C74DC2" w:rsidRDefault="00C74DC2" w:rsidP="00C74DC2">
      <w:pPr>
        <w:pStyle w:val="podtytu2"/>
      </w:pPr>
      <w:r>
        <w:t xml:space="preserve">Grupa Wyszehradzka (V4) </w:t>
      </w:r>
    </w:p>
    <w:p w14:paraId="042616FF" w14:textId="4D43B5A1" w:rsidR="00D53D17" w:rsidRDefault="00C74DC2" w:rsidP="00C74DC2">
      <w:r>
        <w:t>W obszarze energetycznym Polska współpracuje również w ramach grupy Wyszehradzkiej. W ramach gazowego projektu korytarza północ–południe, zrealizowano gazowe połączenia międzysystemowe: Polska – Słowacja oraz Słowacja – Węgry. Wszystkie cztery kraje grupy zajmują solidarne stanowisko w</w:t>
      </w:r>
      <w:r w:rsidR="00B6518A">
        <w:t> </w:t>
      </w:r>
      <w:r>
        <w:t>związku z wykorzystaniem energii jądrowej i współpracują w obszarze elektroenergetyki. Działania te sprzyjają budowaniu bezpieczeństwa energetycznego i niezależności państw V4. Spójne zdefiniowanie celów oraz ich solidarna realizacja sprzyjają tworzeniu integracji Unii Europejskiej i harmonizacji jej poziomu rozwoju.</w:t>
      </w:r>
      <w:r w:rsidR="00D53D17">
        <w:br w:type="page"/>
      </w:r>
    </w:p>
    <w:p w14:paraId="444CD72E" w14:textId="2F9331E5" w:rsidR="005C4144" w:rsidRPr="007679BB" w:rsidRDefault="005C4144" w:rsidP="004F5D0E">
      <w:pPr>
        <w:pStyle w:val="Nagwek1"/>
      </w:pPr>
      <w:bookmarkStart w:id="803" w:name="_Toc202966941"/>
      <w:r w:rsidRPr="007679BB">
        <w:t xml:space="preserve">Wkład planowanych polityk i </w:t>
      </w:r>
      <w:r w:rsidR="002D48CA">
        <w:t>działań</w:t>
      </w:r>
      <w:r w:rsidRPr="007679BB">
        <w:t xml:space="preserve"> na rzecz osiągnięcia unijnego celu neutralności klimatycznej</w:t>
      </w:r>
      <w:bookmarkEnd w:id="789"/>
      <w:bookmarkEnd w:id="800"/>
      <w:bookmarkEnd w:id="801"/>
      <w:bookmarkEnd w:id="802"/>
      <w:bookmarkEnd w:id="803"/>
    </w:p>
    <w:p w14:paraId="11E5C215" w14:textId="28F7F9F6" w:rsidR="000313E7" w:rsidRPr="0014781E" w:rsidRDefault="00D53D17" w:rsidP="000313E7">
      <w:bookmarkStart w:id="804" w:name="_Ref167821580"/>
      <w:bookmarkStart w:id="805" w:name="_Toc171587242"/>
      <w:bookmarkStart w:id="806" w:name="_Toc174711023"/>
      <w:r>
        <w:t xml:space="preserve">Cel </w:t>
      </w:r>
      <w:r w:rsidR="007F2BC7">
        <w:t xml:space="preserve">neutralności klimatycznej UE został </w:t>
      </w:r>
      <w:r w:rsidRPr="007679BB">
        <w:t>określon</w:t>
      </w:r>
      <w:r w:rsidR="007F2BC7">
        <w:t xml:space="preserve">y na 2050 r. </w:t>
      </w:r>
      <w:r w:rsidRPr="007679BB">
        <w:t>w art. 2 ust. 1 rozporządzenia (UE) 2021/1119</w:t>
      </w:r>
      <w:r w:rsidR="007F2BC7">
        <w:rPr>
          <w:rStyle w:val="Odwoanieprzypisudolnego"/>
        </w:rPr>
        <w:footnoteReference w:id="45"/>
      </w:r>
      <w:r>
        <w:t xml:space="preserve"> </w:t>
      </w:r>
      <w:r w:rsidR="000313E7" w:rsidRPr="00157A0B">
        <w:t>Polityki i działania wskazane w aKPEiK będą stanowić istotny wkład w dalsze ograniczanie emisji GHG, w tym do 20</w:t>
      </w:r>
      <w:r w:rsidR="0051616F">
        <w:t>4</w:t>
      </w:r>
      <w:r w:rsidR="000313E7" w:rsidRPr="00157A0B">
        <w:t>0 r.</w:t>
      </w:r>
      <w:r w:rsidR="000313E7">
        <w:t xml:space="preserve"> </w:t>
      </w:r>
      <w:r w:rsidR="000313E7" w:rsidRPr="0014781E">
        <w:t>Porównując wyniki dla scenariuszy emisji WEM i WAM można stwierdzić, że dodatkowe, planowane obecnie działania przyczynią się do dalszego ograniczania emisji GHG w</w:t>
      </w:r>
      <w:r w:rsidR="00B6518A">
        <w:t> </w:t>
      </w:r>
      <w:r w:rsidR="000313E7" w:rsidRPr="0014781E">
        <w:t>kontekście 2030 r.</w:t>
      </w:r>
      <w:r w:rsidR="0051616F">
        <w:t xml:space="preserve"> i</w:t>
      </w:r>
      <w:r w:rsidR="00910BE5">
        <w:t> </w:t>
      </w:r>
      <w:r w:rsidR="000313E7" w:rsidRPr="0014781E">
        <w:t>2040 r. Szacuje się, że scenariusz WAM pozwoli osiągnąć redukcję emisji na poziomie -46,8 % w 2030 r.</w:t>
      </w:r>
      <w:r w:rsidR="00E53AAB">
        <w:t xml:space="preserve"> i</w:t>
      </w:r>
      <w:r w:rsidR="00910BE5">
        <w:t> </w:t>
      </w:r>
      <w:r w:rsidR="000313E7" w:rsidRPr="0014781E">
        <w:t>-69,9 % w 2040 r. w porównaniu do poziomu w 1990 r. (bez sektora LULUCF). W</w:t>
      </w:r>
      <w:r w:rsidR="00B6518A">
        <w:t> </w:t>
      </w:r>
      <w:r w:rsidR="000313E7" w:rsidRPr="0014781E">
        <w:t>porównaniu do scenariusza WEM, emisje całkowite GHG (bez sektora LULUCF) w sc. WAM będą niższe o 29,6 mln t w</w:t>
      </w:r>
      <w:r w:rsidR="00910BE5">
        <w:t> </w:t>
      </w:r>
      <w:r w:rsidR="000313E7" w:rsidRPr="0014781E">
        <w:t>2030 r.</w:t>
      </w:r>
      <w:r w:rsidR="00883C55">
        <w:t xml:space="preserve"> i</w:t>
      </w:r>
      <w:r w:rsidR="000313E7" w:rsidRPr="0014781E">
        <w:t xml:space="preserve"> 50,9 mln t w 2040 r.</w:t>
      </w:r>
    </w:p>
    <w:p w14:paraId="36535E0C" w14:textId="4C3D211E" w:rsidR="000313E7" w:rsidRPr="00174820" w:rsidRDefault="000313E7" w:rsidP="00910BE5">
      <w:r w:rsidRPr="0014781E">
        <w:t>Biorąc pod uwagę udział emisji z poszczególnych sektorów w emisjach całkowitych GHG, najistotniejsze znaczenie w dalszym obniżaniu emisji GHG w polskiej gospodarce będzie miał sektor wytwarzania energii i sektor transportu, których udziały w całkowitych emisjach GHG są największe. W dążeniu do neutralności klimatycznej, nie bez znaczenia będzie także możliwy do osiągnięcia poziom pochłaniania przez sektor LULUCF, który wg scenariusza WAM może wynieść odpowiednio -46,5 mln t w 2030 r.</w:t>
      </w:r>
      <w:r w:rsidR="002A53C9">
        <w:t xml:space="preserve"> i</w:t>
      </w:r>
      <w:r w:rsidR="00B6518A">
        <w:t> </w:t>
      </w:r>
      <w:r w:rsidRPr="0014781E">
        <w:t xml:space="preserve">-35,3 mln t w 2040 r. </w:t>
      </w:r>
    </w:p>
    <w:p w14:paraId="6DE9201B" w14:textId="523CD63B" w:rsidR="000313E7" w:rsidRPr="00004610" w:rsidRDefault="000313E7" w:rsidP="000313E7">
      <w:r w:rsidRPr="00174820">
        <w:t>Ścieżkę i wkład Polski w osiągnięcie celu neutralności klimatycznej UE będzie bardziej szczegółowo definiować strategia długoterminowa do 2050 r., nad którą trwają prace.</w:t>
      </w:r>
      <w:r w:rsidR="00910BE5">
        <w:t xml:space="preserve"> </w:t>
      </w:r>
      <w:r w:rsidRPr="00174820">
        <w:t>Poniższe tabele zestawiają dane dot. prognozowanych redukcji emisji GHG do 20</w:t>
      </w:r>
      <w:r w:rsidR="002A53C9">
        <w:t>4</w:t>
      </w:r>
      <w:r w:rsidRPr="00174820">
        <w:t>0 r. wg scenariuszy prognoz emisji opracowanych na potrzeby aKPEiK.</w:t>
      </w:r>
    </w:p>
    <w:p w14:paraId="3318E27A" w14:textId="46422114" w:rsidR="005C4144" w:rsidRDefault="005C4144" w:rsidP="005C4144">
      <w:pPr>
        <w:pStyle w:val="Legenda"/>
        <w:keepNext/>
      </w:pPr>
      <w:bookmarkStart w:id="807" w:name="_Toc202967029"/>
      <w:r w:rsidRPr="00004610">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8</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1</w:t>
      </w:r>
      <w:r w:rsidR="00653D9A">
        <w:rPr>
          <w:noProof/>
        </w:rPr>
        <w:fldChar w:fldCharType="end"/>
      </w:r>
      <w:bookmarkEnd w:id="804"/>
      <w:r w:rsidRPr="00004610">
        <w:t>. Redukcje emisji GHG wynikające z dodatkowych działań ujętych w scenariuszu WAM</w:t>
      </w:r>
      <w:bookmarkEnd w:id="805"/>
      <w:bookmarkEnd w:id="806"/>
      <w:bookmarkEnd w:id="807"/>
    </w:p>
    <w:tbl>
      <w:tblPr>
        <w:tblStyle w:val="KPEiK"/>
        <w:tblW w:w="4996" w:type="pct"/>
        <w:tblLook w:val="04A0" w:firstRow="1" w:lastRow="0" w:firstColumn="1" w:lastColumn="0" w:noHBand="0" w:noVBand="1"/>
      </w:tblPr>
      <w:tblGrid>
        <w:gridCol w:w="2956"/>
        <w:gridCol w:w="2954"/>
        <w:gridCol w:w="3145"/>
      </w:tblGrid>
      <w:tr w:rsidR="008D3327" w14:paraId="58037C95" w14:textId="77777777" w:rsidTr="008D3327">
        <w:trPr>
          <w:cnfStyle w:val="100000000000" w:firstRow="1" w:lastRow="0" w:firstColumn="0" w:lastColumn="0" w:oddVBand="0" w:evenVBand="0" w:oddHBand="0" w:evenHBand="0" w:firstRowFirstColumn="0" w:firstRowLastColumn="0" w:lastRowFirstColumn="0" w:lastRowLastColumn="0"/>
          <w:trHeight w:val="227"/>
          <w:tblHeader/>
        </w:trPr>
        <w:tc>
          <w:tcPr>
            <w:tcW w:w="2956" w:type="dxa"/>
            <w:vMerge w:val="restart"/>
          </w:tcPr>
          <w:p w14:paraId="5CB54406" w14:textId="77777777" w:rsidR="008D3327" w:rsidRDefault="008D3327" w:rsidP="00DF6CBC">
            <w:pPr>
              <w:pStyle w:val="Tabele"/>
            </w:pPr>
          </w:p>
        </w:tc>
        <w:tc>
          <w:tcPr>
            <w:tcW w:w="6099" w:type="dxa"/>
            <w:gridSpan w:val="2"/>
            <w:vAlign w:val="top"/>
          </w:tcPr>
          <w:p w14:paraId="33A2EFC3" w14:textId="77777777" w:rsidR="008D3327" w:rsidRDefault="008D3327" w:rsidP="00DF6CBC">
            <w:pPr>
              <w:pStyle w:val="Tabele"/>
              <w:jc w:val="center"/>
              <w:rPr>
                <w:b w:val="0"/>
              </w:rPr>
            </w:pPr>
            <w:r>
              <w:t>Dodatkowe r</w:t>
            </w:r>
            <w:r w:rsidRPr="00C85C66">
              <w:t>edukcj</w:t>
            </w:r>
            <w:r>
              <w:t>e</w:t>
            </w:r>
            <w:r w:rsidRPr="00C85C66">
              <w:t xml:space="preserve"> emisji w</w:t>
            </w:r>
            <w:r>
              <w:t xml:space="preserve"> sc. WAM względem sc. WEM [mln t CO</w:t>
            </w:r>
            <w:r w:rsidRPr="008276EB">
              <w:rPr>
                <w:vertAlign w:val="subscript"/>
              </w:rPr>
              <w:t>2</w:t>
            </w:r>
            <w:r>
              <w:t xml:space="preserve"> eq]</w:t>
            </w:r>
          </w:p>
        </w:tc>
      </w:tr>
      <w:tr w:rsidR="008D3327" w14:paraId="514CB0B2" w14:textId="77777777" w:rsidTr="007F2BC7">
        <w:trPr>
          <w:cnfStyle w:val="100000000000" w:firstRow="1" w:lastRow="0" w:firstColumn="0" w:lastColumn="0" w:oddVBand="0" w:evenVBand="0" w:oddHBand="0" w:evenHBand="0" w:firstRowFirstColumn="0" w:firstRowLastColumn="0" w:lastRowFirstColumn="0" w:lastRowLastColumn="0"/>
          <w:trHeight w:val="39"/>
          <w:tblHeader/>
        </w:trPr>
        <w:tc>
          <w:tcPr>
            <w:tcW w:w="2956" w:type="dxa"/>
            <w:vMerge/>
          </w:tcPr>
          <w:p w14:paraId="18CF55B2" w14:textId="77777777" w:rsidR="008D3327" w:rsidRDefault="008D3327" w:rsidP="00DF6CBC">
            <w:pPr>
              <w:pStyle w:val="Tabele"/>
            </w:pPr>
          </w:p>
        </w:tc>
        <w:tc>
          <w:tcPr>
            <w:tcW w:w="2954" w:type="dxa"/>
            <w:vAlign w:val="top"/>
          </w:tcPr>
          <w:p w14:paraId="651740EA" w14:textId="77777777" w:rsidR="008D3327" w:rsidRPr="000D4CCE" w:rsidRDefault="008D3327" w:rsidP="00DF6CBC">
            <w:pPr>
              <w:pStyle w:val="Tabele"/>
              <w:jc w:val="center"/>
            </w:pPr>
            <w:r>
              <w:t>2030</w:t>
            </w:r>
          </w:p>
        </w:tc>
        <w:tc>
          <w:tcPr>
            <w:tcW w:w="3144" w:type="dxa"/>
            <w:vAlign w:val="top"/>
          </w:tcPr>
          <w:p w14:paraId="48223423" w14:textId="77777777" w:rsidR="008D3327" w:rsidRPr="000D4CCE" w:rsidRDefault="008D3327" w:rsidP="00DF6CBC">
            <w:pPr>
              <w:pStyle w:val="Tabele"/>
              <w:jc w:val="center"/>
            </w:pPr>
            <w:r>
              <w:t>2040</w:t>
            </w:r>
          </w:p>
        </w:tc>
      </w:tr>
      <w:tr w:rsidR="008D3327" w14:paraId="590E6AAC" w14:textId="77777777" w:rsidTr="007F2BC7">
        <w:trPr>
          <w:trHeight w:val="170"/>
        </w:trPr>
        <w:tc>
          <w:tcPr>
            <w:tcW w:w="2956" w:type="dxa"/>
            <w:vAlign w:val="top"/>
          </w:tcPr>
          <w:p w14:paraId="062372FC" w14:textId="77777777" w:rsidR="008D3327" w:rsidRPr="001E20FD" w:rsidRDefault="008D3327" w:rsidP="00DF6CBC">
            <w:pPr>
              <w:pStyle w:val="Tabele"/>
              <w:rPr>
                <w:color w:val="auto"/>
              </w:rPr>
            </w:pPr>
            <w:r w:rsidRPr="001E20FD">
              <w:rPr>
                <w:color w:val="auto"/>
              </w:rPr>
              <w:t>Energia (bez transportu)</w:t>
            </w:r>
          </w:p>
        </w:tc>
        <w:tc>
          <w:tcPr>
            <w:tcW w:w="2954" w:type="dxa"/>
          </w:tcPr>
          <w:p w14:paraId="18FEEA9E" w14:textId="77777777" w:rsidR="008D3327" w:rsidRPr="001E20FD" w:rsidRDefault="008D3327" w:rsidP="00DF6CBC">
            <w:pPr>
              <w:pStyle w:val="Tabele"/>
              <w:jc w:val="right"/>
              <w:rPr>
                <w:color w:val="auto"/>
              </w:rPr>
            </w:pPr>
            <w:r w:rsidRPr="001E20FD">
              <w:rPr>
                <w:color w:val="auto"/>
              </w:rPr>
              <w:t xml:space="preserve">-21,9 </w:t>
            </w:r>
          </w:p>
        </w:tc>
        <w:tc>
          <w:tcPr>
            <w:tcW w:w="3144" w:type="dxa"/>
          </w:tcPr>
          <w:p w14:paraId="067B644D" w14:textId="77777777" w:rsidR="008D3327" w:rsidRPr="001E20FD" w:rsidRDefault="008D3327" w:rsidP="00DF6CBC">
            <w:pPr>
              <w:pStyle w:val="Tabele"/>
              <w:jc w:val="right"/>
              <w:rPr>
                <w:color w:val="auto"/>
              </w:rPr>
            </w:pPr>
            <w:r w:rsidRPr="001E20FD">
              <w:rPr>
                <w:color w:val="auto"/>
              </w:rPr>
              <w:t xml:space="preserve">-37,0 </w:t>
            </w:r>
          </w:p>
        </w:tc>
      </w:tr>
      <w:tr w:rsidR="008D3327" w14:paraId="57BC3F52" w14:textId="77777777" w:rsidTr="007F2BC7">
        <w:trPr>
          <w:trHeight w:val="170"/>
        </w:trPr>
        <w:tc>
          <w:tcPr>
            <w:tcW w:w="2956" w:type="dxa"/>
            <w:vAlign w:val="top"/>
          </w:tcPr>
          <w:p w14:paraId="191F1DD5" w14:textId="77777777" w:rsidR="008D3327" w:rsidRPr="001E20FD" w:rsidRDefault="008D3327" w:rsidP="00DF6CBC">
            <w:pPr>
              <w:pStyle w:val="Tabele"/>
              <w:rPr>
                <w:color w:val="auto"/>
              </w:rPr>
            </w:pPr>
            <w:r w:rsidRPr="001E20FD">
              <w:rPr>
                <w:color w:val="auto"/>
              </w:rPr>
              <w:t>Transport</w:t>
            </w:r>
          </w:p>
        </w:tc>
        <w:tc>
          <w:tcPr>
            <w:tcW w:w="2954" w:type="dxa"/>
          </w:tcPr>
          <w:p w14:paraId="59C82395" w14:textId="77777777" w:rsidR="008D3327" w:rsidRPr="001E20FD" w:rsidRDefault="008D3327" w:rsidP="00DF6CBC">
            <w:pPr>
              <w:pStyle w:val="Tabele"/>
              <w:jc w:val="right"/>
              <w:rPr>
                <w:color w:val="auto"/>
              </w:rPr>
            </w:pPr>
            <w:r w:rsidRPr="001E20FD">
              <w:rPr>
                <w:color w:val="auto"/>
              </w:rPr>
              <w:t>-0,2</w:t>
            </w:r>
          </w:p>
        </w:tc>
        <w:tc>
          <w:tcPr>
            <w:tcW w:w="3144" w:type="dxa"/>
          </w:tcPr>
          <w:p w14:paraId="6E09F599" w14:textId="77777777" w:rsidR="008D3327" w:rsidRPr="001E20FD" w:rsidRDefault="008D3327" w:rsidP="00DF6CBC">
            <w:pPr>
              <w:pStyle w:val="Tabele"/>
              <w:jc w:val="right"/>
              <w:rPr>
                <w:color w:val="auto"/>
              </w:rPr>
            </w:pPr>
            <w:r w:rsidRPr="001E20FD">
              <w:rPr>
                <w:color w:val="auto"/>
              </w:rPr>
              <w:t>-1,3</w:t>
            </w:r>
          </w:p>
        </w:tc>
      </w:tr>
      <w:tr w:rsidR="008D3327" w14:paraId="2846DC92" w14:textId="77777777" w:rsidTr="007F2BC7">
        <w:trPr>
          <w:trHeight w:val="170"/>
        </w:trPr>
        <w:tc>
          <w:tcPr>
            <w:tcW w:w="2956" w:type="dxa"/>
            <w:vAlign w:val="top"/>
          </w:tcPr>
          <w:p w14:paraId="6BD60175" w14:textId="77777777" w:rsidR="008D3327" w:rsidRPr="001E20FD" w:rsidRDefault="008D3327" w:rsidP="00DF6CBC">
            <w:pPr>
              <w:pStyle w:val="Tabele"/>
              <w:rPr>
                <w:color w:val="auto"/>
              </w:rPr>
            </w:pPr>
            <w:r w:rsidRPr="001E20FD">
              <w:rPr>
                <w:color w:val="auto"/>
              </w:rPr>
              <w:t>Procesy przemysłowe</w:t>
            </w:r>
          </w:p>
        </w:tc>
        <w:tc>
          <w:tcPr>
            <w:tcW w:w="2954" w:type="dxa"/>
          </w:tcPr>
          <w:p w14:paraId="0C02C916" w14:textId="77777777" w:rsidR="008D3327" w:rsidRPr="001E20FD" w:rsidRDefault="008D3327" w:rsidP="00DF6CBC">
            <w:pPr>
              <w:pStyle w:val="Tabele"/>
              <w:jc w:val="right"/>
              <w:rPr>
                <w:color w:val="auto"/>
              </w:rPr>
            </w:pPr>
            <w:r w:rsidRPr="001E20FD">
              <w:rPr>
                <w:color w:val="auto"/>
              </w:rPr>
              <w:t>-6,4</w:t>
            </w:r>
          </w:p>
        </w:tc>
        <w:tc>
          <w:tcPr>
            <w:tcW w:w="3144" w:type="dxa"/>
          </w:tcPr>
          <w:p w14:paraId="61E913E7" w14:textId="77777777" w:rsidR="008D3327" w:rsidRPr="001E20FD" w:rsidRDefault="008D3327" w:rsidP="00DF6CBC">
            <w:pPr>
              <w:pStyle w:val="Tabele"/>
              <w:jc w:val="right"/>
              <w:rPr>
                <w:color w:val="auto"/>
              </w:rPr>
            </w:pPr>
            <w:r w:rsidRPr="001E20FD">
              <w:rPr>
                <w:color w:val="auto"/>
              </w:rPr>
              <w:t>-10,7</w:t>
            </w:r>
          </w:p>
        </w:tc>
      </w:tr>
      <w:tr w:rsidR="008D3327" w14:paraId="250BB969" w14:textId="77777777" w:rsidTr="007F2BC7">
        <w:trPr>
          <w:trHeight w:val="170"/>
        </w:trPr>
        <w:tc>
          <w:tcPr>
            <w:tcW w:w="2956" w:type="dxa"/>
            <w:vAlign w:val="top"/>
          </w:tcPr>
          <w:p w14:paraId="41889BB7" w14:textId="77777777" w:rsidR="008D3327" w:rsidRPr="001E20FD" w:rsidRDefault="008D3327" w:rsidP="00DF6CBC">
            <w:pPr>
              <w:pStyle w:val="Tabele"/>
              <w:rPr>
                <w:color w:val="auto"/>
              </w:rPr>
            </w:pPr>
            <w:r w:rsidRPr="001E20FD">
              <w:rPr>
                <w:color w:val="auto"/>
              </w:rPr>
              <w:t>Rolnictwo</w:t>
            </w:r>
          </w:p>
        </w:tc>
        <w:tc>
          <w:tcPr>
            <w:tcW w:w="2954" w:type="dxa"/>
          </w:tcPr>
          <w:p w14:paraId="30CA8AAE" w14:textId="77777777" w:rsidR="008D3327" w:rsidRPr="001E20FD" w:rsidRDefault="008D3327" w:rsidP="00DF6CBC">
            <w:pPr>
              <w:pStyle w:val="Tabele"/>
              <w:jc w:val="right"/>
              <w:rPr>
                <w:color w:val="auto"/>
              </w:rPr>
            </w:pPr>
            <w:r w:rsidRPr="001E20FD">
              <w:rPr>
                <w:color w:val="auto"/>
              </w:rPr>
              <w:t>-1,1</w:t>
            </w:r>
          </w:p>
        </w:tc>
        <w:tc>
          <w:tcPr>
            <w:tcW w:w="3144" w:type="dxa"/>
          </w:tcPr>
          <w:p w14:paraId="65370ED3" w14:textId="77777777" w:rsidR="008D3327" w:rsidRPr="001E20FD" w:rsidRDefault="008D3327" w:rsidP="00DF6CBC">
            <w:pPr>
              <w:pStyle w:val="Tabele"/>
              <w:jc w:val="right"/>
              <w:rPr>
                <w:color w:val="auto"/>
              </w:rPr>
            </w:pPr>
            <w:r w:rsidRPr="001E20FD">
              <w:rPr>
                <w:color w:val="auto"/>
              </w:rPr>
              <w:t>-1,9</w:t>
            </w:r>
          </w:p>
        </w:tc>
      </w:tr>
      <w:tr w:rsidR="008D3327" w:rsidRPr="000D4CCE" w14:paraId="5F6D4592" w14:textId="77777777" w:rsidTr="007F2BC7">
        <w:trPr>
          <w:trHeight w:val="170"/>
        </w:trPr>
        <w:tc>
          <w:tcPr>
            <w:tcW w:w="2956" w:type="dxa"/>
            <w:vAlign w:val="top"/>
          </w:tcPr>
          <w:p w14:paraId="4DD4BE3F" w14:textId="77777777" w:rsidR="008D3327" w:rsidRPr="001E20FD" w:rsidRDefault="008D3327" w:rsidP="00DF6CBC">
            <w:pPr>
              <w:pStyle w:val="Tabele"/>
              <w:rPr>
                <w:color w:val="auto"/>
              </w:rPr>
            </w:pPr>
            <w:r w:rsidRPr="001E20FD">
              <w:rPr>
                <w:color w:val="auto"/>
              </w:rPr>
              <w:t>Emisje całk. GHG z LULUCF</w:t>
            </w:r>
          </w:p>
        </w:tc>
        <w:tc>
          <w:tcPr>
            <w:tcW w:w="2954" w:type="dxa"/>
          </w:tcPr>
          <w:p w14:paraId="75934D33" w14:textId="77777777" w:rsidR="008D3327" w:rsidRPr="001E20FD" w:rsidRDefault="008D3327" w:rsidP="00DF6CBC">
            <w:pPr>
              <w:pStyle w:val="Tabele"/>
              <w:jc w:val="right"/>
              <w:rPr>
                <w:color w:val="auto"/>
              </w:rPr>
            </w:pPr>
            <w:r w:rsidRPr="001E20FD">
              <w:rPr>
                <w:color w:val="auto"/>
              </w:rPr>
              <w:t xml:space="preserve">-47,3 </w:t>
            </w:r>
          </w:p>
        </w:tc>
        <w:tc>
          <w:tcPr>
            <w:tcW w:w="3144" w:type="dxa"/>
          </w:tcPr>
          <w:p w14:paraId="2F05A752" w14:textId="77777777" w:rsidR="008D3327" w:rsidRPr="001E20FD" w:rsidRDefault="008D3327" w:rsidP="00DF6CBC">
            <w:pPr>
              <w:pStyle w:val="Tabele"/>
              <w:jc w:val="right"/>
              <w:rPr>
                <w:color w:val="auto"/>
              </w:rPr>
            </w:pPr>
            <w:r w:rsidRPr="001E20FD">
              <w:rPr>
                <w:color w:val="auto"/>
              </w:rPr>
              <w:t xml:space="preserve">-66,7 </w:t>
            </w:r>
          </w:p>
        </w:tc>
      </w:tr>
      <w:tr w:rsidR="008D3327" w:rsidRPr="000D4CCE" w14:paraId="447E0935" w14:textId="77777777" w:rsidTr="007F2BC7">
        <w:trPr>
          <w:trHeight w:val="170"/>
        </w:trPr>
        <w:tc>
          <w:tcPr>
            <w:tcW w:w="2956" w:type="dxa"/>
            <w:vAlign w:val="top"/>
          </w:tcPr>
          <w:p w14:paraId="7E12EC18" w14:textId="77777777" w:rsidR="008D3327" w:rsidRPr="001E20FD" w:rsidRDefault="008D3327" w:rsidP="00DF6CBC">
            <w:pPr>
              <w:pStyle w:val="Tabele"/>
              <w:rPr>
                <w:color w:val="auto"/>
              </w:rPr>
            </w:pPr>
            <w:r w:rsidRPr="001E20FD">
              <w:rPr>
                <w:color w:val="auto"/>
              </w:rPr>
              <w:t>Emisje całk. GHG bez LULUCF</w:t>
            </w:r>
          </w:p>
        </w:tc>
        <w:tc>
          <w:tcPr>
            <w:tcW w:w="2954" w:type="dxa"/>
          </w:tcPr>
          <w:p w14:paraId="36F850CD" w14:textId="77777777" w:rsidR="008D3327" w:rsidRPr="001E20FD" w:rsidRDefault="008D3327" w:rsidP="00DF6CBC">
            <w:pPr>
              <w:pStyle w:val="Tabele"/>
              <w:jc w:val="right"/>
              <w:rPr>
                <w:color w:val="auto"/>
              </w:rPr>
            </w:pPr>
            <w:r w:rsidRPr="001E20FD">
              <w:rPr>
                <w:color w:val="auto"/>
              </w:rPr>
              <w:t xml:space="preserve">-29,6 </w:t>
            </w:r>
          </w:p>
        </w:tc>
        <w:tc>
          <w:tcPr>
            <w:tcW w:w="3144" w:type="dxa"/>
          </w:tcPr>
          <w:p w14:paraId="6F409A84" w14:textId="77777777" w:rsidR="008D3327" w:rsidRPr="001E20FD" w:rsidRDefault="008D3327" w:rsidP="00DF6CBC">
            <w:pPr>
              <w:pStyle w:val="Tabele"/>
              <w:jc w:val="right"/>
              <w:rPr>
                <w:color w:val="auto"/>
              </w:rPr>
            </w:pPr>
            <w:r w:rsidRPr="001E20FD">
              <w:rPr>
                <w:color w:val="auto"/>
              </w:rPr>
              <w:t xml:space="preserve">-50,9 </w:t>
            </w:r>
          </w:p>
        </w:tc>
      </w:tr>
    </w:tbl>
    <w:p w14:paraId="245A712F" w14:textId="323411D1" w:rsidR="005C4144" w:rsidRDefault="005C4144" w:rsidP="00910BE5">
      <w:pPr>
        <w:pStyle w:val="Legenda"/>
        <w:keepNext/>
        <w:spacing w:before="120"/>
      </w:pPr>
      <w:r>
        <w:t>Źródło: KOBiZE</w:t>
      </w:r>
    </w:p>
    <w:p w14:paraId="47D88034" w14:textId="4B5FD8DD" w:rsidR="005458CD" w:rsidRDefault="005C4144" w:rsidP="005458CD">
      <w:pPr>
        <w:pStyle w:val="Legenda"/>
        <w:keepNext/>
      </w:pPr>
      <w:bookmarkStart w:id="808" w:name="_Toc171587243"/>
      <w:bookmarkStart w:id="809" w:name="_Toc174711024"/>
      <w:bookmarkStart w:id="810" w:name="_Toc202967030"/>
      <w:r w:rsidRPr="00004610">
        <w:t xml:space="preserve">Tabela </w:t>
      </w:r>
      <w:r w:rsidR="00653D9A">
        <w:rPr>
          <w:noProof/>
        </w:rPr>
        <w:fldChar w:fldCharType="begin"/>
      </w:r>
      <w:r w:rsidR="00653D9A">
        <w:rPr>
          <w:noProof/>
        </w:rPr>
        <w:instrText xml:space="preserve"> STYLEREF 1 \s </w:instrText>
      </w:r>
      <w:r w:rsidR="00653D9A">
        <w:rPr>
          <w:noProof/>
        </w:rPr>
        <w:fldChar w:fldCharType="separate"/>
      </w:r>
      <w:r w:rsidR="00F27D6F">
        <w:rPr>
          <w:noProof/>
        </w:rPr>
        <w:t>8</w:t>
      </w:r>
      <w:r w:rsidR="00653D9A">
        <w:rPr>
          <w:noProof/>
        </w:rPr>
        <w:fldChar w:fldCharType="end"/>
      </w:r>
      <w:r>
        <w:t>.</w:t>
      </w:r>
      <w:r w:rsidR="00653D9A">
        <w:rPr>
          <w:noProof/>
        </w:rPr>
        <w:fldChar w:fldCharType="begin"/>
      </w:r>
      <w:r w:rsidR="00653D9A">
        <w:rPr>
          <w:noProof/>
        </w:rPr>
        <w:instrText xml:space="preserve"> SEQ Tabela \* ARABIC \s 1 </w:instrText>
      </w:r>
      <w:r w:rsidR="00653D9A">
        <w:rPr>
          <w:noProof/>
        </w:rPr>
        <w:fldChar w:fldCharType="separate"/>
      </w:r>
      <w:r w:rsidR="00F27D6F">
        <w:rPr>
          <w:noProof/>
        </w:rPr>
        <w:t>2</w:t>
      </w:r>
      <w:r w:rsidR="00653D9A">
        <w:rPr>
          <w:noProof/>
        </w:rPr>
        <w:fldChar w:fldCharType="end"/>
      </w:r>
      <w:bookmarkEnd w:id="808"/>
      <w:bookmarkEnd w:id="809"/>
      <w:r w:rsidR="00325005">
        <w:rPr>
          <w:noProof/>
        </w:rPr>
        <w:t xml:space="preserve"> </w:t>
      </w:r>
      <w:r w:rsidR="005458CD" w:rsidRPr="00004610">
        <w:t>Redukcja całkowitych emisji GHG wg scenariuszy względem poziomu emisji w 1990 r.</w:t>
      </w:r>
      <w:bookmarkEnd w:id="810"/>
    </w:p>
    <w:tbl>
      <w:tblPr>
        <w:tblStyle w:val="KPEiK"/>
        <w:tblW w:w="5000" w:type="pct"/>
        <w:tblLook w:val="04A0" w:firstRow="1" w:lastRow="0" w:firstColumn="1" w:lastColumn="0" w:noHBand="0" w:noVBand="1"/>
      </w:tblPr>
      <w:tblGrid>
        <w:gridCol w:w="3345"/>
        <w:gridCol w:w="1429"/>
        <w:gridCol w:w="1429"/>
        <w:gridCol w:w="1430"/>
        <w:gridCol w:w="1429"/>
      </w:tblGrid>
      <w:tr w:rsidR="00027F06" w14:paraId="438A83E2" w14:textId="77777777" w:rsidTr="007F2BC7">
        <w:trPr>
          <w:cnfStyle w:val="100000000000" w:firstRow="1" w:lastRow="0" w:firstColumn="0" w:lastColumn="0" w:oddVBand="0" w:evenVBand="0" w:oddHBand="0" w:evenHBand="0" w:firstRowFirstColumn="0" w:firstRowLastColumn="0" w:lastRowFirstColumn="0" w:lastRowLastColumn="0"/>
          <w:trHeight w:val="170"/>
          <w:tblHeader/>
        </w:trPr>
        <w:tc>
          <w:tcPr>
            <w:tcW w:w="3391" w:type="dxa"/>
            <w:vMerge w:val="restart"/>
          </w:tcPr>
          <w:p w14:paraId="57BB1CB6" w14:textId="77777777" w:rsidR="00027F06" w:rsidRDefault="00027F06" w:rsidP="00DF6CBC">
            <w:pPr>
              <w:pStyle w:val="Tabele"/>
              <w:jc w:val="center"/>
            </w:pPr>
          </w:p>
        </w:tc>
        <w:tc>
          <w:tcPr>
            <w:tcW w:w="2889" w:type="dxa"/>
            <w:gridSpan w:val="2"/>
          </w:tcPr>
          <w:p w14:paraId="40495972" w14:textId="77777777" w:rsidR="00027F06" w:rsidRDefault="00027F06" w:rsidP="00DF6CBC">
            <w:pPr>
              <w:pStyle w:val="Tabele"/>
              <w:jc w:val="center"/>
            </w:pPr>
            <w:r>
              <w:t>2030</w:t>
            </w:r>
          </w:p>
        </w:tc>
        <w:tc>
          <w:tcPr>
            <w:tcW w:w="2890" w:type="dxa"/>
            <w:gridSpan w:val="2"/>
          </w:tcPr>
          <w:p w14:paraId="58F93065" w14:textId="77777777" w:rsidR="00027F06" w:rsidRDefault="00027F06" w:rsidP="00DF6CBC">
            <w:pPr>
              <w:pStyle w:val="Tabele"/>
              <w:jc w:val="center"/>
            </w:pPr>
            <w:r>
              <w:t>2040</w:t>
            </w:r>
          </w:p>
        </w:tc>
      </w:tr>
      <w:tr w:rsidR="00027F06" w14:paraId="66BBB13C" w14:textId="77777777" w:rsidTr="007F2BC7">
        <w:trPr>
          <w:cnfStyle w:val="100000000000" w:firstRow="1" w:lastRow="0" w:firstColumn="0" w:lastColumn="0" w:oddVBand="0" w:evenVBand="0" w:oddHBand="0" w:evenHBand="0" w:firstRowFirstColumn="0" w:firstRowLastColumn="0" w:lastRowFirstColumn="0" w:lastRowLastColumn="0"/>
          <w:trHeight w:val="170"/>
          <w:tblHeader/>
        </w:trPr>
        <w:tc>
          <w:tcPr>
            <w:tcW w:w="3391" w:type="dxa"/>
            <w:vMerge/>
          </w:tcPr>
          <w:p w14:paraId="33F25323" w14:textId="77777777" w:rsidR="00027F06" w:rsidRDefault="00027F06" w:rsidP="00DF6CBC">
            <w:pPr>
              <w:pStyle w:val="Tabele"/>
              <w:jc w:val="center"/>
            </w:pPr>
          </w:p>
        </w:tc>
        <w:tc>
          <w:tcPr>
            <w:tcW w:w="1444" w:type="dxa"/>
          </w:tcPr>
          <w:p w14:paraId="726C3DFA" w14:textId="77777777" w:rsidR="00027F06" w:rsidRDefault="00027F06" w:rsidP="00DF6CBC">
            <w:pPr>
              <w:pStyle w:val="Tabele"/>
              <w:jc w:val="center"/>
            </w:pPr>
            <w:r>
              <w:t>WEM</w:t>
            </w:r>
          </w:p>
        </w:tc>
        <w:tc>
          <w:tcPr>
            <w:tcW w:w="1445" w:type="dxa"/>
          </w:tcPr>
          <w:p w14:paraId="3D929EF9" w14:textId="77777777" w:rsidR="00027F06" w:rsidRDefault="00027F06" w:rsidP="00DF6CBC">
            <w:pPr>
              <w:pStyle w:val="Tabele"/>
              <w:jc w:val="center"/>
            </w:pPr>
            <w:r>
              <w:t>WAM</w:t>
            </w:r>
          </w:p>
        </w:tc>
        <w:tc>
          <w:tcPr>
            <w:tcW w:w="1445" w:type="dxa"/>
          </w:tcPr>
          <w:p w14:paraId="3CE999BD" w14:textId="77777777" w:rsidR="00027F06" w:rsidRDefault="00027F06" w:rsidP="00DF6CBC">
            <w:pPr>
              <w:pStyle w:val="Tabele"/>
              <w:jc w:val="center"/>
            </w:pPr>
            <w:r>
              <w:t>WEM</w:t>
            </w:r>
          </w:p>
        </w:tc>
        <w:tc>
          <w:tcPr>
            <w:tcW w:w="1445" w:type="dxa"/>
          </w:tcPr>
          <w:p w14:paraId="68BBB4FC" w14:textId="77777777" w:rsidR="00027F06" w:rsidRDefault="00027F06" w:rsidP="00DF6CBC">
            <w:pPr>
              <w:pStyle w:val="Tabele"/>
              <w:jc w:val="center"/>
            </w:pPr>
            <w:r>
              <w:t>WAM</w:t>
            </w:r>
          </w:p>
        </w:tc>
      </w:tr>
      <w:tr w:rsidR="00027F06" w:rsidRPr="00A6566E" w14:paraId="599A2D9B" w14:textId="77777777" w:rsidTr="00202B70">
        <w:trPr>
          <w:trHeight w:val="170"/>
        </w:trPr>
        <w:tc>
          <w:tcPr>
            <w:tcW w:w="3391" w:type="dxa"/>
            <w:tcBorders>
              <w:bottom w:val="single" w:sz="4" w:space="0" w:color="auto"/>
            </w:tcBorders>
            <w:vAlign w:val="top"/>
          </w:tcPr>
          <w:p w14:paraId="498B4993" w14:textId="77777777" w:rsidR="00027F06" w:rsidRPr="005458CD" w:rsidRDefault="00027F06" w:rsidP="00DF6CBC">
            <w:pPr>
              <w:pStyle w:val="Tabele"/>
              <w:rPr>
                <w:color w:val="auto"/>
                <w:szCs w:val="16"/>
              </w:rPr>
            </w:pPr>
            <w:r w:rsidRPr="005458CD">
              <w:rPr>
                <w:color w:val="auto"/>
                <w:szCs w:val="16"/>
              </w:rPr>
              <w:t>Redukcja emisji GHG z LULUCF</w:t>
            </w:r>
          </w:p>
        </w:tc>
        <w:tc>
          <w:tcPr>
            <w:tcW w:w="1444" w:type="dxa"/>
            <w:tcBorders>
              <w:bottom w:val="single" w:sz="4" w:space="0" w:color="auto"/>
            </w:tcBorders>
          </w:tcPr>
          <w:p w14:paraId="7F927320" w14:textId="77777777" w:rsidR="00027F06" w:rsidRPr="005458CD" w:rsidRDefault="00027F06" w:rsidP="00DF6CBC">
            <w:pPr>
              <w:jc w:val="right"/>
              <w:rPr>
                <w:sz w:val="16"/>
                <w:szCs w:val="16"/>
              </w:rPr>
            </w:pPr>
            <w:r w:rsidRPr="005458CD">
              <w:rPr>
                <w:sz w:val="16"/>
                <w:szCs w:val="16"/>
              </w:rPr>
              <w:t>-43,3%</w:t>
            </w:r>
          </w:p>
        </w:tc>
        <w:tc>
          <w:tcPr>
            <w:tcW w:w="1445" w:type="dxa"/>
            <w:tcBorders>
              <w:bottom w:val="single" w:sz="4" w:space="0" w:color="auto"/>
            </w:tcBorders>
          </w:tcPr>
          <w:p w14:paraId="305793F4" w14:textId="77777777" w:rsidR="00027F06" w:rsidRPr="005458CD" w:rsidRDefault="00027F06" w:rsidP="00DF6CBC">
            <w:pPr>
              <w:jc w:val="right"/>
              <w:rPr>
                <w:sz w:val="16"/>
                <w:szCs w:val="16"/>
              </w:rPr>
            </w:pPr>
            <w:r w:rsidRPr="005458CD">
              <w:rPr>
                <w:sz w:val="16"/>
                <w:szCs w:val="16"/>
              </w:rPr>
              <w:t>-53,9 %</w:t>
            </w:r>
          </w:p>
        </w:tc>
        <w:tc>
          <w:tcPr>
            <w:tcW w:w="1445" w:type="dxa"/>
            <w:tcBorders>
              <w:bottom w:val="single" w:sz="4" w:space="0" w:color="auto"/>
            </w:tcBorders>
          </w:tcPr>
          <w:p w14:paraId="2AD3BEE6" w14:textId="77777777" w:rsidR="00027F06" w:rsidRPr="005458CD" w:rsidRDefault="00027F06" w:rsidP="00DF6CBC">
            <w:pPr>
              <w:jc w:val="right"/>
              <w:rPr>
                <w:sz w:val="16"/>
                <w:szCs w:val="16"/>
              </w:rPr>
            </w:pPr>
            <w:r w:rsidRPr="005458CD">
              <w:rPr>
                <w:sz w:val="16"/>
                <w:szCs w:val="16"/>
              </w:rPr>
              <w:t>-60,9%</w:t>
            </w:r>
          </w:p>
        </w:tc>
        <w:tc>
          <w:tcPr>
            <w:tcW w:w="1445" w:type="dxa"/>
            <w:tcBorders>
              <w:bottom w:val="single" w:sz="4" w:space="0" w:color="auto"/>
            </w:tcBorders>
          </w:tcPr>
          <w:p w14:paraId="184F4D6E" w14:textId="77777777" w:rsidR="00027F06" w:rsidRPr="005458CD" w:rsidRDefault="00027F06" w:rsidP="00DF6CBC">
            <w:pPr>
              <w:jc w:val="right"/>
              <w:rPr>
                <w:sz w:val="16"/>
                <w:szCs w:val="16"/>
              </w:rPr>
            </w:pPr>
            <w:r w:rsidRPr="005458CD">
              <w:rPr>
                <w:sz w:val="16"/>
                <w:szCs w:val="16"/>
              </w:rPr>
              <w:t>-75,8 %</w:t>
            </w:r>
          </w:p>
        </w:tc>
      </w:tr>
      <w:tr w:rsidR="00027F06" w:rsidRPr="00A6566E" w14:paraId="376274F5" w14:textId="77777777" w:rsidTr="00202B70">
        <w:trPr>
          <w:trHeight w:val="170"/>
        </w:trPr>
        <w:tc>
          <w:tcPr>
            <w:tcW w:w="3391" w:type="dxa"/>
            <w:tcBorders>
              <w:top w:val="single" w:sz="4" w:space="0" w:color="auto"/>
              <w:left w:val="single" w:sz="4" w:space="0" w:color="auto"/>
              <w:bottom w:val="single" w:sz="4" w:space="0" w:color="auto"/>
              <w:right w:val="single" w:sz="4" w:space="0" w:color="auto"/>
            </w:tcBorders>
            <w:vAlign w:val="top"/>
          </w:tcPr>
          <w:p w14:paraId="0AD46715" w14:textId="77777777" w:rsidR="00027F06" w:rsidRPr="005458CD" w:rsidRDefault="00027F06" w:rsidP="00DF6CBC">
            <w:pPr>
              <w:pStyle w:val="Tabele"/>
              <w:rPr>
                <w:color w:val="auto"/>
                <w:szCs w:val="16"/>
              </w:rPr>
            </w:pPr>
            <w:r w:rsidRPr="005458CD">
              <w:rPr>
                <w:color w:val="auto"/>
                <w:szCs w:val="16"/>
              </w:rPr>
              <w:t>Redukcja emisji GHG bez LULUCF</w:t>
            </w:r>
          </w:p>
        </w:tc>
        <w:tc>
          <w:tcPr>
            <w:tcW w:w="1444" w:type="dxa"/>
            <w:tcBorders>
              <w:top w:val="single" w:sz="4" w:space="0" w:color="auto"/>
              <w:left w:val="single" w:sz="4" w:space="0" w:color="auto"/>
              <w:bottom w:val="single" w:sz="4" w:space="0" w:color="auto"/>
              <w:right w:val="single" w:sz="4" w:space="0" w:color="auto"/>
            </w:tcBorders>
          </w:tcPr>
          <w:p w14:paraId="118346F5" w14:textId="77777777" w:rsidR="00027F06" w:rsidRPr="005458CD" w:rsidRDefault="00027F06" w:rsidP="00DF6CBC">
            <w:pPr>
              <w:jc w:val="right"/>
              <w:rPr>
                <w:sz w:val="16"/>
                <w:szCs w:val="16"/>
              </w:rPr>
            </w:pPr>
            <w:r w:rsidRPr="005458CD">
              <w:rPr>
                <w:sz w:val="16"/>
                <w:szCs w:val="16"/>
              </w:rPr>
              <w:t>-40,6%</w:t>
            </w:r>
          </w:p>
        </w:tc>
        <w:tc>
          <w:tcPr>
            <w:tcW w:w="1445" w:type="dxa"/>
            <w:tcBorders>
              <w:top w:val="single" w:sz="4" w:space="0" w:color="auto"/>
              <w:left w:val="single" w:sz="4" w:space="0" w:color="auto"/>
              <w:bottom w:val="single" w:sz="4" w:space="0" w:color="auto"/>
              <w:right w:val="single" w:sz="4" w:space="0" w:color="auto"/>
            </w:tcBorders>
          </w:tcPr>
          <w:p w14:paraId="7445CC90" w14:textId="77777777" w:rsidR="00027F06" w:rsidRPr="005458CD" w:rsidRDefault="00027F06" w:rsidP="00DF6CBC">
            <w:pPr>
              <w:jc w:val="right"/>
              <w:rPr>
                <w:sz w:val="16"/>
                <w:szCs w:val="16"/>
              </w:rPr>
            </w:pPr>
            <w:r w:rsidRPr="005458CD">
              <w:rPr>
                <w:sz w:val="16"/>
                <w:szCs w:val="16"/>
              </w:rPr>
              <w:t>-46,8 %</w:t>
            </w:r>
          </w:p>
        </w:tc>
        <w:tc>
          <w:tcPr>
            <w:tcW w:w="1445" w:type="dxa"/>
            <w:tcBorders>
              <w:top w:val="single" w:sz="4" w:space="0" w:color="auto"/>
              <w:left w:val="single" w:sz="4" w:space="0" w:color="auto"/>
              <w:bottom w:val="single" w:sz="4" w:space="0" w:color="auto"/>
              <w:right w:val="single" w:sz="4" w:space="0" w:color="auto"/>
            </w:tcBorders>
          </w:tcPr>
          <w:p w14:paraId="34C5ACEB" w14:textId="77777777" w:rsidR="00027F06" w:rsidRPr="005458CD" w:rsidRDefault="00027F06" w:rsidP="00DF6CBC">
            <w:pPr>
              <w:jc w:val="right"/>
              <w:rPr>
                <w:sz w:val="16"/>
                <w:szCs w:val="16"/>
              </w:rPr>
            </w:pPr>
            <w:r w:rsidRPr="005458CD">
              <w:rPr>
                <w:sz w:val="16"/>
                <w:szCs w:val="16"/>
              </w:rPr>
              <w:t>-59,1%</w:t>
            </w:r>
          </w:p>
        </w:tc>
        <w:tc>
          <w:tcPr>
            <w:tcW w:w="1445" w:type="dxa"/>
            <w:tcBorders>
              <w:top w:val="single" w:sz="4" w:space="0" w:color="auto"/>
              <w:left w:val="single" w:sz="4" w:space="0" w:color="auto"/>
              <w:bottom w:val="single" w:sz="4" w:space="0" w:color="auto"/>
              <w:right w:val="single" w:sz="4" w:space="0" w:color="auto"/>
            </w:tcBorders>
          </w:tcPr>
          <w:p w14:paraId="1E878FE9" w14:textId="77777777" w:rsidR="00027F06" w:rsidRPr="005458CD" w:rsidRDefault="00027F06" w:rsidP="00DF6CBC">
            <w:pPr>
              <w:jc w:val="right"/>
              <w:rPr>
                <w:sz w:val="16"/>
                <w:szCs w:val="16"/>
              </w:rPr>
            </w:pPr>
            <w:r w:rsidRPr="005458CD">
              <w:rPr>
                <w:sz w:val="16"/>
                <w:szCs w:val="16"/>
              </w:rPr>
              <w:t>-69,9 %</w:t>
            </w:r>
          </w:p>
        </w:tc>
      </w:tr>
      <w:tr w:rsidR="00202B70" w:rsidRPr="00A6566E" w14:paraId="5A1D62A6" w14:textId="77777777" w:rsidTr="00202B70">
        <w:trPr>
          <w:trHeight w:val="170"/>
        </w:trPr>
        <w:tc>
          <w:tcPr>
            <w:tcW w:w="3391" w:type="dxa"/>
            <w:tcBorders>
              <w:top w:val="single" w:sz="4" w:space="0" w:color="auto"/>
              <w:left w:val="nil"/>
              <w:bottom w:val="nil"/>
              <w:right w:val="nil"/>
            </w:tcBorders>
            <w:vAlign w:val="top"/>
          </w:tcPr>
          <w:p w14:paraId="1DC3256C" w14:textId="2F4B28F4" w:rsidR="00202B70" w:rsidRPr="00202B70" w:rsidRDefault="00202B70" w:rsidP="00202B70">
            <w:pPr>
              <w:rPr>
                <w:i/>
                <w:iCs/>
                <w:color w:val="44546A" w:themeColor="text2"/>
                <w:szCs w:val="18"/>
              </w:rPr>
            </w:pPr>
            <w:r w:rsidRPr="00202B70">
              <w:rPr>
                <w:i/>
                <w:iCs/>
                <w:color w:val="44546A" w:themeColor="text2"/>
                <w:sz w:val="18"/>
                <w:szCs w:val="20"/>
              </w:rPr>
              <w:t>Źródło KOBiZE</w:t>
            </w:r>
          </w:p>
        </w:tc>
        <w:tc>
          <w:tcPr>
            <w:tcW w:w="1444" w:type="dxa"/>
            <w:tcBorders>
              <w:top w:val="single" w:sz="4" w:space="0" w:color="auto"/>
              <w:left w:val="nil"/>
              <w:bottom w:val="nil"/>
              <w:right w:val="nil"/>
            </w:tcBorders>
          </w:tcPr>
          <w:p w14:paraId="627F5A14" w14:textId="77777777" w:rsidR="00202B70" w:rsidRPr="005458CD" w:rsidRDefault="00202B70" w:rsidP="00DF6CBC">
            <w:pPr>
              <w:jc w:val="right"/>
              <w:rPr>
                <w:sz w:val="16"/>
                <w:szCs w:val="16"/>
              </w:rPr>
            </w:pPr>
          </w:p>
        </w:tc>
        <w:tc>
          <w:tcPr>
            <w:tcW w:w="1445" w:type="dxa"/>
            <w:tcBorders>
              <w:top w:val="single" w:sz="4" w:space="0" w:color="auto"/>
              <w:left w:val="nil"/>
              <w:bottom w:val="nil"/>
              <w:right w:val="nil"/>
            </w:tcBorders>
          </w:tcPr>
          <w:p w14:paraId="4AAF93CC" w14:textId="77777777" w:rsidR="00202B70" w:rsidRPr="005458CD" w:rsidRDefault="00202B70" w:rsidP="00DF6CBC">
            <w:pPr>
              <w:jc w:val="right"/>
              <w:rPr>
                <w:sz w:val="16"/>
                <w:szCs w:val="16"/>
              </w:rPr>
            </w:pPr>
          </w:p>
        </w:tc>
        <w:tc>
          <w:tcPr>
            <w:tcW w:w="1445" w:type="dxa"/>
            <w:tcBorders>
              <w:top w:val="single" w:sz="4" w:space="0" w:color="auto"/>
              <w:left w:val="nil"/>
              <w:bottom w:val="nil"/>
              <w:right w:val="nil"/>
            </w:tcBorders>
          </w:tcPr>
          <w:p w14:paraId="4CC5CD7A" w14:textId="77777777" w:rsidR="00202B70" w:rsidRPr="005458CD" w:rsidRDefault="00202B70" w:rsidP="00DF6CBC">
            <w:pPr>
              <w:jc w:val="right"/>
              <w:rPr>
                <w:sz w:val="16"/>
                <w:szCs w:val="16"/>
              </w:rPr>
            </w:pPr>
          </w:p>
        </w:tc>
        <w:tc>
          <w:tcPr>
            <w:tcW w:w="1445" w:type="dxa"/>
            <w:tcBorders>
              <w:top w:val="single" w:sz="4" w:space="0" w:color="auto"/>
              <w:left w:val="nil"/>
              <w:bottom w:val="nil"/>
              <w:right w:val="nil"/>
            </w:tcBorders>
          </w:tcPr>
          <w:p w14:paraId="5B68AF63" w14:textId="77777777" w:rsidR="00202B70" w:rsidRPr="005458CD" w:rsidRDefault="00202B70" w:rsidP="00DF6CBC">
            <w:pPr>
              <w:jc w:val="right"/>
              <w:rPr>
                <w:sz w:val="16"/>
                <w:szCs w:val="16"/>
              </w:rPr>
            </w:pPr>
          </w:p>
        </w:tc>
      </w:tr>
    </w:tbl>
    <w:p w14:paraId="331A1BE7" w14:textId="05EEC887" w:rsidR="00C50C8E" w:rsidRPr="0085601A" w:rsidRDefault="00C50C8E" w:rsidP="00C50C8E">
      <w:pPr>
        <w:pStyle w:val="Nagwek1"/>
        <w:numPr>
          <w:ilvl w:val="0"/>
          <w:numId w:val="0"/>
        </w:numPr>
        <w:ind w:left="432" w:hanging="432"/>
      </w:pPr>
      <w:bookmarkStart w:id="811" w:name="_Toc159598368"/>
      <w:bookmarkStart w:id="812" w:name="_Toc175571569"/>
      <w:bookmarkStart w:id="813" w:name="_Toc202966942"/>
      <w:bookmarkStart w:id="814" w:name="_Toc158373774"/>
      <w:bookmarkStart w:id="815" w:name="_Toc174710941"/>
      <w:bookmarkEnd w:id="5"/>
      <w:r w:rsidRPr="0085601A">
        <w:t>Wykaz regulacji UE (i nazwy zwyczajowe)</w:t>
      </w:r>
      <w:bookmarkEnd w:id="811"/>
      <w:bookmarkEnd w:id="812"/>
      <w:bookmarkEnd w:id="813"/>
    </w:p>
    <w:p w14:paraId="11B8F8E9" w14:textId="73258CAA" w:rsidR="00347805" w:rsidRPr="0085601A" w:rsidRDefault="00347805" w:rsidP="00347805">
      <w:bookmarkStart w:id="816" w:name="_Hlk195806391"/>
      <w:r w:rsidRPr="0085601A">
        <w:rPr>
          <w:b/>
          <w:bCs/>
        </w:rPr>
        <w:t>dyrektywa 94/62/WE</w:t>
      </w:r>
      <w:r w:rsidRPr="0085601A">
        <w:t xml:space="preserve"> </w:t>
      </w:r>
      <w:r w:rsidRPr="00B10343">
        <w:rPr>
          <w:b/>
          <w:bCs/>
        </w:rPr>
        <w:t>w sprawie opakowań i odpadów opakowaniowych</w:t>
      </w:r>
      <w:r w:rsidRPr="0085601A">
        <w:t xml:space="preserve"> – dyrektywa 94/62/WE </w:t>
      </w:r>
      <w:r w:rsidR="00697CB8" w:rsidRPr="00697CB8">
        <w:t>Parlamentu Europejskiego i Rady</w:t>
      </w:r>
      <w:r w:rsidRPr="0085601A">
        <w:t xml:space="preserve"> z dnia 20 grudnia 1994 r. w sprawie opakowań i odpadów opakowaniowych, </w:t>
      </w:r>
      <w:hyperlink r:id="rId50" w:history="1">
        <w:r w:rsidRPr="0085601A">
          <w:rPr>
            <w:rStyle w:val="Hipercze"/>
          </w:rPr>
          <w:t>link</w:t>
        </w:r>
      </w:hyperlink>
      <w:r>
        <w:t>,</w:t>
      </w:r>
      <w:r w:rsidRPr="00A777C2">
        <w:t xml:space="preserve"> </w:t>
      </w:r>
      <w:r>
        <w:t xml:space="preserve">częściowo straci moc z dniem 12 sierpnia 2026 r. w związku z obowiązywaniem rozporządzenia </w:t>
      </w:r>
      <w:r w:rsidR="00697CB8">
        <w:t>Parlamentu Europejskiego i Rady</w:t>
      </w:r>
      <w:r w:rsidRPr="00F26158">
        <w:t xml:space="preserve"> (UE) 2025/40 z dnia 19 grudnia 2024 r. w sprawie opakowań i odpadów opakowaniowych, zmiany rozporządzenia (UE) 2019/1020 i dyrektywy (UE) 2019/904 oraz uchylenia dyrektywy 94/62/WE</w:t>
      </w:r>
      <w:r>
        <w:t xml:space="preserve">, </w:t>
      </w:r>
      <w:hyperlink r:id="rId51" w:history="1">
        <w:r w:rsidRPr="00801EC9">
          <w:rPr>
            <w:rStyle w:val="Hipercze"/>
          </w:rPr>
          <w:t>link</w:t>
        </w:r>
      </w:hyperlink>
    </w:p>
    <w:p w14:paraId="0031BD78" w14:textId="42A813BC" w:rsidR="00347805" w:rsidRDefault="00347805" w:rsidP="00347805">
      <w:r w:rsidRPr="0085601A">
        <w:rPr>
          <w:b/>
          <w:bCs/>
        </w:rPr>
        <w:t>dyrektywa 1999/31/WE</w:t>
      </w:r>
      <w:r w:rsidRPr="0085601A">
        <w:t xml:space="preserve"> </w:t>
      </w:r>
      <w:r w:rsidRPr="00B10343">
        <w:rPr>
          <w:b/>
          <w:bCs/>
        </w:rPr>
        <w:t>w sprawie składowania odpadów</w:t>
      </w:r>
      <w:r w:rsidRPr="0085601A">
        <w:t xml:space="preserve"> – dyrektywa 1999/31/WE Rady z dnia 26 kwietnia 1999 r. w sprawie składowania</w:t>
      </w:r>
      <w:r>
        <w:t xml:space="preserve"> odpadów, </w:t>
      </w:r>
      <w:hyperlink r:id="rId52" w:history="1">
        <w:r w:rsidRPr="003A6111">
          <w:rPr>
            <w:rStyle w:val="Hipercze"/>
          </w:rPr>
          <w:t>link</w:t>
        </w:r>
      </w:hyperlink>
      <w:r>
        <w:t xml:space="preserve"> </w:t>
      </w:r>
    </w:p>
    <w:p w14:paraId="0F3E4843" w14:textId="602C5210" w:rsidR="00347805" w:rsidRPr="00282168" w:rsidRDefault="00347805" w:rsidP="00347805">
      <w:r w:rsidRPr="00A87EED">
        <w:rPr>
          <w:b/>
          <w:bCs/>
        </w:rPr>
        <w:t>dyrektywa 2000/53/WE</w:t>
      </w:r>
      <w:r>
        <w:t xml:space="preserve"> </w:t>
      </w:r>
      <w:r w:rsidRPr="00B10343">
        <w:rPr>
          <w:b/>
          <w:bCs/>
        </w:rPr>
        <w:t>w sprawie pojazdów wycofanych z eksploatacji</w:t>
      </w:r>
      <w:r>
        <w:t xml:space="preserve"> – dyr</w:t>
      </w:r>
      <w:r w:rsidRPr="003A6111">
        <w:t xml:space="preserve">ektywa </w:t>
      </w:r>
      <w:r>
        <w:t xml:space="preserve">2000/53/WE </w:t>
      </w:r>
      <w:r w:rsidR="00697CB8">
        <w:t>Parlamentu Europejskiego i Rady</w:t>
      </w:r>
      <w:r>
        <w:t xml:space="preserve"> z dnia 18 września 2000 r. w sprawie pojazdów wycofanych z</w:t>
      </w:r>
      <w:r w:rsidR="007B120C">
        <w:t> </w:t>
      </w:r>
      <w:r>
        <w:t xml:space="preserve">eksploatacji, </w:t>
      </w:r>
      <w:hyperlink r:id="rId53" w:history="1">
        <w:r w:rsidRPr="00282168">
          <w:rPr>
            <w:rStyle w:val="Hipercze"/>
          </w:rPr>
          <w:t>link</w:t>
        </w:r>
      </w:hyperlink>
    </w:p>
    <w:p w14:paraId="6366F780" w14:textId="730CB42B" w:rsidR="00347805" w:rsidRDefault="00347805" w:rsidP="00347805">
      <w:r w:rsidRPr="007D7C94">
        <w:rPr>
          <w:b/>
          <w:bCs/>
        </w:rPr>
        <w:t>ramowa dyrektywa wodna</w:t>
      </w:r>
      <w:r>
        <w:t xml:space="preserve"> – dyrektywa 2000/60/WE </w:t>
      </w:r>
      <w:r w:rsidR="00697CB8">
        <w:t>Parlamentu Europejskiego i Rady</w:t>
      </w:r>
      <w:r>
        <w:t xml:space="preserve"> z dnia 23 października 2000 r. </w:t>
      </w:r>
      <w:r w:rsidRPr="006E2A5E">
        <w:t>ustanawiająca ramy wspólnotowego działania w dziedzinie polityki wodnej</w:t>
      </w:r>
      <w:r>
        <w:t xml:space="preserve">, </w:t>
      </w:r>
      <w:hyperlink r:id="rId54" w:history="1">
        <w:r w:rsidRPr="007D7C94">
          <w:rPr>
            <w:rStyle w:val="Hipercze"/>
          </w:rPr>
          <w:t>link</w:t>
        </w:r>
      </w:hyperlink>
    </w:p>
    <w:p w14:paraId="0031C473" w14:textId="1F552BAC" w:rsidR="00347805" w:rsidRPr="00933839" w:rsidRDefault="00347805" w:rsidP="00347805">
      <w:r w:rsidRPr="00B97958">
        <w:rPr>
          <w:b/>
          <w:bCs/>
        </w:rPr>
        <w:t>dyrektywa 2004/107/WE w sprawie jakości powietrza</w:t>
      </w:r>
      <w:r>
        <w:t xml:space="preserve"> – dyrektywa </w:t>
      </w:r>
      <w:r w:rsidRPr="00933839">
        <w:t xml:space="preserve">2004/107/WE </w:t>
      </w:r>
      <w:r w:rsidR="00697CB8">
        <w:t>Parlamentu Europejskiego i Rady</w:t>
      </w:r>
      <w:r w:rsidRPr="00933839">
        <w:t xml:space="preserve"> z dnia 15</w:t>
      </w:r>
      <w:r>
        <w:t> </w:t>
      </w:r>
      <w:r w:rsidRPr="00933839">
        <w:t>grudnia 2004 r. w sprawie arsenu, kadmu, rtęci, niklu i</w:t>
      </w:r>
      <w:r w:rsidR="007B120C">
        <w:t> </w:t>
      </w:r>
      <w:r w:rsidRPr="00933839">
        <w:t xml:space="preserve">wielopierścieniowych węglowodorów aromatycznych w otaczającym powietrzu, </w:t>
      </w:r>
      <w:hyperlink r:id="rId55" w:history="1">
        <w:r w:rsidRPr="00B10343">
          <w:rPr>
            <w:rStyle w:val="Hipercze"/>
          </w:rPr>
          <w:t>link</w:t>
        </w:r>
      </w:hyperlink>
    </w:p>
    <w:p w14:paraId="104A1864" w14:textId="7729BF96" w:rsidR="00347805" w:rsidRDefault="00347805" w:rsidP="00347805">
      <w:pPr>
        <w:rPr>
          <w:rStyle w:val="Hipercze"/>
        </w:rPr>
      </w:pPr>
      <w:r w:rsidRPr="00A87EED">
        <w:rPr>
          <w:b/>
          <w:bCs/>
        </w:rPr>
        <w:t>dyrektywa 2006/66/UE</w:t>
      </w:r>
      <w:r>
        <w:t xml:space="preserve"> </w:t>
      </w:r>
      <w:r w:rsidRPr="00B10343">
        <w:rPr>
          <w:b/>
          <w:bCs/>
        </w:rPr>
        <w:t>w sprawie baterii i akumulatorów oraz zużytych baterii</w:t>
      </w:r>
      <w:r>
        <w:t xml:space="preserve"> – dyrektywa </w:t>
      </w:r>
      <w:r w:rsidRPr="003A6111">
        <w:t xml:space="preserve">2006/66/UE </w:t>
      </w:r>
      <w:r w:rsidR="00697CB8">
        <w:t>Parlamentu Europejskiego i Rady</w:t>
      </w:r>
      <w:r>
        <w:t xml:space="preserve"> </w:t>
      </w:r>
      <w:r w:rsidRPr="003A6111">
        <w:t>z dnia 6 września 2006 r. w sprawie baterii i akumulatorów oraz zużytych baterii i akumulatorów oraz uchylająca dyrektywę 91/157/EWG</w:t>
      </w:r>
      <w:r>
        <w:t xml:space="preserve">, częściowo straci moc z dniem 18 sierpnia 2025 r. w związku z obowiązywaniem </w:t>
      </w:r>
      <w:r w:rsidRPr="000B5801">
        <w:t>rozporządzeni</w:t>
      </w:r>
      <w:r>
        <w:t xml:space="preserve">a 2023/1542 </w:t>
      </w:r>
      <w:r w:rsidR="00697CB8">
        <w:t>Parlamentu Europejskiego i Rady</w:t>
      </w:r>
      <w:r>
        <w:t xml:space="preserve"> (UE) </w:t>
      </w:r>
      <w:r w:rsidRPr="003A6111">
        <w:t>z dnia 12 lipca 2023 r. w sprawie baterii i zużytych baterii, zmieniające dyrektywę 2008/98/WE i rozporządzenie (UE) 2019/1020 oraz uchylające dyrektywę 2006/66/WE</w:t>
      </w:r>
      <w:r>
        <w:t xml:space="preserve">, </w:t>
      </w:r>
      <w:hyperlink r:id="rId56" w:history="1">
        <w:r w:rsidRPr="003A6111">
          <w:rPr>
            <w:rStyle w:val="Hipercze"/>
          </w:rPr>
          <w:t>link</w:t>
        </w:r>
      </w:hyperlink>
    </w:p>
    <w:p w14:paraId="0596790B" w14:textId="1BAF017C" w:rsidR="00347805" w:rsidRPr="00933839" w:rsidRDefault="00347805" w:rsidP="00347805">
      <w:r w:rsidRPr="00EF7343">
        <w:rPr>
          <w:b/>
          <w:bCs/>
        </w:rPr>
        <w:t>dyrektywa 2008/50/</w:t>
      </w:r>
      <w:r w:rsidRPr="00B97958">
        <w:rPr>
          <w:b/>
          <w:bCs/>
        </w:rPr>
        <w:t>WE w sprawie jakości powietrza</w:t>
      </w:r>
      <w:r>
        <w:t xml:space="preserve"> – </w:t>
      </w:r>
      <w:r w:rsidRPr="00B10343">
        <w:t xml:space="preserve">dyrektywa 2008/50/WE </w:t>
      </w:r>
      <w:r w:rsidR="00697CB8">
        <w:t>Parlamentu Europejskiego i Rady</w:t>
      </w:r>
      <w:r w:rsidRPr="00933839">
        <w:t xml:space="preserve"> z dnia 21</w:t>
      </w:r>
      <w:r>
        <w:t> </w:t>
      </w:r>
      <w:r w:rsidRPr="00933839">
        <w:t xml:space="preserve">maja 2008 r. w sprawie jakości powietrza i czystszego powietrza dla Europy, </w:t>
      </w:r>
      <w:hyperlink r:id="rId57" w:history="1">
        <w:r w:rsidRPr="003E18B9">
          <w:rPr>
            <w:rStyle w:val="Hipercze"/>
          </w:rPr>
          <w:t>link</w:t>
        </w:r>
      </w:hyperlink>
    </w:p>
    <w:p w14:paraId="78AE4C21" w14:textId="48FF7B1A" w:rsidR="00347805" w:rsidRDefault="00347805" w:rsidP="00347805">
      <w:r w:rsidRPr="006A7033">
        <w:rPr>
          <w:b/>
          <w:bCs/>
        </w:rPr>
        <w:t>dyrektywa odpadowa</w:t>
      </w:r>
      <w:r>
        <w:rPr>
          <w:b/>
          <w:bCs/>
        </w:rPr>
        <w:t>, RDW</w:t>
      </w:r>
      <w:r>
        <w:t xml:space="preserve"> – dyrektywa </w:t>
      </w:r>
      <w:r w:rsidR="00697CB8">
        <w:t>Parlamentu Europejskiego i Rady</w:t>
      </w:r>
      <w:r>
        <w:t xml:space="preserve"> (UE) 2008/98/WE z dnia 19 listopada 2008 r. w sprawie odpadów oraz uchylającą niektóre dyrektywy,</w:t>
      </w:r>
      <w:r w:rsidRPr="00917DCD">
        <w:t xml:space="preserve"> </w:t>
      </w:r>
      <w:hyperlink r:id="rId58" w:history="1">
        <w:r w:rsidRPr="00DA6E66">
          <w:rPr>
            <w:rStyle w:val="Hipercze"/>
          </w:rPr>
          <w:t>link</w:t>
        </w:r>
      </w:hyperlink>
    </w:p>
    <w:p w14:paraId="51AB75AB" w14:textId="20861157" w:rsidR="00347805" w:rsidRPr="00A64AE3" w:rsidRDefault="00347805" w:rsidP="00347805">
      <w:r w:rsidRPr="00752614">
        <w:rPr>
          <w:b/>
          <w:bCs/>
        </w:rPr>
        <w:t>dyrektywa dotycząca ekoprojektu</w:t>
      </w:r>
      <w:r>
        <w:t xml:space="preserve"> – dyrektywa </w:t>
      </w:r>
      <w:r w:rsidR="00697CB8">
        <w:t>Parlamentu Europejskiego i Rady</w:t>
      </w:r>
      <w:r>
        <w:t xml:space="preserve"> (UE) 2009/125/WE z dnia 21 października 2009 r. ustanawiająca ogólne zasady ustalania wymogów dotyczących ekoprojektu dla produktów związanych z energią, </w:t>
      </w:r>
      <w:hyperlink r:id="rId59" w:history="1">
        <w:r w:rsidRPr="00842AEA">
          <w:rPr>
            <w:rStyle w:val="Hipercze"/>
          </w:rPr>
          <w:t>link</w:t>
        </w:r>
      </w:hyperlink>
    </w:p>
    <w:p w14:paraId="39CE11E4" w14:textId="79FA05C5" w:rsidR="00347805" w:rsidRDefault="00347805" w:rsidP="00347805">
      <w:r w:rsidRPr="006A7033">
        <w:rPr>
          <w:b/>
          <w:bCs/>
        </w:rPr>
        <w:t>dyrektywa WEEE</w:t>
      </w:r>
      <w:r>
        <w:t xml:space="preserve"> – dyrektywa </w:t>
      </w:r>
      <w:r w:rsidR="00697CB8">
        <w:t>Parlamentu Europejskiego i Rady</w:t>
      </w:r>
      <w:r>
        <w:t xml:space="preserve"> (UE) 2012/19/UE z dnia 4 lipca 2012 r. w sprawie zużytego sprzętu elektrycznego i elektronicznego, </w:t>
      </w:r>
      <w:hyperlink r:id="rId60" w:history="1">
        <w:r w:rsidRPr="006A7033">
          <w:rPr>
            <w:rStyle w:val="Hipercze"/>
          </w:rPr>
          <w:t>link</w:t>
        </w:r>
      </w:hyperlink>
    </w:p>
    <w:p w14:paraId="31911977" w14:textId="5E0384A0" w:rsidR="00347805" w:rsidRPr="00246AF5" w:rsidRDefault="00347805" w:rsidP="00347805">
      <w:r w:rsidRPr="00212281">
        <w:rPr>
          <w:b/>
          <w:bCs/>
        </w:rPr>
        <w:t>dyrektywa NEC</w:t>
      </w:r>
      <w:r>
        <w:t xml:space="preserve"> – dyrektywa </w:t>
      </w:r>
      <w:r w:rsidR="00697CB8">
        <w:t>Parlamentu Europejskiego i Rady</w:t>
      </w:r>
      <w:r>
        <w:t xml:space="preserve"> (UE) 2016/2284 z dnia 14 grudnia 2016 r. w sprawie redukcji krajowych emisji niektórych rodzajów zanieczyszczeń atmosferycznych, zmiany dyrektywy 2003/35/WE o</w:t>
      </w:r>
      <w:r w:rsidRPr="00246AF5">
        <w:t xml:space="preserve">raz uchylenia dyrektywy 2001/81/WE, </w:t>
      </w:r>
      <w:hyperlink r:id="rId61" w:history="1">
        <w:r w:rsidRPr="00F14F6A">
          <w:rPr>
            <w:rStyle w:val="Hipercze"/>
          </w:rPr>
          <w:t>link</w:t>
        </w:r>
      </w:hyperlink>
    </w:p>
    <w:p w14:paraId="268AC891" w14:textId="588A8D51" w:rsidR="00347805" w:rsidRPr="00246AF5" w:rsidRDefault="00347805" w:rsidP="00347805">
      <w:r w:rsidRPr="00246AF5">
        <w:rPr>
          <w:b/>
          <w:bCs/>
        </w:rPr>
        <w:t>dyrektywa RED II</w:t>
      </w:r>
      <w:r w:rsidRPr="00246AF5">
        <w:t xml:space="preserve"> – dyrektywa </w:t>
      </w:r>
      <w:r w:rsidR="00697CB8">
        <w:t>Parlamentu Europejskiego i Rady</w:t>
      </w:r>
      <w:r w:rsidRPr="00246AF5">
        <w:t xml:space="preserve"> (UE) 2018/2001 z dnia 11 grudnia 2018 r. w sprawie promowania stosowania energii ze źródeł odnawialnych, </w:t>
      </w:r>
      <w:hyperlink r:id="rId62" w:history="1">
        <w:r w:rsidRPr="00246AF5">
          <w:rPr>
            <w:rStyle w:val="Hipercze"/>
            <w:color w:val="auto"/>
          </w:rPr>
          <w:t>link</w:t>
        </w:r>
      </w:hyperlink>
    </w:p>
    <w:p w14:paraId="353D3074" w14:textId="2DCDDB85" w:rsidR="00347805" w:rsidRPr="00246AF5" w:rsidRDefault="00347805" w:rsidP="00347805">
      <w:r w:rsidRPr="00A41A3E">
        <w:rPr>
          <w:b/>
          <w:bCs/>
        </w:rPr>
        <w:t>dyrektywa SUP -</w:t>
      </w:r>
      <w:r>
        <w:t xml:space="preserve"> </w:t>
      </w:r>
      <w:r w:rsidRPr="00A41A3E">
        <w:t xml:space="preserve">dyrektywa </w:t>
      </w:r>
      <w:r w:rsidR="00697CB8">
        <w:t>Parlamentu Europejskiego i Rady</w:t>
      </w:r>
      <w:r w:rsidRPr="00A41A3E">
        <w:t xml:space="preserve"> (UE) 2019/904 w sprawie zmniejszenia wpływu niektórych produktów z tworzyw sztucznych na środowisko</w:t>
      </w:r>
      <w:r>
        <w:t xml:space="preserve">, </w:t>
      </w:r>
      <w:hyperlink r:id="rId63" w:history="1">
        <w:r w:rsidRPr="003E3F43">
          <w:rPr>
            <w:rStyle w:val="Hipercze"/>
          </w:rPr>
          <w:t>link</w:t>
        </w:r>
      </w:hyperlink>
    </w:p>
    <w:p w14:paraId="07789A73" w14:textId="2660B4B8" w:rsidR="00347805" w:rsidRDefault="00347805" w:rsidP="00347805">
      <w:r w:rsidRPr="00960D12">
        <w:rPr>
          <w:b/>
          <w:bCs/>
        </w:rPr>
        <w:t>dyrektywa rynkowa</w:t>
      </w:r>
      <w:r>
        <w:t xml:space="preserve"> – </w:t>
      </w:r>
      <w:bookmarkStart w:id="817" w:name="_Hlk195877186"/>
      <w:r>
        <w:t xml:space="preserve">dyrektywa </w:t>
      </w:r>
      <w:r w:rsidR="00697CB8">
        <w:t>Parlamentu Europejskiego i Rady</w:t>
      </w:r>
      <w:r>
        <w:t xml:space="preserve"> (UE) </w:t>
      </w:r>
      <w:bookmarkEnd w:id="817"/>
      <w:r>
        <w:t xml:space="preserve">2019/944 z dnia 5 czerwca 2019 r. </w:t>
      </w:r>
      <w:bookmarkStart w:id="818" w:name="_Hlk159087356"/>
      <w:r>
        <w:t xml:space="preserve">w sprawie wspólnych zasad rynku wewnętrznego energii elektrycznej </w:t>
      </w:r>
      <w:bookmarkEnd w:id="818"/>
      <w:r>
        <w:t xml:space="preserve">oraz zmieniającą dyrektywę 2012/27/UE, </w:t>
      </w:r>
      <w:hyperlink r:id="rId64" w:history="1">
        <w:r w:rsidRPr="00960D12">
          <w:rPr>
            <w:rStyle w:val="Hipercze"/>
          </w:rPr>
          <w:t>link</w:t>
        </w:r>
      </w:hyperlink>
    </w:p>
    <w:p w14:paraId="38C9EC1E" w14:textId="217922A1" w:rsidR="00347805" w:rsidRDefault="00347805" w:rsidP="00347805">
      <w:pPr>
        <w:rPr>
          <w:b/>
          <w:bCs/>
        </w:rPr>
      </w:pPr>
      <w:r w:rsidRPr="007D7C94">
        <w:rPr>
          <w:b/>
          <w:bCs/>
        </w:rPr>
        <w:t>dyrektywa CVD</w:t>
      </w:r>
      <w:r>
        <w:t xml:space="preserve"> – dyrektywa </w:t>
      </w:r>
      <w:r w:rsidR="00697CB8">
        <w:t>Parlamentu Europejskiego i Rady</w:t>
      </w:r>
      <w:r>
        <w:t xml:space="preserve"> (UE) 2019/1161 z dnia 20 czerwca 2019 r. zmieniająca dyrektywę 2009/33/WE w sprawie promowania ekologicznie czystych i</w:t>
      </w:r>
      <w:r w:rsidR="007B120C">
        <w:t> </w:t>
      </w:r>
      <w:r>
        <w:t xml:space="preserve">energooszczędnych pojazdów transportu drogowego, </w:t>
      </w:r>
      <w:hyperlink r:id="rId65" w:history="1">
        <w:r w:rsidRPr="007D7C94">
          <w:rPr>
            <w:rStyle w:val="Hipercze"/>
          </w:rPr>
          <w:t>link</w:t>
        </w:r>
      </w:hyperlink>
    </w:p>
    <w:p w14:paraId="35741989" w14:textId="7AB32011" w:rsidR="00347805" w:rsidRPr="009F1149" w:rsidRDefault="00347805" w:rsidP="00347805">
      <w:r w:rsidRPr="009F1149">
        <w:rPr>
          <w:b/>
          <w:bCs/>
        </w:rPr>
        <w:t>dyrektywa 2020/2184</w:t>
      </w:r>
      <w:r w:rsidRPr="009F1149">
        <w:t xml:space="preserve"> </w:t>
      </w:r>
      <w:r>
        <w:t xml:space="preserve">– dyrektywa </w:t>
      </w:r>
      <w:r w:rsidR="00697CB8">
        <w:t>Parlamentu Europejskiego i Rady</w:t>
      </w:r>
      <w:r w:rsidRPr="009F1149">
        <w:t xml:space="preserve"> (UE) 2020/2184 z dnia 16 grudnia 2020 r. w sprawie jakości wody przeznaczonej do spożycia przez ludzi</w:t>
      </w:r>
      <w:r>
        <w:t xml:space="preserve">, </w:t>
      </w:r>
      <w:hyperlink r:id="rId66" w:history="1">
        <w:r w:rsidRPr="00321B68">
          <w:rPr>
            <w:rStyle w:val="Hipercze"/>
          </w:rPr>
          <w:t>link</w:t>
        </w:r>
      </w:hyperlink>
    </w:p>
    <w:p w14:paraId="4204600E" w14:textId="30FEB751" w:rsidR="00347805" w:rsidRPr="00B078E7" w:rsidRDefault="00347805" w:rsidP="00347805">
      <w:r w:rsidRPr="00B078E7">
        <w:rPr>
          <w:b/>
          <w:bCs/>
        </w:rPr>
        <w:t>dyrektywa 2023/958</w:t>
      </w:r>
      <w:r>
        <w:t xml:space="preserve"> – d</w:t>
      </w:r>
      <w:r w:rsidRPr="00B078E7">
        <w:t xml:space="preserve">yrektywa </w:t>
      </w:r>
      <w:r w:rsidR="00697CB8">
        <w:t>Parlamentu Europejskiego i Rady</w:t>
      </w:r>
      <w:r w:rsidRPr="00B078E7">
        <w:t xml:space="preserve"> (UE) 2023/958 z dnia 10 maja 2023 r. zmieniająca dyrektywę 2003/87/WE w odniesieniu do wkładu lotnictwa w unijny cel zmniejszenia emisji w całej gospodarce i</w:t>
      </w:r>
      <w:r>
        <w:t> </w:t>
      </w:r>
      <w:r w:rsidRPr="00B078E7">
        <w:t>odpowiedniego wdrożenia globalnego środka rynkowego</w:t>
      </w:r>
      <w:r>
        <w:t xml:space="preserve">, </w:t>
      </w:r>
      <w:hyperlink r:id="rId67" w:history="1">
        <w:r w:rsidRPr="00B078E7">
          <w:rPr>
            <w:rStyle w:val="Hipercze"/>
          </w:rPr>
          <w:t>link</w:t>
        </w:r>
      </w:hyperlink>
    </w:p>
    <w:p w14:paraId="3CE5D745" w14:textId="36F6F8B2" w:rsidR="00347805" w:rsidRDefault="00347805" w:rsidP="00347805">
      <w:r w:rsidRPr="00212281">
        <w:rPr>
          <w:b/>
          <w:bCs/>
        </w:rPr>
        <w:t>dyrektywa EU ETS</w:t>
      </w:r>
      <w:r>
        <w:t xml:space="preserve"> – dyrektywa </w:t>
      </w:r>
      <w:r w:rsidR="00697CB8">
        <w:t>Parlamentu Europejskiego i Rady</w:t>
      </w:r>
      <w:r>
        <w:t xml:space="preserve"> (UE) 2023/959 </w:t>
      </w:r>
      <w:r w:rsidRPr="00246140">
        <w:t>z dnia 10 maja 2023 r. zmieniająca dyrektywę 2003/87/WE ustanawiającą system handlu przydziałami emisji gazów cieplarnianych w Unii oraz decyzję (UE) 2015/1814 w sprawie ustanowienia i funkcjonowania rezerwy stabilności rynkowej dla unijnego systemu handlu uprawnieniami do emisji gazów cieplarnianych</w:t>
      </w:r>
      <w:r>
        <w:t xml:space="preserve">, </w:t>
      </w:r>
      <w:hyperlink r:id="rId68" w:history="1">
        <w:r w:rsidRPr="00136584">
          <w:rPr>
            <w:rStyle w:val="Hipercze"/>
          </w:rPr>
          <w:t>link</w:t>
        </w:r>
      </w:hyperlink>
    </w:p>
    <w:p w14:paraId="58805844" w14:textId="5907C790" w:rsidR="00347805" w:rsidRDefault="00347805" w:rsidP="00347805">
      <w:pPr>
        <w:rPr>
          <w:rStyle w:val="Hipercze"/>
        </w:rPr>
      </w:pPr>
      <w:r w:rsidRPr="00817D26">
        <w:rPr>
          <w:b/>
          <w:bCs/>
        </w:rPr>
        <w:t>dyrektywa EED</w:t>
      </w:r>
      <w:r>
        <w:t xml:space="preserve"> – dyrektywa </w:t>
      </w:r>
      <w:r w:rsidR="00697CB8">
        <w:t>Parlamentu Europejskiego i Rady</w:t>
      </w:r>
      <w:r>
        <w:t xml:space="preserve"> (UE) 2023/1791 dnia 13 września 2023 r. w sprawie efektywności energetycznej oraz zmieniająca rozporządzenie (UE) 2023/955, </w:t>
      </w:r>
      <w:hyperlink r:id="rId69" w:history="1">
        <w:r w:rsidRPr="00817D26">
          <w:rPr>
            <w:rStyle w:val="Hipercze"/>
          </w:rPr>
          <w:t>link</w:t>
        </w:r>
      </w:hyperlink>
    </w:p>
    <w:p w14:paraId="4EC71F9D" w14:textId="3375A1BE" w:rsidR="00347805" w:rsidRDefault="00347805" w:rsidP="00347805">
      <w:pPr>
        <w:rPr>
          <w:rStyle w:val="Hipercze"/>
        </w:rPr>
      </w:pPr>
      <w:r w:rsidRPr="00212281">
        <w:rPr>
          <w:b/>
          <w:bCs/>
        </w:rPr>
        <w:t>dyrektywa RED III</w:t>
      </w:r>
      <w:r>
        <w:t xml:space="preserve"> – dyrektywa </w:t>
      </w:r>
      <w:r w:rsidR="00697CB8">
        <w:t>Parlamentu Europejskiego i Rady</w:t>
      </w:r>
      <w:r>
        <w:t xml:space="preserve"> (UE) 2023/2413 z dnia 18 października 2023 r. zmieniająca dyrektywę (UE) 2018/2001, rozporządzenie (UE) 2018/1999 i dyrektywę 98/70/WE w odniesieniu do promowania energii ze źródeł odnawialnych oraz uchylająca dyrektywę Rady (UE) 2015/652, </w:t>
      </w:r>
      <w:hyperlink r:id="rId70" w:history="1">
        <w:r w:rsidRPr="00246140">
          <w:rPr>
            <w:rStyle w:val="Hipercze"/>
          </w:rPr>
          <w:t>link</w:t>
        </w:r>
      </w:hyperlink>
    </w:p>
    <w:p w14:paraId="4814ADFD" w14:textId="7889CEFB" w:rsidR="00347805" w:rsidRPr="006B0ECE" w:rsidRDefault="00347805" w:rsidP="00347805">
      <w:pPr>
        <w:rPr>
          <w:rStyle w:val="Hipercze"/>
          <w:color w:val="auto"/>
          <w:u w:val="none"/>
        </w:rPr>
      </w:pPr>
      <w:r w:rsidRPr="00473F79">
        <w:rPr>
          <w:rStyle w:val="Hipercze"/>
          <w:b/>
          <w:bCs/>
          <w:color w:val="auto"/>
          <w:u w:val="none"/>
        </w:rPr>
        <w:t>dyrektywa budynkowa, EPBD</w:t>
      </w:r>
      <w:r w:rsidRPr="00473F79">
        <w:rPr>
          <w:rStyle w:val="Hipercze"/>
          <w:color w:val="auto"/>
          <w:u w:val="none"/>
        </w:rPr>
        <w:t xml:space="preserve"> – </w:t>
      </w:r>
      <w:r w:rsidRPr="00473F79">
        <w:t xml:space="preserve">dyrektywa </w:t>
      </w:r>
      <w:r w:rsidR="00697CB8">
        <w:t>Parlamentu Europejskiego i Rady</w:t>
      </w:r>
      <w:r w:rsidRPr="00473F79">
        <w:t xml:space="preserve"> (UE) 2024/1275 z dnia 24 kwietnia 2024 r. w sprawie charakterystyki energetycznej</w:t>
      </w:r>
      <w:r>
        <w:t xml:space="preserve"> budynków, </w:t>
      </w:r>
      <w:hyperlink r:id="rId71" w:history="1">
        <w:r w:rsidRPr="008D6531">
          <w:rPr>
            <w:rStyle w:val="Hipercze"/>
          </w:rPr>
          <w:t>link</w:t>
        </w:r>
      </w:hyperlink>
      <w:r>
        <w:t xml:space="preserve"> </w:t>
      </w:r>
    </w:p>
    <w:p w14:paraId="5C63A896" w14:textId="12F5D010" w:rsidR="00347805" w:rsidRPr="00A64AE3" w:rsidRDefault="00347805" w:rsidP="00347805">
      <w:pPr>
        <w:spacing w:before="480"/>
      </w:pPr>
      <w:r w:rsidRPr="00752614">
        <w:rPr>
          <w:b/>
          <w:bCs/>
        </w:rPr>
        <w:t>rozporządzenie dot</w:t>
      </w:r>
      <w:r>
        <w:rPr>
          <w:b/>
          <w:bCs/>
        </w:rPr>
        <w:t>yczące</w:t>
      </w:r>
      <w:r w:rsidRPr="00752614">
        <w:rPr>
          <w:b/>
          <w:bCs/>
        </w:rPr>
        <w:t xml:space="preserve"> etykietowania</w:t>
      </w:r>
      <w:r>
        <w:t xml:space="preserve"> – </w:t>
      </w:r>
      <w:r w:rsidRPr="00A64AE3">
        <w:t xml:space="preserve">rozporządzenie </w:t>
      </w:r>
      <w:r w:rsidR="00697CB8">
        <w:t>Parlamentu Europejskiego i Rady</w:t>
      </w:r>
      <w:r w:rsidRPr="00A64AE3">
        <w:t xml:space="preserve"> (UE) 2017/1369 z dnia 4 lipca 2017</w:t>
      </w:r>
      <w:r>
        <w:t> </w:t>
      </w:r>
      <w:r w:rsidRPr="00A64AE3">
        <w:t>r. ustanawiające ramy etykietowania energetycznego i uchylające dyrektywę 2010/30/UE</w:t>
      </w:r>
      <w:r>
        <w:t xml:space="preserve">, </w:t>
      </w:r>
      <w:hyperlink r:id="rId72" w:history="1">
        <w:r w:rsidRPr="00177297">
          <w:rPr>
            <w:rStyle w:val="Hipercze"/>
          </w:rPr>
          <w:t>link</w:t>
        </w:r>
      </w:hyperlink>
    </w:p>
    <w:p w14:paraId="76476EFC" w14:textId="3BD4624E" w:rsidR="00347805" w:rsidRDefault="00347805" w:rsidP="00347805">
      <w:pPr>
        <w:rPr>
          <w:rStyle w:val="Hipercze"/>
        </w:rPr>
      </w:pPr>
      <w:r w:rsidRPr="00A2100A">
        <w:rPr>
          <w:b/>
          <w:bCs/>
        </w:rPr>
        <w:t>rozporządzenie LULUCF</w:t>
      </w:r>
      <w:r>
        <w:t xml:space="preserve"> – rozporządzenie </w:t>
      </w:r>
      <w:r w:rsidR="00697CB8">
        <w:t>Parlamentu Europejskiego i Rady</w:t>
      </w:r>
      <w:r>
        <w:t xml:space="preserve"> (UE) 2018/841 z dnia 30 maja 2018 r. w sprawie włączenia emisji i pochłaniania gazów cieplarnianych w wyniku działalności związanej z użytkowaniem gruntów, zmianą użytkowania gruntów i leśnictwem do ram polityki klimatyczno-energetycznej do </w:t>
      </w:r>
      <w:r w:rsidR="00F128CB">
        <w:t>2030 r.</w:t>
      </w:r>
      <w:r>
        <w:t xml:space="preserve"> i zmieniające rozporządzenie (UE) nr 525/2013 oraz decyzję nr 529/2013/UE, </w:t>
      </w:r>
      <w:hyperlink r:id="rId73" w:history="1">
        <w:r w:rsidRPr="006E6AC8">
          <w:rPr>
            <w:rStyle w:val="Hipercze"/>
          </w:rPr>
          <w:t>link</w:t>
        </w:r>
      </w:hyperlink>
    </w:p>
    <w:p w14:paraId="2D79BA5A" w14:textId="79897B8E" w:rsidR="00347805" w:rsidRPr="00C50C06" w:rsidRDefault="00347805" w:rsidP="00347805">
      <w:r>
        <w:rPr>
          <w:b/>
          <w:bCs/>
        </w:rPr>
        <w:t xml:space="preserve">rozporządzenie governance </w:t>
      </w:r>
      <w:r w:rsidRPr="005A55CD">
        <w:t xml:space="preserve">– </w:t>
      </w:r>
      <w:r>
        <w:t>r</w:t>
      </w:r>
      <w:r w:rsidRPr="005A55CD">
        <w:t xml:space="preserve">ozporządzenie </w:t>
      </w:r>
      <w:r w:rsidR="00697CB8">
        <w:t>Parlamentu Europejskiego i Rady</w:t>
      </w:r>
      <w:r w:rsidRPr="005A55CD">
        <w:t xml:space="preserve"> (UE) 2018/1999 z dnia 11 grudnia 2018 r. w</w:t>
      </w:r>
      <w:r>
        <w:t> </w:t>
      </w:r>
      <w:r w:rsidRPr="005A55CD">
        <w:t xml:space="preserve">sprawie zarządzania unią energetyczną i działaniami w dziedzinie klimatu, zmiany rozporządzeń </w:t>
      </w:r>
      <w:r w:rsidR="00697CB8">
        <w:t>Parlamentu Europejskiego i Rady</w:t>
      </w:r>
      <w:r w:rsidRPr="005A55CD">
        <w:t xml:space="preserve"> (WE) nr 663/2009 i (WE) nr 715/2009, dyrektyw </w:t>
      </w:r>
      <w:r w:rsidR="00697CB8">
        <w:t>Parlamentu Europejskiego i Rady</w:t>
      </w:r>
      <w:r w:rsidRPr="005A55CD">
        <w:t xml:space="preserve"> 94/22/WE, 98/70/WE, 2009/31/WE, 2009/73/WE, 2010/31/UE, 2012/27/UE i</w:t>
      </w:r>
      <w:r w:rsidR="00697CB8">
        <w:t xml:space="preserve"> </w:t>
      </w:r>
      <w:r w:rsidRPr="005A55CD">
        <w:t xml:space="preserve">2013/30/UE, dyrektyw Rady 2009/119/WE i (EU) 2015/652 oraz uchylenia rozporządzenia </w:t>
      </w:r>
      <w:r w:rsidR="00697CB8">
        <w:t>Parlamentu Europejskiego i Rady</w:t>
      </w:r>
      <w:r w:rsidRPr="005A55CD">
        <w:t xml:space="preserve"> (UE) nr 525/2013</w:t>
      </w:r>
      <w:r>
        <w:t xml:space="preserve">, </w:t>
      </w:r>
      <w:hyperlink r:id="rId74" w:history="1">
        <w:r w:rsidRPr="005A55CD">
          <w:rPr>
            <w:rStyle w:val="Hipercze"/>
          </w:rPr>
          <w:t>link</w:t>
        </w:r>
      </w:hyperlink>
    </w:p>
    <w:p w14:paraId="31EECB77" w14:textId="3C4313A7" w:rsidR="00347805" w:rsidRDefault="00347805" w:rsidP="00347805">
      <w:pPr>
        <w:rPr>
          <w:b/>
          <w:bCs/>
        </w:rPr>
      </w:pPr>
      <w:r w:rsidRPr="00C50C06">
        <w:rPr>
          <w:b/>
          <w:bCs/>
        </w:rPr>
        <w:t xml:space="preserve">rozporządzenie </w:t>
      </w:r>
      <w:r>
        <w:rPr>
          <w:b/>
          <w:bCs/>
        </w:rPr>
        <w:t xml:space="preserve">ALC </w:t>
      </w:r>
      <w:r>
        <w:t xml:space="preserve">– rozporządzenie wykonawcze Komisji (UE) 2019/1842 z dnia 31 października 2019 r. ustanawiające zasady stosowania dyrektywy 2003/87/WE Parlamentu Europejskiego i Rady w odniesieniu do dalszych ustaleń dotyczących dostosowań przydziału bezpłatnych uprawnień do emisji ze względu na zmiany w poziomie działalności, </w:t>
      </w:r>
      <w:hyperlink r:id="rId75" w:history="1">
        <w:r w:rsidRPr="00483F68">
          <w:rPr>
            <w:rStyle w:val="Hipercze"/>
          </w:rPr>
          <w:t>link</w:t>
        </w:r>
      </w:hyperlink>
    </w:p>
    <w:p w14:paraId="3100539F" w14:textId="17135796" w:rsidR="00347805" w:rsidRPr="00C50C06" w:rsidRDefault="00347805" w:rsidP="00347805">
      <w:r w:rsidRPr="00C50C06">
        <w:rPr>
          <w:b/>
          <w:bCs/>
        </w:rPr>
        <w:t xml:space="preserve">rozporządzenie </w:t>
      </w:r>
      <w:r>
        <w:rPr>
          <w:b/>
          <w:bCs/>
        </w:rPr>
        <w:t xml:space="preserve">FAR </w:t>
      </w:r>
      <w:r>
        <w:t>– r</w:t>
      </w:r>
      <w:r w:rsidRPr="00C50C06">
        <w:t>ozporządzenie delegowane Komisji (UE) 2019/331 z</w:t>
      </w:r>
      <w:r>
        <w:t> </w:t>
      </w:r>
      <w:r w:rsidRPr="00C50C06">
        <w:t>dnia 19 grudnia 2018 r. w sprawie ustanowienia przejściowych zasad dotyczących zharmonizowanego przydziału bezpłatnych uprawnień do emisji w całej Unii na podstawie art. 10a dyrektywy 2003/87/WE Parlamentu Europejskiego i Rady</w:t>
      </w:r>
      <w:r>
        <w:t xml:space="preserve">, </w:t>
      </w:r>
      <w:hyperlink r:id="rId76" w:history="1">
        <w:r w:rsidRPr="007D09CF">
          <w:rPr>
            <w:rStyle w:val="Hipercze"/>
          </w:rPr>
          <w:t>link</w:t>
        </w:r>
      </w:hyperlink>
    </w:p>
    <w:p w14:paraId="7494C7DC" w14:textId="7FD7CF54" w:rsidR="00347805" w:rsidRDefault="00347805" w:rsidP="00347805">
      <w:r w:rsidRPr="004B160D">
        <w:rPr>
          <w:b/>
          <w:bCs/>
        </w:rPr>
        <w:t>Europejskie prawo o klimacie</w:t>
      </w:r>
      <w:r>
        <w:t xml:space="preserve"> – rozporządzenie </w:t>
      </w:r>
      <w:r w:rsidR="00697CB8">
        <w:t>Parlamentu Europejskiego i Rady</w:t>
      </w:r>
      <w:r>
        <w:t xml:space="preserve"> (UE) 2021/1119 z dnia 30 czerwca 2021 r. w sprawie ustanowienia ram na potrzeby osiągnięcia neutralności klimatycznej i zmiany rozporządzeń (WE) nr 401/2009 i (UE) 2018/1999, </w:t>
      </w:r>
      <w:hyperlink r:id="rId77" w:history="1">
        <w:r w:rsidRPr="00CF7040">
          <w:rPr>
            <w:rStyle w:val="Hipercze"/>
          </w:rPr>
          <w:t>link</w:t>
        </w:r>
      </w:hyperlink>
      <w:r>
        <w:t xml:space="preserve"> </w:t>
      </w:r>
    </w:p>
    <w:p w14:paraId="0AC43F9B" w14:textId="6513688E" w:rsidR="00347805" w:rsidRDefault="00347805" w:rsidP="00347805">
      <w:r w:rsidRPr="009B5123">
        <w:rPr>
          <w:b/>
          <w:bCs/>
        </w:rPr>
        <w:t>rozporządzenie 2022/869</w:t>
      </w:r>
      <w:r>
        <w:t xml:space="preserve"> – r</w:t>
      </w:r>
      <w:r w:rsidRPr="009B5123">
        <w:t xml:space="preserve">ozporządzenie </w:t>
      </w:r>
      <w:r w:rsidR="00697CB8">
        <w:t>Parlamentu Europejskiego i Rady</w:t>
      </w:r>
      <w:r w:rsidRPr="009B5123">
        <w:t xml:space="preserve"> (UE) 2022/869 z dnia 30 maja 2022 r. w sprawie wytycznych dotyczących transeuropejskiej infrastruktury energetycznej, zmiany rozporządzeń (WE) nr</w:t>
      </w:r>
      <w:r>
        <w:t> </w:t>
      </w:r>
      <w:r w:rsidRPr="009B5123">
        <w:t>715/2009, (UE) 2019/942 i (UE) 2019/943 oraz dyrektyw 2009/73/WE i (UE) 2019/944 oraz uchylenia rozporządzenia (UE) nr 347/2013</w:t>
      </w:r>
      <w:r>
        <w:t xml:space="preserve">, </w:t>
      </w:r>
      <w:hyperlink r:id="rId78" w:history="1">
        <w:r w:rsidRPr="009B5123">
          <w:rPr>
            <w:rStyle w:val="Hipercze"/>
          </w:rPr>
          <w:t>link</w:t>
        </w:r>
      </w:hyperlink>
    </w:p>
    <w:p w14:paraId="25C8DA61" w14:textId="5136D7B5" w:rsidR="00347805" w:rsidRPr="00CF57ED" w:rsidRDefault="00347805" w:rsidP="00347805">
      <w:pPr>
        <w:rPr>
          <w:iCs/>
        </w:rPr>
      </w:pPr>
      <w:r w:rsidRPr="00CF57ED">
        <w:rPr>
          <w:b/>
          <w:bCs/>
          <w:iCs/>
        </w:rPr>
        <w:t>rozporządzenie 2022/2299</w:t>
      </w:r>
      <w:r w:rsidRPr="00CF57ED">
        <w:rPr>
          <w:iCs/>
        </w:rPr>
        <w:t xml:space="preserve"> </w:t>
      </w:r>
      <w:r>
        <w:rPr>
          <w:iCs/>
        </w:rPr>
        <w:t xml:space="preserve">- </w:t>
      </w:r>
      <w:r w:rsidRPr="007D471E">
        <w:rPr>
          <w:iCs/>
        </w:rPr>
        <w:t>rozporządzeni</w:t>
      </w:r>
      <w:r>
        <w:rPr>
          <w:iCs/>
        </w:rPr>
        <w:t>e</w:t>
      </w:r>
      <w:r w:rsidRPr="007D471E">
        <w:rPr>
          <w:iCs/>
        </w:rPr>
        <w:t xml:space="preserve"> wykonawcz</w:t>
      </w:r>
      <w:r>
        <w:rPr>
          <w:iCs/>
        </w:rPr>
        <w:t>e</w:t>
      </w:r>
      <w:r w:rsidRPr="007D471E">
        <w:rPr>
          <w:iCs/>
        </w:rPr>
        <w:t xml:space="preserve"> Komisji (UE) 2022/2299</w:t>
      </w:r>
      <w:r>
        <w:rPr>
          <w:iCs/>
        </w:rPr>
        <w:t xml:space="preserve"> </w:t>
      </w:r>
      <w:r w:rsidRPr="00CF57ED">
        <w:rPr>
          <w:iCs/>
        </w:rPr>
        <w:t xml:space="preserve">z dnia 15 listopada 2022 r. </w:t>
      </w:r>
      <w:r w:rsidRPr="00CF57ED">
        <w:rPr>
          <w:i/>
          <w:iCs/>
        </w:rPr>
        <w:t>ustanawiając</w:t>
      </w:r>
      <w:r>
        <w:rPr>
          <w:i/>
          <w:iCs/>
        </w:rPr>
        <w:t>e</w:t>
      </w:r>
      <w:r w:rsidRPr="00CF57ED">
        <w:rPr>
          <w:i/>
          <w:iCs/>
        </w:rPr>
        <w:t xml:space="preserve"> zasady stosowania rozporządzenia Parlamentu Europejskiego i Rady (UE) 2018/1999 w odniesieniu do struktury, formatu, szczegółów technicznych i procedury dotyczących zintegrowanych krajowych sprawozdań z postępów</w:t>
      </w:r>
      <w:r>
        <w:rPr>
          <w:i/>
          <w:iCs/>
        </w:rPr>
        <w:t xml:space="preserve">, </w:t>
      </w:r>
      <w:hyperlink r:id="rId79" w:history="1">
        <w:r w:rsidRPr="00AF4136">
          <w:rPr>
            <w:rStyle w:val="Hipercze"/>
          </w:rPr>
          <w:t>link</w:t>
        </w:r>
      </w:hyperlink>
      <w:r w:rsidRPr="00AF4136">
        <w:t xml:space="preserve"> </w:t>
      </w:r>
    </w:p>
    <w:p w14:paraId="256E7024" w14:textId="10E1C2F9" w:rsidR="00347805" w:rsidRDefault="00347805" w:rsidP="00347805">
      <w:r w:rsidRPr="00A2100A">
        <w:rPr>
          <w:b/>
          <w:bCs/>
        </w:rPr>
        <w:t>rozporządzenie LULUCF</w:t>
      </w:r>
      <w:r>
        <w:t xml:space="preserve"> </w:t>
      </w:r>
      <w:r w:rsidRPr="00CA5D28">
        <w:rPr>
          <w:b/>
          <w:bCs/>
        </w:rPr>
        <w:t xml:space="preserve">II </w:t>
      </w:r>
      <w:r>
        <w:t xml:space="preserve">– rozporządzenie </w:t>
      </w:r>
      <w:r w:rsidR="00697CB8">
        <w:t>Parlamentu Europejskiego i Rady</w:t>
      </w:r>
      <w:r>
        <w:t xml:space="preserve"> (UE) 2023/839 z dnia 19 kwietnia 2023 r. w sprawie zmiany rozporządzenia (UE) 2018/841 w odniesieniu do zakresu stosowania, uproszczenia przepisów dotyczących sprawozdawczości i zgodności oraz określenia celów państw członkowskich na 2030 r., a także zmiany rozporządzenia (UE) 2018/1999 w odniesieniu do poprawy monitorowania, sprawozdawczości, śledzenia postępów i przeglądu, </w:t>
      </w:r>
      <w:hyperlink r:id="rId80" w:history="1">
        <w:r w:rsidRPr="00A2100A">
          <w:rPr>
            <w:rStyle w:val="Hipercze"/>
          </w:rPr>
          <w:t>link</w:t>
        </w:r>
      </w:hyperlink>
    </w:p>
    <w:p w14:paraId="18D0D1B3" w14:textId="147FA90B" w:rsidR="00347805" w:rsidRDefault="00347805" w:rsidP="00347805">
      <w:pPr>
        <w:rPr>
          <w:rStyle w:val="Hipercze"/>
        </w:rPr>
      </w:pPr>
      <w:r w:rsidRPr="00212281">
        <w:rPr>
          <w:b/>
          <w:bCs/>
        </w:rPr>
        <w:t>rozporządzenie ESR – wspólny wysiłek redukcyjny</w:t>
      </w:r>
      <w:r>
        <w:t xml:space="preserve"> – rozporządzenie </w:t>
      </w:r>
      <w:r w:rsidR="00697CB8">
        <w:t>Parlamentu Europejskiego i Rady</w:t>
      </w:r>
      <w:r>
        <w:t xml:space="preserve"> (UE) 2023/857 z dnia 19 kwietnia 2023 r. zmieniające rozporządzenie (UE) 2018/842 w sprawie wiążących rocznych redukcji emisji gazów cieplarnianych przez państwa członkowskie od 2021 r. do 2030 r. przyczyniających się do działań na rzecz klimatu w celu wywiązania się z zobowiązań wynikających z porozumienia paryskiego oraz zmieniające rozporządzenie (UE) 2018/1999, </w:t>
      </w:r>
      <w:hyperlink r:id="rId81" w:history="1">
        <w:r w:rsidRPr="00D84AAA">
          <w:rPr>
            <w:rStyle w:val="Hipercze"/>
          </w:rPr>
          <w:t>link</w:t>
        </w:r>
      </w:hyperlink>
    </w:p>
    <w:p w14:paraId="1E09717B" w14:textId="7F3E5D1E" w:rsidR="00347805" w:rsidRDefault="00347805" w:rsidP="00347805">
      <w:pPr>
        <w:rPr>
          <w:rStyle w:val="Hipercze"/>
        </w:rPr>
      </w:pPr>
      <w:r w:rsidRPr="00FF5DB1">
        <w:rPr>
          <w:b/>
          <w:bCs/>
        </w:rPr>
        <w:t>rozporządzenie AFIR</w:t>
      </w:r>
      <w:r>
        <w:t xml:space="preserve"> – r</w:t>
      </w:r>
      <w:r w:rsidRPr="00FF5DB1">
        <w:t xml:space="preserve">ozporządzenie </w:t>
      </w:r>
      <w:r w:rsidR="00697CB8">
        <w:t>Parlamentu Europejskiego i Rady</w:t>
      </w:r>
      <w:r>
        <w:t xml:space="preserve"> (UE)</w:t>
      </w:r>
      <w:r w:rsidRPr="00FF5DB1">
        <w:t xml:space="preserve"> 2023/1804 z dnia 13 września 2023 r. w sprawie rozwoju infrastruktury paliw alternatywnych i uchylenia dyrektywy 2014/94/UE</w:t>
      </w:r>
      <w:r>
        <w:t xml:space="preserve">, </w:t>
      </w:r>
      <w:hyperlink r:id="rId82" w:history="1">
        <w:r w:rsidRPr="00FF5DB1">
          <w:rPr>
            <w:rStyle w:val="Hipercze"/>
          </w:rPr>
          <w:t>link</w:t>
        </w:r>
      </w:hyperlink>
    </w:p>
    <w:p w14:paraId="6B535106" w14:textId="5E421207" w:rsidR="00347805" w:rsidRDefault="00347805" w:rsidP="00347805">
      <w:r w:rsidRPr="003A6111">
        <w:rPr>
          <w:b/>
          <w:bCs/>
        </w:rPr>
        <w:t xml:space="preserve">rozporządzenie </w:t>
      </w:r>
      <w:r w:rsidRPr="008733FF">
        <w:rPr>
          <w:b/>
          <w:bCs/>
        </w:rPr>
        <w:t>w sprawie baterii i zużytych baterii</w:t>
      </w:r>
      <w:r>
        <w:t xml:space="preserve"> – rozporządzenie </w:t>
      </w:r>
      <w:r w:rsidR="00697CB8">
        <w:t>Parlamentu Europejskiego i Rady</w:t>
      </w:r>
      <w:r>
        <w:t xml:space="preserve"> (UE) 2023/1542 </w:t>
      </w:r>
      <w:r w:rsidRPr="003A6111">
        <w:t>z dnia 12 lipca 2023 r. w sprawie baterii i zużytych baterii, zmieniające dyrektywę 2008/98/WE i rozporządzenie (UE) 2019/1020 oraz uchylające dyrektywę 2006/66/WE (Tekst mający znaczenie dla EOG)</w:t>
      </w:r>
      <w:r>
        <w:t xml:space="preserve">, </w:t>
      </w:r>
      <w:hyperlink r:id="rId83" w:history="1">
        <w:r w:rsidRPr="003A6111">
          <w:rPr>
            <w:rStyle w:val="Hipercze"/>
          </w:rPr>
          <w:t>link</w:t>
        </w:r>
      </w:hyperlink>
    </w:p>
    <w:p w14:paraId="76584F1C" w14:textId="36F1CBB7" w:rsidR="00347805" w:rsidRDefault="00347805" w:rsidP="00347805">
      <w:pPr>
        <w:rPr>
          <w:rStyle w:val="Hipercze"/>
          <w:rFonts w:cs="Calibri"/>
          <w:kern w:val="0"/>
          <w:szCs w:val="20"/>
          <w14:ligatures w14:val="none"/>
        </w:rPr>
      </w:pPr>
      <w:r>
        <w:rPr>
          <w:rFonts w:cs="Calibri"/>
          <w:b/>
          <w:bCs/>
          <w:kern w:val="0"/>
          <w:szCs w:val="20"/>
          <w14:ligatures w14:val="none"/>
        </w:rPr>
        <w:t xml:space="preserve">rozporządzenie </w:t>
      </w:r>
      <w:r w:rsidRPr="000A6EB6">
        <w:rPr>
          <w:rFonts w:cs="Calibri"/>
          <w:b/>
          <w:bCs/>
          <w:kern w:val="0"/>
          <w:szCs w:val="20"/>
          <w14:ligatures w14:val="none"/>
        </w:rPr>
        <w:t>ReFuelEU Aviation</w:t>
      </w:r>
      <w:r w:rsidRPr="009D61DE">
        <w:rPr>
          <w:rFonts w:cs="Calibri"/>
          <w:kern w:val="0"/>
          <w:szCs w:val="20"/>
          <w14:ligatures w14:val="none"/>
        </w:rPr>
        <w:t xml:space="preserve"> </w:t>
      </w:r>
      <w:r>
        <w:rPr>
          <w:rFonts w:cs="Calibri"/>
          <w:kern w:val="0"/>
          <w:szCs w:val="20"/>
          <w14:ligatures w14:val="none"/>
        </w:rPr>
        <w:t xml:space="preserve">– </w:t>
      </w:r>
      <w:r w:rsidRPr="009D61DE">
        <w:rPr>
          <w:rFonts w:cs="Calibri"/>
          <w:kern w:val="0"/>
          <w:szCs w:val="20"/>
          <w14:ligatures w14:val="none"/>
        </w:rPr>
        <w:t>rozporządzeni</w:t>
      </w:r>
      <w:r>
        <w:rPr>
          <w:rFonts w:cs="Calibri"/>
          <w:kern w:val="0"/>
          <w:szCs w:val="20"/>
          <w14:ligatures w14:val="none"/>
        </w:rPr>
        <w:t>e</w:t>
      </w:r>
      <w:r w:rsidRPr="009D61DE">
        <w:rPr>
          <w:rFonts w:cs="Calibri"/>
          <w:kern w:val="0"/>
          <w:szCs w:val="20"/>
          <w14:ligatures w14:val="none"/>
        </w:rPr>
        <w:t xml:space="preserve"> </w:t>
      </w:r>
      <w:r w:rsidR="00697CB8">
        <w:rPr>
          <w:rFonts w:cs="Calibri"/>
          <w:kern w:val="0"/>
          <w:szCs w:val="20"/>
          <w14:ligatures w14:val="none"/>
        </w:rPr>
        <w:t>Parlamentu Europejskiego i Rady</w:t>
      </w:r>
      <w:r w:rsidRPr="009D61DE">
        <w:rPr>
          <w:rFonts w:cs="Calibri"/>
          <w:kern w:val="0"/>
          <w:szCs w:val="20"/>
          <w14:ligatures w14:val="none"/>
        </w:rPr>
        <w:t xml:space="preserve"> (UE) 2023/2405 z dnia 18 października 2023 r. w sprawie zapewnienia równych warunków działania dla zrównoważonego transportu lotniczego</w:t>
      </w:r>
      <w:r>
        <w:rPr>
          <w:rFonts w:cs="Calibri"/>
          <w:kern w:val="0"/>
          <w:szCs w:val="20"/>
          <w14:ligatures w14:val="none"/>
        </w:rPr>
        <w:t xml:space="preserve">, </w:t>
      </w:r>
      <w:hyperlink r:id="rId84" w:history="1">
        <w:r w:rsidRPr="000A6EB6">
          <w:rPr>
            <w:rStyle w:val="Hipercze"/>
            <w:rFonts w:cs="Calibri"/>
            <w:kern w:val="0"/>
            <w:szCs w:val="20"/>
            <w14:ligatures w14:val="none"/>
          </w:rPr>
          <w:t>link</w:t>
        </w:r>
      </w:hyperlink>
    </w:p>
    <w:p w14:paraId="34DFCFCC" w14:textId="3F32365B" w:rsidR="00347805" w:rsidRPr="00465FA4" w:rsidRDefault="00347805" w:rsidP="00347805">
      <w:pPr>
        <w:rPr>
          <w:rFonts w:cs="Calibri"/>
          <w:color w:val="0563C1" w:themeColor="hyperlink"/>
          <w:kern w:val="0"/>
          <w:szCs w:val="20"/>
          <w:u w:val="single"/>
          <w14:ligatures w14:val="none"/>
        </w:rPr>
      </w:pPr>
      <w:r w:rsidRPr="009D48CB">
        <w:rPr>
          <w:rFonts w:cs="Calibri"/>
          <w:b/>
          <w:bCs/>
          <w:color w:val="000000" w:themeColor="text1"/>
          <w:kern w:val="0"/>
          <w:szCs w:val="20"/>
          <w14:ligatures w14:val="none"/>
        </w:rPr>
        <w:t>rozporządzenie FuelEU Maritime</w:t>
      </w:r>
      <w:r w:rsidRPr="009D48CB">
        <w:rPr>
          <w:rFonts w:cs="Calibri"/>
          <w:color w:val="000000" w:themeColor="text1"/>
          <w:kern w:val="0"/>
          <w:szCs w:val="20"/>
          <w14:ligatures w14:val="none"/>
        </w:rPr>
        <w:t xml:space="preserve"> – rozporządzenie </w:t>
      </w:r>
      <w:r w:rsidR="00697CB8">
        <w:rPr>
          <w:rFonts w:cs="Calibri"/>
          <w:color w:val="000000" w:themeColor="text1"/>
          <w:kern w:val="0"/>
          <w:szCs w:val="20"/>
          <w14:ligatures w14:val="none"/>
        </w:rPr>
        <w:t>Parlamentu Europejskiego i Rady</w:t>
      </w:r>
      <w:r w:rsidRPr="009D48CB">
        <w:rPr>
          <w:rFonts w:cs="Calibri"/>
          <w:color w:val="000000" w:themeColor="text1"/>
          <w:kern w:val="0"/>
          <w:szCs w:val="20"/>
          <w14:ligatures w14:val="none"/>
        </w:rPr>
        <w:t xml:space="preserve"> (UE) 2023/1805 z</w:t>
      </w:r>
      <w:r w:rsidR="007B120C">
        <w:rPr>
          <w:rFonts w:cs="Calibri"/>
          <w:color w:val="000000" w:themeColor="text1"/>
          <w:kern w:val="0"/>
          <w:szCs w:val="20"/>
          <w14:ligatures w14:val="none"/>
        </w:rPr>
        <w:t> </w:t>
      </w:r>
      <w:r w:rsidRPr="009D48CB">
        <w:rPr>
          <w:rFonts w:cs="Calibri"/>
          <w:color w:val="000000" w:themeColor="text1"/>
          <w:kern w:val="0"/>
          <w:szCs w:val="20"/>
          <w14:ligatures w14:val="none"/>
        </w:rPr>
        <w:t>dnia 13 września 2023 r. w sprawie stosowania paliw odnawialnych i niskoemisyjnych w transporcie morskim oraz zmiany dyrektywy 2009/16/WE,</w:t>
      </w:r>
      <w:r w:rsidRPr="009D48CB">
        <w:rPr>
          <w:rFonts w:cs="Calibri"/>
          <w:color w:val="000000" w:themeColor="text1"/>
          <w:kern w:val="0"/>
          <w:szCs w:val="20"/>
          <w:u w:val="single"/>
          <w14:ligatures w14:val="none"/>
        </w:rPr>
        <w:t xml:space="preserve"> </w:t>
      </w:r>
      <w:hyperlink r:id="rId85" w:history="1">
        <w:r w:rsidRPr="00465FA4">
          <w:rPr>
            <w:rStyle w:val="Hipercze"/>
            <w:rFonts w:cs="Calibri"/>
            <w:kern w:val="0"/>
            <w:szCs w:val="20"/>
            <w14:ligatures w14:val="none"/>
          </w:rPr>
          <w:t>link</w:t>
        </w:r>
      </w:hyperlink>
      <w:r w:rsidRPr="00465FA4">
        <w:rPr>
          <w:rFonts w:cs="Calibri"/>
          <w:color w:val="0563C1" w:themeColor="hyperlink"/>
          <w:kern w:val="0"/>
          <w:szCs w:val="20"/>
          <w:u w:val="single"/>
          <w14:ligatures w14:val="none"/>
        </w:rPr>
        <w:t xml:space="preserve"> </w:t>
      </w:r>
    </w:p>
    <w:p w14:paraId="09338ADF" w14:textId="7D4A1493" w:rsidR="00347805" w:rsidRPr="00750B01" w:rsidRDefault="00347805" w:rsidP="00347805">
      <w:r w:rsidRPr="00D051E5">
        <w:rPr>
          <w:b/>
          <w:bCs/>
        </w:rPr>
        <w:t>rozporządzenie dotyczące SFK</w:t>
      </w:r>
      <w:r>
        <w:t xml:space="preserve"> – rozporządzenie </w:t>
      </w:r>
      <w:r w:rsidR="00697CB8">
        <w:t>Parlamentu Europejskiego i Rady</w:t>
      </w:r>
      <w:r>
        <w:t xml:space="preserve"> (UE) 2023/955 z dnia 10 maja 2023 r. w sprawie ustanowienia Społecznego Funduszu Klimatycznego i zmieniające rozporządzenie (UE) 2021/1060, </w:t>
      </w:r>
      <w:hyperlink r:id="rId86" w:history="1">
        <w:r w:rsidRPr="00CC35DA">
          <w:rPr>
            <w:rStyle w:val="Hipercze"/>
          </w:rPr>
          <w:t>link</w:t>
        </w:r>
      </w:hyperlink>
    </w:p>
    <w:p w14:paraId="1963449C" w14:textId="26D7FF6B" w:rsidR="00347805" w:rsidRDefault="00347805" w:rsidP="00347805">
      <w:pPr>
        <w:rPr>
          <w:rStyle w:val="Hipercze"/>
          <w:rFonts w:cs="Calibri"/>
          <w:bCs/>
          <w:kern w:val="0"/>
          <w:szCs w:val="20"/>
          <w14:ligatures w14:val="none"/>
        </w:rPr>
      </w:pPr>
      <w:r w:rsidRPr="009D48CB">
        <w:rPr>
          <w:rFonts w:cs="Calibri"/>
          <w:b/>
          <w:bCs/>
          <w:color w:val="000000" w:themeColor="text1"/>
          <w:kern w:val="0"/>
          <w:szCs w:val="20"/>
          <w14:ligatures w14:val="none"/>
        </w:rPr>
        <w:t>rozporządzenie MRV</w:t>
      </w:r>
      <w:r w:rsidRPr="009D48CB">
        <w:rPr>
          <w:rFonts w:cs="Calibri"/>
          <w:color w:val="000000" w:themeColor="text1"/>
          <w:kern w:val="0"/>
          <w:szCs w:val="20"/>
          <w14:ligatures w14:val="none"/>
        </w:rPr>
        <w:t xml:space="preserve"> </w:t>
      </w:r>
      <w:r>
        <w:rPr>
          <w:rFonts w:cs="Calibri"/>
          <w:color w:val="000000" w:themeColor="text1"/>
          <w:kern w:val="0"/>
          <w:szCs w:val="20"/>
          <w14:ligatures w14:val="none"/>
        </w:rPr>
        <w:t>–</w:t>
      </w:r>
      <w:r w:rsidRPr="009D48CB">
        <w:rPr>
          <w:rFonts w:cs="Calibri"/>
          <w:color w:val="000000" w:themeColor="text1"/>
          <w:kern w:val="0"/>
          <w:szCs w:val="20"/>
          <w14:ligatures w14:val="none"/>
        </w:rPr>
        <w:t xml:space="preserve"> </w:t>
      </w:r>
      <w:r w:rsidRPr="009D48CB">
        <w:rPr>
          <w:rFonts w:cs="Calibri"/>
          <w:bCs/>
          <w:color w:val="000000" w:themeColor="text1"/>
          <w:kern w:val="0"/>
          <w:szCs w:val="20"/>
          <w14:ligatures w14:val="none"/>
        </w:rPr>
        <w:t xml:space="preserve">rozporządzenie </w:t>
      </w:r>
      <w:r w:rsidR="00697CB8">
        <w:rPr>
          <w:rFonts w:cs="Calibri"/>
          <w:bCs/>
          <w:color w:val="000000" w:themeColor="text1"/>
          <w:kern w:val="0"/>
          <w:szCs w:val="20"/>
          <w14:ligatures w14:val="none"/>
        </w:rPr>
        <w:t>Parlamentu Europejskiego i Rady</w:t>
      </w:r>
      <w:r w:rsidRPr="009D48CB">
        <w:rPr>
          <w:rFonts w:cs="Calibri"/>
          <w:bCs/>
          <w:color w:val="000000" w:themeColor="text1"/>
          <w:kern w:val="0"/>
          <w:szCs w:val="20"/>
          <w14:ligatures w14:val="none"/>
        </w:rPr>
        <w:t xml:space="preserve"> (UE) 2023/957 z dnia 10 maja 2023 r. zm</w:t>
      </w:r>
      <w:r>
        <w:rPr>
          <w:rFonts w:cs="Calibri"/>
          <w:bCs/>
          <w:color w:val="000000" w:themeColor="text1"/>
          <w:kern w:val="0"/>
          <w:szCs w:val="20"/>
          <w14:ligatures w14:val="none"/>
        </w:rPr>
        <w:t>ieniające</w:t>
      </w:r>
      <w:r w:rsidRPr="009D48CB">
        <w:rPr>
          <w:rFonts w:cs="Calibri"/>
          <w:bCs/>
          <w:color w:val="000000" w:themeColor="text1"/>
          <w:kern w:val="0"/>
          <w:szCs w:val="20"/>
          <w14:ligatures w14:val="none"/>
        </w:rPr>
        <w:t xml:space="preserve"> rozporządzenie (UE) 2015/757 w celu włączenia transportu morskiego do unijnego systemu handlu uprawnieniami do emisji oraz monitorowania, raportowania i weryfikacji emisji dodatkowych gazów cieplarnianych i emisji z dodatkowych typów statków,</w:t>
      </w:r>
      <w:r w:rsidRPr="009D48CB">
        <w:rPr>
          <w:rFonts w:cs="Calibri"/>
          <w:bCs/>
          <w:color w:val="000000" w:themeColor="text1"/>
          <w:kern w:val="0"/>
          <w:szCs w:val="20"/>
          <w:u w:val="single"/>
          <w14:ligatures w14:val="none"/>
        </w:rPr>
        <w:t xml:space="preserve"> </w:t>
      </w:r>
      <w:hyperlink r:id="rId87" w:history="1">
        <w:r w:rsidRPr="00465FA4">
          <w:rPr>
            <w:rStyle w:val="Hipercze"/>
            <w:rFonts w:cs="Calibri"/>
            <w:bCs/>
            <w:kern w:val="0"/>
            <w:szCs w:val="20"/>
            <w14:ligatures w14:val="none"/>
          </w:rPr>
          <w:t>link</w:t>
        </w:r>
      </w:hyperlink>
    </w:p>
    <w:p w14:paraId="104BE5F9" w14:textId="045C1FEC" w:rsidR="00347805" w:rsidRDefault="00347805" w:rsidP="00347805">
      <w:pPr>
        <w:rPr>
          <w:rStyle w:val="Hipercze"/>
          <w:rFonts w:cs="Calibri"/>
          <w:kern w:val="0"/>
          <w:szCs w:val="20"/>
          <w14:ligatures w14:val="none"/>
        </w:rPr>
      </w:pPr>
      <w:r w:rsidRPr="00B7441F">
        <w:rPr>
          <w:rFonts w:cs="Calibri"/>
          <w:b/>
          <w:kern w:val="0"/>
          <w:szCs w:val="20"/>
          <w14:ligatures w14:val="none"/>
        </w:rPr>
        <w:t>rozporządzenie UE dotyczące surowców krytycznych</w:t>
      </w:r>
      <w:r w:rsidRPr="00B7441F">
        <w:rPr>
          <w:rFonts w:cs="Calibri"/>
          <w:bCs/>
          <w:kern w:val="0"/>
          <w:szCs w:val="20"/>
          <w14:ligatures w14:val="none"/>
        </w:rPr>
        <w:t xml:space="preserve"> </w:t>
      </w:r>
      <w:bookmarkStart w:id="819" w:name="_Hlk184912585"/>
      <w:r w:rsidRPr="00B7441F">
        <w:rPr>
          <w:rFonts w:cs="Calibri"/>
          <w:bCs/>
          <w:kern w:val="0"/>
          <w:szCs w:val="20"/>
          <w14:ligatures w14:val="none"/>
        </w:rPr>
        <w:t>–</w:t>
      </w:r>
      <w:bookmarkEnd w:id="819"/>
      <w:r w:rsidRPr="00B7441F">
        <w:rPr>
          <w:rFonts w:cs="Calibri"/>
          <w:bCs/>
          <w:kern w:val="0"/>
          <w:szCs w:val="20"/>
          <w14:ligatures w14:val="none"/>
        </w:rPr>
        <w:t xml:space="preserve"> rozporządzenie </w:t>
      </w:r>
      <w:r w:rsidR="00697CB8">
        <w:rPr>
          <w:rFonts w:cs="Calibri"/>
          <w:bCs/>
          <w:kern w:val="0"/>
          <w:szCs w:val="20"/>
          <w14:ligatures w14:val="none"/>
        </w:rPr>
        <w:t>Parlamentu Europejskiego i</w:t>
      </w:r>
      <w:r w:rsidR="007B120C">
        <w:rPr>
          <w:rFonts w:cs="Calibri"/>
          <w:bCs/>
          <w:kern w:val="0"/>
          <w:szCs w:val="20"/>
          <w14:ligatures w14:val="none"/>
        </w:rPr>
        <w:t> </w:t>
      </w:r>
      <w:r w:rsidR="00697CB8">
        <w:rPr>
          <w:rFonts w:cs="Calibri"/>
          <w:bCs/>
          <w:kern w:val="0"/>
          <w:szCs w:val="20"/>
          <w14:ligatures w14:val="none"/>
        </w:rPr>
        <w:t>Rady</w:t>
      </w:r>
      <w:r w:rsidRPr="00B7441F">
        <w:rPr>
          <w:rFonts w:cs="Calibri"/>
          <w:bCs/>
          <w:kern w:val="0"/>
          <w:szCs w:val="20"/>
          <w14:ligatures w14:val="none"/>
        </w:rPr>
        <w:t xml:space="preserve"> (UE) 2024/1252 z dnia 11 kwietnia 2024 r. w sprawie ustanowienia ram na potrzeby zapewnienia bezpiecznych i zrównoważonych dostaw surowców krytycznych oraz zmiany rozporządzeń (UE) nr 168/2013, (UE) 2018/858, (UE) 2018/1724 i (UE) 2019/1020,</w:t>
      </w:r>
      <w:r w:rsidRPr="00B7441F">
        <w:rPr>
          <w:rFonts w:cs="Calibri"/>
          <w:bCs/>
          <w:kern w:val="0"/>
          <w:szCs w:val="20"/>
          <w:u w:val="single"/>
          <w14:ligatures w14:val="none"/>
        </w:rPr>
        <w:t xml:space="preserve"> </w:t>
      </w:r>
      <w:hyperlink r:id="rId88" w:history="1">
        <w:r w:rsidRPr="000F0F23">
          <w:rPr>
            <w:rStyle w:val="Hipercze"/>
            <w:rFonts w:cs="Calibri"/>
            <w:bCs/>
            <w:kern w:val="0"/>
            <w:szCs w:val="20"/>
            <w14:ligatures w14:val="none"/>
          </w:rPr>
          <w:t>link</w:t>
        </w:r>
      </w:hyperlink>
    </w:p>
    <w:p w14:paraId="4AC23801" w14:textId="07CA249A" w:rsidR="00347805" w:rsidRPr="00D35778" w:rsidRDefault="00347805" w:rsidP="00347805">
      <w:pPr>
        <w:rPr>
          <w:rFonts w:cs="Calibri"/>
          <w:bCs/>
          <w:kern w:val="0"/>
          <w:szCs w:val="20"/>
          <w14:ligatures w14:val="none"/>
        </w:rPr>
      </w:pPr>
      <w:r>
        <w:rPr>
          <w:rFonts w:cs="Calibri"/>
          <w:b/>
          <w:kern w:val="0"/>
          <w:szCs w:val="20"/>
          <w14:ligatures w14:val="none"/>
        </w:rPr>
        <w:t xml:space="preserve">rozporządzenie TEN-T </w:t>
      </w:r>
      <w:r w:rsidRPr="00D35778">
        <w:rPr>
          <w:rFonts w:cs="Calibri"/>
          <w:bCs/>
          <w:kern w:val="0"/>
          <w:szCs w:val="20"/>
          <w14:ligatures w14:val="none"/>
        </w:rPr>
        <w:t xml:space="preserve">– rozporządzenie </w:t>
      </w:r>
      <w:r w:rsidR="00697CB8">
        <w:rPr>
          <w:rFonts w:cs="Calibri"/>
          <w:bCs/>
          <w:kern w:val="0"/>
          <w:szCs w:val="20"/>
          <w14:ligatures w14:val="none"/>
        </w:rPr>
        <w:t>Parlamentu Europejskiego i Rady</w:t>
      </w:r>
      <w:r w:rsidRPr="00D35778">
        <w:rPr>
          <w:rFonts w:cs="Calibri"/>
          <w:bCs/>
          <w:kern w:val="0"/>
          <w:szCs w:val="20"/>
          <w14:ligatures w14:val="none"/>
        </w:rPr>
        <w:t xml:space="preserve"> (UE) 2024/1679 z dnia 13 czerwca 2024 r. w sprawie wytycznych Unii dotyczących rozwoju transeuropejskiej sieci transportowej (TEN-T)</w:t>
      </w:r>
      <w:r>
        <w:rPr>
          <w:rFonts w:cs="Calibri"/>
          <w:bCs/>
          <w:kern w:val="0"/>
          <w:szCs w:val="20"/>
          <w14:ligatures w14:val="none"/>
        </w:rPr>
        <w:t xml:space="preserve">, </w:t>
      </w:r>
      <w:hyperlink r:id="rId89" w:history="1">
        <w:r w:rsidRPr="000C0224">
          <w:rPr>
            <w:rStyle w:val="Hipercze"/>
            <w:rFonts w:cs="Calibri"/>
            <w:bCs/>
            <w:kern w:val="0"/>
            <w:szCs w:val="20"/>
            <w14:ligatures w14:val="none"/>
          </w:rPr>
          <w:t>link</w:t>
        </w:r>
      </w:hyperlink>
    </w:p>
    <w:p w14:paraId="17EB6132" w14:textId="7F467501" w:rsidR="00347805" w:rsidRPr="00B7441F" w:rsidRDefault="00347805" w:rsidP="00347805">
      <w:pPr>
        <w:rPr>
          <w:rFonts w:cs="Calibri"/>
          <w:bCs/>
          <w:color w:val="0563C1" w:themeColor="hyperlink"/>
          <w:kern w:val="0"/>
          <w:szCs w:val="20"/>
          <w14:ligatures w14:val="none"/>
        </w:rPr>
      </w:pPr>
      <w:r w:rsidRPr="00B7441F">
        <w:rPr>
          <w:rFonts w:cs="Calibri"/>
          <w:b/>
          <w:kern w:val="0"/>
          <w:szCs w:val="20"/>
          <w14:ligatures w14:val="none"/>
        </w:rPr>
        <w:t>rozporządzenie Net Zero Industry Act, NZIA</w:t>
      </w:r>
      <w:r w:rsidRPr="00B7441F">
        <w:rPr>
          <w:rFonts w:cs="Calibri"/>
          <w:bCs/>
          <w:kern w:val="0"/>
          <w:szCs w:val="20"/>
          <w14:ligatures w14:val="none"/>
        </w:rPr>
        <w:t xml:space="preserve"> – rozporządzenie </w:t>
      </w:r>
      <w:r w:rsidR="00697CB8">
        <w:rPr>
          <w:rFonts w:cs="Calibri"/>
          <w:bCs/>
          <w:kern w:val="0"/>
          <w:szCs w:val="20"/>
          <w14:ligatures w14:val="none"/>
        </w:rPr>
        <w:t>Parlamentu Europejskiego i Rady</w:t>
      </w:r>
      <w:r w:rsidRPr="00B7441F">
        <w:rPr>
          <w:rFonts w:cs="Calibri"/>
          <w:bCs/>
          <w:kern w:val="0"/>
          <w:szCs w:val="20"/>
          <w14:ligatures w14:val="none"/>
        </w:rPr>
        <w:t xml:space="preserve"> (UE) 2024/1735 z dnia</w:t>
      </w:r>
      <w:r w:rsidR="00697CB8">
        <w:rPr>
          <w:rFonts w:cs="Calibri"/>
          <w:bCs/>
          <w:kern w:val="0"/>
          <w:szCs w:val="20"/>
          <w14:ligatures w14:val="none"/>
        </w:rPr>
        <w:t xml:space="preserve"> </w:t>
      </w:r>
      <w:r w:rsidRPr="00B7441F">
        <w:rPr>
          <w:rFonts w:cs="Calibri"/>
          <w:bCs/>
          <w:kern w:val="0"/>
          <w:szCs w:val="20"/>
          <w14:ligatures w14:val="none"/>
        </w:rPr>
        <w:t xml:space="preserve">13 czerwca 2024 r. w sprawie ustanowienia ram środków na rzecz wzmocnienia europejskiego ekosystemu produkcji produktów technologii neutralnych emisyjnie, </w:t>
      </w:r>
      <w:hyperlink r:id="rId90" w:history="1">
        <w:r w:rsidRPr="00B7441F">
          <w:rPr>
            <w:rStyle w:val="Hipercze"/>
            <w:rFonts w:cs="Calibri"/>
            <w:bCs/>
            <w:kern w:val="0"/>
            <w:szCs w:val="20"/>
            <w:u w:val="none"/>
            <w14:ligatures w14:val="none"/>
          </w:rPr>
          <w:t>link</w:t>
        </w:r>
      </w:hyperlink>
    </w:p>
    <w:p w14:paraId="3BFC850B" w14:textId="1E3ACEB4" w:rsidR="00347805" w:rsidRPr="0015570E" w:rsidRDefault="00347805" w:rsidP="00347805">
      <w:r>
        <w:rPr>
          <w:rFonts w:cs="Calibri"/>
          <w:b/>
          <w:color w:val="000000" w:themeColor="text1"/>
          <w:kern w:val="0"/>
          <w:szCs w:val="20"/>
          <w14:ligatures w14:val="none"/>
        </w:rPr>
        <w:t>r</w:t>
      </w:r>
      <w:r w:rsidRPr="00452718">
        <w:rPr>
          <w:rFonts w:cs="Calibri"/>
          <w:b/>
          <w:color w:val="000000" w:themeColor="text1"/>
          <w:kern w:val="0"/>
          <w:szCs w:val="20"/>
          <w14:ligatures w14:val="none"/>
        </w:rPr>
        <w:t xml:space="preserve">ozporządzenie UE dotyczące emisji metanu </w:t>
      </w:r>
      <w:r w:rsidRPr="00452718">
        <w:rPr>
          <w:rFonts w:cs="Calibri"/>
          <w:bCs/>
          <w:color w:val="000000" w:themeColor="text1"/>
          <w:kern w:val="0"/>
          <w:szCs w:val="20"/>
          <w14:ligatures w14:val="none"/>
        </w:rPr>
        <w:t>–</w:t>
      </w:r>
      <w:r w:rsidRPr="00452718">
        <w:rPr>
          <w:rFonts w:cs="Calibri"/>
          <w:b/>
          <w:color w:val="000000" w:themeColor="text1"/>
          <w:kern w:val="0"/>
          <w:szCs w:val="20"/>
          <w14:ligatures w14:val="none"/>
        </w:rPr>
        <w:t xml:space="preserve"> </w:t>
      </w:r>
      <w:r w:rsidRPr="00452718">
        <w:rPr>
          <w:rFonts w:cs="Calibri"/>
          <w:bCs/>
          <w:color w:val="000000" w:themeColor="text1"/>
          <w:kern w:val="0"/>
          <w:szCs w:val="20"/>
          <w14:ligatures w14:val="none"/>
        </w:rPr>
        <w:t xml:space="preserve">rozporządzenie </w:t>
      </w:r>
      <w:r w:rsidR="00697CB8">
        <w:rPr>
          <w:rFonts w:cs="Calibri"/>
          <w:bCs/>
          <w:color w:val="000000" w:themeColor="text1"/>
          <w:kern w:val="0"/>
          <w:szCs w:val="20"/>
          <w14:ligatures w14:val="none"/>
        </w:rPr>
        <w:t>Parlamentu Europejskiego i Rady</w:t>
      </w:r>
      <w:r w:rsidRPr="00452718">
        <w:rPr>
          <w:rFonts w:cs="Calibri"/>
          <w:bCs/>
          <w:color w:val="000000" w:themeColor="text1"/>
          <w:kern w:val="0"/>
          <w:szCs w:val="20"/>
          <w14:ligatures w14:val="none"/>
        </w:rPr>
        <w:t xml:space="preserve"> (UE) 2024/1787 z dnia 13 czerwca 2024 r. w sprawie redukcji emisji metanu w sektorze energetycznym oraz zmieniające rozporządzenie (UE) 2019/942</w:t>
      </w:r>
      <w:r>
        <w:rPr>
          <w:rFonts w:cs="Calibri"/>
          <w:bCs/>
          <w:color w:val="000000" w:themeColor="text1"/>
          <w:kern w:val="0"/>
          <w:szCs w:val="20"/>
          <w14:ligatures w14:val="none"/>
        </w:rPr>
        <w:t xml:space="preserve">, </w:t>
      </w:r>
      <w:hyperlink r:id="rId91" w:history="1">
        <w:r w:rsidRPr="006D2C1D">
          <w:rPr>
            <w:rStyle w:val="Hipercze"/>
            <w:rFonts w:cs="Calibri"/>
            <w:bCs/>
            <w:kern w:val="0"/>
            <w:szCs w:val="20"/>
            <w14:ligatures w14:val="none"/>
          </w:rPr>
          <w:t>link</w:t>
        </w:r>
      </w:hyperlink>
    </w:p>
    <w:p w14:paraId="6188D494" w14:textId="3749CED3" w:rsidR="00347805" w:rsidRPr="004E7361" w:rsidRDefault="00347805" w:rsidP="00347805">
      <w:pPr>
        <w:rPr>
          <w:rFonts w:cs="Calibri"/>
          <w:bCs/>
          <w:color w:val="000000" w:themeColor="text1"/>
          <w:kern w:val="0"/>
          <w:szCs w:val="20"/>
          <w14:ligatures w14:val="none"/>
        </w:rPr>
      </w:pPr>
      <w:r w:rsidRPr="004E7361">
        <w:rPr>
          <w:rFonts w:cs="Calibri"/>
          <w:b/>
          <w:color w:val="000000" w:themeColor="text1"/>
          <w:kern w:val="0"/>
          <w:szCs w:val="20"/>
          <w14:ligatures w14:val="none"/>
        </w:rPr>
        <w:t>rozporządzenie Nat</w:t>
      </w:r>
      <w:r>
        <w:rPr>
          <w:rFonts w:cs="Calibri"/>
          <w:b/>
          <w:color w:val="000000" w:themeColor="text1"/>
          <w:kern w:val="0"/>
          <w:szCs w:val="20"/>
          <w14:ligatures w14:val="none"/>
        </w:rPr>
        <w:t>ure</w:t>
      </w:r>
      <w:r w:rsidRPr="004E7361">
        <w:rPr>
          <w:rFonts w:cs="Calibri"/>
          <w:b/>
          <w:color w:val="000000" w:themeColor="text1"/>
          <w:kern w:val="0"/>
          <w:szCs w:val="20"/>
          <w14:ligatures w14:val="none"/>
        </w:rPr>
        <w:t xml:space="preserve"> Restoration Law, NRL</w:t>
      </w:r>
      <w:r>
        <w:rPr>
          <w:rFonts w:cs="Calibri"/>
          <w:bCs/>
          <w:color w:val="000000" w:themeColor="text1"/>
          <w:kern w:val="0"/>
          <w:szCs w:val="20"/>
          <w14:ligatures w14:val="none"/>
        </w:rPr>
        <w:t xml:space="preserve"> – r</w:t>
      </w:r>
      <w:r w:rsidRPr="004E7361">
        <w:rPr>
          <w:rFonts w:cs="Calibri"/>
          <w:bCs/>
          <w:color w:val="000000" w:themeColor="text1"/>
          <w:kern w:val="0"/>
          <w:szCs w:val="20"/>
          <w14:ligatures w14:val="none"/>
        </w:rPr>
        <w:t>ozporządzenie (UE) 2024/1991 Parlamentu Europejskiego i Rady z dnia 24 czerwca 2024 r. w sprawie odbudowy zasobów przyrodniczych i zmiany rozporządzenia (UE) 2022/869</w:t>
      </w:r>
      <w:r>
        <w:rPr>
          <w:rFonts w:cs="Calibri"/>
          <w:bCs/>
          <w:color w:val="000000" w:themeColor="text1"/>
          <w:kern w:val="0"/>
          <w:szCs w:val="20"/>
          <w14:ligatures w14:val="none"/>
        </w:rPr>
        <w:t xml:space="preserve">, </w:t>
      </w:r>
      <w:hyperlink r:id="rId92" w:history="1">
        <w:r w:rsidRPr="004E7361">
          <w:rPr>
            <w:rStyle w:val="Hipercze"/>
            <w:rFonts w:cs="Calibri"/>
            <w:bCs/>
            <w:kern w:val="0"/>
            <w:szCs w:val="20"/>
            <w14:ligatures w14:val="none"/>
          </w:rPr>
          <w:t>link</w:t>
        </w:r>
      </w:hyperlink>
    </w:p>
    <w:p w14:paraId="59502CF2" w14:textId="2D145E74" w:rsidR="00347805" w:rsidRPr="004E7361" w:rsidRDefault="00347805" w:rsidP="00347805">
      <w:pPr>
        <w:rPr>
          <w:rFonts w:cs="Calibri"/>
          <w:bCs/>
          <w:color w:val="000000" w:themeColor="text1"/>
          <w:kern w:val="0"/>
          <w:szCs w:val="20"/>
          <w14:ligatures w14:val="none"/>
        </w:rPr>
      </w:pPr>
      <w:r>
        <w:rPr>
          <w:b/>
          <w:bCs/>
        </w:rPr>
        <w:t xml:space="preserve">rozporządzenie </w:t>
      </w:r>
      <w:r w:rsidRPr="00B43289">
        <w:rPr>
          <w:b/>
          <w:bCs/>
        </w:rPr>
        <w:t>ws. ram certyfikacji pochłaniania CO</w:t>
      </w:r>
      <w:r w:rsidRPr="00B43289">
        <w:rPr>
          <w:b/>
          <w:bCs/>
          <w:vertAlign w:val="subscript"/>
        </w:rPr>
        <w:t>2</w:t>
      </w:r>
      <w:r>
        <w:t xml:space="preserve"> – r</w:t>
      </w:r>
      <w:r w:rsidRPr="00CB6B30">
        <w:t>ozporządzenie (UE) 2024/3012 z dnia 27 listopada 2024 r. w sprawie ustanowienia unijnych ram certyfikacji trwałego pochłaniania dwutlenku węgla, technik węglochłonnych oraz składowania dwutlenku węgla w produktach</w:t>
      </w:r>
      <w:r>
        <w:t xml:space="preserve">, </w:t>
      </w:r>
      <w:hyperlink r:id="rId93" w:history="1">
        <w:r w:rsidRPr="00F5286E">
          <w:rPr>
            <w:rStyle w:val="Hipercze"/>
          </w:rPr>
          <w:t>link</w:t>
        </w:r>
      </w:hyperlink>
    </w:p>
    <w:p w14:paraId="73D9316D" w14:textId="0181D54D" w:rsidR="00347805" w:rsidRPr="00465FA4" w:rsidRDefault="00347805" w:rsidP="00347805">
      <w:pPr>
        <w:rPr>
          <w:rFonts w:cs="Calibri"/>
          <w:bCs/>
          <w:color w:val="0563C1" w:themeColor="hyperlink"/>
          <w:kern w:val="0"/>
          <w:szCs w:val="20"/>
          <w:u w:val="single"/>
          <w14:ligatures w14:val="none"/>
        </w:rPr>
      </w:pPr>
      <w:r w:rsidRPr="00B7441F">
        <w:rPr>
          <w:rFonts w:cs="Calibri"/>
          <w:b/>
          <w:kern w:val="0"/>
          <w:szCs w:val="20"/>
          <w14:ligatures w14:val="none"/>
        </w:rPr>
        <w:t>Europejski Zielony Ład</w:t>
      </w:r>
      <w:r w:rsidRPr="00B7441F">
        <w:rPr>
          <w:rFonts w:cs="Calibri"/>
          <w:bCs/>
          <w:kern w:val="0"/>
          <w:szCs w:val="20"/>
          <w14:ligatures w14:val="none"/>
        </w:rPr>
        <w:t xml:space="preserve"> – Komunikat Komisji do Parlamentu Europejskiego, Rady, Europejskiego Komitetu Ekonomiczno-Społecznego i Komitetu Regionów „Europejski Zielony Ład” (COM(2019) 640 final),</w:t>
      </w:r>
      <w:bookmarkStart w:id="820" w:name="_Hlk184912748"/>
      <w:r w:rsidRPr="00B7441F">
        <w:rPr>
          <w:rFonts w:cs="Calibri"/>
          <w:bCs/>
          <w:kern w:val="0"/>
          <w:szCs w:val="20"/>
          <w14:ligatures w14:val="none"/>
        </w:rPr>
        <w:t xml:space="preserve"> </w:t>
      </w:r>
      <w:hyperlink r:id="rId94" w:history="1">
        <w:r w:rsidRPr="006D2C1D">
          <w:rPr>
            <w:rStyle w:val="Hipercze"/>
            <w:rFonts w:cs="Calibri"/>
            <w:bCs/>
            <w:kern w:val="0"/>
            <w:szCs w:val="20"/>
            <w14:ligatures w14:val="none"/>
          </w:rPr>
          <w:t>link</w:t>
        </w:r>
      </w:hyperlink>
      <w:bookmarkEnd w:id="816"/>
      <w:bookmarkEnd w:id="820"/>
    </w:p>
    <w:p w14:paraId="2A41AD2A" w14:textId="69663981" w:rsidR="00910BE5" w:rsidRDefault="00910BE5" w:rsidP="00910BE5">
      <w:pPr>
        <w:rPr>
          <w:rFonts w:cs="Calibri"/>
          <w:bCs/>
          <w:color w:val="0563C1" w:themeColor="hyperlink"/>
          <w:kern w:val="0"/>
          <w:szCs w:val="20"/>
          <w:u w:val="single"/>
          <w14:ligatures w14:val="none"/>
        </w:rPr>
      </w:pPr>
    </w:p>
    <w:p w14:paraId="126E9C5D" w14:textId="5D71E770" w:rsidR="00C50C8E" w:rsidRPr="00B4196B" w:rsidRDefault="00C50C8E">
      <w:pPr>
        <w:jc w:val="left"/>
        <w:rPr>
          <w:rFonts w:ascii="Bahnschrift" w:eastAsiaTheme="majorEastAsia" w:hAnsi="Bahnschrift" w:cstheme="majorBidi"/>
          <w:b/>
          <w:sz w:val="40"/>
          <w:szCs w:val="32"/>
        </w:rPr>
      </w:pPr>
      <w:r w:rsidRPr="00B4196B">
        <w:br w:type="page"/>
      </w:r>
    </w:p>
    <w:p w14:paraId="7D3D18C9" w14:textId="032736D1" w:rsidR="00BB30E2" w:rsidRPr="00B116F7" w:rsidRDefault="00BB30E2" w:rsidP="006B4867">
      <w:pPr>
        <w:pStyle w:val="Nagwek1"/>
        <w:numPr>
          <w:ilvl w:val="0"/>
          <w:numId w:val="0"/>
        </w:numPr>
      </w:pPr>
      <w:bookmarkStart w:id="821" w:name="_Toc202966943"/>
      <w:r w:rsidRPr="00B116F7">
        <w:t>Wykaz skrótów</w:t>
      </w:r>
      <w:bookmarkEnd w:id="814"/>
      <w:bookmarkEnd w:id="815"/>
      <w:bookmarkEnd w:id="821"/>
    </w:p>
    <w:p w14:paraId="46B35946" w14:textId="77777777" w:rsidR="00CD6B92" w:rsidRDefault="00CD6B92" w:rsidP="008B4CC0">
      <w:pPr>
        <w:tabs>
          <w:tab w:val="left" w:pos="1418"/>
          <w:tab w:val="left" w:pos="1843"/>
        </w:tabs>
        <w:spacing w:before="40" w:after="40" w:line="240" w:lineRule="auto"/>
        <w:rPr>
          <w:rFonts w:eastAsia="Calibri"/>
          <w:b/>
        </w:rPr>
      </w:pPr>
      <w:r>
        <w:rPr>
          <w:rFonts w:eastAsia="Calibri"/>
          <w:b/>
        </w:rPr>
        <w:t>aKPEiK</w:t>
      </w:r>
      <w:r>
        <w:rPr>
          <w:rFonts w:eastAsia="Calibri"/>
          <w:b/>
        </w:rPr>
        <w:tab/>
      </w:r>
      <w:r w:rsidRPr="002C6B36">
        <w:rPr>
          <w:rFonts w:eastAsia="Calibri"/>
        </w:rPr>
        <w:t>–</w:t>
      </w:r>
      <w:r>
        <w:rPr>
          <w:rFonts w:eastAsia="Calibri"/>
          <w:b/>
        </w:rPr>
        <w:t xml:space="preserve"> </w:t>
      </w:r>
      <w:r>
        <w:rPr>
          <w:rFonts w:eastAsia="Calibri"/>
          <w:b/>
        </w:rPr>
        <w:tab/>
      </w:r>
      <w:r>
        <w:rPr>
          <w:rFonts w:eastAsia="Calibri"/>
        </w:rPr>
        <w:t>a</w:t>
      </w:r>
      <w:r w:rsidRPr="002951E9">
        <w:rPr>
          <w:rFonts w:eastAsia="Calibri"/>
        </w:rPr>
        <w:t xml:space="preserve">ktualizacja Krajowego </w:t>
      </w:r>
      <w:r>
        <w:rPr>
          <w:rFonts w:eastAsia="Calibri"/>
        </w:rPr>
        <w:t>p</w:t>
      </w:r>
      <w:r w:rsidRPr="002951E9">
        <w:rPr>
          <w:rFonts w:eastAsia="Calibri"/>
        </w:rPr>
        <w:t xml:space="preserve">lanu na rzecz </w:t>
      </w:r>
      <w:r>
        <w:rPr>
          <w:rFonts w:eastAsia="Calibri"/>
        </w:rPr>
        <w:t>e</w:t>
      </w:r>
      <w:r w:rsidRPr="002951E9">
        <w:rPr>
          <w:rFonts w:eastAsia="Calibri"/>
        </w:rPr>
        <w:t>nergii</w:t>
      </w:r>
      <w:r>
        <w:rPr>
          <w:rFonts w:eastAsia="Calibri"/>
        </w:rPr>
        <w:t xml:space="preserve"> i k</w:t>
      </w:r>
      <w:r w:rsidRPr="002951E9">
        <w:rPr>
          <w:rFonts w:eastAsia="Calibri"/>
        </w:rPr>
        <w:t>limatu</w:t>
      </w:r>
      <w:r>
        <w:rPr>
          <w:rFonts w:eastAsia="Calibri"/>
        </w:rPr>
        <w:t xml:space="preserve"> na lata 2021–2030</w:t>
      </w:r>
    </w:p>
    <w:p w14:paraId="6974B88E" w14:textId="77777777" w:rsidR="00CD6B92" w:rsidRPr="00F37703" w:rsidRDefault="00CD6B92" w:rsidP="008B4CC0">
      <w:pPr>
        <w:tabs>
          <w:tab w:val="left" w:pos="1418"/>
          <w:tab w:val="left" w:pos="1843"/>
        </w:tabs>
        <w:spacing w:before="40" w:after="40" w:line="240" w:lineRule="auto"/>
      </w:pPr>
      <w:r w:rsidRPr="00F37703">
        <w:rPr>
          <w:b/>
        </w:rPr>
        <w:t>BAT</w:t>
      </w:r>
      <w:r w:rsidRPr="00F37703">
        <w:rPr>
          <w:b/>
        </w:rPr>
        <w:tab/>
      </w:r>
      <w:r w:rsidRPr="00F37703">
        <w:t>–</w:t>
      </w:r>
      <w:r w:rsidRPr="00F37703">
        <w:tab/>
        <w:t xml:space="preserve">ang. </w:t>
      </w:r>
      <w:r w:rsidRPr="00F37703">
        <w:rPr>
          <w:i/>
        </w:rPr>
        <w:t>Best Available Technology</w:t>
      </w:r>
      <w:r w:rsidRPr="00F37703">
        <w:rPr>
          <w:rFonts w:eastAsia="Calibri"/>
        </w:rPr>
        <w:t xml:space="preserve"> –</w:t>
      </w:r>
      <w:r w:rsidRPr="00F37703">
        <w:t xml:space="preserve"> najlepsza dostępna technologia</w:t>
      </w:r>
    </w:p>
    <w:p w14:paraId="56311D9B" w14:textId="1654B273" w:rsidR="00FE4C13" w:rsidRPr="00F37703" w:rsidRDefault="00FE4C13" w:rsidP="008B4CC0">
      <w:pPr>
        <w:tabs>
          <w:tab w:val="left" w:pos="1418"/>
          <w:tab w:val="left" w:pos="1843"/>
        </w:tabs>
        <w:spacing w:before="40" w:after="40" w:line="240" w:lineRule="auto"/>
        <w:ind w:left="1843" w:hanging="1843"/>
        <w:rPr>
          <w:rFonts w:eastAsia="Calibri"/>
          <w:color w:val="000000" w:themeColor="text1"/>
        </w:rPr>
      </w:pPr>
      <w:r>
        <w:rPr>
          <w:rFonts w:eastAsia="Calibri"/>
          <w:b/>
          <w:color w:val="000000" w:themeColor="text1"/>
        </w:rPr>
        <w:t>B</w:t>
      </w:r>
      <w:r w:rsidR="00AE40E5">
        <w:rPr>
          <w:rFonts w:eastAsia="Calibri"/>
          <w:b/>
          <w:color w:val="000000" w:themeColor="text1"/>
        </w:rPr>
        <w:t>E</w:t>
      </w:r>
      <w:r>
        <w:rPr>
          <w:rFonts w:eastAsia="Calibri"/>
          <w:b/>
          <w:color w:val="000000" w:themeColor="text1"/>
        </w:rPr>
        <w:t>C</w:t>
      </w:r>
      <w:r w:rsidR="00083F1A">
        <w:rPr>
          <w:rFonts w:eastAsia="Calibri"/>
          <w:b/>
          <w:color w:val="000000" w:themeColor="text1"/>
        </w:rPr>
        <w:t>C</w:t>
      </w:r>
      <w:r>
        <w:rPr>
          <w:rFonts w:eastAsia="Calibri"/>
          <w:b/>
          <w:color w:val="000000" w:themeColor="text1"/>
        </w:rPr>
        <w:t>S</w:t>
      </w:r>
      <w:r w:rsidRPr="00FE4C13">
        <w:rPr>
          <w:rFonts w:eastAsia="Calibri"/>
          <w:b/>
          <w:color w:val="000000" w:themeColor="text1"/>
        </w:rPr>
        <w:tab/>
      </w:r>
      <w:r w:rsidRPr="00FE4C13">
        <w:rPr>
          <w:rFonts w:eastAsia="Calibri"/>
          <w:color w:val="000000" w:themeColor="text1"/>
        </w:rPr>
        <w:t>–</w:t>
      </w:r>
      <w:r w:rsidRPr="00FE4C13">
        <w:rPr>
          <w:rFonts w:eastAsia="Calibri"/>
          <w:b/>
          <w:color w:val="000000" w:themeColor="text1"/>
        </w:rPr>
        <w:tab/>
      </w:r>
      <w:r w:rsidRPr="00C8567B">
        <w:rPr>
          <w:rFonts w:eastAsia="Calibri"/>
          <w:color w:val="000000" w:themeColor="text1"/>
        </w:rPr>
        <w:t>ang.</w:t>
      </w:r>
      <w:r w:rsidRPr="00C8567B">
        <w:rPr>
          <w:rFonts w:eastAsia="Calibri"/>
          <w:i/>
          <w:color w:val="000000" w:themeColor="text1"/>
        </w:rPr>
        <w:t xml:space="preserve"> </w:t>
      </w:r>
      <w:r w:rsidRPr="00FE4C13">
        <w:rPr>
          <w:rFonts w:eastAsia="Calibri"/>
          <w:i/>
          <w:color w:val="000000" w:themeColor="text1"/>
        </w:rPr>
        <w:t>Bioenergy with Carbon Capture and Storage</w:t>
      </w:r>
      <w:r>
        <w:rPr>
          <w:rFonts w:eastAsia="Calibri"/>
          <w:i/>
          <w:color w:val="000000" w:themeColor="text1"/>
        </w:rPr>
        <w:t xml:space="preserve"> </w:t>
      </w:r>
      <w:r w:rsidRPr="00957123">
        <w:rPr>
          <w:rFonts w:eastAsia="Calibri"/>
          <w:i/>
          <w:color w:val="000000" w:themeColor="text1"/>
        </w:rPr>
        <w:t xml:space="preserve">– </w:t>
      </w:r>
      <w:r w:rsidR="00AE40E5">
        <w:rPr>
          <w:rFonts w:eastAsia="Calibri"/>
          <w:i/>
          <w:color w:val="000000" w:themeColor="text1"/>
        </w:rPr>
        <w:t>technologia wykorzystania b</w:t>
      </w:r>
      <w:r w:rsidRPr="00FE4C13">
        <w:rPr>
          <w:rFonts w:eastAsia="Calibri"/>
          <w:i/>
          <w:color w:val="000000" w:themeColor="text1"/>
        </w:rPr>
        <w:t>ioenergi</w:t>
      </w:r>
      <w:r w:rsidR="00AE40E5">
        <w:rPr>
          <w:rFonts w:eastAsia="Calibri"/>
          <w:i/>
          <w:color w:val="000000" w:themeColor="text1"/>
        </w:rPr>
        <w:t>i</w:t>
      </w:r>
      <w:r w:rsidRPr="00FE4C13">
        <w:rPr>
          <w:rFonts w:eastAsia="Calibri"/>
          <w:i/>
          <w:color w:val="000000" w:themeColor="text1"/>
        </w:rPr>
        <w:t xml:space="preserve"> z wychwytywaniem i składowaniem dwutlenku węgla</w:t>
      </w:r>
    </w:p>
    <w:p w14:paraId="3DD90F87" w14:textId="77777777" w:rsidR="00CD6B92" w:rsidRPr="00F37703" w:rsidRDefault="00CD6B92" w:rsidP="008B4CC0">
      <w:pPr>
        <w:tabs>
          <w:tab w:val="left" w:pos="1418"/>
          <w:tab w:val="left" w:pos="1843"/>
        </w:tabs>
        <w:spacing w:before="40" w:after="40" w:line="240" w:lineRule="auto"/>
        <w:rPr>
          <w:lang w:val="en-GB"/>
        </w:rPr>
      </w:pPr>
      <w:r w:rsidRPr="00F37703">
        <w:rPr>
          <w:b/>
          <w:lang w:val="en-GB"/>
        </w:rPr>
        <w:t>BREF</w:t>
      </w:r>
      <w:r w:rsidRPr="00F37703">
        <w:rPr>
          <w:b/>
          <w:lang w:val="en-GB"/>
        </w:rPr>
        <w:tab/>
      </w:r>
      <w:r w:rsidRPr="00F37703">
        <w:rPr>
          <w:lang w:val="en-GB"/>
        </w:rPr>
        <w:t>–</w:t>
      </w:r>
      <w:r w:rsidRPr="00F37703">
        <w:rPr>
          <w:lang w:val="en-GB"/>
        </w:rPr>
        <w:tab/>
        <w:t xml:space="preserve">ang. </w:t>
      </w:r>
      <w:r w:rsidRPr="006B29D5">
        <w:rPr>
          <w:i/>
          <w:lang w:val="en-US"/>
        </w:rPr>
        <w:t>Best Available Techniques Reference</w:t>
      </w:r>
      <w:r w:rsidRPr="006B29D5">
        <w:rPr>
          <w:rFonts w:eastAsia="Calibri"/>
          <w:lang w:val="en-US"/>
        </w:rPr>
        <w:t xml:space="preserve"> </w:t>
      </w:r>
      <w:r>
        <w:rPr>
          <w:rFonts w:eastAsia="Calibri"/>
          <w:lang w:val="en-US"/>
        </w:rPr>
        <w:t>–</w:t>
      </w:r>
      <w:r w:rsidRPr="006B29D5">
        <w:rPr>
          <w:rFonts w:eastAsia="Calibri"/>
          <w:lang w:val="en-US"/>
        </w:rPr>
        <w:t xml:space="preserve"> </w:t>
      </w:r>
      <w:r w:rsidRPr="006B29D5">
        <w:rPr>
          <w:lang w:val="en-US"/>
        </w:rPr>
        <w:t>dokumenty referencyjne BAT</w:t>
      </w:r>
    </w:p>
    <w:p w14:paraId="4B35961E" w14:textId="77777777" w:rsidR="00CD6B92" w:rsidRDefault="00CD6B92" w:rsidP="008B4CC0">
      <w:pPr>
        <w:tabs>
          <w:tab w:val="left" w:pos="1418"/>
          <w:tab w:val="left" w:pos="1843"/>
        </w:tabs>
        <w:spacing w:before="40" w:after="40" w:line="240" w:lineRule="auto"/>
        <w:rPr>
          <w:rFonts w:eastAsia="Calibri"/>
        </w:rPr>
      </w:pPr>
      <w:r w:rsidRPr="003034DF">
        <w:rPr>
          <w:rFonts w:eastAsia="Calibri"/>
          <w:b/>
        </w:rPr>
        <w:t>BŚ</w:t>
      </w:r>
      <w:r w:rsidRPr="003034DF">
        <w:rPr>
          <w:rFonts w:eastAsia="Calibri"/>
          <w:b/>
        </w:rPr>
        <w:tab/>
      </w:r>
      <w:r w:rsidRPr="003034DF">
        <w:rPr>
          <w:rFonts w:eastAsia="Calibri"/>
        </w:rPr>
        <w:t>–</w:t>
      </w:r>
      <w:r w:rsidRPr="003034DF">
        <w:rPr>
          <w:rFonts w:eastAsia="Calibri"/>
        </w:rPr>
        <w:tab/>
        <w:t>Bank Światowy</w:t>
      </w:r>
    </w:p>
    <w:p w14:paraId="7F529A1A" w14:textId="415B5153" w:rsidR="007A747C" w:rsidRPr="00593D9F" w:rsidRDefault="007A747C" w:rsidP="008B4CC0">
      <w:pPr>
        <w:tabs>
          <w:tab w:val="left" w:pos="1418"/>
          <w:tab w:val="left" w:pos="1843"/>
        </w:tabs>
        <w:spacing w:before="40" w:after="40" w:line="240" w:lineRule="auto"/>
        <w:ind w:left="1843" w:hanging="1843"/>
        <w:rPr>
          <w:rFonts w:eastAsia="Calibri"/>
          <w:b/>
        </w:rPr>
      </w:pPr>
      <w:r w:rsidRPr="00593D9F">
        <w:rPr>
          <w:rFonts w:eastAsia="Calibri"/>
          <w:b/>
        </w:rPr>
        <w:t>CAPEX</w:t>
      </w:r>
      <w:r w:rsidRPr="00593D9F">
        <w:rPr>
          <w:rFonts w:eastAsia="Calibri"/>
          <w:b/>
        </w:rPr>
        <w:tab/>
      </w:r>
      <w:r w:rsidRPr="00593D9F">
        <w:rPr>
          <w:rFonts w:eastAsia="Calibri"/>
          <w:bCs/>
        </w:rPr>
        <w:t>–</w:t>
      </w:r>
      <w:r w:rsidRPr="00593D9F">
        <w:rPr>
          <w:rFonts w:eastAsia="Calibri"/>
          <w:bCs/>
        </w:rPr>
        <w:tab/>
        <w:t xml:space="preserve">ang. </w:t>
      </w:r>
      <w:r w:rsidRPr="00593D9F">
        <w:rPr>
          <w:rFonts w:eastAsia="Calibri"/>
          <w:bCs/>
          <w:i/>
          <w:iCs/>
        </w:rPr>
        <w:t>capital expenditure</w:t>
      </w:r>
      <w:r w:rsidRPr="00593D9F">
        <w:rPr>
          <w:rFonts w:eastAsia="Calibri"/>
          <w:bCs/>
        </w:rPr>
        <w:t xml:space="preserve"> – nakład</w:t>
      </w:r>
      <w:r w:rsidR="00593D9F" w:rsidRPr="00593D9F">
        <w:rPr>
          <w:rFonts w:eastAsia="Calibri"/>
          <w:bCs/>
        </w:rPr>
        <w:t>y</w:t>
      </w:r>
      <w:r w:rsidRPr="00593D9F">
        <w:rPr>
          <w:rFonts w:eastAsia="Calibri"/>
          <w:bCs/>
        </w:rPr>
        <w:t xml:space="preserve"> inwestycyjn</w:t>
      </w:r>
      <w:r w:rsidR="00593D9F" w:rsidRPr="00593D9F">
        <w:rPr>
          <w:rFonts w:eastAsia="Calibri"/>
          <w:bCs/>
        </w:rPr>
        <w:t>e</w:t>
      </w:r>
    </w:p>
    <w:p w14:paraId="61CCE233" w14:textId="5B8E5B54" w:rsidR="00CD6B92" w:rsidRPr="003034DF" w:rsidRDefault="00CD6B92" w:rsidP="008B4CC0">
      <w:pPr>
        <w:tabs>
          <w:tab w:val="left" w:pos="1418"/>
          <w:tab w:val="left" w:pos="1843"/>
        </w:tabs>
        <w:spacing w:before="40" w:after="40" w:line="240" w:lineRule="auto"/>
        <w:ind w:left="1843" w:hanging="1843"/>
        <w:rPr>
          <w:rFonts w:eastAsia="Calibri"/>
        </w:rPr>
      </w:pPr>
      <w:r w:rsidRPr="00025C74">
        <w:rPr>
          <w:rFonts w:eastAsia="Calibri"/>
          <w:b/>
        </w:rPr>
        <w:t>CCS</w:t>
      </w:r>
      <w:r w:rsidR="00540854" w:rsidRPr="00025C74">
        <w:rPr>
          <w:rFonts w:eastAsia="Calibri"/>
          <w:b/>
        </w:rPr>
        <w:t>/CCUS</w:t>
      </w:r>
      <w:r w:rsidRPr="00025C74">
        <w:rPr>
          <w:rFonts w:eastAsia="Calibri"/>
        </w:rPr>
        <w:t xml:space="preserve"> </w:t>
      </w:r>
      <w:r w:rsidRPr="00025C74">
        <w:rPr>
          <w:rFonts w:eastAsia="Calibri"/>
        </w:rPr>
        <w:tab/>
      </w:r>
      <w:r w:rsidRPr="00025C74">
        <w:rPr>
          <w:rFonts w:eastAsia="Calibri"/>
          <w:bCs/>
        </w:rPr>
        <w:t>–</w:t>
      </w:r>
      <w:r w:rsidRPr="00025C74">
        <w:rPr>
          <w:rFonts w:eastAsia="Calibri"/>
          <w:b/>
        </w:rPr>
        <w:tab/>
      </w:r>
      <w:r w:rsidRPr="00025C74">
        <w:rPr>
          <w:rFonts w:eastAsia="Calibri"/>
        </w:rPr>
        <w:t xml:space="preserve">ang. </w:t>
      </w:r>
      <w:r w:rsidRPr="003034DF">
        <w:rPr>
          <w:rFonts w:eastAsia="Calibri"/>
          <w:i/>
        </w:rPr>
        <w:t xml:space="preserve">Carbon Capture </w:t>
      </w:r>
      <w:r w:rsidR="00540854">
        <w:rPr>
          <w:rFonts w:eastAsia="Calibri"/>
          <w:i/>
        </w:rPr>
        <w:t>(</w:t>
      </w:r>
      <w:r w:rsidR="00540854" w:rsidRPr="00540854">
        <w:rPr>
          <w:rFonts w:eastAsia="Calibri"/>
          <w:i/>
        </w:rPr>
        <w:t>Utilization</w:t>
      </w:r>
      <w:r w:rsidR="00540854">
        <w:rPr>
          <w:rFonts w:eastAsia="Calibri"/>
          <w:i/>
        </w:rPr>
        <w:t xml:space="preserve">) </w:t>
      </w:r>
      <w:r w:rsidRPr="003034DF">
        <w:rPr>
          <w:rFonts w:eastAsia="Calibri"/>
          <w:i/>
        </w:rPr>
        <w:t>and Storage</w:t>
      </w:r>
      <w:r w:rsidRPr="003034DF">
        <w:rPr>
          <w:rFonts w:eastAsia="Calibri"/>
        </w:rPr>
        <w:t xml:space="preserve"> – technologia wychwytu</w:t>
      </w:r>
      <w:r>
        <w:rPr>
          <w:rFonts w:eastAsia="Calibri"/>
        </w:rPr>
        <w:t xml:space="preserve"> </w:t>
      </w:r>
      <w:r w:rsidR="00540854">
        <w:rPr>
          <w:rFonts w:eastAsia="Calibri"/>
        </w:rPr>
        <w:t xml:space="preserve">(wykorzystania) </w:t>
      </w:r>
      <w:r>
        <w:rPr>
          <w:rFonts w:eastAsia="Calibri"/>
        </w:rPr>
        <w:t>i </w:t>
      </w:r>
      <w:r w:rsidRPr="003034DF">
        <w:rPr>
          <w:rFonts w:eastAsia="Calibri"/>
        </w:rPr>
        <w:t>składowania dwutlenku węgla</w:t>
      </w:r>
    </w:p>
    <w:p w14:paraId="0C0EAE8C" w14:textId="4982B6EB" w:rsidR="00CD6B92" w:rsidRDefault="00CD6B92" w:rsidP="008B4CC0">
      <w:pPr>
        <w:tabs>
          <w:tab w:val="left" w:pos="1418"/>
          <w:tab w:val="left" w:pos="1843"/>
        </w:tabs>
        <w:spacing w:before="40" w:after="40" w:line="240" w:lineRule="auto"/>
        <w:rPr>
          <w:rFonts w:eastAsia="Calibri"/>
        </w:rPr>
      </w:pPr>
      <w:r>
        <w:rPr>
          <w:rFonts w:eastAsia="Calibri"/>
          <w:b/>
        </w:rPr>
        <w:t>CO</w:t>
      </w:r>
      <w:r w:rsidRPr="003034DF">
        <w:rPr>
          <w:rFonts w:eastAsia="Calibri"/>
        </w:rPr>
        <w:tab/>
        <w:t>–</w:t>
      </w:r>
      <w:r w:rsidRPr="003034DF">
        <w:rPr>
          <w:rFonts w:eastAsia="Calibri"/>
        </w:rPr>
        <w:tab/>
      </w:r>
      <w:r>
        <w:rPr>
          <w:rFonts w:eastAsia="Calibri"/>
        </w:rPr>
        <w:t>centralne ogrzewanie</w:t>
      </w:r>
    </w:p>
    <w:p w14:paraId="2A4AF98B" w14:textId="77777777" w:rsidR="00CD6B92" w:rsidRPr="007C7CB6" w:rsidRDefault="00CD6B92" w:rsidP="008B4CC0">
      <w:pPr>
        <w:tabs>
          <w:tab w:val="left" w:pos="1418"/>
          <w:tab w:val="left" w:pos="1843"/>
        </w:tabs>
        <w:spacing w:before="40" w:after="40" w:line="240" w:lineRule="auto"/>
        <w:rPr>
          <w:i/>
        </w:rPr>
      </w:pPr>
      <w:r w:rsidRPr="00FE2D40">
        <w:rPr>
          <w:rFonts w:eastAsia="Calibri"/>
          <w:b/>
        </w:rPr>
        <w:t>COP</w:t>
      </w:r>
      <w:r w:rsidRPr="00FE2D40">
        <w:rPr>
          <w:rFonts w:eastAsia="Calibri"/>
        </w:rPr>
        <w:tab/>
        <w:t>–</w:t>
      </w:r>
      <w:r w:rsidRPr="00FE2D40">
        <w:rPr>
          <w:rFonts w:eastAsia="Calibri"/>
        </w:rPr>
        <w:tab/>
      </w:r>
      <w:r w:rsidRPr="007A747C">
        <w:rPr>
          <w:rFonts w:eastAsia="Calibri"/>
          <w:iCs/>
        </w:rPr>
        <w:t>ang.</w:t>
      </w:r>
      <w:r w:rsidRPr="00FE2D40">
        <w:rPr>
          <w:rFonts w:eastAsia="Calibri"/>
          <w:i/>
        </w:rPr>
        <w:t xml:space="preserve"> </w:t>
      </w:r>
      <w:r w:rsidRPr="007C7CB6">
        <w:rPr>
          <w:i/>
        </w:rPr>
        <w:t>Coefficient of Performance – współczynnik efektywności</w:t>
      </w:r>
      <w:r>
        <w:rPr>
          <w:i/>
        </w:rPr>
        <w:t xml:space="preserve"> pompy ciepła</w:t>
      </w:r>
    </w:p>
    <w:p w14:paraId="19540451" w14:textId="77777777" w:rsidR="00CD6B92" w:rsidRPr="00C8567B" w:rsidRDefault="00CD6B92" w:rsidP="008B4CC0">
      <w:pPr>
        <w:tabs>
          <w:tab w:val="left" w:pos="1418"/>
          <w:tab w:val="left" w:pos="1843"/>
        </w:tabs>
        <w:spacing w:before="40" w:after="40" w:line="240" w:lineRule="auto"/>
      </w:pPr>
      <w:r w:rsidRPr="00C8567B">
        <w:rPr>
          <w:b/>
        </w:rPr>
        <w:t>CWU</w:t>
      </w:r>
      <w:r w:rsidRPr="00C8567B">
        <w:tab/>
        <w:t>–</w:t>
      </w:r>
      <w:r w:rsidRPr="00C8567B">
        <w:tab/>
        <w:t>ciepła woda użytkowa</w:t>
      </w:r>
    </w:p>
    <w:p w14:paraId="47366174" w14:textId="77777777" w:rsidR="00CD6B92" w:rsidRPr="00C8567B" w:rsidRDefault="00CD6B92" w:rsidP="008B4CC0">
      <w:pPr>
        <w:tabs>
          <w:tab w:val="left" w:pos="1418"/>
          <w:tab w:val="left" w:pos="1843"/>
        </w:tabs>
        <w:spacing w:before="40" w:after="40" w:line="240" w:lineRule="auto"/>
      </w:pPr>
      <w:r w:rsidRPr="00C8567B">
        <w:rPr>
          <w:b/>
        </w:rPr>
        <w:t>DSR</w:t>
      </w:r>
      <w:r w:rsidRPr="00C8567B">
        <w:rPr>
          <w:b/>
        </w:rPr>
        <w:tab/>
      </w:r>
      <w:r w:rsidRPr="00CB1EB7">
        <w:t>–</w:t>
      </w:r>
      <w:r w:rsidRPr="00C8567B">
        <w:t xml:space="preserve"> </w:t>
      </w:r>
      <w:r w:rsidRPr="00C8567B">
        <w:tab/>
        <w:t xml:space="preserve">ang. </w:t>
      </w:r>
      <w:r w:rsidRPr="00C8567B">
        <w:rPr>
          <w:i/>
        </w:rPr>
        <w:t>Demand Side Response</w:t>
      </w:r>
      <w:r w:rsidRPr="00C8567B">
        <w:rPr>
          <w:b/>
        </w:rPr>
        <w:t xml:space="preserve"> – </w:t>
      </w:r>
      <w:r w:rsidRPr="00C8567B">
        <w:t xml:space="preserve">reakcja strony popytowej </w:t>
      </w:r>
    </w:p>
    <w:p w14:paraId="0C458AAB" w14:textId="77777777" w:rsidR="00CD6B92" w:rsidRDefault="00CD6B92" w:rsidP="008B4CC0">
      <w:pPr>
        <w:tabs>
          <w:tab w:val="left" w:pos="1418"/>
          <w:tab w:val="left" w:pos="1843"/>
        </w:tabs>
        <w:spacing w:before="40" w:after="40" w:line="240" w:lineRule="auto"/>
        <w:rPr>
          <w:rFonts w:eastAsia="Calibri"/>
          <w:color w:val="000000" w:themeColor="text1"/>
        </w:rPr>
      </w:pPr>
      <w:r w:rsidRPr="00C8567B">
        <w:rPr>
          <w:b/>
          <w:color w:val="000000" w:themeColor="text1"/>
        </w:rPr>
        <w:t>EED</w:t>
      </w:r>
      <w:r w:rsidRPr="00C8567B">
        <w:rPr>
          <w:b/>
          <w:color w:val="000000" w:themeColor="text1"/>
        </w:rPr>
        <w:tab/>
      </w:r>
      <w:r w:rsidRPr="00CB1EB7">
        <w:rPr>
          <w:color w:val="000000" w:themeColor="text1"/>
        </w:rPr>
        <w:t>–</w:t>
      </w:r>
      <w:r w:rsidRPr="00C8567B">
        <w:rPr>
          <w:b/>
          <w:color w:val="000000" w:themeColor="text1"/>
        </w:rPr>
        <w:tab/>
      </w:r>
      <w:r w:rsidRPr="00C8567B">
        <w:rPr>
          <w:color w:val="000000" w:themeColor="text1"/>
        </w:rPr>
        <w:t>ang.</w:t>
      </w:r>
      <w:r w:rsidRPr="00C8567B">
        <w:rPr>
          <w:i/>
          <w:color w:val="000000" w:themeColor="text1"/>
        </w:rPr>
        <w:t xml:space="preserve"> </w:t>
      </w:r>
      <w:r w:rsidRPr="000D6C6A">
        <w:rPr>
          <w:rFonts w:eastAsia="Calibri"/>
          <w:i/>
          <w:color w:val="000000" w:themeColor="text1"/>
        </w:rPr>
        <w:t xml:space="preserve">Energy Efficiency Directive </w:t>
      </w:r>
      <w:r w:rsidRPr="000D6C6A">
        <w:rPr>
          <w:rFonts w:eastAsia="Calibri"/>
          <w:b/>
          <w:color w:val="000000" w:themeColor="text1"/>
        </w:rPr>
        <w:t xml:space="preserve">– </w:t>
      </w:r>
      <w:r w:rsidRPr="000D6C6A">
        <w:rPr>
          <w:rFonts w:eastAsia="Calibri"/>
          <w:color w:val="000000" w:themeColor="text1"/>
        </w:rPr>
        <w:t>dyrektywa</w:t>
      </w:r>
      <w:r>
        <w:rPr>
          <w:rFonts w:eastAsia="Calibri"/>
          <w:color w:val="000000" w:themeColor="text1"/>
        </w:rPr>
        <w:t xml:space="preserve"> o </w:t>
      </w:r>
      <w:r w:rsidRPr="000D6C6A">
        <w:rPr>
          <w:rFonts w:eastAsia="Calibri"/>
          <w:color w:val="000000" w:themeColor="text1"/>
        </w:rPr>
        <w:t>efektywności energetycznej</w:t>
      </w:r>
    </w:p>
    <w:p w14:paraId="62E56855" w14:textId="77777777" w:rsidR="00CD6B92" w:rsidRPr="00957123" w:rsidRDefault="00CD6B92" w:rsidP="008B4CC0">
      <w:pPr>
        <w:tabs>
          <w:tab w:val="left" w:pos="1418"/>
          <w:tab w:val="left" w:pos="1843"/>
        </w:tabs>
        <w:spacing w:before="40" w:after="40" w:line="240" w:lineRule="auto"/>
        <w:ind w:left="1843" w:hanging="1843"/>
        <w:rPr>
          <w:rFonts w:eastAsia="Calibri"/>
          <w:color w:val="000000" w:themeColor="text1"/>
        </w:rPr>
      </w:pPr>
      <w:r w:rsidRPr="00C8567B">
        <w:rPr>
          <w:rFonts w:eastAsia="Calibri"/>
          <w:b/>
          <w:color w:val="000000" w:themeColor="text1"/>
        </w:rPr>
        <w:t>ENPEP</w:t>
      </w:r>
      <w:r w:rsidRPr="00C8567B">
        <w:rPr>
          <w:rFonts w:eastAsia="Calibri"/>
          <w:b/>
          <w:color w:val="000000" w:themeColor="text1"/>
        </w:rPr>
        <w:tab/>
      </w:r>
      <w:r w:rsidRPr="00CB1EB7">
        <w:rPr>
          <w:rFonts w:eastAsia="Calibri"/>
          <w:color w:val="000000" w:themeColor="text1"/>
        </w:rPr>
        <w:t>–</w:t>
      </w:r>
      <w:r w:rsidRPr="00C8567B">
        <w:rPr>
          <w:rFonts w:eastAsia="Calibri"/>
          <w:b/>
          <w:color w:val="000000" w:themeColor="text1"/>
        </w:rPr>
        <w:tab/>
      </w:r>
      <w:r w:rsidRPr="00C8567B">
        <w:rPr>
          <w:rFonts w:eastAsia="Calibri"/>
          <w:color w:val="000000" w:themeColor="text1"/>
        </w:rPr>
        <w:t>ang.</w:t>
      </w:r>
      <w:r w:rsidRPr="00C8567B">
        <w:rPr>
          <w:rFonts w:eastAsia="Calibri"/>
          <w:i/>
          <w:color w:val="000000" w:themeColor="text1"/>
        </w:rPr>
        <w:t xml:space="preserve"> </w:t>
      </w:r>
      <w:r w:rsidRPr="00957123">
        <w:rPr>
          <w:rFonts w:eastAsia="Calibri"/>
          <w:i/>
          <w:color w:val="000000" w:themeColor="text1"/>
        </w:rPr>
        <w:t>Energy and Power Evaluation Program – pakiet programów do analiz rozwoju sektora energi</w:t>
      </w:r>
      <w:r>
        <w:rPr>
          <w:rFonts w:eastAsia="Calibri"/>
          <w:i/>
          <w:color w:val="000000" w:themeColor="text1"/>
        </w:rPr>
        <w:t>i</w:t>
      </w:r>
    </w:p>
    <w:p w14:paraId="15E07726" w14:textId="77777777" w:rsidR="00CD6B92" w:rsidRPr="003034DF" w:rsidRDefault="00CD6B92" w:rsidP="008B4CC0">
      <w:pPr>
        <w:tabs>
          <w:tab w:val="left" w:pos="1418"/>
          <w:tab w:val="left" w:pos="1843"/>
        </w:tabs>
        <w:spacing w:before="40" w:after="40" w:line="240" w:lineRule="auto"/>
        <w:ind w:left="1843" w:hanging="1843"/>
        <w:rPr>
          <w:rFonts w:eastAsia="Calibri"/>
        </w:rPr>
      </w:pPr>
      <w:r>
        <w:rPr>
          <w:rFonts w:eastAsia="Calibri"/>
          <w:b/>
        </w:rPr>
        <w:t>EUA</w:t>
      </w:r>
      <w:r w:rsidRPr="003034DF">
        <w:rPr>
          <w:rFonts w:eastAsia="Calibri"/>
        </w:rPr>
        <w:tab/>
        <w:t>–</w:t>
      </w:r>
      <w:r w:rsidRPr="003034DF">
        <w:rPr>
          <w:rFonts w:eastAsia="Calibri"/>
        </w:rPr>
        <w:tab/>
      </w:r>
      <w:r w:rsidRPr="007A747C">
        <w:rPr>
          <w:rFonts w:eastAsia="Calibri"/>
          <w:b/>
          <w:bCs/>
          <w:i/>
          <w:iCs/>
        </w:rPr>
        <w:t>ang.</w:t>
      </w:r>
      <w:r w:rsidRPr="008110BD">
        <w:rPr>
          <w:rFonts w:eastAsia="Calibri"/>
          <w:i/>
          <w:iCs/>
        </w:rPr>
        <w:t xml:space="preserve"> European Union Allowance</w:t>
      </w:r>
      <w:r w:rsidRPr="008C245D">
        <w:rPr>
          <w:rFonts w:eastAsia="Calibri"/>
          <w:i/>
          <w:iCs/>
        </w:rPr>
        <w:t xml:space="preserve"> </w:t>
      </w:r>
      <w:r>
        <w:rPr>
          <w:rFonts w:eastAsia="Calibri"/>
          <w:i/>
          <w:iCs/>
        </w:rPr>
        <w:t xml:space="preserve">– </w:t>
      </w:r>
      <w:r>
        <w:rPr>
          <w:rFonts w:eastAsia="Calibri"/>
        </w:rPr>
        <w:t>uprawnienia do emisji służące do rozliczania emisji w europejskim systemie handlu uprawnieniami do emisji. 1 EUA = 1 t. ekw. CO</w:t>
      </w:r>
      <w:r w:rsidRPr="00475A3F">
        <w:rPr>
          <w:rFonts w:eastAsia="Calibri"/>
          <w:vertAlign w:val="subscript"/>
        </w:rPr>
        <w:t>2</w:t>
      </w:r>
    </w:p>
    <w:p w14:paraId="5F47A05B" w14:textId="77777777" w:rsidR="00CD6B92" w:rsidRPr="00CB1EB7" w:rsidRDefault="00CD6B92" w:rsidP="008B4CC0">
      <w:pPr>
        <w:tabs>
          <w:tab w:val="left" w:pos="1418"/>
          <w:tab w:val="left" w:pos="1843"/>
        </w:tabs>
        <w:spacing w:before="40" w:after="40" w:line="240" w:lineRule="auto"/>
        <w:ind w:left="1843" w:hanging="1843"/>
        <w:rPr>
          <w:rFonts w:eastAsia="Calibri"/>
        </w:rPr>
      </w:pPr>
      <w:r w:rsidRPr="00C914DE">
        <w:rPr>
          <w:rFonts w:eastAsia="Calibri"/>
          <w:b/>
        </w:rPr>
        <w:t>EU ETS</w:t>
      </w:r>
      <w:r w:rsidRPr="00C914DE">
        <w:rPr>
          <w:rFonts w:eastAsia="Calibri"/>
          <w:b/>
        </w:rPr>
        <w:tab/>
      </w:r>
      <w:r w:rsidRPr="00C914DE">
        <w:rPr>
          <w:rFonts w:eastAsia="Calibri"/>
          <w:bCs/>
        </w:rPr>
        <w:t>–</w:t>
      </w:r>
      <w:r w:rsidRPr="00C914DE">
        <w:rPr>
          <w:rFonts w:eastAsia="Calibri"/>
          <w:b/>
        </w:rPr>
        <w:tab/>
      </w:r>
      <w:r w:rsidRPr="00C914DE">
        <w:rPr>
          <w:rFonts w:eastAsia="Calibri"/>
        </w:rPr>
        <w:t>ang.</w:t>
      </w:r>
      <w:r w:rsidRPr="00C914DE">
        <w:rPr>
          <w:rFonts w:eastAsia="Calibri"/>
          <w:i/>
        </w:rPr>
        <w:t xml:space="preserve"> </w:t>
      </w:r>
      <w:r w:rsidRPr="00CB1EB7">
        <w:rPr>
          <w:rFonts w:eastAsia="Calibri"/>
          <w:i/>
        </w:rPr>
        <w:t>European Union Emissions Trading System</w:t>
      </w:r>
      <w:r w:rsidRPr="00CB1EB7">
        <w:rPr>
          <w:rFonts w:eastAsia="Calibri"/>
        </w:rPr>
        <w:t xml:space="preserve"> – Europejski System Handlu </w:t>
      </w:r>
      <w:r>
        <w:rPr>
          <w:rFonts w:eastAsia="Calibri"/>
        </w:rPr>
        <w:t>U</w:t>
      </w:r>
      <w:r w:rsidRPr="00CB1EB7">
        <w:rPr>
          <w:rFonts w:eastAsia="Calibri"/>
        </w:rPr>
        <w:t xml:space="preserve">prawnieniami do Emisji </w:t>
      </w:r>
    </w:p>
    <w:p w14:paraId="59DF9BB3" w14:textId="77777777" w:rsidR="00CD6B92" w:rsidRDefault="00CD6B92" w:rsidP="008B4CC0">
      <w:pPr>
        <w:tabs>
          <w:tab w:val="left" w:pos="1418"/>
          <w:tab w:val="left" w:pos="1843"/>
        </w:tabs>
        <w:spacing w:before="40" w:after="40" w:line="240" w:lineRule="auto"/>
        <w:rPr>
          <w:rFonts w:eastAsia="Calibri"/>
        </w:rPr>
      </w:pPr>
      <w:r>
        <w:rPr>
          <w:rFonts w:eastAsia="Calibri"/>
          <w:b/>
        </w:rPr>
        <w:t>EUROSTAT</w:t>
      </w:r>
      <w:r w:rsidRPr="003034DF">
        <w:rPr>
          <w:rFonts w:eastAsia="Calibri"/>
        </w:rPr>
        <w:tab/>
        <w:t>–</w:t>
      </w:r>
      <w:r w:rsidRPr="003034DF">
        <w:rPr>
          <w:rFonts w:eastAsia="Calibri"/>
        </w:rPr>
        <w:tab/>
      </w:r>
      <w:r>
        <w:rPr>
          <w:rFonts w:eastAsia="Calibri"/>
        </w:rPr>
        <w:t>Europejski Urząd Statystyczny</w:t>
      </w:r>
    </w:p>
    <w:p w14:paraId="7264F74B" w14:textId="77777777" w:rsidR="00CD6B92" w:rsidRDefault="00CD6B92" w:rsidP="008B4CC0">
      <w:pPr>
        <w:tabs>
          <w:tab w:val="left" w:pos="1418"/>
          <w:tab w:val="left" w:pos="1843"/>
        </w:tabs>
        <w:spacing w:before="40" w:after="40" w:line="240" w:lineRule="auto"/>
        <w:rPr>
          <w:rFonts w:eastAsia="Calibri"/>
        </w:rPr>
      </w:pPr>
      <w:r>
        <w:rPr>
          <w:rFonts w:eastAsia="Calibri"/>
          <w:b/>
        </w:rPr>
        <w:t>FBC</w:t>
      </w:r>
      <w:r w:rsidRPr="003034DF">
        <w:rPr>
          <w:rFonts w:eastAsia="Calibri"/>
        </w:rPr>
        <w:tab/>
        <w:t>–</w:t>
      </w:r>
      <w:r w:rsidRPr="003034DF">
        <w:rPr>
          <w:rFonts w:eastAsia="Calibri"/>
        </w:rPr>
        <w:tab/>
      </w:r>
      <w:r w:rsidRPr="007A747C">
        <w:rPr>
          <w:rFonts w:eastAsia="Calibri"/>
          <w:iCs/>
        </w:rPr>
        <w:t>ang.</w:t>
      </w:r>
      <w:r w:rsidRPr="000D6C6A">
        <w:rPr>
          <w:rFonts w:eastAsia="Calibri"/>
          <w:i/>
        </w:rPr>
        <w:t xml:space="preserve"> fluidized bed combustion</w:t>
      </w:r>
      <w:r>
        <w:rPr>
          <w:rFonts w:eastAsia="Calibri"/>
          <w:b/>
        </w:rPr>
        <w:t xml:space="preserve"> – </w:t>
      </w:r>
      <w:r w:rsidRPr="000D6C6A">
        <w:rPr>
          <w:rFonts w:eastAsia="Calibri"/>
        </w:rPr>
        <w:t>jednostki</w:t>
      </w:r>
      <w:r>
        <w:rPr>
          <w:rFonts w:eastAsia="Calibri"/>
        </w:rPr>
        <w:t xml:space="preserve"> z </w:t>
      </w:r>
      <w:r w:rsidRPr="000D6C6A">
        <w:rPr>
          <w:rFonts w:eastAsia="Calibri"/>
        </w:rPr>
        <w:t>kotłami fluidalnymi</w:t>
      </w:r>
    </w:p>
    <w:p w14:paraId="266FED36" w14:textId="77777777" w:rsidR="00CD6B92" w:rsidRPr="00FB33C1" w:rsidRDefault="00CD6B92" w:rsidP="008B4CC0">
      <w:pPr>
        <w:tabs>
          <w:tab w:val="left" w:pos="1418"/>
          <w:tab w:val="left" w:pos="1843"/>
        </w:tabs>
        <w:spacing w:before="40" w:after="40" w:line="240" w:lineRule="auto"/>
        <w:rPr>
          <w:lang w:val="en-GB"/>
        </w:rPr>
      </w:pPr>
      <w:r w:rsidRPr="00FB33C1">
        <w:rPr>
          <w:b/>
          <w:lang w:val="en-GB"/>
        </w:rPr>
        <w:t>GCV</w:t>
      </w:r>
      <w:r w:rsidRPr="00FB33C1">
        <w:rPr>
          <w:lang w:val="en-GB"/>
        </w:rPr>
        <w:tab/>
        <w:t>–</w:t>
      </w:r>
      <w:r w:rsidRPr="00FB33C1">
        <w:rPr>
          <w:lang w:val="en-GB"/>
        </w:rPr>
        <w:tab/>
      </w:r>
      <w:r w:rsidRPr="007A747C">
        <w:rPr>
          <w:iCs/>
          <w:lang w:val="en-GB"/>
        </w:rPr>
        <w:t>ang.</w:t>
      </w:r>
      <w:r w:rsidRPr="00FB33C1">
        <w:rPr>
          <w:i/>
          <w:lang w:val="en-GB"/>
        </w:rPr>
        <w:t xml:space="preserve"> gross calorific value – </w:t>
      </w:r>
      <w:r w:rsidRPr="00FB33C1">
        <w:rPr>
          <w:rFonts w:eastAsia="Calibri"/>
          <w:lang w:val="en-GB"/>
        </w:rPr>
        <w:t>c</w:t>
      </w:r>
      <w:r w:rsidRPr="00FB33C1">
        <w:rPr>
          <w:lang w:val="en-GB"/>
        </w:rPr>
        <w:t>iepło spalania paliwa</w:t>
      </w:r>
    </w:p>
    <w:p w14:paraId="2EEBF8ED" w14:textId="77777777" w:rsidR="00CD6B92" w:rsidRPr="00FB33C1" w:rsidRDefault="00CD6B92" w:rsidP="008B4CC0">
      <w:pPr>
        <w:tabs>
          <w:tab w:val="left" w:pos="1418"/>
          <w:tab w:val="left" w:pos="1843"/>
        </w:tabs>
        <w:spacing w:before="40" w:after="40" w:line="240" w:lineRule="auto"/>
        <w:rPr>
          <w:lang w:val="en-GB"/>
        </w:rPr>
      </w:pPr>
      <w:r w:rsidRPr="00FB33C1">
        <w:rPr>
          <w:b/>
          <w:lang w:val="en-GB"/>
        </w:rPr>
        <w:t>GHG</w:t>
      </w:r>
      <w:r w:rsidRPr="00FB33C1">
        <w:rPr>
          <w:lang w:val="en-GB"/>
        </w:rPr>
        <w:tab/>
        <w:t>–</w:t>
      </w:r>
      <w:r w:rsidRPr="00FB33C1">
        <w:rPr>
          <w:lang w:val="en-GB"/>
        </w:rPr>
        <w:tab/>
      </w:r>
      <w:r w:rsidRPr="007A747C">
        <w:rPr>
          <w:iCs/>
          <w:lang w:val="en-GB"/>
        </w:rPr>
        <w:t>ang.</w:t>
      </w:r>
      <w:r w:rsidRPr="00FB33C1">
        <w:rPr>
          <w:i/>
          <w:lang w:val="en-GB"/>
        </w:rPr>
        <w:t xml:space="preserve"> greenhouse gases</w:t>
      </w:r>
      <w:r w:rsidRPr="00FB33C1">
        <w:rPr>
          <w:lang w:val="en-GB"/>
        </w:rPr>
        <w:t xml:space="preserve"> – gazy cieplarniane</w:t>
      </w:r>
    </w:p>
    <w:p w14:paraId="2DB95A70" w14:textId="77777777" w:rsidR="00CD6B92" w:rsidRPr="00FE2D40" w:rsidRDefault="00CD6B92" w:rsidP="008B4CC0">
      <w:pPr>
        <w:tabs>
          <w:tab w:val="left" w:pos="1418"/>
          <w:tab w:val="left" w:pos="1843"/>
        </w:tabs>
        <w:spacing w:before="40" w:after="40" w:line="240" w:lineRule="auto"/>
        <w:rPr>
          <w:rFonts w:eastAsia="Calibri"/>
        </w:rPr>
      </w:pPr>
      <w:r w:rsidRPr="00FE2D40">
        <w:rPr>
          <w:rFonts w:eastAsia="Calibri"/>
          <w:b/>
        </w:rPr>
        <w:t>GTCC</w:t>
      </w:r>
      <w:r w:rsidRPr="00FE2D40">
        <w:rPr>
          <w:rFonts w:eastAsia="Calibri"/>
        </w:rPr>
        <w:tab/>
        <w:t>–</w:t>
      </w:r>
      <w:r w:rsidRPr="00FE2D40">
        <w:rPr>
          <w:rFonts w:eastAsia="Calibri"/>
        </w:rPr>
        <w:tab/>
      </w:r>
      <w:r w:rsidRPr="007A747C">
        <w:rPr>
          <w:rFonts w:eastAsia="Calibri"/>
          <w:iCs/>
        </w:rPr>
        <w:t>ang.</w:t>
      </w:r>
      <w:r w:rsidRPr="00FE2D40">
        <w:rPr>
          <w:rFonts w:eastAsia="Calibri"/>
          <w:i/>
        </w:rPr>
        <w:t xml:space="preserve"> gas turbine combined cycle </w:t>
      </w:r>
      <w:r w:rsidRPr="000A166C">
        <w:rPr>
          <w:rFonts w:eastAsia="Calibri"/>
        </w:rPr>
        <w:t>– kombinowane układy gazowo-parowe</w:t>
      </w:r>
      <w:r w:rsidRPr="00FE2D40">
        <w:rPr>
          <w:rFonts w:eastAsia="Calibri"/>
          <w:i/>
        </w:rPr>
        <w:t xml:space="preserve"> </w:t>
      </w:r>
    </w:p>
    <w:p w14:paraId="3ACF5953" w14:textId="77777777" w:rsidR="00CD6B92" w:rsidRDefault="00CD6B92" w:rsidP="008B4CC0">
      <w:pPr>
        <w:tabs>
          <w:tab w:val="left" w:pos="1418"/>
          <w:tab w:val="left" w:pos="1843"/>
        </w:tabs>
        <w:spacing w:before="40" w:after="40" w:line="240" w:lineRule="auto"/>
        <w:rPr>
          <w:rFonts w:eastAsia="Calibri"/>
        </w:rPr>
      </w:pPr>
      <w:r w:rsidRPr="003311A2">
        <w:rPr>
          <w:rFonts w:eastAsia="Calibri"/>
          <w:b/>
        </w:rPr>
        <w:t>GUS</w:t>
      </w:r>
      <w:r w:rsidRPr="003311A2">
        <w:rPr>
          <w:rFonts w:eastAsia="Calibri"/>
        </w:rPr>
        <w:tab/>
        <w:t>–</w:t>
      </w:r>
      <w:r w:rsidRPr="003311A2">
        <w:rPr>
          <w:rFonts w:eastAsia="Calibri"/>
        </w:rPr>
        <w:tab/>
        <w:t>Główny Urząd Statystyczny</w:t>
      </w:r>
    </w:p>
    <w:p w14:paraId="3FA28870" w14:textId="7A8F3E07" w:rsidR="00CD6B92" w:rsidRPr="009267B2" w:rsidRDefault="00CD6B92" w:rsidP="00601013">
      <w:pPr>
        <w:tabs>
          <w:tab w:val="left" w:pos="1418"/>
          <w:tab w:val="left" w:pos="1843"/>
        </w:tabs>
        <w:spacing w:before="40" w:after="40" w:line="240" w:lineRule="auto"/>
        <w:ind w:left="1843" w:hanging="1843"/>
        <w:rPr>
          <w:rFonts w:eastAsia="Calibri"/>
        </w:rPr>
      </w:pPr>
      <w:r w:rsidRPr="009267B2">
        <w:rPr>
          <w:rFonts w:eastAsia="Calibri"/>
          <w:b/>
        </w:rPr>
        <w:t>HVO</w:t>
      </w:r>
      <w:r w:rsidR="00601013" w:rsidRPr="009267B2">
        <w:rPr>
          <w:rFonts w:eastAsia="Calibri"/>
          <w:b/>
        </w:rPr>
        <w:t>/COHVO</w:t>
      </w:r>
      <w:r w:rsidRPr="009267B2">
        <w:rPr>
          <w:rFonts w:eastAsia="Calibri"/>
        </w:rPr>
        <w:tab/>
        <w:t>–</w:t>
      </w:r>
      <w:r w:rsidRPr="009267B2">
        <w:rPr>
          <w:rFonts w:eastAsia="Calibri"/>
        </w:rPr>
        <w:tab/>
        <w:t xml:space="preserve">ang. </w:t>
      </w:r>
      <w:r w:rsidRPr="009267B2">
        <w:rPr>
          <w:rFonts w:eastAsia="Calibri"/>
          <w:i/>
        </w:rPr>
        <w:t>hydrated vegetable oils</w:t>
      </w:r>
      <w:r w:rsidR="00601013" w:rsidRPr="009267B2">
        <w:rPr>
          <w:rFonts w:eastAsia="Calibri"/>
          <w:i/>
        </w:rPr>
        <w:t>/</w:t>
      </w:r>
      <w:r w:rsidR="00601013" w:rsidRPr="00601013">
        <w:rPr>
          <w:rFonts w:eastAsia="Calibri"/>
          <w:i/>
        </w:rPr>
        <w:t>co-processing</w:t>
      </w:r>
      <w:r w:rsidR="00601013">
        <w:rPr>
          <w:rFonts w:eastAsia="Calibri"/>
          <w:i/>
        </w:rPr>
        <w:t xml:space="preserve"> </w:t>
      </w:r>
      <w:r w:rsidR="00601013" w:rsidRPr="009267B2">
        <w:rPr>
          <w:rFonts w:eastAsia="Calibri"/>
          <w:i/>
        </w:rPr>
        <w:t>hydrated vegetable oils</w:t>
      </w:r>
      <w:r w:rsidRPr="009267B2">
        <w:rPr>
          <w:rFonts w:eastAsia="Calibri"/>
        </w:rPr>
        <w:t xml:space="preserve"> – uwodornione oleje roślinne</w:t>
      </w:r>
      <w:r w:rsidR="00601013" w:rsidRPr="009267B2">
        <w:rPr>
          <w:rFonts w:eastAsia="Calibri"/>
        </w:rPr>
        <w:t>/współ-uwodornione oleje roślinne</w:t>
      </w:r>
    </w:p>
    <w:p w14:paraId="59590EDF" w14:textId="77777777" w:rsidR="00CD6B92" w:rsidRPr="003034DF" w:rsidRDefault="00CD6B92" w:rsidP="008B4CC0">
      <w:pPr>
        <w:tabs>
          <w:tab w:val="left" w:pos="1418"/>
          <w:tab w:val="left" w:pos="1843"/>
        </w:tabs>
        <w:spacing w:before="40" w:after="40" w:line="240" w:lineRule="auto"/>
        <w:rPr>
          <w:rFonts w:eastAsia="Calibri"/>
        </w:rPr>
      </w:pPr>
      <w:r w:rsidRPr="009267B2">
        <w:rPr>
          <w:rFonts w:eastAsia="Calibri"/>
          <w:b/>
        </w:rPr>
        <w:t>IED</w:t>
      </w:r>
      <w:r w:rsidRPr="009267B2">
        <w:rPr>
          <w:rFonts w:eastAsia="Calibri"/>
          <w:b/>
        </w:rPr>
        <w:tab/>
      </w:r>
      <w:r w:rsidRPr="009267B2">
        <w:rPr>
          <w:rFonts w:eastAsia="Calibri"/>
          <w:bCs/>
        </w:rPr>
        <w:t>–</w:t>
      </w:r>
      <w:r w:rsidRPr="009267B2">
        <w:rPr>
          <w:rFonts w:eastAsia="Calibri"/>
          <w:b/>
        </w:rPr>
        <w:tab/>
      </w:r>
      <w:r w:rsidRPr="009267B2">
        <w:rPr>
          <w:rFonts w:eastAsia="Calibri"/>
          <w:bCs/>
        </w:rPr>
        <w:t xml:space="preserve">ang. </w:t>
      </w:r>
      <w:r w:rsidRPr="009722A3">
        <w:rPr>
          <w:rFonts w:eastAsia="Calibri"/>
          <w:i/>
          <w:iCs/>
        </w:rPr>
        <w:t>Industrial Emissions</w:t>
      </w:r>
      <w:r>
        <w:rPr>
          <w:rFonts w:eastAsia="Calibri"/>
          <w:i/>
          <w:iCs/>
        </w:rPr>
        <w:t xml:space="preserve"> </w:t>
      </w:r>
      <w:r w:rsidRPr="009722A3">
        <w:rPr>
          <w:rFonts w:eastAsia="Calibri"/>
          <w:i/>
          <w:iCs/>
        </w:rPr>
        <w:t>Directive</w:t>
      </w:r>
      <w:r>
        <w:rPr>
          <w:rFonts w:eastAsia="Calibri"/>
        </w:rPr>
        <w:t xml:space="preserve"> – </w:t>
      </w:r>
      <w:r w:rsidRPr="003034DF">
        <w:rPr>
          <w:rFonts w:eastAsia="Calibri"/>
        </w:rPr>
        <w:t>dyrektywa</w:t>
      </w:r>
      <w:r>
        <w:rPr>
          <w:rFonts w:eastAsia="Calibri"/>
        </w:rPr>
        <w:t xml:space="preserve"> w </w:t>
      </w:r>
      <w:r w:rsidRPr="003034DF">
        <w:rPr>
          <w:rFonts w:eastAsia="Calibri"/>
        </w:rPr>
        <w:t>sprawie emisji przemysłowych</w:t>
      </w:r>
    </w:p>
    <w:p w14:paraId="489C6737" w14:textId="77777777" w:rsidR="00CD6B92" w:rsidRPr="003034DF" w:rsidRDefault="00CD6B92" w:rsidP="008B4CC0">
      <w:pPr>
        <w:tabs>
          <w:tab w:val="left" w:pos="1418"/>
          <w:tab w:val="left" w:pos="1843"/>
        </w:tabs>
        <w:spacing w:before="40" w:after="40" w:line="240" w:lineRule="auto"/>
        <w:ind w:left="1843" w:hanging="1843"/>
        <w:rPr>
          <w:rFonts w:eastAsia="Calibri"/>
          <w:lang w:val="en-US"/>
        </w:rPr>
      </w:pPr>
      <w:r w:rsidRPr="00B9586D">
        <w:rPr>
          <w:rFonts w:eastAsia="Calibri"/>
          <w:b/>
          <w:lang w:val="en-US"/>
        </w:rPr>
        <w:t>IGCC</w:t>
      </w:r>
      <w:r w:rsidRPr="00B9586D">
        <w:rPr>
          <w:rFonts w:eastAsia="Calibri"/>
          <w:b/>
          <w:lang w:val="en-US"/>
        </w:rPr>
        <w:tab/>
      </w:r>
      <w:r w:rsidRPr="00146736">
        <w:rPr>
          <w:rFonts w:eastAsia="Calibri"/>
          <w:bCs/>
          <w:lang w:val="en-US"/>
        </w:rPr>
        <w:t>–</w:t>
      </w:r>
      <w:r w:rsidRPr="00B9586D">
        <w:rPr>
          <w:rFonts w:eastAsia="Calibri"/>
          <w:b/>
          <w:lang w:val="en-US"/>
        </w:rPr>
        <w:tab/>
      </w:r>
      <w:r w:rsidRPr="00B9586D">
        <w:rPr>
          <w:rFonts w:eastAsia="Calibri"/>
          <w:lang w:val="en-US"/>
        </w:rPr>
        <w:t xml:space="preserve">ang. </w:t>
      </w:r>
      <w:r w:rsidRPr="00B9586D">
        <w:rPr>
          <w:rFonts w:eastAsia="Calibri"/>
          <w:i/>
          <w:lang w:val="en-US"/>
        </w:rPr>
        <w:t xml:space="preserve">Integrated Gasification Combined Cycle </w:t>
      </w:r>
      <w:r w:rsidRPr="00B9586D">
        <w:rPr>
          <w:rFonts w:eastAsia="Calibri"/>
          <w:lang w:val="en-US"/>
        </w:rPr>
        <w:t xml:space="preserve">– zintegrowany układ </w:t>
      </w:r>
      <w:r w:rsidRPr="003034DF">
        <w:rPr>
          <w:rFonts w:eastAsia="Calibri"/>
          <w:lang w:val="en-US"/>
        </w:rPr>
        <w:t>zgazowania węgla</w:t>
      </w:r>
    </w:p>
    <w:p w14:paraId="36CB2050" w14:textId="01380491" w:rsidR="00601013" w:rsidRPr="00601013" w:rsidRDefault="00601013" w:rsidP="009B14B5">
      <w:pPr>
        <w:tabs>
          <w:tab w:val="left" w:pos="1418"/>
          <w:tab w:val="left" w:pos="1843"/>
        </w:tabs>
        <w:spacing w:before="40" w:after="40" w:line="240" w:lineRule="auto"/>
        <w:ind w:left="1843" w:hanging="1843"/>
        <w:rPr>
          <w:rFonts w:eastAsia="Calibri"/>
          <w:bCs/>
          <w:lang w:val="pt-BR"/>
        </w:rPr>
      </w:pPr>
      <w:r w:rsidRPr="00601013">
        <w:rPr>
          <w:rFonts w:eastAsia="Calibri"/>
          <w:b/>
          <w:lang w:val="pt-BR"/>
        </w:rPr>
        <w:t xml:space="preserve">IRENA </w:t>
      </w:r>
      <w:r>
        <w:rPr>
          <w:rFonts w:eastAsia="Calibri"/>
          <w:b/>
          <w:lang w:val="pt-BR"/>
        </w:rPr>
        <w:tab/>
      </w:r>
      <w:r w:rsidRPr="00601013">
        <w:rPr>
          <w:rFonts w:eastAsia="Calibri"/>
          <w:bCs/>
          <w:lang w:val="pt-BR"/>
        </w:rPr>
        <w:t>–</w:t>
      </w:r>
      <w:r>
        <w:rPr>
          <w:rFonts w:eastAsia="Calibri"/>
          <w:bCs/>
          <w:lang w:val="pt-BR"/>
        </w:rPr>
        <w:tab/>
      </w:r>
      <w:r w:rsidRPr="00601013">
        <w:rPr>
          <w:rFonts w:eastAsia="Calibri"/>
          <w:bCs/>
          <w:lang w:val="pt-BR"/>
        </w:rPr>
        <w:t>International Renewable Energy Agency</w:t>
      </w:r>
    </w:p>
    <w:p w14:paraId="2980BED3" w14:textId="2424E753" w:rsidR="009B14B5" w:rsidRPr="009B14B5" w:rsidRDefault="009B14B5" w:rsidP="009B14B5">
      <w:pPr>
        <w:tabs>
          <w:tab w:val="left" w:pos="1418"/>
          <w:tab w:val="left" w:pos="1843"/>
        </w:tabs>
        <w:spacing w:before="40" w:after="40" w:line="240" w:lineRule="auto"/>
        <w:ind w:left="1843" w:hanging="1843"/>
        <w:rPr>
          <w:rFonts w:eastAsia="Calibri"/>
          <w:b/>
        </w:rPr>
      </w:pPr>
      <w:r w:rsidRPr="00601013">
        <w:rPr>
          <w:rFonts w:eastAsia="Calibri"/>
          <w:b/>
          <w:lang w:val="pt-BR"/>
        </w:rPr>
        <w:t xml:space="preserve">IPCC </w:t>
      </w:r>
      <w:r w:rsidRPr="00601013">
        <w:rPr>
          <w:rFonts w:eastAsia="Calibri"/>
          <w:b/>
          <w:lang w:val="pt-BR"/>
        </w:rPr>
        <w:tab/>
      </w:r>
      <w:r w:rsidRPr="00601013">
        <w:rPr>
          <w:rFonts w:eastAsia="Calibri"/>
          <w:bCs/>
          <w:lang w:val="pt-BR"/>
        </w:rPr>
        <w:t>–</w:t>
      </w:r>
      <w:r w:rsidRPr="00601013">
        <w:rPr>
          <w:rFonts w:eastAsia="Calibri"/>
          <w:bCs/>
          <w:lang w:val="pt-BR"/>
        </w:rPr>
        <w:tab/>
      </w:r>
      <w:r w:rsidRPr="00B9586D">
        <w:rPr>
          <w:rFonts w:eastAsia="Calibri"/>
          <w:lang w:val="en-US"/>
        </w:rPr>
        <w:t xml:space="preserve">ang. </w:t>
      </w:r>
      <w:r w:rsidRPr="009267B2">
        <w:rPr>
          <w:rFonts w:eastAsia="Calibri"/>
          <w:bCs/>
          <w:i/>
          <w:iCs/>
          <w:lang w:val="en-GB"/>
        </w:rPr>
        <w:t>Intergovernmental Panel on Climate Change</w:t>
      </w:r>
      <w:r w:rsidRPr="009267B2">
        <w:rPr>
          <w:rFonts w:eastAsia="Calibri"/>
          <w:bCs/>
          <w:lang w:val="en-GB"/>
        </w:rPr>
        <w:t xml:space="preserve"> </w:t>
      </w:r>
      <w:r w:rsidRPr="00B9586D">
        <w:rPr>
          <w:rFonts w:eastAsia="Calibri"/>
          <w:lang w:val="en-US"/>
        </w:rPr>
        <w:t>–</w:t>
      </w:r>
      <w:r w:rsidRPr="009267B2">
        <w:rPr>
          <w:rFonts w:eastAsia="Calibri"/>
          <w:bCs/>
          <w:lang w:val="en-GB"/>
        </w:rPr>
        <w:t xml:space="preserve"> Międzyrządowy Zespół ds. </w:t>
      </w:r>
      <w:r w:rsidRPr="009B14B5">
        <w:rPr>
          <w:rFonts w:eastAsia="Calibri"/>
          <w:bCs/>
        </w:rPr>
        <w:t>Zmian Klimatu</w:t>
      </w:r>
    </w:p>
    <w:p w14:paraId="41E08F78" w14:textId="1DADA431" w:rsidR="009B14B5" w:rsidRDefault="009B14B5" w:rsidP="008B4CC0">
      <w:pPr>
        <w:tabs>
          <w:tab w:val="left" w:pos="1418"/>
          <w:tab w:val="left" w:pos="1843"/>
        </w:tabs>
        <w:spacing w:before="40" w:after="40" w:line="240" w:lineRule="auto"/>
        <w:rPr>
          <w:rFonts w:eastAsia="Calibri"/>
          <w:b/>
        </w:rPr>
      </w:pPr>
      <w:r w:rsidRPr="009B14B5">
        <w:rPr>
          <w:rFonts w:eastAsia="Calibri"/>
          <w:b/>
        </w:rPr>
        <w:t>IRiESP</w:t>
      </w:r>
      <w:r>
        <w:rPr>
          <w:rFonts w:eastAsia="Calibri"/>
          <w:b/>
        </w:rPr>
        <w:tab/>
      </w:r>
      <w:r w:rsidRPr="00146736">
        <w:rPr>
          <w:rFonts w:eastAsia="Calibri"/>
          <w:bCs/>
        </w:rPr>
        <w:t>–</w:t>
      </w:r>
      <w:r>
        <w:rPr>
          <w:rFonts w:eastAsia="Calibri"/>
          <w:bCs/>
        </w:rPr>
        <w:tab/>
      </w:r>
      <w:r w:rsidRPr="009B14B5">
        <w:rPr>
          <w:rFonts w:eastAsia="Calibri"/>
          <w:bCs/>
        </w:rPr>
        <w:t>Instrukcja Ruchu i Eksploatacji Sieci Przesyłowej</w:t>
      </w:r>
    </w:p>
    <w:p w14:paraId="33307988" w14:textId="4D1F3928" w:rsidR="00CD6B92" w:rsidRPr="003034DF" w:rsidRDefault="00CD6B92" w:rsidP="008B4CC0">
      <w:pPr>
        <w:tabs>
          <w:tab w:val="left" w:pos="1418"/>
          <w:tab w:val="left" w:pos="1843"/>
        </w:tabs>
        <w:spacing w:before="40" w:after="40" w:line="240" w:lineRule="auto"/>
        <w:rPr>
          <w:rFonts w:eastAsia="Calibri"/>
        </w:rPr>
      </w:pPr>
      <w:r w:rsidRPr="003034DF">
        <w:rPr>
          <w:rFonts w:eastAsia="Calibri"/>
          <w:b/>
        </w:rPr>
        <w:t>JWCD</w:t>
      </w:r>
      <w:r w:rsidRPr="003034DF">
        <w:rPr>
          <w:rFonts w:eastAsia="Calibri"/>
          <w:b/>
        </w:rPr>
        <w:tab/>
      </w:r>
      <w:r w:rsidRPr="00146736">
        <w:rPr>
          <w:rFonts w:eastAsia="Calibri"/>
          <w:bCs/>
        </w:rPr>
        <w:t>–</w:t>
      </w:r>
      <w:r w:rsidRPr="003034DF">
        <w:rPr>
          <w:rFonts w:eastAsia="Calibri"/>
          <w:b/>
        </w:rPr>
        <w:tab/>
      </w:r>
      <w:r>
        <w:rPr>
          <w:rFonts w:eastAsia="Calibri"/>
        </w:rPr>
        <w:t>j</w:t>
      </w:r>
      <w:r w:rsidRPr="003034DF">
        <w:rPr>
          <w:rFonts w:eastAsia="Calibri"/>
        </w:rPr>
        <w:t xml:space="preserve">ednostka </w:t>
      </w:r>
      <w:r>
        <w:rPr>
          <w:rFonts w:eastAsia="Calibri"/>
        </w:rPr>
        <w:t>w</w:t>
      </w:r>
      <w:r w:rsidRPr="003034DF">
        <w:rPr>
          <w:rFonts w:eastAsia="Calibri"/>
        </w:rPr>
        <w:t xml:space="preserve">ytwórcza </w:t>
      </w:r>
      <w:r>
        <w:rPr>
          <w:rFonts w:eastAsia="Calibri"/>
        </w:rPr>
        <w:t>c</w:t>
      </w:r>
      <w:r w:rsidRPr="003034DF">
        <w:rPr>
          <w:rFonts w:eastAsia="Calibri"/>
        </w:rPr>
        <w:t xml:space="preserve">entralnie </w:t>
      </w:r>
      <w:r>
        <w:rPr>
          <w:rFonts w:eastAsia="Calibri"/>
        </w:rPr>
        <w:t>d</w:t>
      </w:r>
      <w:r w:rsidRPr="003034DF">
        <w:rPr>
          <w:rFonts w:eastAsia="Calibri"/>
        </w:rPr>
        <w:t>ysponowana</w:t>
      </w:r>
    </w:p>
    <w:p w14:paraId="65B313FF" w14:textId="77777777" w:rsidR="00CD6B92" w:rsidRDefault="00CD6B92" w:rsidP="008B4CC0">
      <w:pPr>
        <w:tabs>
          <w:tab w:val="left" w:pos="1418"/>
          <w:tab w:val="left" w:pos="1843"/>
        </w:tabs>
        <w:spacing w:before="40" w:after="40" w:line="240" w:lineRule="auto"/>
        <w:rPr>
          <w:rFonts w:eastAsia="Calibri"/>
        </w:rPr>
      </w:pPr>
      <w:r w:rsidRPr="003034DF">
        <w:rPr>
          <w:rFonts w:eastAsia="Calibri"/>
          <w:b/>
        </w:rPr>
        <w:t>KE</w:t>
      </w:r>
      <w:r w:rsidRPr="003034DF">
        <w:rPr>
          <w:rFonts w:eastAsia="Calibri"/>
          <w:b/>
        </w:rPr>
        <w:tab/>
      </w:r>
      <w:r w:rsidRPr="003034DF">
        <w:rPr>
          <w:rFonts w:eastAsia="Calibri"/>
        </w:rPr>
        <w:t>–</w:t>
      </w:r>
      <w:r w:rsidRPr="003034DF">
        <w:rPr>
          <w:rFonts w:eastAsia="Calibri"/>
        </w:rPr>
        <w:tab/>
        <w:t>Komisja Europejska</w:t>
      </w:r>
    </w:p>
    <w:p w14:paraId="66F5F9D5" w14:textId="2290CFB2" w:rsidR="006C2E36" w:rsidRDefault="006C2E36" w:rsidP="008B4CC0">
      <w:pPr>
        <w:tabs>
          <w:tab w:val="left" w:pos="1418"/>
          <w:tab w:val="left" w:pos="1843"/>
        </w:tabs>
        <w:spacing w:before="40" w:after="40" w:line="240" w:lineRule="auto"/>
        <w:rPr>
          <w:rFonts w:eastAsia="Calibri"/>
          <w:b/>
        </w:rPr>
      </w:pPr>
      <w:r w:rsidRPr="006C2E36">
        <w:rPr>
          <w:rFonts w:eastAsia="Calibri"/>
          <w:b/>
        </w:rPr>
        <w:t>KOBiZE</w:t>
      </w:r>
      <w:r>
        <w:rPr>
          <w:rFonts w:eastAsia="Calibri"/>
          <w:b/>
        </w:rPr>
        <w:tab/>
      </w:r>
      <w:r w:rsidRPr="003034DF">
        <w:rPr>
          <w:rFonts w:eastAsia="Calibri"/>
        </w:rPr>
        <w:t>–</w:t>
      </w:r>
      <w:r>
        <w:rPr>
          <w:rFonts w:eastAsia="Calibri"/>
        </w:rPr>
        <w:tab/>
      </w:r>
      <w:r w:rsidRPr="006C2E36">
        <w:rPr>
          <w:rFonts w:eastAsia="Calibri"/>
        </w:rPr>
        <w:t>Krajowy Ośrodek Bilansowania i Zarządzania Emisjami</w:t>
      </w:r>
    </w:p>
    <w:p w14:paraId="22130351" w14:textId="60242D98" w:rsidR="00CD6B92" w:rsidRDefault="00CD6B92" w:rsidP="008B4CC0">
      <w:pPr>
        <w:tabs>
          <w:tab w:val="left" w:pos="1418"/>
          <w:tab w:val="left" w:pos="1843"/>
        </w:tabs>
        <w:spacing w:before="40" w:after="40" w:line="240" w:lineRule="auto"/>
        <w:rPr>
          <w:rFonts w:eastAsia="Calibri"/>
        </w:rPr>
      </w:pPr>
      <w:r>
        <w:rPr>
          <w:rFonts w:eastAsia="Calibri"/>
          <w:b/>
        </w:rPr>
        <w:t>KPEiK</w:t>
      </w:r>
      <w:r w:rsidRPr="003034DF">
        <w:rPr>
          <w:rFonts w:eastAsia="Calibri"/>
          <w:b/>
        </w:rPr>
        <w:tab/>
      </w:r>
      <w:r w:rsidRPr="003034DF">
        <w:rPr>
          <w:rFonts w:eastAsia="Calibri"/>
        </w:rPr>
        <w:t>–</w:t>
      </w:r>
      <w:r w:rsidRPr="003034DF">
        <w:rPr>
          <w:rFonts w:eastAsia="Calibri"/>
        </w:rPr>
        <w:tab/>
      </w:r>
      <w:r>
        <w:rPr>
          <w:rFonts w:eastAsia="Calibri"/>
        </w:rPr>
        <w:t>Krajowy plan na rzecz energii i klimatu na lata 2021-2030</w:t>
      </w:r>
    </w:p>
    <w:p w14:paraId="60361AB7" w14:textId="36454F89" w:rsidR="000329D5" w:rsidRPr="00F50A3E" w:rsidRDefault="000329D5" w:rsidP="008B4CC0">
      <w:pPr>
        <w:tabs>
          <w:tab w:val="left" w:pos="1418"/>
          <w:tab w:val="left" w:pos="1843"/>
        </w:tabs>
        <w:spacing w:before="40" w:after="40" w:line="240" w:lineRule="auto"/>
        <w:rPr>
          <w:rFonts w:eastAsia="Calibri"/>
          <w:b/>
          <w:bCs/>
        </w:rPr>
      </w:pPr>
      <w:r w:rsidRPr="00F50A3E">
        <w:rPr>
          <w:rFonts w:eastAsia="Calibri"/>
          <w:b/>
          <w:bCs/>
        </w:rPr>
        <w:t>KPRB</w:t>
      </w:r>
      <w:r w:rsidR="00F50A3E">
        <w:rPr>
          <w:rFonts w:eastAsia="Calibri"/>
          <w:b/>
          <w:bCs/>
        </w:rPr>
        <w:tab/>
      </w:r>
      <w:r w:rsidR="00F50A3E" w:rsidRPr="003034DF">
        <w:rPr>
          <w:rFonts w:eastAsia="Calibri"/>
        </w:rPr>
        <w:t>–</w:t>
      </w:r>
      <w:r w:rsidR="00F50A3E">
        <w:rPr>
          <w:rFonts w:eastAsia="Calibri"/>
        </w:rPr>
        <w:tab/>
        <w:t>Krajowy Plan Renowacji Budynków</w:t>
      </w:r>
    </w:p>
    <w:p w14:paraId="4E73008F" w14:textId="77777777" w:rsidR="00CD6B92" w:rsidRPr="003034DF" w:rsidRDefault="00CD6B92" w:rsidP="008B4CC0">
      <w:pPr>
        <w:tabs>
          <w:tab w:val="left" w:pos="1418"/>
          <w:tab w:val="left" w:pos="1843"/>
        </w:tabs>
        <w:spacing w:before="40" w:after="40" w:line="240" w:lineRule="auto"/>
        <w:rPr>
          <w:rFonts w:eastAsia="Calibri"/>
        </w:rPr>
      </w:pPr>
      <w:r w:rsidRPr="003034DF">
        <w:rPr>
          <w:rFonts w:eastAsia="Calibri"/>
          <w:b/>
        </w:rPr>
        <w:t>KSE</w:t>
      </w:r>
      <w:r w:rsidRPr="003034DF">
        <w:rPr>
          <w:rFonts w:eastAsia="Calibri"/>
          <w:b/>
        </w:rPr>
        <w:tab/>
      </w:r>
      <w:r w:rsidRPr="003034DF">
        <w:rPr>
          <w:rFonts w:eastAsia="Calibri"/>
        </w:rPr>
        <w:t>–</w:t>
      </w:r>
      <w:r w:rsidRPr="003034DF">
        <w:rPr>
          <w:rFonts w:eastAsia="Calibri"/>
        </w:rPr>
        <w:tab/>
        <w:t>Krajowy System Elektroenergetyczny</w:t>
      </w:r>
    </w:p>
    <w:p w14:paraId="2CE94864" w14:textId="77777777" w:rsidR="00CD6B92" w:rsidRDefault="00CD6B92" w:rsidP="008B4CC0">
      <w:pPr>
        <w:tabs>
          <w:tab w:val="left" w:pos="1418"/>
          <w:tab w:val="left" w:pos="1843"/>
        </w:tabs>
        <w:spacing w:before="40" w:after="40" w:line="240" w:lineRule="auto"/>
        <w:ind w:left="1843" w:hanging="1843"/>
        <w:rPr>
          <w:rFonts w:eastAsia="Calibri"/>
        </w:rPr>
      </w:pPr>
      <w:r w:rsidRPr="003034DF">
        <w:rPr>
          <w:rFonts w:eastAsia="Calibri"/>
          <w:b/>
        </w:rPr>
        <w:t>LCP</w:t>
      </w:r>
      <w:r w:rsidRPr="003034DF">
        <w:rPr>
          <w:rFonts w:eastAsia="Calibri"/>
          <w:b/>
        </w:rPr>
        <w:tab/>
      </w:r>
      <w:r w:rsidRPr="00146736">
        <w:rPr>
          <w:rFonts w:eastAsia="Calibri"/>
          <w:bCs/>
        </w:rPr>
        <w:t>–</w:t>
      </w:r>
      <w:r w:rsidRPr="003034DF">
        <w:rPr>
          <w:rFonts w:eastAsia="Calibri"/>
          <w:b/>
        </w:rPr>
        <w:tab/>
      </w:r>
      <w:r w:rsidRPr="003034DF">
        <w:rPr>
          <w:rFonts w:eastAsia="Calibri"/>
        </w:rPr>
        <w:t xml:space="preserve">ang. </w:t>
      </w:r>
      <w:r w:rsidRPr="003034DF">
        <w:rPr>
          <w:rFonts w:eastAsia="Calibri"/>
          <w:i/>
        </w:rPr>
        <w:t>Large Combustion Plants</w:t>
      </w:r>
      <w:r w:rsidRPr="003034DF">
        <w:rPr>
          <w:rFonts w:eastAsia="Calibri"/>
        </w:rPr>
        <w:t xml:space="preserve"> – dyrektywa 2001/80/WE</w:t>
      </w:r>
      <w:r>
        <w:rPr>
          <w:rFonts w:eastAsia="Calibri"/>
        </w:rPr>
        <w:t xml:space="preserve"> w </w:t>
      </w:r>
      <w:r w:rsidRPr="003034DF">
        <w:rPr>
          <w:rFonts w:eastAsia="Calibri"/>
        </w:rPr>
        <w:t>sprawie ograniczenia emisji niektórych zanieczyszczeń do powietrza</w:t>
      </w:r>
      <w:r>
        <w:rPr>
          <w:rFonts w:eastAsia="Calibri"/>
        </w:rPr>
        <w:t xml:space="preserve"> z </w:t>
      </w:r>
      <w:r w:rsidRPr="003034DF">
        <w:rPr>
          <w:rFonts w:eastAsia="Calibri"/>
        </w:rPr>
        <w:t>dużych źródeł spalania paliw</w:t>
      </w:r>
    </w:p>
    <w:p w14:paraId="0C8AE106" w14:textId="77777777" w:rsidR="00CD6B92" w:rsidRPr="0099366A" w:rsidRDefault="00CD6B92" w:rsidP="008B4CC0">
      <w:pPr>
        <w:tabs>
          <w:tab w:val="left" w:pos="1418"/>
          <w:tab w:val="left" w:pos="1843"/>
        </w:tabs>
        <w:spacing w:before="40" w:after="40" w:line="240" w:lineRule="auto"/>
        <w:rPr>
          <w:rFonts w:eastAsia="Calibri"/>
        </w:rPr>
      </w:pPr>
      <w:r w:rsidRPr="0099366A">
        <w:rPr>
          <w:rFonts w:eastAsia="Calibri"/>
          <w:b/>
        </w:rPr>
        <w:t>LNG</w:t>
      </w:r>
      <w:r w:rsidRPr="0099366A">
        <w:rPr>
          <w:rFonts w:eastAsia="Calibri"/>
        </w:rPr>
        <w:tab/>
        <w:t>–</w:t>
      </w:r>
      <w:r w:rsidRPr="0099366A">
        <w:rPr>
          <w:rFonts w:eastAsia="Calibri"/>
        </w:rPr>
        <w:tab/>
      </w:r>
      <w:r w:rsidRPr="0099366A">
        <w:rPr>
          <w:rFonts w:eastAsia="Calibri"/>
          <w:i/>
        </w:rPr>
        <w:t>ang. Liquefied Natural Gas</w:t>
      </w:r>
      <w:r w:rsidRPr="0099366A">
        <w:rPr>
          <w:rFonts w:eastAsia="Calibri"/>
        </w:rPr>
        <w:t xml:space="preserve"> – skroplony gaz ziemny</w:t>
      </w:r>
    </w:p>
    <w:p w14:paraId="46E75B9A" w14:textId="77777777" w:rsidR="00CD6B92" w:rsidRDefault="00CD6B92" w:rsidP="008B4CC0">
      <w:pPr>
        <w:tabs>
          <w:tab w:val="left" w:pos="1418"/>
          <w:tab w:val="left" w:pos="1843"/>
        </w:tabs>
        <w:spacing w:before="40" w:after="40" w:line="240" w:lineRule="auto"/>
        <w:ind w:left="1843" w:hanging="1843"/>
        <w:rPr>
          <w:rFonts w:eastAsia="Calibri"/>
        </w:rPr>
      </w:pPr>
      <w:r w:rsidRPr="0099366A">
        <w:rPr>
          <w:rFonts w:eastAsia="Calibri"/>
          <w:b/>
        </w:rPr>
        <w:t>LPG</w:t>
      </w:r>
      <w:r w:rsidRPr="0099366A">
        <w:rPr>
          <w:rFonts w:eastAsia="Calibri"/>
        </w:rPr>
        <w:tab/>
        <w:t>–</w:t>
      </w:r>
      <w:r w:rsidRPr="0099366A">
        <w:rPr>
          <w:rFonts w:eastAsia="Calibri"/>
        </w:rPr>
        <w:tab/>
        <w:t xml:space="preserve">ang. </w:t>
      </w:r>
      <w:r w:rsidRPr="008110BD">
        <w:rPr>
          <w:rFonts w:eastAsia="Calibri"/>
          <w:i/>
          <w:iCs/>
        </w:rPr>
        <w:t>Liqu</w:t>
      </w:r>
      <w:r>
        <w:rPr>
          <w:rFonts w:eastAsia="Calibri"/>
          <w:i/>
          <w:iCs/>
        </w:rPr>
        <w:t>efied</w:t>
      </w:r>
      <w:r>
        <w:rPr>
          <w:rFonts w:eastAsia="Calibri"/>
        </w:rPr>
        <w:t xml:space="preserve"> Petroleum Gas – skroplony gaz petrochemiczny</w:t>
      </w:r>
    </w:p>
    <w:p w14:paraId="34B1F42B" w14:textId="77777777" w:rsidR="00CD6B92" w:rsidRPr="003034DF" w:rsidRDefault="00CD6B92" w:rsidP="008B4CC0">
      <w:pPr>
        <w:tabs>
          <w:tab w:val="left" w:pos="1418"/>
          <w:tab w:val="left" w:pos="1843"/>
        </w:tabs>
        <w:spacing w:before="40" w:after="40" w:line="240" w:lineRule="auto"/>
        <w:ind w:left="1843" w:hanging="1843"/>
        <w:rPr>
          <w:rFonts w:eastAsia="Calibri"/>
        </w:rPr>
      </w:pPr>
      <w:r>
        <w:rPr>
          <w:rFonts w:eastAsia="Calibri"/>
          <w:b/>
        </w:rPr>
        <w:t>LULUCF</w:t>
      </w:r>
      <w:r>
        <w:rPr>
          <w:rFonts w:eastAsia="Calibri"/>
          <w:b/>
        </w:rPr>
        <w:tab/>
      </w:r>
      <w:r w:rsidRPr="00146736">
        <w:rPr>
          <w:rFonts w:eastAsia="Calibri"/>
          <w:bCs/>
        </w:rPr>
        <w:t>–</w:t>
      </w:r>
      <w:r w:rsidRPr="00CB1EB7">
        <w:rPr>
          <w:rFonts w:eastAsia="Calibri"/>
        </w:rPr>
        <w:tab/>
        <w:t>ang.</w:t>
      </w:r>
      <w:r w:rsidRPr="00917C2D">
        <w:rPr>
          <w:rFonts w:eastAsia="Calibri"/>
          <w:b/>
        </w:rPr>
        <w:t xml:space="preserve"> </w:t>
      </w:r>
      <w:r w:rsidRPr="001B7EC1">
        <w:rPr>
          <w:i/>
        </w:rPr>
        <w:t xml:space="preserve">ang. </w:t>
      </w:r>
      <w:r w:rsidRPr="00C365D4">
        <w:rPr>
          <w:bCs/>
          <w:i/>
          <w:iCs/>
        </w:rPr>
        <w:t xml:space="preserve">Land Use, Land Use Change and Forestry, </w:t>
      </w:r>
      <w:r w:rsidRPr="006B6319">
        <w:rPr>
          <w:bCs/>
        </w:rPr>
        <w:t>użytkowani</w:t>
      </w:r>
      <w:r>
        <w:rPr>
          <w:bCs/>
        </w:rPr>
        <w:t>e</w:t>
      </w:r>
      <w:r w:rsidRPr="006B6319">
        <w:rPr>
          <w:bCs/>
        </w:rPr>
        <w:t xml:space="preserve"> gruntów, zmianą</w:t>
      </w:r>
      <w:r>
        <w:rPr>
          <w:bCs/>
        </w:rPr>
        <w:t xml:space="preserve"> </w:t>
      </w:r>
      <w:r w:rsidRPr="006B6319">
        <w:rPr>
          <w:bCs/>
        </w:rPr>
        <w:t>użytkowania gruntów i leśnictw</w:t>
      </w:r>
      <w:r>
        <w:rPr>
          <w:bCs/>
        </w:rPr>
        <w:t>o</w:t>
      </w:r>
      <w:r w:rsidRPr="006B6319">
        <w:rPr>
          <w:bCs/>
        </w:rPr>
        <w:t>.</w:t>
      </w:r>
    </w:p>
    <w:p w14:paraId="29F0EB91" w14:textId="77777777" w:rsidR="00CD6B92" w:rsidRPr="009A7E3A" w:rsidRDefault="00CD6B92" w:rsidP="008B4CC0">
      <w:pPr>
        <w:tabs>
          <w:tab w:val="left" w:pos="1418"/>
          <w:tab w:val="left" w:pos="1843"/>
        </w:tabs>
        <w:spacing w:before="40" w:after="40" w:line="240" w:lineRule="auto"/>
        <w:rPr>
          <w:rFonts w:eastAsia="Calibri"/>
        </w:rPr>
      </w:pPr>
      <w:r w:rsidRPr="009A7E3A">
        <w:rPr>
          <w:rFonts w:eastAsia="Calibri"/>
          <w:b/>
        </w:rPr>
        <w:t>MAE</w:t>
      </w:r>
      <w:r w:rsidRPr="009A7E3A">
        <w:rPr>
          <w:rFonts w:eastAsia="Calibri"/>
          <w:b/>
        </w:rPr>
        <w:tab/>
      </w:r>
      <w:r w:rsidRPr="009A7E3A">
        <w:rPr>
          <w:rFonts w:eastAsia="Calibri"/>
        </w:rPr>
        <w:t>–</w:t>
      </w:r>
      <w:r w:rsidRPr="009A7E3A">
        <w:rPr>
          <w:rFonts w:eastAsia="Calibri"/>
        </w:rPr>
        <w:tab/>
        <w:t>Międzynarodowa Agencja Energetyczna</w:t>
      </w:r>
    </w:p>
    <w:p w14:paraId="1A89DA44" w14:textId="77777777" w:rsidR="00CD6B92" w:rsidRPr="00C8567B" w:rsidRDefault="00CD6B92" w:rsidP="008B4CC0">
      <w:pPr>
        <w:tabs>
          <w:tab w:val="left" w:pos="1418"/>
          <w:tab w:val="left" w:pos="1560"/>
        </w:tabs>
        <w:spacing w:before="40" w:after="40" w:line="240" w:lineRule="auto"/>
        <w:ind w:left="1843" w:hanging="1843"/>
        <w:rPr>
          <w:rFonts w:eastAsia="Calibri"/>
        </w:rPr>
      </w:pPr>
      <w:r w:rsidRPr="00C8567B">
        <w:rPr>
          <w:rFonts w:eastAsia="Calibri"/>
          <w:b/>
        </w:rPr>
        <w:t>MAED</w:t>
      </w:r>
      <w:r w:rsidRPr="00C8567B">
        <w:rPr>
          <w:rFonts w:eastAsia="Calibri"/>
          <w:b/>
        </w:rPr>
        <w:tab/>
      </w:r>
      <w:r w:rsidRPr="009A7E3A">
        <w:rPr>
          <w:rFonts w:eastAsia="Calibri"/>
        </w:rPr>
        <w:t>–</w:t>
      </w:r>
      <w:r w:rsidRPr="00C8567B">
        <w:rPr>
          <w:rFonts w:eastAsia="Calibri"/>
          <w:b/>
        </w:rPr>
        <w:t xml:space="preserve"> </w:t>
      </w:r>
      <w:r w:rsidRPr="00C8567B">
        <w:rPr>
          <w:rFonts w:eastAsia="Calibri"/>
          <w:b/>
        </w:rPr>
        <w:tab/>
      </w:r>
      <w:r w:rsidRPr="000077C3">
        <w:rPr>
          <w:rFonts w:eastAsia="Calibri"/>
          <w:bCs/>
        </w:rPr>
        <w:t xml:space="preserve">ang. </w:t>
      </w:r>
      <w:r w:rsidRPr="000077C3">
        <w:rPr>
          <w:rFonts w:eastAsia="Calibri"/>
          <w:bCs/>
          <w:i/>
          <w:iCs/>
        </w:rPr>
        <w:t>Model for Analysis of Energy Demand</w:t>
      </w:r>
      <w:r w:rsidRPr="00C8567B">
        <w:rPr>
          <w:rFonts w:eastAsia="Calibri"/>
        </w:rPr>
        <w:t xml:space="preserve"> – model do analizy zapotrzebowania na energię</w:t>
      </w:r>
    </w:p>
    <w:p w14:paraId="35872C35" w14:textId="77777777" w:rsidR="00CD6B92" w:rsidRPr="00193347" w:rsidRDefault="00CD6B92" w:rsidP="008B4CC0">
      <w:pPr>
        <w:tabs>
          <w:tab w:val="left" w:pos="1418"/>
          <w:tab w:val="left" w:pos="1843"/>
        </w:tabs>
        <w:spacing w:before="40" w:after="40" w:line="240" w:lineRule="auto"/>
      </w:pPr>
      <w:r w:rsidRPr="00193347">
        <w:rPr>
          <w:b/>
        </w:rPr>
        <w:t>ME</w:t>
      </w:r>
      <w:r w:rsidRPr="00193347">
        <w:rPr>
          <w:b/>
        </w:rPr>
        <w:tab/>
      </w:r>
      <w:r w:rsidRPr="00193347">
        <w:t>–</w:t>
      </w:r>
      <w:r w:rsidRPr="00193347">
        <w:tab/>
        <w:t>minister właściwy ds. energii</w:t>
      </w:r>
    </w:p>
    <w:p w14:paraId="1DB7CE5D" w14:textId="77777777" w:rsidR="00CD6B92" w:rsidRPr="00193347" w:rsidRDefault="00CD6B92" w:rsidP="008B4CC0">
      <w:pPr>
        <w:tabs>
          <w:tab w:val="left" w:pos="1418"/>
          <w:tab w:val="left" w:pos="1843"/>
        </w:tabs>
        <w:spacing w:before="40" w:after="40" w:line="240" w:lineRule="auto"/>
        <w:ind w:left="1843" w:hanging="1843"/>
      </w:pPr>
      <w:r w:rsidRPr="00193347">
        <w:rPr>
          <w:b/>
        </w:rPr>
        <w:t>MESSAGE</w:t>
      </w:r>
      <w:r w:rsidRPr="00193347">
        <w:rPr>
          <w:b/>
        </w:rPr>
        <w:tab/>
      </w:r>
      <w:r w:rsidRPr="00193347">
        <w:t>–</w:t>
      </w:r>
      <w:r w:rsidRPr="00193347">
        <w:tab/>
        <w:t xml:space="preserve">ang. </w:t>
      </w:r>
      <w:r w:rsidRPr="00193347">
        <w:rPr>
          <w:i/>
        </w:rPr>
        <w:t xml:space="preserve">Model for Energy Supply Strategy Alternatives and their General Environmental Impacts – </w:t>
      </w:r>
      <w:r w:rsidRPr="00193347">
        <w:t>model alternatywnych strategii zaopatrzenia w energię i ich ogólne oddziaływanie na środowisko</w:t>
      </w:r>
    </w:p>
    <w:p w14:paraId="2F7488D9" w14:textId="77777777" w:rsidR="00CD6B92" w:rsidRDefault="00CD6B92" w:rsidP="008B4CC0">
      <w:pPr>
        <w:tabs>
          <w:tab w:val="left" w:pos="1418"/>
          <w:tab w:val="left" w:pos="1843"/>
        </w:tabs>
        <w:spacing w:before="40" w:after="40" w:line="240" w:lineRule="auto"/>
        <w:rPr>
          <w:rFonts w:eastAsia="Calibri"/>
        </w:rPr>
      </w:pPr>
      <w:r w:rsidRPr="00692609">
        <w:rPr>
          <w:rFonts w:eastAsia="Calibri"/>
          <w:b/>
        </w:rPr>
        <w:t>ME</w:t>
      </w:r>
      <w:r>
        <w:rPr>
          <w:rFonts w:eastAsia="Calibri"/>
          <w:b/>
        </w:rPr>
        <w:t>W</w:t>
      </w:r>
      <w:r w:rsidRPr="00692609">
        <w:rPr>
          <w:rFonts w:eastAsia="Calibri"/>
          <w:b/>
        </w:rPr>
        <w:tab/>
      </w:r>
      <w:r w:rsidRPr="00692609">
        <w:rPr>
          <w:rFonts w:eastAsia="Calibri"/>
        </w:rPr>
        <w:t>–</w:t>
      </w:r>
      <w:r w:rsidRPr="00692609">
        <w:rPr>
          <w:rFonts w:eastAsia="Calibri"/>
        </w:rPr>
        <w:tab/>
      </w:r>
      <w:r>
        <w:rPr>
          <w:rFonts w:eastAsia="Calibri"/>
        </w:rPr>
        <w:t>małe elektrownie wodne o mocy do 5 MW</w:t>
      </w:r>
    </w:p>
    <w:p w14:paraId="24B2B61D" w14:textId="77777777" w:rsidR="00CD6B92" w:rsidRDefault="00CD6B92" w:rsidP="008B4CC0">
      <w:pPr>
        <w:tabs>
          <w:tab w:val="left" w:pos="1418"/>
          <w:tab w:val="left" w:pos="1843"/>
        </w:tabs>
        <w:spacing w:before="40" w:after="40" w:line="240" w:lineRule="auto"/>
        <w:rPr>
          <w:rFonts w:eastAsia="Calibri"/>
        </w:rPr>
      </w:pPr>
      <w:r>
        <w:rPr>
          <w:rFonts w:eastAsia="Calibri"/>
          <w:b/>
        </w:rPr>
        <w:t>MF</w:t>
      </w:r>
      <w:r w:rsidRPr="002C4BD1">
        <w:rPr>
          <w:rFonts w:eastAsia="Calibri"/>
          <w:b/>
        </w:rPr>
        <w:tab/>
      </w:r>
      <w:r w:rsidRPr="002C4BD1">
        <w:rPr>
          <w:rFonts w:eastAsia="Calibri"/>
        </w:rPr>
        <w:t>–</w:t>
      </w:r>
      <w:r w:rsidRPr="002C4BD1">
        <w:rPr>
          <w:rFonts w:eastAsia="Calibri"/>
        </w:rPr>
        <w:tab/>
      </w:r>
      <w:r>
        <w:rPr>
          <w:rFonts w:eastAsia="Calibri"/>
        </w:rPr>
        <w:t>m</w:t>
      </w:r>
      <w:r w:rsidRPr="002C4BD1">
        <w:rPr>
          <w:rFonts w:eastAsia="Calibri"/>
        </w:rPr>
        <w:t xml:space="preserve">inister </w:t>
      </w:r>
      <w:r>
        <w:rPr>
          <w:rFonts w:eastAsia="Calibri"/>
        </w:rPr>
        <w:t>właściwy ds. finansów publicznych</w:t>
      </w:r>
    </w:p>
    <w:p w14:paraId="770142BC" w14:textId="77777777" w:rsidR="00CD6B92" w:rsidRPr="002C4BD1" w:rsidRDefault="00CD6B92" w:rsidP="008B4CC0">
      <w:pPr>
        <w:tabs>
          <w:tab w:val="left" w:pos="1418"/>
          <w:tab w:val="left" w:pos="1843"/>
        </w:tabs>
        <w:spacing w:before="40" w:after="40" w:line="240" w:lineRule="auto"/>
        <w:rPr>
          <w:rFonts w:eastAsia="Calibri"/>
        </w:rPr>
      </w:pPr>
      <w:r>
        <w:rPr>
          <w:rFonts w:eastAsia="Calibri"/>
          <w:b/>
        </w:rPr>
        <w:t>MSR</w:t>
      </w:r>
      <w:r w:rsidRPr="002C4BD1">
        <w:rPr>
          <w:rFonts w:eastAsia="Calibri"/>
          <w:b/>
        </w:rPr>
        <w:tab/>
      </w:r>
      <w:r w:rsidRPr="002C4BD1">
        <w:rPr>
          <w:rFonts w:eastAsia="Calibri"/>
        </w:rPr>
        <w:t>–</w:t>
      </w:r>
      <w:r w:rsidRPr="002C4BD1">
        <w:rPr>
          <w:rFonts w:eastAsia="Calibri"/>
        </w:rPr>
        <w:tab/>
      </w:r>
      <w:r w:rsidRPr="007A747C">
        <w:rPr>
          <w:rFonts w:eastAsia="Calibri"/>
          <w:iCs/>
        </w:rPr>
        <w:t>ang.</w:t>
      </w:r>
      <w:r w:rsidRPr="009164E4">
        <w:rPr>
          <w:rFonts w:eastAsia="Calibri"/>
          <w:i/>
        </w:rPr>
        <w:t xml:space="preserve"> Market Stability Reserve</w:t>
      </w:r>
      <w:r>
        <w:rPr>
          <w:rFonts w:eastAsia="Calibri"/>
        </w:rPr>
        <w:t xml:space="preserve"> - Mechanizm Rezerwy Stabilizacyjnej</w:t>
      </w:r>
    </w:p>
    <w:p w14:paraId="066A1C17" w14:textId="77777777" w:rsidR="00CD6B92" w:rsidRPr="003034DF" w:rsidRDefault="00CD6B92" w:rsidP="008B4CC0">
      <w:pPr>
        <w:tabs>
          <w:tab w:val="left" w:pos="1418"/>
          <w:tab w:val="left" w:pos="1843"/>
        </w:tabs>
        <w:spacing w:before="40" w:after="40" w:line="240" w:lineRule="auto"/>
        <w:ind w:left="1843" w:hanging="1843"/>
        <w:rPr>
          <w:rFonts w:eastAsia="Calibri"/>
        </w:rPr>
      </w:pPr>
      <w:r>
        <w:rPr>
          <w:rFonts w:eastAsia="Calibri"/>
          <w:b/>
        </w:rPr>
        <w:t>n</w:t>
      </w:r>
      <w:r w:rsidRPr="003034DF">
        <w:rPr>
          <w:rFonts w:eastAsia="Calibri"/>
          <w:b/>
        </w:rPr>
        <w:t>JWCD</w:t>
      </w:r>
      <w:r w:rsidRPr="003034DF">
        <w:rPr>
          <w:rFonts w:eastAsia="Calibri"/>
          <w:b/>
        </w:rPr>
        <w:tab/>
      </w:r>
      <w:r w:rsidRPr="00CB1EB7">
        <w:rPr>
          <w:rFonts w:eastAsia="Calibri"/>
        </w:rPr>
        <w:t>–</w:t>
      </w:r>
      <w:r w:rsidRPr="003034DF">
        <w:rPr>
          <w:rFonts w:eastAsia="Calibri"/>
          <w:b/>
        </w:rPr>
        <w:tab/>
      </w:r>
      <w:r>
        <w:rPr>
          <w:rFonts w:eastAsia="Calibri"/>
        </w:rPr>
        <w:t>jednostki wytwórcze niebędące jednostkami wytwórczymi c</w:t>
      </w:r>
      <w:r w:rsidRPr="00201771">
        <w:rPr>
          <w:rFonts w:eastAsia="Calibri"/>
        </w:rPr>
        <w:t xml:space="preserve">entralnie </w:t>
      </w:r>
      <w:r>
        <w:rPr>
          <w:rFonts w:eastAsia="Calibri"/>
        </w:rPr>
        <w:t>d</w:t>
      </w:r>
      <w:r w:rsidRPr="00201771">
        <w:rPr>
          <w:rFonts w:eastAsia="Calibri"/>
        </w:rPr>
        <w:t>ysponowanymi</w:t>
      </w:r>
    </w:p>
    <w:p w14:paraId="2FC44026" w14:textId="77777777" w:rsidR="00CD6B92" w:rsidRDefault="00CD6B92" w:rsidP="008B4CC0">
      <w:pPr>
        <w:tabs>
          <w:tab w:val="left" w:pos="1418"/>
          <w:tab w:val="left" w:pos="1843"/>
        </w:tabs>
        <w:spacing w:before="40" w:after="40" w:line="240" w:lineRule="auto"/>
        <w:rPr>
          <w:rFonts w:eastAsia="Calibri"/>
        </w:rPr>
      </w:pPr>
      <w:r>
        <w:rPr>
          <w:rFonts w:eastAsia="Calibri"/>
          <w:b/>
        </w:rPr>
        <w:t>NBP</w:t>
      </w:r>
      <w:r w:rsidRPr="002C4BD1">
        <w:rPr>
          <w:rFonts w:eastAsia="Calibri"/>
          <w:b/>
        </w:rPr>
        <w:tab/>
      </w:r>
      <w:r w:rsidRPr="002C4BD1">
        <w:rPr>
          <w:rFonts w:eastAsia="Calibri"/>
        </w:rPr>
        <w:t>–</w:t>
      </w:r>
      <w:r w:rsidRPr="002C4BD1">
        <w:rPr>
          <w:rFonts w:eastAsia="Calibri"/>
        </w:rPr>
        <w:tab/>
      </w:r>
      <w:r>
        <w:rPr>
          <w:rFonts w:eastAsia="Calibri"/>
        </w:rPr>
        <w:t>Narodowy Bank Polski</w:t>
      </w:r>
    </w:p>
    <w:p w14:paraId="16DDC893" w14:textId="77777777" w:rsidR="00CD6B92" w:rsidRDefault="00CD6B92" w:rsidP="008B4CC0">
      <w:pPr>
        <w:tabs>
          <w:tab w:val="left" w:pos="1418"/>
          <w:tab w:val="left" w:pos="1843"/>
        </w:tabs>
        <w:spacing w:before="40" w:after="40" w:line="240" w:lineRule="auto"/>
        <w:ind w:left="1843" w:hanging="1843"/>
        <w:rPr>
          <w:rFonts w:eastAsia="Calibri"/>
        </w:rPr>
      </w:pPr>
      <w:r w:rsidRPr="0031400A">
        <w:rPr>
          <w:rFonts w:eastAsia="Calibri"/>
          <w:b/>
        </w:rPr>
        <w:t>NCV</w:t>
      </w:r>
      <w:r w:rsidRPr="0031400A">
        <w:rPr>
          <w:rFonts w:eastAsia="Calibri"/>
          <w:b/>
        </w:rPr>
        <w:tab/>
      </w:r>
      <w:r w:rsidRPr="0031400A">
        <w:rPr>
          <w:rFonts w:eastAsia="Calibri"/>
        </w:rPr>
        <w:t>–</w:t>
      </w:r>
      <w:r w:rsidRPr="0031400A">
        <w:rPr>
          <w:rFonts w:eastAsia="Calibri"/>
        </w:rPr>
        <w:tab/>
      </w:r>
      <w:r w:rsidRPr="007A747C">
        <w:rPr>
          <w:rFonts w:eastAsia="Calibri"/>
          <w:iCs/>
        </w:rPr>
        <w:t>ang.</w:t>
      </w:r>
      <w:r w:rsidRPr="0031400A">
        <w:rPr>
          <w:rFonts w:eastAsia="Calibri"/>
          <w:i/>
        </w:rPr>
        <w:t xml:space="preserve"> </w:t>
      </w:r>
      <w:r>
        <w:rPr>
          <w:rFonts w:eastAsia="Calibri"/>
          <w:i/>
        </w:rPr>
        <w:t>n</w:t>
      </w:r>
      <w:r w:rsidRPr="002C04E5">
        <w:rPr>
          <w:rFonts w:eastAsia="Calibri"/>
          <w:i/>
        </w:rPr>
        <w:t>et calorific value</w:t>
      </w:r>
      <w:r w:rsidRPr="002C04E5">
        <w:rPr>
          <w:rFonts w:eastAsia="Calibri"/>
        </w:rPr>
        <w:t xml:space="preserve"> - </w:t>
      </w:r>
      <w:r>
        <w:rPr>
          <w:rFonts w:eastAsia="Calibri"/>
        </w:rPr>
        <w:t>w</w:t>
      </w:r>
      <w:r w:rsidRPr="002C04E5">
        <w:rPr>
          <w:rFonts w:eastAsia="Calibri"/>
        </w:rPr>
        <w:t xml:space="preserve">artość opałowa paliwa </w:t>
      </w:r>
    </w:p>
    <w:p w14:paraId="55646FEA" w14:textId="77777777" w:rsidR="00CD6B92" w:rsidRDefault="00CD6B92" w:rsidP="008B4CC0">
      <w:pPr>
        <w:tabs>
          <w:tab w:val="left" w:pos="1418"/>
          <w:tab w:val="left" w:pos="1843"/>
        </w:tabs>
        <w:spacing w:before="40" w:after="40" w:line="240" w:lineRule="auto"/>
        <w:ind w:left="1843" w:hanging="1843"/>
        <w:rPr>
          <w:rFonts w:eastAsia="Calibri"/>
        </w:rPr>
      </w:pPr>
      <w:r>
        <w:rPr>
          <w:rFonts w:eastAsia="Calibri"/>
          <w:b/>
        </w:rPr>
        <w:t>NEC</w:t>
      </w:r>
      <w:r w:rsidRPr="0031400A">
        <w:rPr>
          <w:rFonts w:eastAsia="Calibri"/>
          <w:b/>
        </w:rPr>
        <w:tab/>
      </w:r>
      <w:r w:rsidRPr="0031400A">
        <w:rPr>
          <w:rFonts w:eastAsia="Calibri"/>
        </w:rPr>
        <w:t>–</w:t>
      </w:r>
      <w:r w:rsidRPr="0031400A">
        <w:rPr>
          <w:rFonts w:eastAsia="Calibri"/>
        </w:rPr>
        <w:tab/>
      </w:r>
      <w:r w:rsidRPr="007A747C">
        <w:rPr>
          <w:rFonts w:eastAsia="Calibri"/>
          <w:iCs/>
        </w:rPr>
        <w:t>ang.</w:t>
      </w:r>
      <w:r w:rsidRPr="0031400A">
        <w:rPr>
          <w:rFonts w:eastAsia="Calibri"/>
          <w:i/>
        </w:rPr>
        <w:t xml:space="preserve"> </w:t>
      </w:r>
      <w:r>
        <w:rPr>
          <w:rFonts w:eastAsia="Calibri"/>
          <w:i/>
        </w:rPr>
        <w:t>National Emission Ceilings</w:t>
      </w:r>
      <w:r w:rsidRPr="002C04E5">
        <w:rPr>
          <w:rFonts w:eastAsia="Calibri"/>
        </w:rPr>
        <w:t xml:space="preserve"> </w:t>
      </w:r>
      <w:r>
        <w:rPr>
          <w:rFonts w:eastAsia="Calibri"/>
        </w:rPr>
        <w:t>–</w:t>
      </w:r>
      <w:r w:rsidRPr="002C04E5">
        <w:rPr>
          <w:rFonts w:eastAsia="Calibri"/>
        </w:rPr>
        <w:t xml:space="preserve"> </w:t>
      </w:r>
      <w:r>
        <w:rPr>
          <w:rFonts w:eastAsia="Calibri"/>
        </w:rPr>
        <w:t>dyr</w:t>
      </w:r>
      <w:r w:rsidRPr="004671F8">
        <w:rPr>
          <w:rFonts w:eastAsia="Calibri"/>
        </w:rPr>
        <w:t xml:space="preserve">ektywa </w:t>
      </w:r>
      <w:r>
        <w:rPr>
          <w:rFonts w:eastAsia="Calibri"/>
        </w:rPr>
        <w:t>2016/2284 w </w:t>
      </w:r>
      <w:r w:rsidRPr="004671F8">
        <w:rPr>
          <w:rFonts w:eastAsia="Calibri"/>
        </w:rPr>
        <w:t>sprawie redukcji krajowych emisji niektórych rodzajów zanieczyszczeń atmosferycznych, zmiany dyrektywy 2003/35/WE oraz uchylenia dyrektywy 2001/81/WE</w:t>
      </w:r>
    </w:p>
    <w:p w14:paraId="09264CE9" w14:textId="1E0285CE" w:rsidR="00CD6B92" w:rsidRPr="008501EF" w:rsidRDefault="00CD6B92" w:rsidP="008B4CC0">
      <w:pPr>
        <w:tabs>
          <w:tab w:val="left" w:pos="1418"/>
          <w:tab w:val="left" w:pos="1843"/>
        </w:tabs>
        <w:spacing w:before="40" w:after="40" w:line="240" w:lineRule="auto"/>
        <w:ind w:left="1843" w:hanging="1843"/>
        <w:rPr>
          <w:rFonts w:eastAsia="Calibri"/>
          <w:lang w:val="en-US"/>
        </w:rPr>
      </w:pPr>
      <w:r>
        <w:rPr>
          <w:rFonts w:eastAsia="Calibri"/>
          <w:b/>
        </w:rPr>
        <w:t>NFR</w:t>
      </w:r>
      <w:r>
        <w:rPr>
          <w:rFonts w:eastAsia="Calibri"/>
          <w:b/>
        </w:rPr>
        <w:tab/>
      </w:r>
      <w:r w:rsidRPr="0031400A">
        <w:rPr>
          <w:rFonts w:eastAsia="Calibri"/>
        </w:rPr>
        <w:t>–</w:t>
      </w:r>
      <w:r w:rsidRPr="0031400A">
        <w:rPr>
          <w:rFonts w:eastAsia="Calibri"/>
        </w:rPr>
        <w:tab/>
      </w:r>
      <w:r w:rsidRPr="007A747C">
        <w:rPr>
          <w:rFonts w:eastAsia="Calibri"/>
          <w:iCs/>
        </w:rPr>
        <w:t>ang.</w:t>
      </w:r>
      <w:r w:rsidRPr="0031400A">
        <w:rPr>
          <w:rFonts w:eastAsia="Calibri"/>
          <w:i/>
        </w:rPr>
        <w:t xml:space="preserve"> </w:t>
      </w:r>
      <w:r w:rsidRPr="007E381B">
        <w:rPr>
          <w:rFonts w:eastAsia="Calibri"/>
          <w:i/>
        </w:rPr>
        <w:t>Nomenclature for Reporting</w:t>
      </w:r>
      <w:r>
        <w:rPr>
          <w:rFonts w:eastAsia="Calibri"/>
          <w:i/>
        </w:rPr>
        <w:t xml:space="preserve"> –</w:t>
      </w:r>
      <w:r w:rsidRPr="007E381B">
        <w:rPr>
          <w:rFonts w:eastAsia="Calibri"/>
          <w:i/>
        </w:rPr>
        <w:t xml:space="preserve"> </w:t>
      </w:r>
      <w:r w:rsidRPr="00B4184F">
        <w:rPr>
          <w:rFonts w:eastAsia="Calibri"/>
        </w:rPr>
        <w:t>format podziału źródeł emisji na kategorie stosowany w ramach konwencji</w:t>
      </w:r>
      <w:r w:rsidR="00946947" w:rsidRPr="00946947">
        <w:rPr>
          <w:rFonts w:eastAsia="Calibri"/>
        </w:rPr>
        <w:t xml:space="preserve"> w sprawie transgranicznego zanieczyszczenia powietrza na dalekie odległości</w:t>
      </w:r>
      <w:r w:rsidRPr="00B4184F">
        <w:rPr>
          <w:rFonts w:eastAsia="Calibri"/>
        </w:rPr>
        <w:t xml:space="preserve"> CLRTAP</w:t>
      </w:r>
      <w:r w:rsidR="00AF054D">
        <w:rPr>
          <w:rFonts w:eastAsia="Calibri"/>
        </w:rPr>
        <w:t xml:space="preserve"> (ang. </w:t>
      </w:r>
      <w:r w:rsidR="00AF054D" w:rsidRPr="008501EF">
        <w:rPr>
          <w:rFonts w:eastAsia="Calibri"/>
          <w:lang w:val="en-US"/>
        </w:rPr>
        <w:t>Convention on Long-range Transboundary Air Pollution)</w:t>
      </w:r>
    </w:p>
    <w:p w14:paraId="62F4D83B" w14:textId="7C386CB2" w:rsidR="00FE4C13" w:rsidRPr="0099366A" w:rsidRDefault="00FE4C13" w:rsidP="008B4CC0">
      <w:pPr>
        <w:tabs>
          <w:tab w:val="left" w:pos="1418"/>
          <w:tab w:val="left" w:pos="1843"/>
        </w:tabs>
        <w:spacing w:before="40" w:after="40" w:line="240" w:lineRule="auto"/>
        <w:ind w:left="1843" w:hanging="1843"/>
        <w:rPr>
          <w:rFonts w:eastAsia="Calibri"/>
          <w:iCs/>
        </w:rPr>
      </w:pPr>
      <w:r w:rsidRPr="0099366A">
        <w:rPr>
          <w:rFonts w:eastAsia="Calibri"/>
          <w:b/>
        </w:rPr>
        <w:t xml:space="preserve">NMLZO </w:t>
      </w:r>
      <w:r w:rsidR="00AE40E5" w:rsidRPr="0099366A">
        <w:rPr>
          <w:rFonts w:eastAsia="Calibri"/>
          <w:b/>
        </w:rPr>
        <w:tab/>
      </w:r>
      <w:r w:rsidRPr="0099366A">
        <w:rPr>
          <w:rFonts w:eastAsia="Calibri"/>
        </w:rPr>
        <w:t>–</w:t>
      </w:r>
      <w:r w:rsidRPr="0099366A">
        <w:rPr>
          <w:rFonts w:eastAsia="Calibri"/>
        </w:rPr>
        <w:tab/>
      </w:r>
      <w:r w:rsidRPr="0099366A">
        <w:rPr>
          <w:rFonts w:eastAsia="Calibri"/>
          <w:iCs/>
        </w:rPr>
        <w:t>niemetanowe lotne związki organiczne</w:t>
      </w:r>
    </w:p>
    <w:p w14:paraId="43BC647B" w14:textId="7778F1CB" w:rsidR="00815664" w:rsidRDefault="00815664" w:rsidP="008B4CC0">
      <w:pPr>
        <w:tabs>
          <w:tab w:val="left" w:pos="1418"/>
          <w:tab w:val="left" w:pos="1843"/>
        </w:tabs>
        <w:spacing w:before="40" w:after="40" w:line="240" w:lineRule="auto"/>
        <w:rPr>
          <w:rFonts w:eastAsia="Calibri"/>
          <w:b/>
        </w:rPr>
      </w:pPr>
      <w:r w:rsidRPr="00815664">
        <w:rPr>
          <w:rFonts w:eastAsia="Calibri"/>
          <w:b/>
        </w:rPr>
        <w:t>NREL</w:t>
      </w:r>
      <w:r>
        <w:rPr>
          <w:rFonts w:eastAsia="Calibri"/>
          <w:b/>
        </w:rPr>
        <w:tab/>
      </w:r>
      <w:r w:rsidRPr="003034DF">
        <w:rPr>
          <w:rFonts w:eastAsia="Calibri"/>
        </w:rPr>
        <w:t>–</w:t>
      </w:r>
      <w:r w:rsidR="009B14B5">
        <w:rPr>
          <w:rFonts w:eastAsia="Calibri"/>
        </w:rPr>
        <w:tab/>
      </w:r>
      <w:r w:rsidR="009B14B5" w:rsidRPr="009B14B5">
        <w:rPr>
          <w:rFonts w:eastAsia="Calibri"/>
        </w:rPr>
        <w:t>National Renewable Energy Laboratory</w:t>
      </w:r>
    </w:p>
    <w:p w14:paraId="1D614583" w14:textId="4C7BC835" w:rsidR="00CD6B92" w:rsidRPr="003034DF" w:rsidRDefault="00CD6B92" w:rsidP="008B4CC0">
      <w:pPr>
        <w:tabs>
          <w:tab w:val="left" w:pos="1418"/>
          <w:tab w:val="left" w:pos="1843"/>
        </w:tabs>
        <w:spacing w:before="40" w:after="40" w:line="240" w:lineRule="auto"/>
        <w:rPr>
          <w:rFonts w:eastAsia="Calibri"/>
        </w:rPr>
      </w:pPr>
      <w:r w:rsidRPr="003034DF">
        <w:rPr>
          <w:rFonts w:eastAsia="Calibri"/>
          <w:b/>
        </w:rPr>
        <w:t>O</w:t>
      </w:r>
      <w:r>
        <w:rPr>
          <w:rFonts w:eastAsia="Calibri"/>
          <w:b/>
        </w:rPr>
        <w:t>OL</w:t>
      </w:r>
      <w:r w:rsidRPr="003034DF">
        <w:rPr>
          <w:rFonts w:eastAsia="Calibri"/>
          <w:b/>
        </w:rPr>
        <w:tab/>
      </w:r>
      <w:r w:rsidRPr="003034DF">
        <w:rPr>
          <w:rFonts w:eastAsia="Calibri"/>
        </w:rPr>
        <w:t>–</w:t>
      </w:r>
      <w:r w:rsidRPr="003034DF">
        <w:rPr>
          <w:rFonts w:eastAsia="Calibri"/>
        </w:rPr>
        <w:tab/>
      </w:r>
      <w:r>
        <w:rPr>
          <w:rFonts w:eastAsia="Calibri"/>
        </w:rPr>
        <w:t>olej opałowy lekki</w:t>
      </w:r>
    </w:p>
    <w:p w14:paraId="460DE112" w14:textId="244C0F71" w:rsidR="007A747C" w:rsidRPr="007A747C" w:rsidRDefault="007A747C" w:rsidP="007A747C">
      <w:pPr>
        <w:tabs>
          <w:tab w:val="left" w:pos="1418"/>
          <w:tab w:val="left" w:pos="1843"/>
        </w:tabs>
        <w:spacing w:before="40" w:after="40" w:line="240" w:lineRule="auto"/>
        <w:ind w:left="1843" w:hanging="1843"/>
        <w:rPr>
          <w:rFonts w:eastAsia="Calibri"/>
          <w:b/>
        </w:rPr>
      </w:pPr>
      <w:r w:rsidRPr="007A747C">
        <w:rPr>
          <w:rFonts w:eastAsia="Calibri"/>
          <w:b/>
        </w:rPr>
        <w:t>OPEX</w:t>
      </w:r>
      <w:r w:rsidRPr="007A747C">
        <w:rPr>
          <w:rFonts w:eastAsia="Calibri"/>
          <w:b/>
        </w:rPr>
        <w:tab/>
      </w:r>
      <w:r w:rsidRPr="007A747C">
        <w:rPr>
          <w:rFonts w:eastAsia="Calibri"/>
          <w:bCs/>
        </w:rPr>
        <w:t>–</w:t>
      </w:r>
      <w:r w:rsidRPr="007A747C">
        <w:rPr>
          <w:rFonts w:eastAsia="Calibri"/>
          <w:bCs/>
        </w:rPr>
        <w:tab/>
        <w:t xml:space="preserve">ang. </w:t>
      </w:r>
      <w:r w:rsidRPr="007A747C">
        <w:rPr>
          <w:rFonts w:eastAsia="Calibri"/>
          <w:bCs/>
          <w:i/>
          <w:iCs/>
        </w:rPr>
        <w:t>operating expenditures</w:t>
      </w:r>
      <w:r>
        <w:rPr>
          <w:rFonts w:eastAsia="Calibri"/>
          <w:bCs/>
        </w:rPr>
        <w:t xml:space="preserve"> -</w:t>
      </w:r>
      <w:r w:rsidRPr="007A747C">
        <w:rPr>
          <w:rFonts w:eastAsia="Calibri"/>
          <w:bCs/>
        </w:rPr>
        <w:t xml:space="preserve"> wydatki operacyjne</w:t>
      </w:r>
    </w:p>
    <w:p w14:paraId="37B47547" w14:textId="5CF53562" w:rsidR="00CD6B92" w:rsidRPr="003034DF" w:rsidRDefault="00CD6B92" w:rsidP="008B4CC0">
      <w:pPr>
        <w:tabs>
          <w:tab w:val="left" w:pos="1418"/>
          <w:tab w:val="left" w:pos="1843"/>
        </w:tabs>
        <w:spacing w:before="40" w:after="40" w:line="240" w:lineRule="auto"/>
        <w:rPr>
          <w:rFonts w:eastAsia="Calibri"/>
        </w:rPr>
      </w:pPr>
      <w:r w:rsidRPr="003034DF">
        <w:rPr>
          <w:rFonts w:eastAsia="Calibri"/>
          <w:b/>
        </w:rPr>
        <w:t>OSP</w:t>
      </w:r>
      <w:r w:rsidRPr="003034DF">
        <w:rPr>
          <w:rFonts w:eastAsia="Calibri"/>
          <w:b/>
        </w:rPr>
        <w:tab/>
      </w:r>
      <w:r w:rsidRPr="003034DF">
        <w:rPr>
          <w:rFonts w:eastAsia="Calibri"/>
        </w:rPr>
        <w:t>–</w:t>
      </w:r>
      <w:r w:rsidRPr="003034DF">
        <w:rPr>
          <w:rFonts w:eastAsia="Calibri"/>
        </w:rPr>
        <w:tab/>
      </w:r>
      <w:r>
        <w:rPr>
          <w:rFonts w:eastAsia="Calibri"/>
        </w:rPr>
        <w:t>o</w:t>
      </w:r>
      <w:r w:rsidRPr="003034DF">
        <w:rPr>
          <w:rFonts w:eastAsia="Calibri"/>
        </w:rPr>
        <w:t xml:space="preserve">perator </w:t>
      </w:r>
      <w:r>
        <w:rPr>
          <w:rFonts w:eastAsia="Calibri"/>
        </w:rPr>
        <w:t>s</w:t>
      </w:r>
      <w:r w:rsidRPr="003034DF">
        <w:rPr>
          <w:rFonts w:eastAsia="Calibri"/>
        </w:rPr>
        <w:t xml:space="preserve">ystemu </w:t>
      </w:r>
      <w:r>
        <w:rPr>
          <w:rFonts w:eastAsia="Calibri"/>
        </w:rPr>
        <w:t>p</w:t>
      </w:r>
      <w:r w:rsidRPr="003034DF">
        <w:rPr>
          <w:rFonts w:eastAsia="Calibri"/>
        </w:rPr>
        <w:t>rzesyłowego</w:t>
      </w:r>
    </w:p>
    <w:p w14:paraId="2103F199" w14:textId="77777777" w:rsidR="00CD6B92" w:rsidRDefault="00CD6B92" w:rsidP="008B4CC0">
      <w:pPr>
        <w:tabs>
          <w:tab w:val="left" w:pos="1418"/>
          <w:tab w:val="left" w:pos="1843"/>
        </w:tabs>
        <w:spacing w:before="40" w:after="40" w:line="240" w:lineRule="auto"/>
        <w:rPr>
          <w:rFonts w:eastAsia="Calibri"/>
          <w:b/>
        </w:rPr>
      </w:pPr>
      <w:r w:rsidRPr="003034DF">
        <w:rPr>
          <w:rFonts w:eastAsia="Calibri"/>
          <w:b/>
        </w:rPr>
        <w:t>OZE</w:t>
      </w:r>
      <w:r w:rsidRPr="003034DF">
        <w:rPr>
          <w:rFonts w:eastAsia="Calibri"/>
          <w:b/>
        </w:rPr>
        <w:tab/>
      </w:r>
      <w:r w:rsidRPr="003034DF">
        <w:rPr>
          <w:rFonts w:eastAsia="Calibri"/>
        </w:rPr>
        <w:t>–</w:t>
      </w:r>
      <w:r w:rsidRPr="003034DF">
        <w:rPr>
          <w:rFonts w:eastAsia="Calibri"/>
        </w:rPr>
        <w:tab/>
      </w:r>
      <w:r>
        <w:rPr>
          <w:rFonts w:eastAsia="Calibri"/>
        </w:rPr>
        <w:t>o</w:t>
      </w:r>
      <w:r w:rsidRPr="003034DF">
        <w:rPr>
          <w:rFonts w:eastAsia="Calibri"/>
        </w:rPr>
        <w:t xml:space="preserve">dnawialne </w:t>
      </w:r>
      <w:r>
        <w:rPr>
          <w:rFonts w:eastAsia="Calibri"/>
        </w:rPr>
        <w:t>ź</w:t>
      </w:r>
      <w:r w:rsidRPr="003034DF">
        <w:rPr>
          <w:rFonts w:eastAsia="Calibri"/>
        </w:rPr>
        <w:t xml:space="preserve">ródła </w:t>
      </w:r>
      <w:r>
        <w:rPr>
          <w:rFonts w:eastAsia="Calibri"/>
        </w:rPr>
        <w:t>e</w:t>
      </w:r>
      <w:r w:rsidRPr="003034DF">
        <w:rPr>
          <w:rFonts w:eastAsia="Calibri"/>
        </w:rPr>
        <w:t>nergii</w:t>
      </w:r>
      <w:r w:rsidRPr="003034DF">
        <w:rPr>
          <w:rFonts w:eastAsia="Calibri"/>
          <w:b/>
        </w:rPr>
        <w:t xml:space="preserve"> </w:t>
      </w:r>
    </w:p>
    <w:p w14:paraId="2F583507" w14:textId="77777777" w:rsidR="00CD6B92" w:rsidRDefault="00CD6B92" w:rsidP="008B4CC0">
      <w:pPr>
        <w:tabs>
          <w:tab w:val="left" w:pos="1418"/>
          <w:tab w:val="left" w:pos="1843"/>
        </w:tabs>
        <w:spacing w:before="40" w:after="40" w:line="240" w:lineRule="auto"/>
        <w:rPr>
          <w:rFonts w:eastAsia="Calibri"/>
          <w:b/>
        </w:rPr>
      </w:pPr>
      <w:r>
        <w:rPr>
          <w:rFonts w:eastAsia="Calibri"/>
          <w:b/>
        </w:rPr>
        <w:t>PE</w:t>
      </w:r>
      <w:r w:rsidRPr="003034DF">
        <w:rPr>
          <w:rFonts w:eastAsia="Calibri"/>
          <w:b/>
        </w:rPr>
        <w:tab/>
      </w:r>
      <w:r w:rsidRPr="003034DF">
        <w:rPr>
          <w:rFonts w:eastAsia="Calibri"/>
        </w:rPr>
        <w:t>–</w:t>
      </w:r>
      <w:r w:rsidRPr="003034DF">
        <w:rPr>
          <w:rFonts w:eastAsia="Calibri"/>
        </w:rPr>
        <w:tab/>
      </w:r>
      <w:r>
        <w:rPr>
          <w:rFonts w:eastAsia="Calibri"/>
        </w:rPr>
        <w:t>Parlament Europejski</w:t>
      </w:r>
      <w:r w:rsidRPr="003034DF">
        <w:rPr>
          <w:rFonts w:eastAsia="Calibri"/>
          <w:b/>
        </w:rPr>
        <w:t xml:space="preserve"> </w:t>
      </w:r>
    </w:p>
    <w:p w14:paraId="65F71B17" w14:textId="77777777" w:rsidR="00CD6B92" w:rsidRPr="00E663E6" w:rsidRDefault="00CD6B92" w:rsidP="008B4CC0">
      <w:pPr>
        <w:tabs>
          <w:tab w:val="left" w:pos="1418"/>
          <w:tab w:val="left" w:pos="1843"/>
        </w:tabs>
        <w:spacing w:before="40" w:after="40" w:line="240" w:lineRule="auto"/>
      </w:pPr>
      <w:r>
        <w:rPr>
          <w:rFonts w:eastAsia="Calibri"/>
          <w:b/>
        </w:rPr>
        <w:t>PEP</w:t>
      </w:r>
      <w:r w:rsidRPr="003034DF">
        <w:rPr>
          <w:rFonts w:eastAsia="Calibri"/>
          <w:b/>
        </w:rPr>
        <w:tab/>
      </w:r>
      <w:r w:rsidRPr="003034DF">
        <w:rPr>
          <w:rFonts w:eastAsia="Calibri"/>
        </w:rPr>
        <w:t>–</w:t>
      </w:r>
      <w:r w:rsidRPr="003034DF">
        <w:rPr>
          <w:rFonts w:eastAsia="Calibri"/>
        </w:rPr>
        <w:tab/>
      </w:r>
      <w:r>
        <w:rPr>
          <w:rFonts w:eastAsia="Calibri"/>
        </w:rPr>
        <w:t>Polityka energetyczna Polski</w:t>
      </w:r>
    </w:p>
    <w:p w14:paraId="289BC6C6" w14:textId="54F11442" w:rsidR="00442582" w:rsidRDefault="00442582" w:rsidP="008B4CC0">
      <w:pPr>
        <w:tabs>
          <w:tab w:val="left" w:pos="1418"/>
          <w:tab w:val="left" w:pos="1843"/>
        </w:tabs>
        <w:spacing w:before="40" w:after="40" w:line="240" w:lineRule="auto"/>
        <w:rPr>
          <w:rFonts w:eastAsia="Calibri"/>
          <w:b/>
        </w:rPr>
      </w:pPr>
      <w:r w:rsidRPr="00CA75A9">
        <w:rPr>
          <w:rFonts w:eastAsia="Calibri"/>
          <w:b/>
          <w:bCs/>
        </w:rPr>
        <w:t>PGL LP</w:t>
      </w:r>
      <w:r>
        <w:rPr>
          <w:rFonts w:eastAsia="Calibri"/>
          <w:b/>
          <w:bCs/>
        </w:rPr>
        <w:tab/>
      </w:r>
      <w:r w:rsidRPr="00CD4EA6">
        <w:rPr>
          <w:rFonts w:eastAsia="Calibri"/>
        </w:rPr>
        <w:t>–</w:t>
      </w:r>
      <w:r>
        <w:rPr>
          <w:rFonts w:eastAsia="Calibri"/>
        </w:rPr>
        <w:tab/>
      </w:r>
      <w:r w:rsidR="001F4DAB">
        <w:rPr>
          <w:rFonts w:eastAsia="Calibri"/>
        </w:rPr>
        <w:t>Państwowe Gospodarstwo Leśne Lasy Państwowe</w:t>
      </w:r>
    </w:p>
    <w:p w14:paraId="53D7417B" w14:textId="77777777" w:rsidR="00CD6B92" w:rsidRDefault="00CD6B92" w:rsidP="008B4CC0">
      <w:pPr>
        <w:tabs>
          <w:tab w:val="left" w:pos="1418"/>
          <w:tab w:val="left" w:pos="1843"/>
        </w:tabs>
        <w:spacing w:before="40" w:after="40" w:line="240" w:lineRule="auto"/>
        <w:rPr>
          <w:rFonts w:eastAsia="Calibri"/>
        </w:rPr>
      </w:pPr>
      <w:r w:rsidRPr="003034DF">
        <w:rPr>
          <w:rFonts w:eastAsia="Calibri"/>
          <w:b/>
        </w:rPr>
        <w:t>PIG</w:t>
      </w:r>
      <w:r w:rsidRPr="003034DF">
        <w:rPr>
          <w:rFonts w:eastAsia="Calibri"/>
          <w:b/>
        </w:rPr>
        <w:tab/>
      </w:r>
      <w:r w:rsidRPr="00CD4EA6">
        <w:rPr>
          <w:rFonts w:eastAsia="Calibri"/>
        </w:rPr>
        <w:t>–</w:t>
      </w:r>
      <w:r w:rsidRPr="003034DF">
        <w:rPr>
          <w:rFonts w:eastAsia="Calibri"/>
          <w:b/>
        </w:rPr>
        <w:tab/>
      </w:r>
      <w:r w:rsidRPr="003034DF">
        <w:rPr>
          <w:rFonts w:eastAsia="Calibri"/>
        </w:rPr>
        <w:t>Państwowy Instytut Górniczy</w:t>
      </w:r>
      <w:r>
        <w:rPr>
          <w:rFonts w:eastAsia="Calibri"/>
        </w:rPr>
        <w:t xml:space="preserve"> – Państwowy Instytut Badawczy</w:t>
      </w:r>
    </w:p>
    <w:p w14:paraId="03F7FCC1" w14:textId="77777777" w:rsidR="00CD6B92" w:rsidRDefault="00CD6B92" w:rsidP="008B4CC0">
      <w:pPr>
        <w:tabs>
          <w:tab w:val="left" w:pos="1418"/>
          <w:tab w:val="left" w:pos="1843"/>
        </w:tabs>
        <w:spacing w:before="40" w:after="40" w:line="240" w:lineRule="auto"/>
        <w:rPr>
          <w:rFonts w:eastAsia="Calibri"/>
        </w:rPr>
      </w:pPr>
      <w:r>
        <w:rPr>
          <w:rFonts w:eastAsia="Calibri"/>
          <w:b/>
        </w:rPr>
        <w:t>PKB</w:t>
      </w:r>
      <w:r w:rsidRPr="003034DF">
        <w:rPr>
          <w:rFonts w:eastAsia="Calibri"/>
          <w:b/>
        </w:rPr>
        <w:tab/>
      </w:r>
      <w:r w:rsidRPr="00CD4EA6">
        <w:rPr>
          <w:rFonts w:eastAsia="Calibri"/>
        </w:rPr>
        <w:t>–</w:t>
      </w:r>
      <w:r w:rsidRPr="003034DF">
        <w:rPr>
          <w:rFonts w:eastAsia="Calibri"/>
          <w:b/>
        </w:rPr>
        <w:tab/>
      </w:r>
      <w:r w:rsidRPr="003034DF">
        <w:rPr>
          <w:rFonts w:eastAsia="Calibri"/>
        </w:rPr>
        <w:t>P</w:t>
      </w:r>
      <w:r>
        <w:rPr>
          <w:rFonts w:eastAsia="Calibri"/>
        </w:rPr>
        <w:t>rodukt Krajowy Brutto</w:t>
      </w:r>
    </w:p>
    <w:p w14:paraId="5BA82F42" w14:textId="77777777" w:rsidR="00CD6B92" w:rsidRDefault="00CD6B92" w:rsidP="008B4CC0">
      <w:pPr>
        <w:tabs>
          <w:tab w:val="left" w:pos="1418"/>
          <w:tab w:val="left" w:pos="1843"/>
        </w:tabs>
        <w:spacing w:before="40" w:after="40" w:line="240" w:lineRule="auto"/>
        <w:rPr>
          <w:rFonts w:eastAsia="Calibri"/>
        </w:rPr>
      </w:pPr>
      <w:r>
        <w:rPr>
          <w:rFonts w:eastAsia="Calibri"/>
          <w:b/>
        </w:rPr>
        <w:t>PKB/Ma</w:t>
      </w:r>
      <w:r w:rsidRPr="003034DF">
        <w:rPr>
          <w:rFonts w:eastAsia="Calibri"/>
          <w:b/>
        </w:rPr>
        <w:tab/>
      </w:r>
      <w:r w:rsidRPr="00CD4EA6">
        <w:rPr>
          <w:rFonts w:eastAsia="Calibri"/>
        </w:rPr>
        <w:t>–</w:t>
      </w:r>
      <w:r w:rsidRPr="003034DF">
        <w:rPr>
          <w:rFonts w:eastAsia="Calibri"/>
          <w:b/>
        </w:rPr>
        <w:tab/>
      </w:r>
      <w:r>
        <w:rPr>
          <w:rFonts w:eastAsia="Calibri"/>
        </w:rPr>
        <w:t>wskaźnik PKB na mieszkańca</w:t>
      </w:r>
    </w:p>
    <w:p w14:paraId="5E29EB30" w14:textId="77777777" w:rsidR="00CD6B92" w:rsidRPr="006D6BAA" w:rsidRDefault="00CD6B92" w:rsidP="008B4CC0">
      <w:pPr>
        <w:tabs>
          <w:tab w:val="left" w:pos="1418"/>
          <w:tab w:val="left" w:pos="1843"/>
        </w:tabs>
        <w:spacing w:before="40" w:after="40" w:line="240" w:lineRule="auto"/>
        <w:rPr>
          <w:rFonts w:eastAsia="Calibri"/>
        </w:rPr>
      </w:pPr>
      <w:r>
        <w:rPr>
          <w:rFonts w:eastAsia="Calibri"/>
          <w:b/>
        </w:rPr>
        <w:t>p</w:t>
      </w:r>
      <w:r w:rsidRPr="006D6BAA">
        <w:rPr>
          <w:rFonts w:eastAsia="Calibri"/>
          <w:b/>
        </w:rPr>
        <w:t>km</w:t>
      </w:r>
      <w:r w:rsidRPr="006D6BAA">
        <w:rPr>
          <w:rFonts w:eastAsia="Calibri"/>
          <w:b/>
        </w:rPr>
        <w:tab/>
      </w:r>
      <w:r w:rsidRPr="00CD4EA6">
        <w:rPr>
          <w:rFonts w:eastAsia="Calibri"/>
        </w:rPr>
        <w:t>–</w:t>
      </w:r>
      <w:r w:rsidRPr="006D6BAA">
        <w:rPr>
          <w:rFonts w:eastAsia="Calibri"/>
          <w:b/>
        </w:rPr>
        <w:tab/>
      </w:r>
      <w:r w:rsidRPr="006D6BAA">
        <w:rPr>
          <w:rFonts w:eastAsia="Calibri"/>
        </w:rPr>
        <w:t>pasażerokilometry</w:t>
      </w:r>
    </w:p>
    <w:p w14:paraId="09308614" w14:textId="77777777" w:rsidR="00CD6B92" w:rsidRPr="006D6BAA" w:rsidRDefault="00CD6B92" w:rsidP="008B4CC0">
      <w:pPr>
        <w:tabs>
          <w:tab w:val="left" w:pos="1418"/>
          <w:tab w:val="left" w:pos="1843"/>
        </w:tabs>
        <w:spacing w:before="40" w:after="40" w:line="240" w:lineRule="auto"/>
        <w:rPr>
          <w:rFonts w:eastAsia="Calibri"/>
        </w:rPr>
      </w:pPr>
      <w:r w:rsidRPr="006D6BAA">
        <w:rPr>
          <w:rFonts w:eastAsia="Calibri"/>
          <w:b/>
        </w:rPr>
        <w:t>PPEJ</w:t>
      </w:r>
      <w:r w:rsidRPr="006D6BAA">
        <w:rPr>
          <w:rFonts w:eastAsia="Calibri"/>
          <w:b/>
        </w:rPr>
        <w:tab/>
      </w:r>
      <w:r w:rsidRPr="006D6BAA">
        <w:rPr>
          <w:rFonts w:eastAsia="Calibri"/>
        </w:rPr>
        <w:t>–</w:t>
      </w:r>
      <w:r w:rsidRPr="006D6BAA">
        <w:rPr>
          <w:rFonts w:eastAsia="Calibri"/>
        </w:rPr>
        <w:tab/>
      </w:r>
      <w:r>
        <w:rPr>
          <w:rFonts w:eastAsia="Calibri"/>
        </w:rPr>
        <w:t>Program polskiej energetyki jądrowej</w:t>
      </w:r>
    </w:p>
    <w:p w14:paraId="2594677D" w14:textId="77777777" w:rsidR="00CD6B92" w:rsidRDefault="00CD6B92" w:rsidP="008B4CC0">
      <w:pPr>
        <w:tabs>
          <w:tab w:val="left" w:pos="1418"/>
          <w:tab w:val="left" w:pos="1843"/>
        </w:tabs>
        <w:spacing w:before="40" w:after="40" w:line="240" w:lineRule="auto"/>
        <w:rPr>
          <w:i/>
          <w:color w:val="000000" w:themeColor="text1"/>
          <w:lang w:val="en-US"/>
        </w:rPr>
      </w:pPr>
      <w:r w:rsidRPr="000D6C6A">
        <w:rPr>
          <w:b/>
          <w:color w:val="000000" w:themeColor="text1"/>
          <w:lang w:val="en-US"/>
        </w:rPr>
        <w:t>PPP</w:t>
      </w:r>
      <w:r w:rsidRPr="000D6C6A">
        <w:rPr>
          <w:b/>
          <w:color w:val="000000" w:themeColor="text1"/>
          <w:lang w:val="en-US"/>
        </w:rPr>
        <w:tab/>
      </w:r>
      <w:r w:rsidRPr="00CD4EA6">
        <w:rPr>
          <w:color w:val="000000" w:themeColor="text1"/>
          <w:lang w:val="en-US"/>
        </w:rPr>
        <w:t>–</w:t>
      </w:r>
      <w:r w:rsidRPr="000D6C6A">
        <w:rPr>
          <w:b/>
          <w:color w:val="000000" w:themeColor="text1"/>
          <w:lang w:val="en-US"/>
        </w:rPr>
        <w:tab/>
      </w:r>
      <w:r w:rsidRPr="000D6C6A">
        <w:rPr>
          <w:color w:val="000000" w:themeColor="text1"/>
          <w:lang w:val="en-US"/>
        </w:rPr>
        <w:t xml:space="preserve">ang. </w:t>
      </w:r>
      <w:r w:rsidRPr="000D6C6A">
        <w:rPr>
          <w:i/>
          <w:color w:val="000000" w:themeColor="text1"/>
          <w:lang w:val="en-US"/>
        </w:rPr>
        <w:t xml:space="preserve">Purchasing Power Parities </w:t>
      </w:r>
      <w:r w:rsidRPr="000D6C6A">
        <w:rPr>
          <w:color w:val="000000" w:themeColor="text1"/>
          <w:sz w:val="24"/>
          <w:lang w:val="en-US"/>
        </w:rPr>
        <w:t xml:space="preserve">– </w:t>
      </w:r>
      <w:r w:rsidRPr="000D6C6A">
        <w:rPr>
          <w:color w:val="000000" w:themeColor="text1"/>
          <w:lang w:val="en-US"/>
        </w:rPr>
        <w:t>parytet siły nabywczej</w:t>
      </w:r>
      <w:r w:rsidRPr="000D6C6A">
        <w:rPr>
          <w:i/>
          <w:color w:val="000000" w:themeColor="text1"/>
          <w:lang w:val="en-US"/>
        </w:rPr>
        <w:t xml:space="preserve"> </w:t>
      </w:r>
    </w:p>
    <w:p w14:paraId="4952DF0E" w14:textId="77777777" w:rsidR="00CD6B92" w:rsidRDefault="00CD6B92" w:rsidP="008B4CC0">
      <w:pPr>
        <w:tabs>
          <w:tab w:val="left" w:pos="1418"/>
          <w:tab w:val="left" w:pos="1843"/>
        </w:tabs>
        <w:spacing w:before="40" w:after="40" w:line="240" w:lineRule="auto"/>
        <w:rPr>
          <w:rFonts w:eastAsia="Calibri"/>
        </w:rPr>
      </w:pPr>
      <w:r>
        <w:rPr>
          <w:rFonts w:eastAsia="Calibri"/>
          <w:b/>
        </w:rPr>
        <w:t>RE</w:t>
      </w:r>
      <w:r w:rsidRPr="003034DF">
        <w:rPr>
          <w:rFonts w:eastAsia="Calibri"/>
          <w:b/>
        </w:rPr>
        <w:tab/>
      </w:r>
      <w:r w:rsidRPr="003034DF">
        <w:rPr>
          <w:rFonts w:eastAsia="Calibri"/>
        </w:rPr>
        <w:t>–</w:t>
      </w:r>
      <w:r w:rsidRPr="003034DF">
        <w:rPr>
          <w:rFonts w:eastAsia="Calibri"/>
        </w:rPr>
        <w:tab/>
      </w:r>
      <w:r>
        <w:rPr>
          <w:rFonts w:eastAsia="Calibri"/>
        </w:rPr>
        <w:t>Rada Europejska</w:t>
      </w:r>
    </w:p>
    <w:p w14:paraId="0B440237" w14:textId="77777777" w:rsidR="00CD6B92" w:rsidRPr="00E33216" w:rsidRDefault="00CD6B92" w:rsidP="008B4CC0">
      <w:pPr>
        <w:tabs>
          <w:tab w:val="left" w:pos="1418"/>
          <w:tab w:val="left" w:pos="1843"/>
        </w:tabs>
        <w:spacing w:before="40" w:after="40" w:line="240" w:lineRule="auto"/>
      </w:pPr>
      <w:r w:rsidRPr="007D67E3">
        <w:rPr>
          <w:rFonts w:eastAsia="Calibri"/>
          <w:b/>
        </w:rPr>
        <w:t>RES</w:t>
      </w:r>
      <w:r w:rsidRPr="007D67E3">
        <w:rPr>
          <w:rFonts w:eastAsia="Calibri"/>
          <w:b/>
        </w:rPr>
        <w:tab/>
      </w:r>
      <w:r w:rsidRPr="007D67E3">
        <w:rPr>
          <w:rFonts w:eastAsia="Calibri"/>
        </w:rPr>
        <w:t>–</w:t>
      </w:r>
      <w:r w:rsidRPr="007D67E3">
        <w:rPr>
          <w:rFonts w:eastAsia="Calibri"/>
        </w:rPr>
        <w:tab/>
        <w:t xml:space="preserve">ang. </w:t>
      </w:r>
      <w:r w:rsidRPr="00E33216">
        <w:rPr>
          <w:i/>
        </w:rPr>
        <w:t xml:space="preserve">Renewable Energy Sources </w:t>
      </w:r>
      <w:r w:rsidRPr="00E33216">
        <w:rPr>
          <w:rFonts w:eastAsia="Calibri"/>
        </w:rPr>
        <w:t>– energia</w:t>
      </w:r>
      <w:r w:rsidRPr="00E33216">
        <w:t xml:space="preserve"> ze źródeł odnawi</w:t>
      </w:r>
      <w:r>
        <w:t>a</w:t>
      </w:r>
      <w:r w:rsidRPr="00E33216">
        <w:t>lnych</w:t>
      </w:r>
    </w:p>
    <w:p w14:paraId="4B15C18F" w14:textId="77777777" w:rsidR="00CD6B92" w:rsidRDefault="00CD6B92" w:rsidP="008B4CC0">
      <w:pPr>
        <w:tabs>
          <w:tab w:val="left" w:pos="1418"/>
          <w:tab w:val="left" w:pos="1985"/>
        </w:tabs>
        <w:spacing w:before="40" w:after="40" w:line="240" w:lineRule="auto"/>
        <w:ind w:left="1843" w:hanging="1843"/>
        <w:rPr>
          <w:rFonts w:eastAsia="Calibri"/>
        </w:rPr>
      </w:pPr>
      <w:r>
        <w:rPr>
          <w:rFonts w:eastAsia="Calibri"/>
          <w:b/>
        </w:rPr>
        <w:t>RES-OS</w:t>
      </w:r>
      <w:r w:rsidRPr="003034DF">
        <w:rPr>
          <w:rFonts w:eastAsia="Calibri"/>
          <w:b/>
        </w:rPr>
        <w:tab/>
      </w:r>
      <w:r w:rsidRPr="003034DF">
        <w:rPr>
          <w:rFonts w:eastAsia="Calibri"/>
        </w:rPr>
        <w:t>–</w:t>
      </w:r>
      <w:r w:rsidRPr="003034DF">
        <w:rPr>
          <w:rFonts w:eastAsia="Calibri"/>
        </w:rPr>
        <w:tab/>
      </w:r>
      <w:r>
        <w:rPr>
          <w:rFonts w:eastAsia="Calibri"/>
        </w:rPr>
        <w:t>udział energii ze źródeł odnawialnych w końcowym zużyciu energii brutto (denominator wskaźnika w skali kraju – Overall Share)</w:t>
      </w:r>
    </w:p>
    <w:p w14:paraId="1CAF7307" w14:textId="77777777" w:rsidR="00CD6B92" w:rsidRDefault="00CD6B92" w:rsidP="008B4CC0">
      <w:pPr>
        <w:tabs>
          <w:tab w:val="left" w:pos="1418"/>
          <w:tab w:val="left" w:pos="1985"/>
        </w:tabs>
        <w:spacing w:before="40" w:after="40" w:line="240" w:lineRule="auto"/>
        <w:ind w:left="1843" w:hanging="1843"/>
        <w:rPr>
          <w:rFonts w:eastAsia="Calibri"/>
        </w:rPr>
      </w:pPr>
      <w:r>
        <w:rPr>
          <w:rFonts w:eastAsia="Calibri"/>
          <w:b/>
        </w:rPr>
        <w:t>RES-E</w:t>
      </w:r>
      <w:r w:rsidRPr="003034DF">
        <w:rPr>
          <w:rFonts w:eastAsia="Calibri"/>
          <w:b/>
        </w:rPr>
        <w:tab/>
      </w:r>
      <w:r w:rsidRPr="003034DF">
        <w:rPr>
          <w:rFonts w:eastAsia="Calibri"/>
        </w:rPr>
        <w:t>–</w:t>
      </w:r>
      <w:r w:rsidRPr="003034DF">
        <w:rPr>
          <w:rFonts w:eastAsia="Calibri"/>
        </w:rPr>
        <w:tab/>
      </w:r>
      <w:r>
        <w:rPr>
          <w:rFonts w:eastAsia="Calibri"/>
        </w:rPr>
        <w:t>udział energii ze źródeł odnawialnych w końcowym zużyciu energii brutto w obszarze elektroenergetycznym (denominator wskaźnika sektorowego)</w:t>
      </w:r>
    </w:p>
    <w:p w14:paraId="11DC927C" w14:textId="77777777" w:rsidR="00CD6B92" w:rsidRDefault="00CD6B92" w:rsidP="008B4CC0">
      <w:pPr>
        <w:tabs>
          <w:tab w:val="left" w:pos="1418"/>
          <w:tab w:val="left" w:pos="1985"/>
        </w:tabs>
        <w:spacing w:before="40" w:after="40" w:line="240" w:lineRule="auto"/>
        <w:ind w:left="1843" w:hanging="1843"/>
        <w:rPr>
          <w:rFonts w:eastAsia="Calibri"/>
        </w:rPr>
      </w:pPr>
      <w:r>
        <w:rPr>
          <w:rFonts w:eastAsia="Calibri"/>
          <w:b/>
        </w:rPr>
        <w:t>RES-H&amp;C</w:t>
      </w:r>
      <w:r w:rsidRPr="003034DF">
        <w:rPr>
          <w:rFonts w:eastAsia="Calibri"/>
          <w:b/>
        </w:rPr>
        <w:tab/>
      </w:r>
      <w:r w:rsidRPr="003034DF">
        <w:rPr>
          <w:rFonts w:eastAsia="Calibri"/>
        </w:rPr>
        <w:t>–</w:t>
      </w:r>
      <w:r w:rsidRPr="003034DF">
        <w:rPr>
          <w:rFonts w:eastAsia="Calibri"/>
        </w:rPr>
        <w:tab/>
      </w:r>
      <w:r>
        <w:rPr>
          <w:rFonts w:eastAsia="Calibri"/>
        </w:rPr>
        <w:t>udział energii ze źródeł odnawialnych w końcowym zużyciu energii brutto w obszarze ciepłowniczo-chłodniczym (denominator wskaźnika sektorowego)</w:t>
      </w:r>
    </w:p>
    <w:p w14:paraId="55EC68B3" w14:textId="77777777" w:rsidR="00CD6B92" w:rsidRDefault="00CD6B92" w:rsidP="008B4CC0">
      <w:pPr>
        <w:tabs>
          <w:tab w:val="left" w:pos="1418"/>
          <w:tab w:val="left" w:pos="1985"/>
        </w:tabs>
        <w:spacing w:before="40" w:after="40" w:line="240" w:lineRule="auto"/>
        <w:ind w:left="1843" w:hanging="1843"/>
        <w:rPr>
          <w:rFonts w:eastAsia="Calibri"/>
        </w:rPr>
      </w:pPr>
      <w:r>
        <w:rPr>
          <w:rFonts w:eastAsia="Calibri"/>
          <w:b/>
        </w:rPr>
        <w:t>RES-T</w:t>
      </w:r>
      <w:r w:rsidRPr="003034DF">
        <w:rPr>
          <w:rFonts w:eastAsia="Calibri"/>
          <w:b/>
        </w:rPr>
        <w:tab/>
      </w:r>
      <w:r w:rsidRPr="003034DF">
        <w:rPr>
          <w:rFonts w:eastAsia="Calibri"/>
        </w:rPr>
        <w:t>–</w:t>
      </w:r>
      <w:r w:rsidRPr="003034DF">
        <w:rPr>
          <w:rFonts w:eastAsia="Calibri"/>
        </w:rPr>
        <w:tab/>
      </w:r>
      <w:r>
        <w:rPr>
          <w:rFonts w:eastAsia="Calibri"/>
        </w:rPr>
        <w:t>udział energii ze źródeł odnawialnych w końcowym zużyciu energii brutto w obszarze transportowym (denominator wskaźnika sektorowego)</w:t>
      </w:r>
    </w:p>
    <w:p w14:paraId="69798A12" w14:textId="5D4F67AA" w:rsidR="00CD6B92" w:rsidRPr="00C6715F" w:rsidRDefault="00CD6B92" w:rsidP="008B4CC0">
      <w:pPr>
        <w:tabs>
          <w:tab w:val="left" w:pos="1418"/>
          <w:tab w:val="left" w:pos="1985"/>
        </w:tabs>
        <w:spacing w:before="40" w:after="40" w:line="240" w:lineRule="auto"/>
        <w:ind w:left="1843" w:hanging="1843"/>
        <w:rPr>
          <w:rFonts w:eastAsia="Calibri"/>
        </w:rPr>
      </w:pPr>
      <w:r>
        <w:rPr>
          <w:rFonts w:eastAsia="Calibri"/>
          <w:b/>
        </w:rPr>
        <w:t>RFNBO</w:t>
      </w:r>
      <w:r>
        <w:rPr>
          <w:rFonts w:eastAsia="Calibri"/>
          <w:b/>
        </w:rPr>
        <w:tab/>
      </w:r>
      <w:r w:rsidRPr="003034DF">
        <w:rPr>
          <w:rFonts w:eastAsia="Calibri"/>
        </w:rPr>
        <w:t>–</w:t>
      </w:r>
      <w:r>
        <w:rPr>
          <w:rFonts w:eastAsia="Calibri"/>
        </w:rPr>
        <w:tab/>
      </w:r>
      <w:r w:rsidRPr="00CD4EA6">
        <w:rPr>
          <w:rFonts w:eastAsia="Calibri"/>
        </w:rPr>
        <w:t>paliw</w:t>
      </w:r>
      <w:r w:rsidR="009A31EF">
        <w:rPr>
          <w:rFonts w:eastAsia="Calibri"/>
        </w:rPr>
        <w:t>a</w:t>
      </w:r>
      <w:r w:rsidRPr="00CD4EA6">
        <w:rPr>
          <w:rFonts w:eastAsia="Calibri"/>
        </w:rPr>
        <w:t xml:space="preserve"> odnawialn</w:t>
      </w:r>
      <w:r w:rsidR="009A31EF">
        <w:rPr>
          <w:rFonts w:eastAsia="Calibri"/>
        </w:rPr>
        <w:t>e</w:t>
      </w:r>
      <w:r w:rsidRPr="00CD4EA6">
        <w:rPr>
          <w:rFonts w:eastAsia="Calibri"/>
        </w:rPr>
        <w:t xml:space="preserve"> pochodzenia niebiologicznego</w:t>
      </w:r>
      <w:r w:rsidR="009A31EF">
        <w:rPr>
          <w:rFonts w:eastAsia="Calibri"/>
        </w:rPr>
        <w:t xml:space="preserve">, w tym wodór </w:t>
      </w:r>
      <w:r w:rsidR="009A31EF" w:rsidRPr="009A31EF">
        <w:rPr>
          <w:rFonts w:eastAsia="Calibri"/>
        </w:rPr>
        <w:t>odnawialny pochodzenia niebiologicznego</w:t>
      </w:r>
      <w:r w:rsidR="009A31EF">
        <w:rPr>
          <w:rFonts w:eastAsia="Calibri"/>
        </w:rPr>
        <w:t xml:space="preserve"> „</w:t>
      </w:r>
      <w:r w:rsidR="00954E09">
        <w:rPr>
          <w:rFonts w:eastAsia="Calibri"/>
        </w:rPr>
        <w:t>wodór RFNBO”</w:t>
      </w:r>
      <w:r w:rsidR="00594ACE">
        <w:rPr>
          <w:rFonts w:eastAsia="Calibri"/>
        </w:rPr>
        <w:t xml:space="preserve">, </w:t>
      </w:r>
      <w:r w:rsidRPr="00CD4EA6">
        <w:rPr>
          <w:rFonts w:eastAsia="Calibri"/>
        </w:rPr>
        <w:t>w rozumieniu dyrektyw</w:t>
      </w:r>
      <w:r w:rsidR="009A31EF">
        <w:rPr>
          <w:rFonts w:eastAsia="Calibri"/>
        </w:rPr>
        <w:t>y</w:t>
      </w:r>
      <w:r w:rsidRPr="00CD4EA6">
        <w:rPr>
          <w:rFonts w:eastAsia="Calibri"/>
        </w:rPr>
        <w:t xml:space="preserve"> Parlamentu Europejskiego i Rady (UE) 2018/2001 z dnia 11 grudnia 2018 r. w</w:t>
      </w:r>
      <w:r w:rsidR="009A31EF">
        <w:rPr>
          <w:rFonts w:eastAsia="Calibri"/>
        </w:rPr>
        <w:t> </w:t>
      </w:r>
      <w:r w:rsidRPr="00CD4EA6">
        <w:rPr>
          <w:rFonts w:eastAsia="Calibri"/>
        </w:rPr>
        <w:t>sprawie promowania stosowania energii ze źródeł odnawialnych (Dz.U. L 328 z</w:t>
      </w:r>
      <w:r w:rsidR="009A31EF">
        <w:rPr>
          <w:rFonts w:eastAsia="Calibri"/>
        </w:rPr>
        <w:t> </w:t>
      </w:r>
      <w:r w:rsidRPr="00CD4EA6">
        <w:rPr>
          <w:rFonts w:eastAsia="Calibri"/>
        </w:rPr>
        <w:t>21.12.2018, s. 82, ze zm.) oraz rozporządzenia delegowanego Komisji (UE) 2023/1184 z dnia 10 lutego 2023 r. uzupełniające dyrektywę Parlamentu Europejskiego i Rady (UE) 2018/2001 przez ustanowienie unijnej metodyki określającej szczegółowe zasady produkcji odnawialnych ciekłych i gazowych paliw transportowych pochodzenia niebiologicznego (Dz.U. L 157 z 20.6.2023, str. 11)</w:t>
      </w:r>
    </w:p>
    <w:p w14:paraId="76B2B5B8" w14:textId="05E9FC68" w:rsidR="00CD6B92" w:rsidRDefault="00CD6B92" w:rsidP="008B4CC0">
      <w:pPr>
        <w:tabs>
          <w:tab w:val="left" w:pos="1418"/>
          <w:tab w:val="left" w:pos="1843"/>
        </w:tabs>
        <w:spacing w:before="40" w:after="40" w:line="240" w:lineRule="auto"/>
        <w:rPr>
          <w:rFonts w:eastAsia="Calibri"/>
        </w:rPr>
      </w:pPr>
      <w:r w:rsidRPr="00400C5F">
        <w:rPr>
          <w:rFonts w:eastAsia="Calibri"/>
          <w:b/>
        </w:rPr>
        <w:t>SOR</w:t>
      </w:r>
      <w:r w:rsidRPr="00400C5F">
        <w:rPr>
          <w:rFonts w:eastAsia="Calibri"/>
          <w:b/>
        </w:rPr>
        <w:tab/>
      </w:r>
      <w:r w:rsidRPr="00CD4EA6">
        <w:rPr>
          <w:rFonts w:eastAsia="Calibri"/>
        </w:rPr>
        <w:t>–</w:t>
      </w:r>
      <w:r w:rsidRPr="00400C5F">
        <w:rPr>
          <w:rFonts w:eastAsia="Calibri"/>
          <w:b/>
        </w:rPr>
        <w:tab/>
      </w:r>
      <w:r w:rsidRPr="00400C5F">
        <w:rPr>
          <w:rFonts w:eastAsia="Calibri"/>
        </w:rPr>
        <w:t>Strategia na rzecz Odpowiedzialnego Rozwoju</w:t>
      </w:r>
      <w:r>
        <w:rPr>
          <w:rFonts w:eastAsia="Calibri"/>
        </w:rPr>
        <w:t xml:space="preserve"> do 203</w:t>
      </w:r>
      <w:r w:rsidR="00BE2ED8">
        <w:rPr>
          <w:rFonts w:eastAsia="Calibri"/>
        </w:rPr>
        <w:t>0 r.</w:t>
      </w:r>
    </w:p>
    <w:p w14:paraId="3F7741B5" w14:textId="2D0536C2" w:rsidR="00540854" w:rsidRPr="009267B2" w:rsidRDefault="00540854" w:rsidP="006F6E12">
      <w:pPr>
        <w:tabs>
          <w:tab w:val="left" w:pos="1418"/>
          <w:tab w:val="left" w:pos="1843"/>
        </w:tabs>
        <w:spacing w:before="40" w:after="40" w:line="240" w:lineRule="auto"/>
        <w:ind w:left="1843" w:hanging="1843"/>
        <w:rPr>
          <w:rFonts w:eastAsia="Calibri"/>
          <w:b/>
          <w:lang w:val="en-GB"/>
        </w:rPr>
      </w:pPr>
      <w:r>
        <w:rPr>
          <w:rFonts w:eastAsia="Calibri"/>
          <w:b/>
          <w:lang w:val="en-US"/>
        </w:rPr>
        <w:t>SMR</w:t>
      </w:r>
      <w:r>
        <w:rPr>
          <w:rFonts w:eastAsia="Calibri"/>
          <w:b/>
          <w:lang w:val="en-US"/>
        </w:rPr>
        <w:tab/>
      </w:r>
      <w:r w:rsidR="00815664" w:rsidRPr="009267B2">
        <w:rPr>
          <w:rFonts w:eastAsia="Calibri"/>
          <w:lang w:val="en-GB"/>
        </w:rPr>
        <w:t>–</w:t>
      </w:r>
      <w:r>
        <w:rPr>
          <w:rFonts w:eastAsia="Calibri"/>
          <w:b/>
          <w:lang w:val="en-US"/>
        </w:rPr>
        <w:tab/>
      </w:r>
      <w:r w:rsidRPr="007A747C">
        <w:rPr>
          <w:rFonts w:eastAsia="Calibri"/>
          <w:bCs/>
          <w:lang w:val="en-US"/>
        </w:rPr>
        <w:t>ang.</w:t>
      </w:r>
      <w:r>
        <w:rPr>
          <w:rFonts w:eastAsia="Calibri"/>
          <w:bCs/>
          <w:i/>
          <w:iCs/>
          <w:lang w:val="en-US"/>
        </w:rPr>
        <w:t xml:space="preserve"> </w:t>
      </w:r>
      <w:r w:rsidRPr="009267B2">
        <w:rPr>
          <w:rFonts w:eastAsia="Calibri"/>
          <w:bCs/>
          <w:i/>
          <w:iCs/>
          <w:lang w:val="en-GB"/>
        </w:rPr>
        <w:t>Small Modular Reactor</w:t>
      </w:r>
      <w:r w:rsidRPr="009267B2">
        <w:rPr>
          <w:rFonts w:eastAsia="Calibri"/>
          <w:bCs/>
          <w:lang w:val="en-GB"/>
        </w:rPr>
        <w:t xml:space="preserve"> </w:t>
      </w:r>
      <w:r w:rsidR="00734407">
        <w:rPr>
          <w:rFonts w:eastAsia="Calibri"/>
          <w:bCs/>
          <w:lang w:val="en-GB"/>
        </w:rPr>
        <w:t>–</w:t>
      </w:r>
      <w:r w:rsidRPr="009267B2">
        <w:rPr>
          <w:rFonts w:eastAsia="Calibri"/>
          <w:bCs/>
          <w:lang w:val="en-GB"/>
        </w:rPr>
        <w:t xml:space="preserve"> </w:t>
      </w:r>
      <w:r w:rsidR="006F6E12" w:rsidRPr="009267B2">
        <w:rPr>
          <w:rFonts w:eastAsia="Calibri"/>
          <w:bCs/>
          <w:lang w:val="en-GB"/>
        </w:rPr>
        <w:t>reaktor jądrowy o mocy do 300 MWe</w:t>
      </w:r>
    </w:p>
    <w:p w14:paraId="40F2443D" w14:textId="2ACAC1BD" w:rsidR="00CD6B92" w:rsidRPr="000A166C" w:rsidRDefault="00CD6B92" w:rsidP="008B4CC0">
      <w:pPr>
        <w:tabs>
          <w:tab w:val="left" w:pos="1418"/>
          <w:tab w:val="left" w:pos="1843"/>
        </w:tabs>
        <w:spacing w:before="40" w:after="40" w:line="240" w:lineRule="auto"/>
        <w:ind w:left="1843" w:hanging="1843"/>
        <w:rPr>
          <w:rFonts w:eastAsia="Calibri"/>
          <w:lang w:val="en-US"/>
        </w:rPr>
      </w:pPr>
      <w:r w:rsidRPr="00B9586D">
        <w:rPr>
          <w:rFonts w:eastAsia="Calibri"/>
          <w:b/>
          <w:lang w:val="en-US"/>
        </w:rPr>
        <w:t>STEAM-PL</w:t>
      </w:r>
      <w:r w:rsidRPr="00B9586D">
        <w:rPr>
          <w:rFonts w:eastAsia="Calibri"/>
          <w:b/>
          <w:lang w:val="en-US"/>
        </w:rPr>
        <w:tab/>
      </w:r>
      <w:r w:rsidRPr="00CD4EA6">
        <w:rPr>
          <w:rFonts w:eastAsia="Calibri"/>
          <w:lang w:val="en-US"/>
        </w:rPr>
        <w:t>–</w:t>
      </w:r>
      <w:r w:rsidRPr="00B9586D">
        <w:rPr>
          <w:rFonts w:eastAsia="Calibri"/>
          <w:b/>
          <w:lang w:val="en-US"/>
        </w:rPr>
        <w:tab/>
      </w:r>
      <w:r w:rsidRPr="007A747C">
        <w:rPr>
          <w:rFonts w:eastAsia="Calibri"/>
          <w:iCs/>
          <w:lang w:val="en-US"/>
        </w:rPr>
        <w:t>ang.</w:t>
      </w:r>
      <w:r w:rsidRPr="00B9586D">
        <w:rPr>
          <w:rFonts w:eastAsia="Calibri"/>
          <w:b/>
          <w:i/>
          <w:lang w:val="en-US"/>
        </w:rPr>
        <w:t xml:space="preserve"> </w:t>
      </w:r>
      <w:r w:rsidRPr="000A166C">
        <w:rPr>
          <w:rFonts w:eastAsia="Calibri"/>
          <w:i/>
          <w:lang w:val="en-US"/>
        </w:rPr>
        <w:t>Set of Tools for Energy Demand Analysis and Modelling</w:t>
      </w:r>
      <w:r w:rsidRPr="000A166C">
        <w:rPr>
          <w:rFonts w:eastAsia="Calibri"/>
          <w:lang w:val="en-US"/>
        </w:rPr>
        <w:t xml:space="preserve"> – </w:t>
      </w:r>
      <w:r>
        <w:rPr>
          <w:rFonts w:eastAsia="Calibri"/>
          <w:lang w:val="en-US"/>
        </w:rPr>
        <w:t>m</w:t>
      </w:r>
      <w:r w:rsidRPr="000A166C">
        <w:rPr>
          <w:rFonts w:eastAsia="Calibri"/>
          <w:lang w:val="en-US"/>
        </w:rPr>
        <w:t>odel zapotrzebowania na paliwa</w:t>
      </w:r>
      <w:r>
        <w:rPr>
          <w:rFonts w:eastAsia="Calibri"/>
          <w:lang w:val="en-US"/>
        </w:rPr>
        <w:t xml:space="preserve"> i </w:t>
      </w:r>
      <w:r w:rsidRPr="000A166C">
        <w:rPr>
          <w:rFonts w:eastAsia="Calibri"/>
          <w:lang w:val="en-US"/>
        </w:rPr>
        <w:t>energię dla Polski</w:t>
      </w:r>
    </w:p>
    <w:p w14:paraId="29309D52" w14:textId="77777777" w:rsidR="00CD6B92" w:rsidRDefault="00CD6B92" w:rsidP="008B4CC0">
      <w:pPr>
        <w:tabs>
          <w:tab w:val="left" w:pos="1418"/>
          <w:tab w:val="left" w:pos="1843"/>
        </w:tabs>
        <w:spacing w:before="40" w:after="40" w:line="240" w:lineRule="auto"/>
        <w:rPr>
          <w:rFonts w:eastAsia="Calibri"/>
        </w:rPr>
      </w:pPr>
      <w:r>
        <w:rPr>
          <w:rFonts w:eastAsia="Calibri"/>
          <w:b/>
        </w:rPr>
        <w:t>TG</w:t>
      </w:r>
      <w:r w:rsidRPr="00400C5F">
        <w:rPr>
          <w:rFonts w:eastAsia="Calibri"/>
          <w:b/>
        </w:rPr>
        <w:tab/>
      </w:r>
      <w:r w:rsidRPr="00CD4EA6">
        <w:rPr>
          <w:rFonts w:eastAsia="Calibri"/>
        </w:rPr>
        <w:t>–</w:t>
      </w:r>
      <w:r w:rsidRPr="00400C5F">
        <w:rPr>
          <w:rFonts w:eastAsia="Calibri"/>
          <w:b/>
        </w:rPr>
        <w:tab/>
      </w:r>
      <w:r w:rsidRPr="0064506B">
        <w:rPr>
          <w:rFonts w:eastAsia="Calibri"/>
        </w:rPr>
        <w:t>t</w:t>
      </w:r>
      <w:r>
        <w:rPr>
          <w:rFonts w:eastAsia="Calibri"/>
        </w:rPr>
        <w:t>urbiny gazowe</w:t>
      </w:r>
    </w:p>
    <w:p w14:paraId="49101F5E" w14:textId="77777777" w:rsidR="00CD6B92" w:rsidRDefault="00CD6B92" w:rsidP="008B4CC0">
      <w:pPr>
        <w:tabs>
          <w:tab w:val="left" w:pos="1418"/>
          <w:tab w:val="left" w:pos="1843"/>
        </w:tabs>
        <w:spacing w:before="40" w:after="40" w:line="240" w:lineRule="auto"/>
        <w:rPr>
          <w:rFonts w:eastAsia="Calibri"/>
        </w:rPr>
      </w:pPr>
      <w:r>
        <w:rPr>
          <w:rFonts w:eastAsia="Calibri"/>
          <w:b/>
        </w:rPr>
        <w:t>tkm</w:t>
      </w:r>
      <w:r w:rsidRPr="003034DF">
        <w:rPr>
          <w:rFonts w:eastAsia="Calibri"/>
          <w:b/>
        </w:rPr>
        <w:tab/>
      </w:r>
      <w:r>
        <w:rPr>
          <w:rFonts w:eastAsia="Calibri"/>
        </w:rPr>
        <w:t>–</w:t>
      </w:r>
      <w:r>
        <w:rPr>
          <w:rFonts w:eastAsia="Calibri"/>
        </w:rPr>
        <w:tab/>
        <w:t>tonokilometry</w:t>
      </w:r>
    </w:p>
    <w:p w14:paraId="0A90250E" w14:textId="2ED18DBD" w:rsidR="00CD6B92" w:rsidRDefault="00CD6B92" w:rsidP="008B4CC0">
      <w:pPr>
        <w:tabs>
          <w:tab w:val="left" w:pos="1418"/>
          <w:tab w:val="left" w:pos="1843"/>
        </w:tabs>
        <w:spacing w:before="40" w:after="40" w:line="240" w:lineRule="auto"/>
        <w:rPr>
          <w:rFonts w:eastAsia="Calibri"/>
        </w:rPr>
      </w:pPr>
      <w:r w:rsidRPr="006B0438">
        <w:rPr>
          <w:rFonts w:eastAsia="Calibri"/>
          <w:b/>
        </w:rPr>
        <w:t>WAM</w:t>
      </w:r>
      <w:r>
        <w:rPr>
          <w:rFonts w:eastAsia="Calibri"/>
        </w:rPr>
        <w:tab/>
        <w:t>–</w:t>
      </w:r>
      <w:r>
        <w:rPr>
          <w:rFonts w:eastAsia="Calibri"/>
        </w:rPr>
        <w:tab/>
      </w:r>
      <w:r w:rsidRPr="007A747C">
        <w:rPr>
          <w:rFonts w:eastAsia="Calibri"/>
          <w:iCs/>
        </w:rPr>
        <w:t>ang.</w:t>
      </w:r>
      <w:r w:rsidRPr="006B0438">
        <w:rPr>
          <w:rFonts w:eastAsia="Calibri"/>
          <w:i/>
        </w:rPr>
        <w:t xml:space="preserve"> with additional measures</w:t>
      </w:r>
      <w:r>
        <w:rPr>
          <w:rFonts w:eastAsia="Calibri"/>
          <w:i/>
        </w:rPr>
        <w:t xml:space="preserve"> – </w:t>
      </w:r>
      <w:r>
        <w:rPr>
          <w:rFonts w:eastAsia="Calibri"/>
        </w:rPr>
        <w:t>scenariusz z dodatkowymi politykami i</w:t>
      </w:r>
      <w:r w:rsidR="00A52816">
        <w:rPr>
          <w:rFonts w:eastAsia="Calibri"/>
        </w:rPr>
        <w:t xml:space="preserve"> działaniami</w:t>
      </w:r>
      <w:r>
        <w:rPr>
          <w:rFonts w:eastAsia="Calibri"/>
        </w:rPr>
        <w:t xml:space="preserve"> </w:t>
      </w:r>
    </w:p>
    <w:p w14:paraId="56EA3DA3" w14:textId="31513295" w:rsidR="00CD6B92" w:rsidRDefault="00CD6B92" w:rsidP="008B4CC0">
      <w:pPr>
        <w:tabs>
          <w:tab w:val="left" w:pos="1418"/>
          <w:tab w:val="left" w:pos="1843"/>
        </w:tabs>
        <w:spacing w:before="40" w:after="40" w:line="240" w:lineRule="auto"/>
        <w:rPr>
          <w:rFonts w:eastAsia="Calibri"/>
        </w:rPr>
      </w:pPr>
      <w:r>
        <w:rPr>
          <w:rFonts w:eastAsia="Calibri"/>
          <w:b/>
        </w:rPr>
        <w:t>WE</w:t>
      </w:r>
      <w:r w:rsidRPr="006B0438">
        <w:rPr>
          <w:rFonts w:eastAsia="Calibri"/>
          <w:b/>
        </w:rPr>
        <w:t>M</w:t>
      </w:r>
      <w:r>
        <w:rPr>
          <w:rFonts w:eastAsia="Calibri"/>
        </w:rPr>
        <w:tab/>
        <w:t>–</w:t>
      </w:r>
      <w:r>
        <w:rPr>
          <w:rFonts w:eastAsia="Calibri"/>
        </w:rPr>
        <w:tab/>
      </w:r>
      <w:r w:rsidRPr="007A747C">
        <w:rPr>
          <w:rFonts w:eastAsia="Calibri"/>
          <w:iCs/>
        </w:rPr>
        <w:t>ang.</w:t>
      </w:r>
      <w:r w:rsidRPr="006B0438">
        <w:rPr>
          <w:rFonts w:eastAsia="Calibri"/>
          <w:i/>
        </w:rPr>
        <w:t xml:space="preserve"> with </w:t>
      </w:r>
      <w:r>
        <w:rPr>
          <w:rFonts w:eastAsia="Calibri"/>
          <w:i/>
        </w:rPr>
        <w:t>existing</w:t>
      </w:r>
      <w:r w:rsidRPr="006B0438">
        <w:rPr>
          <w:rFonts w:eastAsia="Calibri"/>
          <w:i/>
        </w:rPr>
        <w:t xml:space="preserve"> measures</w:t>
      </w:r>
      <w:r>
        <w:rPr>
          <w:rFonts w:eastAsia="Calibri"/>
          <w:i/>
        </w:rPr>
        <w:t xml:space="preserve"> – </w:t>
      </w:r>
      <w:r>
        <w:rPr>
          <w:rFonts w:eastAsia="Calibri"/>
        </w:rPr>
        <w:t>scenariusz wdrożonych polityk i</w:t>
      </w:r>
      <w:r w:rsidR="002D48CA">
        <w:rPr>
          <w:rFonts w:eastAsia="Calibri"/>
        </w:rPr>
        <w:t xml:space="preserve"> działań</w:t>
      </w:r>
      <w:r>
        <w:rPr>
          <w:rFonts w:eastAsia="Calibri"/>
        </w:rPr>
        <w:t xml:space="preserve"> </w:t>
      </w:r>
    </w:p>
    <w:p w14:paraId="4A1339B0" w14:textId="75E18C09" w:rsidR="00E901C4" w:rsidRDefault="00E901C4">
      <w:pPr>
        <w:jc w:val="left"/>
        <w:rPr>
          <w:rFonts w:eastAsia="Calibri"/>
        </w:rPr>
      </w:pPr>
      <w:r>
        <w:rPr>
          <w:rFonts w:eastAsia="Calibri"/>
        </w:rPr>
        <w:br w:type="page"/>
      </w:r>
    </w:p>
    <w:p w14:paraId="68C63D90" w14:textId="1EBE8E8B" w:rsidR="00E0627F" w:rsidRDefault="00E901C4" w:rsidP="00184862">
      <w:pPr>
        <w:pStyle w:val="Nagwek1"/>
        <w:numPr>
          <w:ilvl w:val="0"/>
          <w:numId w:val="0"/>
        </w:numPr>
        <w:spacing w:after="240"/>
        <w:ind w:left="431" w:hanging="431"/>
        <w:rPr>
          <w:rFonts w:eastAsia="Calibri"/>
        </w:rPr>
      </w:pPr>
      <w:bookmarkStart w:id="822" w:name="_Toc174710942"/>
      <w:bookmarkStart w:id="823" w:name="_Toc202966944"/>
      <w:r>
        <w:rPr>
          <w:rFonts w:eastAsia="Calibri"/>
        </w:rPr>
        <w:t>Spis tabel</w:t>
      </w:r>
      <w:bookmarkEnd w:id="822"/>
      <w:bookmarkEnd w:id="823"/>
    </w:p>
    <w:p w14:paraId="34CDA733" w14:textId="6F113103" w:rsidR="00F27D6F" w:rsidRDefault="00E901C4">
      <w:pPr>
        <w:pStyle w:val="Spisilustracji"/>
        <w:tabs>
          <w:tab w:val="right" w:leader="dot" w:pos="9062"/>
        </w:tabs>
        <w:rPr>
          <w:rFonts w:asciiTheme="minorHAnsi" w:eastAsiaTheme="minorEastAsia" w:hAnsiTheme="minorHAnsi"/>
          <w:noProof/>
          <w:kern w:val="2"/>
          <w:sz w:val="24"/>
          <w:szCs w:val="24"/>
          <w:lang w:eastAsia="pl-PL"/>
          <w14:ligatures w14:val="standardContextual"/>
        </w:rPr>
      </w:pPr>
      <w:r>
        <w:fldChar w:fldCharType="begin"/>
      </w:r>
      <w:r>
        <w:instrText xml:space="preserve"> TOC \h \z \c "Tabela" </w:instrText>
      </w:r>
      <w:r>
        <w:fldChar w:fldCharType="separate"/>
      </w:r>
      <w:hyperlink w:anchor="_Toc202966946" w:history="1">
        <w:r w:rsidR="00F27D6F" w:rsidRPr="00423D1E">
          <w:rPr>
            <w:rStyle w:val="Hipercze"/>
            <w:noProof/>
          </w:rPr>
          <w:t>Tabela 1.1. Źródła danych prognoz zmian aktywności, wykorzystane do projekcji emisji gazów cieplarnianych oraz zanieczyszczeń powietrza (zgodnie z dyrektywą NEC)</w:t>
        </w:r>
        <w:r w:rsidR="00F27D6F">
          <w:rPr>
            <w:noProof/>
            <w:webHidden/>
          </w:rPr>
          <w:tab/>
        </w:r>
        <w:r w:rsidR="00F27D6F">
          <w:rPr>
            <w:noProof/>
            <w:webHidden/>
          </w:rPr>
          <w:fldChar w:fldCharType="begin"/>
        </w:r>
        <w:r w:rsidR="00F27D6F">
          <w:rPr>
            <w:noProof/>
            <w:webHidden/>
          </w:rPr>
          <w:instrText xml:space="preserve"> PAGEREF _Toc202966946 \h </w:instrText>
        </w:r>
        <w:r w:rsidR="00F27D6F">
          <w:rPr>
            <w:noProof/>
            <w:webHidden/>
          </w:rPr>
        </w:r>
        <w:r w:rsidR="00F27D6F">
          <w:rPr>
            <w:noProof/>
            <w:webHidden/>
          </w:rPr>
          <w:fldChar w:fldCharType="separate"/>
        </w:r>
        <w:r w:rsidR="00F27D6F">
          <w:rPr>
            <w:noProof/>
            <w:webHidden/>
          </w:rPr>
          <w:t>8</w:t>
        </w:r>
        <w:r w:rsidR="00F27D6F">
          <w:rPr>
            <w:noProof/>
            <w:webHidden/>
          </w:rPr>
          <w:fldChar w:fldCharType="end"/>
        </w:r>
      </w:hyperlink>
    </w:p>
    <w:p w14:paraId="5094197B" w14:textId="5E8BFF1A"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47" w:history="1">
        <w:r w:rsidRPr="00423D1E">
          <w:rPr>
            <w:rStyle w:val="Hipercze"/>
            <w:noProof/>
          </w:rPr>
          <w:t>Tabela 1.2. Projekcje emisji gazów cieplarnianych według sektorów, dla scenariusza WAM</w:t>
        </w:r>
        <w:r>
          <w:rPr>
            <w:noProof/>
            <w:webHidden/>
          </w:rPr>
          <w:tab/>
        </w:r>
        <w:r>
          <w:rPr>
            <w:noProof/>
            <w:webHidden/>
          </w:rPr>
          <w:fldChar w:fldCharType="begin"/>
        </w:r>
        <w:r>
          <w:rPr>
            <w:noProof/>
            <w:webHidden/>
          </w:rPr>
          <w:instrText xml:space="preserve"> PAGEREF _Toc202966947 \h </w:instrText>
        </w:r>
        <w:r>
          <w:rPr>
            <w:noProof/>
            <w:webHidden/>
          </w:rPr>
        </w:r>
        <w:r>
          <w:rPr>
            <w:noProof/>
            <w:webHidden/>
          </w:rPr>
          <w:fldChar w:fldCharType="separate"/>
        </w:r>
        <w:r>
          <w:rPr>
            <w:noProof/>
            <w:webHidden/>
          </w:rPr>
          <w:t>9</w:t>
        </w:r>
        <w:r>
          <w:rPr>
            <w:noProof/>
            <w:webHidden/>
          </w:rPr>
          <w:fldChar w:fldCharType="end"/>
        </w:r>
      </w:hyperlink>
    </w:p>
    <w:p w14:paraId="5CA2683C" w14:textId="4575FEFE"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48" w:history="1">
        <w:r w:rsidRPr="00423D1E">
          <w:rPr>
            <w:rStyle w:val="Hipercze"/>
            <w:noProof/>
          </w:rPr>
          <w:t>Tabela 1.3. Projekcje emisji gazów cieplarnianych w sektorze 1A. Spalanie paliw, dla scenariusza WAM</w:t>
        </w:r>
        <w:r>
          <w:rPr>
            <w:noProof/>
            <w:webHidden/>
          </w:rPr>
          <w:tab/>
        </w:r>
        <w:r>
          <w:rPr>
            <w:noProof/>
            <w:webHidden/>
          </w:rPr>
          <w:fldChar w:fldCharType="begin"/>
        </w:r>
        <w:r>
          <w:rPr>
            <w:noProof/>
            <w:webHidden/>
          </w:rPr>
          <w:instrText xml:space="preserve"> PAGEREF _Toc202966948 \h </w:instrText>
        </w:r>
        <w:r>
          <w:rPr>
            <w:noProof/>
            <w:webHidden/>
          </w:rPr>
        </w:r>
        <w:r>
          <w:rPr>
            <w:noProof/>
            <w:webHidden/>
          </w:rPr>
          <w:fldChar w:fldCharType="separate"/>
        </w:r>
        <w:r>
          <w:rPr>
            <w:noProof/>
            <w:webHidden/>
          </w:rPr>
          <w:t>11</w:t>
        </w:r>
        <w:r>
          <w:rPr>
            <w:noProof/>
            <w:webHidden/>
          </w:rPr>
          <w:fldChar w:fldCharType="end"/>
        </w:r>
      </w:hyperlink>
    </w:p>
    <w:p w14:paraId="5D85BCDB" w14:textId="310F75E2"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49" w:history="1">
        <w:r w:rsidRPr="00423D1E">
          <w:rPr>
            <w:rStyle w:val="Hipercze"/>
            <w:noProof/>
          </w:rPr>
          <w:t>Tabela 1.4. Prognozowane emisje CO</w:t>
        </w:r>
        <w:r w:rsidRPr="00423D1E">
          <w:rPr>
            <w:rStyle w:val="Hipercze"/>
            <w:noProof/>
            <w:vertAlign w:val="subscript"/>
          </w:rPr>
          <w:t>2</w:t>
        </w:r>
        <w:r w:rsidRPr="00423D1E">
          <w:rPr>
            <w:rStyle w:val="Hipercze"/>
            <w:noProof/>
          </w:rPr>
          <w:t>, dla scenariusza WAM</w:t>
        </w:r>
        <w:r>
          <w:rPr>
            <w:noProof/>
            <w:webHidden/>
          </w:rPr>
          <w:tab/>
        </w:r>
        <w:r>
          <w:rPr>
            <w:noProof/>
            <w:webHidden/>
          </w:rPr>
          <w:fldChar w:fldCharType="begin"/>
        </w:r>
        <w:r>
          <w:rPr>
            <w:noProof/>
            <w:webHidden/>
          </w:rPr>
          <w:instrText xml:space="preserve"> PAGEREF _Toc202966949 \h </w:instrText>
        </w:r>
        <w:r>
          <w:rPr>
            <w:noProof/>
            <w:webHidden/>
          </w:rPr>
        </w:r>
        <w:r>
          <w:rPr>
            <w:noProof/>
            <w:webHidden/>
          </w:rPr>
          <w:fldChar w:fldCharType="separate"/>
        </w:r>
        <w:r>
          <w:rPr>
            <w:noProof/>
            <w:webHidden/>
          </w:rPr>
          <w:t>12</w:t>
        </w:r>
        <w:r>
          <w:rPr>
            <w:noProof/>
            <w:webHidden/>
          </w:rPr>
          <w:fldChar w:fldCharType="end"/>
        </w:r>
      </w:hyperlink>
    </w:p>
    <w:p w14:paraId="6EAB0F72" w14:textId="23B4C8C7"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50" w:history="1">
        <w:r w:rsidRPr="00423D1E">
          <w:rPr>
            <w:rStyle w:val="Hipercze"/>
            <w:noProof/>
          </w:rPr>
          <w:t>Tabela 1.5. Prognozowane emisje N</w:t>
        </w:r>
        <w:r w:rsidRPr="00423D1E">
          <w:rPr>
            <w:rStyle w:val="Hipercze"/>
            <w:noProof/>
            <w:vertAlign w:val="subscript"/>
          </w:rPr>
          <w:t>2</w:t>
        </w:r>
        <w:r w:rsidRPr="00423D1E">
          <w:rPr>
            <w:rStyle w:val="Hipercze"/>
            <w:noProof/>
          </w:rPr>
          <w:t>O, dla scenariusza WAM</w:t>
        </w:r>
        <w:r>
          <w:rPr>
            <w:noProof/>
            <w:webHidden/>
          </w:rPr>
          <w:tab/>
        </w:r>
        <w:r>
          <w:rPr>
            <w:noProof/>
            <w:webHidden/>
          </w:rPr>
          <w:fldChar w:fldCharType="begin"/>
        </w:r>
        <w:r>
          <w:rPr>
            <w:noProof/>
            <w:webHidden/>
          </w:rPr>
          <w:instrText xml:space="preserve"> PAGEREF _Toc202966950 \h </w:instrText>
        </w:r>
        <w:r>
          <w:rPr>
            <w:noProof/>
            <w:webHidden/>
          </w:rPr>
        </w:r>
        <w:r>
          <w:rPr>
            <w:noProof/>
            <w:webHidden/>
          </w:rPr>
          <w:fldChar w:fldCharType="separate"/>
        </w:r>
        <w:r>
          <w:rPr>
            <w:noProof/>
            <w:webHidden/>
          </w:rPr>
          <w:t>14</w:t>
        </w:r>
        <w:r>
          <w:rPr>
            <w:noProof/>
            <w:webHidden/>
          </w:rPr>
          <w:fldChar w:fldCharType="end"/>
        </w:r>
      </w:hyperlink>
    </w:p>
    <w:p w14:paraId="337C8C37" w14:textId="038BDDE1"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51" w:history="1">
        <w:r w:rsidRPr="00423D1E">
          <w:rPr>
            <w:rStyle w:val="Hipercze"/>
            <w:noProof/>
          </w:rPr>
          <w:t>Tabela 1.6. Prognozowane emisje CH</w:t>
        </w:r>
        <w:r w:rsidRPr="00423D1E">
          <w:rPr>
            <w:rStyle w:val="Hipercze"/>
            <w:noProof/>
            <w:vertAlign w:val="subscript"/>
          </w:rPr>
          <w:t>4</w:t>
        </w:r>
        <w:r w:rsidRPr="00423D1E">
          <w:rPr>
            <w:rStyle w:val="Hipercze"/>
            <w:noProof/>
          </w:rPr>
          <w:t>, dla scenariusza WAM</w:t>
        </w:r>
        <w:r>
          <w:rPr>
            <w:noProof/>
            <w:webHidden/>
          </w:rPr>
          <w:tab/>
        </w:r>
        <w:r>
          <w:rPr>
            <w:noProof/>
            <w:webHidden/>
          </w:rPr>
          <w:fldChar w:fldCharType="begin"/>
        </w:r>
        <w:r>
          <w:rPr>
            <w:noProof/>
            <w:webHidden/>
          </w:rPr>
          <w:instrText xml:space="preserve"> PAGEREF _Toc202966951 \h </w:instrText>
        </w:r>
        <w:r>
          <w:rPr>
            <w:noProof/>
            <w:webHidden/>
          </w:rPr>
        </w:r>
        <w:r>
          <w:rPr>
            <w:noProof/>
            <w:webHidden/>
          </w:rPr>
          <w:fldChar w:fldCharType="separate"/>
        </w:r>
        <w:r>
          <w:rPr>
            <w:noProof/>
            <w:webHidden/>
          </w:rPr>
          <w:t>15</w:t>
        </w:r>
        <w:r>
          <w:rPr>
            <w:noProof/>
            <w:webHidden/>
          </w:rPr>
          <w:fldChar w:fldCharType="end"/>
        </w:r>
      </w:hyperlink>
    </w:p>
    <w:p w14:paraId="4C1BE0F0" w14:textId="4B46853E"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52" w:history="1">
        <w:r w:rsidRPr="00423D1E">
          <w:rPr>
            <w:rStyle w:val="Hipercze"/>
            <w:noProof/>
          </w:rPr>
          <w:t>Tabela 1.7. Projekcje emisji gazów cieplarnianych w podziale na ETS i non-ETS, dla scenariusza WAM</w:t>
        </w:r>
        <w:r>
          <w:rPr>
            <w:noProof/>
            <w:webHidden/>
          </w:rPr>
          <w:tab/>
        </w:r>
        <w:r>
          <w:rPr>
            <w:noProof/>
            <w:webHidden/>
          </w:rPr>
          <w:fldChar w:fldCharType="begin"/>
        </w:r>
        <w:r>
          <w:rPr>
            <w:noProof/>
            <w:webHidden/>
          </w:rPr>
          <w:instrText xml:space="preserve"> PAGEREF _Toc202966952 \h </w:instrText>
        </w:r>
        <w:r>
          <w:rPr>
            <w:noProof/>
            <w:webHidden/>
          </w:rPr>
        </w:r>
        <w:r>
          <w:rPr>
            <w:noProof/>
            <w:webHidden/>
          </w:rPr>
          <w:fldChar w:fldCharType="separate"/>
        </w:r>
        <w:r>
          <w:rPr>
            <w:noProof/>
            <w:webHidden/>
          </w:rPr>
          <w:t>16</w:t>
        </w:r>
        <w:r>
          <w:rPr>
            <w:noProof/>
            <w:webHidden/>
          </w:rPr>
          <w:fldChar w:fldCharType="end"/>
        </w:r>
      </w:hyperlink>
    </w:p>
    <w:p w14:paraId="6491318D" w14:textId="1EBD1D1A"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53" w:history="1">
        <w:r w:rsidRPr="00423D1E">
          <w:rPr>
            <w:rStyle w:val="Hipercze"/>
            <w:noProof/>
          </w:rPr>
          <w:t>Tabela 1.8. Projekcje emisji dwutlenku siarki, według sektorów (kategorii NFR), dla scenariusza WAM</w:t>
        </w:r>
        <w:r>
          <w:rPr>
            <w:noProof/>
            <w:webHidden/>
          </w:rPr>
          <w:tab/>
        </w:r>
        <w:r>
          <w:rPr>
            <w:noProof/>
            <w:webHidden/>
          </w:rPr>
          <w:fldChar w:fldCharType="begin"/>
        </w:r>
        <w:r>
          <w:rPr>
            <w:noProof/>
            <w:webHidden/>
          </w:rPr>
          <w:instrText xml:space="preserve"> PAGEREF _Toc202966953 \h </w:instrText>
        </w:r>
        <w:r>
          <w:rPr>
            <w:noProof/>
            <w:webHidden/>
          </w:rPr>
        </w:r>
        <w:r>
          <w:rPr>
            <w:noProof/>
            <w:webHidden/>
          </w:rPr>
          <w:fldChar w:fldCharType="separate"/>
        </w:r>
        <w:r>
          <w:rPr>
            <w:noProof/>
            <w:webHidden/>
          </w:rPr>
          <w:t>17</w:t>
        </w:r>
        <w:r>
          <w:rPr>
            <w:noProof/>
            <w:webHidden/>
          </w:rPr>
          <w:fldChar w:fldCharType="end"/>
        </w:r>
      </w:hyperlink>
    </w:p>
    <w:p w14:paraId="3126CA50" w14:textId="4B58A4A5"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54" w:history="1">
        <w:r w:rsidRPr="00423D1E">
          <w:rPr>
            <w:rStyle w:val="Hipercze"/>
            <w:noProof/>
          </w:rPr>
          <w:t>Tabela 1.9. Projekcje emisji tlenków azotu, według sektorów (kategorii NFR), dla scenariusza WAM</w:t>
        </w:r>
        <w:r>
          <w:rPr>
            <w:noProof/>
            <w:webHidden/>
          </w:rPr>
          <w:tab/>
        </w:r>
        <w:r>
          <w:rPr>
            <w:noProof/>
            <w:webHidden/>
          </w:rPr>
          <w:fldChar w:fldCharType="begin"/>
        </w:r>
        <w:r>
          <w:rPr>
            <w:noProof/>
            <w:webHidden/>
          </w:rPr>
          <w:instrText xml:space="preserve"> PAGEREF _Toc202966954 \h </w:instrText>
        </w:r>
        <w:r>
          <w:rPr>
            <w:noProof/>
            <w:webHidden/>
          </w:rPr>
        </w:r>
        <w:r>
          <w:rPr>
            <w:noProof/>
            <w:webHidden/>
          </w:rPr>
          <w:fldChar w:fldCharType="separate"/>
        </w:r>
        <w:r>
          <w:rPr>
            <w:noProof/>
            <w:webHidden/>
          </w:rPr>
          <w:t>18</w:t>
        </w:r>
        <w:r>
          <w:rPr>
            <w:noProof/>
            <w:webHidden/>
          </w:rPr>
          <w:fldChar w:fldCharType="end"/>
        </w:r>
      </w:hyperlink>
    </w:p>
    <w:p w14:paraId="382C1B9B" w14:textId="046F1161"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55" w:history="1">
        <w:r w:rsidRPr="00423D1E">
          <w:rPr>
            <w:rStyle w:val="Hipercze"/>
            <w:noProof/>
          </w:rPr>
          <w:t>Tabela 1.10. Projekcje emisji NMLZO, według sektorów (kategorii NFR), dla scenariusza WAM</w:t>
        </w:r>
        <w:r>
          <w:rPr>
            <w:noProof/>
            <w:webHidden/>
          </w:rPr>
          <w:tab/>
        </w:r>
        <w:r>
          <w:rPr>
            <w:noProof/>
            <w:webHidden/>
          </w:rPr>
          <w:fldChar w:fldCharType="begin"/>
        </w:r>
        <w:r>
          <w:rPr>
            <w:noProof/>
            <w:webHidden/>
          </w:rPr>
          <w:instrText xml:space="preserve"> PAGEREF _Toc202966955 \h </w:instrText>
        </w:r>
        <w:r>
          <w:rPr>
            <w:noProof/>
            <w:webHidden/>
          </w:rPr>
        </w:r>
        <w:r>
          <w:rPr>
            <w:noProof/>
            <w:webHidden/>
          </w:rPr>
          <w:fldChar w:fldCharType="separate"/>
        </w:r>
        <w:r>
          <w:rPr>
            <w:noProof/>
            <w:webHidden/>
          </w:rPr>
          <w:t>19</w:t>
        </w:r>
        <w:r>
          <w:rPr>
            <w:noProof/>
            <w:webHidden/>
          </w:rPr>
          <w:fldChar w:fldCharType="end"/>
        </w:r>
      </w:hyperlink>
    </w:p>
    <w:p w14:paraId="0F2BDA29" w14:textId="296E5AE1"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56" w:history="1">
        <w:r w:rsidRPr="00423D1E">
          <w:rPr>
            <w:rStyle w:val="Hipercze"/>
            <w:noProof/>
          </w:rPr>
          <w:t>Tabela 1.11. Projekcje emisji amoniaku, według sektorów (kategorii NFR), dla scenariusza WAM</w:t>
        </w:r>
        <w:r>
          <w:rPr>
            <w:noProof/>
            <w:webHidden/>
          </w:rPr>
          <w:tab/>
        </w:r>
        <w:r>
          <w:rPr>
            <w:noProof/>
            <w:webHidden/>
          </w:rPr>
          <w:fldChar w:fldCharType="begin"/>
        </w:r>
        <w:r>
          <w:rPr>
            <w:noProof/>
            <w:webHidden/>
          </w:rPr>
          <w:instrText xml:space="preserve"> PAGEREF _Toc202966956 \h </w:instrText>
        </w:r>
        <w:r>
          <w:rPr>
            <w:noProof/>
            <w:webHidden/>
          </w:rPr>
        </w:r>
        <w:r>
          <w:rPr>
            <w:noProof/>
            <w:webHidden/>
          </w:rPr>
          <w:fldChar w:fldCharType="separate"/>
        </w:r>
        <w:r>
          <w:rPr>
            <w:noProof/>
            <w:webHidden/>
          </w:rPr>
          <w:t>20</w:t>
        </w:r>
        <w:r>
          <w:rPr>
            <w:noProof/>
            <w:webHidden/>
          </w:rPr>
          <w:fldChar w:fldCharType="end"/>
        </w:r>
      </w:hyperlink>
    </w:p>
    <w:p w14:paraId="205D09FF" w14:textId="05915128"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57" w:history="1">
        <w:r w:rsidRPr="00423D1E">
          <w:rPr>
            <w:rStyle w:val="Hipercze"/>
            <w:noProof/>
          </w:rPr>
          <w:t>Tabela 1.12. Projekcje emisji pyłu PM2.5, według sektorów (kategorii NFR), dla scenariusza WAM</w:t>
        </w:r>
        <w:r>
          <w:rPr>
            <w:noProof/>
            <w:webHidden/>
          </w:rPr>
          <w:tab/>
        </w:r>
        <w:r>
          <w:rPr>
            <w:noProof/>
            <w:webHidden/>
          </w:rPr>
          <w:fldChar w:fldCharType="begin"/>
        </w:r>
        <w:r>
          <w:rPr>
            <w:noProof/>
            <w:webHidden/>
          </w:rPr>
          <w:instrText xml:space="preserve"> PAGEREF _Toc202966957 \h </w:instrText>
        </w:r>
        <w:r>
          <w:rPr>
            <w:noProof/>
            <w:webHidden/>
          </w:rPr>
        </w:r>
        <w:r>
          <w:rPr>
            <w:noProof/>
            <w:webHidden/>
          </w:rPr>
          <w:fldChar w:fldCharType="separate"/>
        </w:r>
        <w:r>
          <w:rPr>
            <w:noProof/>
            <w:webHidden/>
          </w:rPr>
          <w:t>21</w:t>
        </w:r>
        <w:r>
          <w:rPr>
            <w:noProof/>
            <w:webHidden/>
          </w:rPr>
          <w:fldChar w:fldCharType="end"/>
        </w:r>
      </w:hyperlink>
    </w:p>
    <w:p w14:paraId="2C5550D5" w14:textId="4CC4F16F"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58" w:history="1">
        <w:r w:rsidRPr="00423D1E">
          <w:rPr>
            <w:rStyle w:val="Hipercze"/>
            <w:noProof/>
          </w:rPr>
          <w:t>Tabela 1.13. Prognozowana redukcja emisji zanieczyszczeń powietrza w latach 2025-2040 w stosunku do celów określonych w dyrektywie NEC, dla scenariusza WAM</w:t>
        </w:r>
        <w:r>
          <w:rPr>
            <w:noProof/>
            <w:webHidden/>
          </w:rPr>
          <w:tab/>
        </w:r>
        <w:r>
          <w:rPr>
            <w:noProof/>
            <w:webHidden/>
          </w:rPr>
          <w:fldChar w:fldCharType="begin"/>
        </w:r>
        <w:r>
          <w:rPr>
            <w:noProof/>
            <w:webHidden/>
          </w:rPr>
          <w:instrText xml:space="preserve"> PAGEREF _Toc202966958 \h </w:instrText>
        </w:r>
        <w:r>
          <w:rPr>
            <w:noProof/>
            <w:webHidden/>
          </w:rPr>
        </w:r>
        <w:r>
          <w:rPr>
            <w:noProof/>
            <w:webHidden/>
          </w:rPr>
          <w:fldChar w:fldCharType="separate"/>
        </w:r>
        <w:r>
          <w:rPr>
            <w:noProof/>
            <w:webHidden/>
          </w:rPr>
          <w:t>22</w:t>
        </w:r>
        <w:r>
          <w:rPr>
            <w:noProof/>
            <w:webHidden/>
          </w:rPr>
          <w:fldChar w:fldCharType="end"/>
        </w:r>
      </w:hyperlink>
    </w:p>
    <w:p w14:paraId="600AC302" w14:textId="52858D7F"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59" w:history="1">
        <w:r w:rsidRPr="00423D1E">
          <w:rPr>
            <w:rStyle w:val="Hipercze"/>
            <w:noProof/>
          </w:rPr>
          <w:t>Tabela 1.14. Projekcje emisji gazów cieplarnianych dla scenariuszy WEM i WAM, według sektorów</w:t>
        </w:r>
        <w:r>
          <w:rPr>
            <w:noProof/>
            <w:webHidden/>
          </w:rPr>
          <w:tab/>
        </w:r>
        <w:r>
          <w:rPr>
            <w:noProof/>
            <w:webHidden/>
          </w:rPr>
          <w:fldChar w:fldCharType="begin"/>
        </w:r>
        <w:r>
          <w:rPr>
            <w:noProof/>
            <w:webHidden/>
          </w:rPr>
          <w:instrText xml:space="preserve"> PAGEREF _Toc202966959 \h </w:instrText>
        </w:r>
        <w:r>
          <w:rPr>
            <w:noProof/>
            <w:webHidden/>
          </w:rPr>
        </w:r>
        <w:r>
          <w:rPr>
            <w:noProof/>
            <w:webHidden/>
          </w:rPr>
          <w:fldChar w:fldCharType="separate"/>
        </w:r>
        <w:r>
          <w:rPr>
            <w:noProof/>
            <w:webHidden/>
          </w:rPr>
          <w:t>22</w:t>
        </w:r>
        <w:r>
          <w:rPr>
            <w:noProof/>
            <w:webHidden/>
          </w:rPr>
          <w:fldChar w:fldCharType="end"/>
        </w:r>
      </w:hyperlink>
    </w:p>
    <w:p w14:paraId="17E81672" w14:textId="4838B975"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60" w:history="1">
        <w:r w:rsidRPr="00423D1E">
          <w:rPr>
            <w:rStyle w:val="Hipercze"/>
            <w:noProof/>
          </w:rPr>
          <w:t>Tabela 1.15. Prognozy zmiany emisji gazów cieplarnianych w sektorze 1A. Spalanie paliw, scenariusz WAM vs. WEM</w:t>
        </w:r>
        <w:r>
          <w:rPr>
            <w:noProof/>
            <w:webHidden/>
          </w:rPr>
          <w:tab/>
        </w:r>
        <w:r>
          <w:rPr>
            <w:noProof/>
            <w:webHidden/>
          </w:rPr>
          <w:fldChar w:fldCharType="begin"/>
        </w:r>
        <w:r>
          <w:rPr>
            <w:noProof/>
            <w:webHidden/>
          </w:rPr>
          <w:instrText xml:space="preserve"> PAGEREF _Toc202966960 \h </w:instrText>
        </w:r>
        <w:r>
          <w:rPr>
            <w:noProof/>
            <w:webHidden/>
          </w:rPr>
        </w:r>
        <w:r>
          <w:rPr>
            <w:noProof/>
            <w:webHidden/>
          </w:rPr>
          <w:fldChar w:fldCharType="separate"/>
        </w:r>
        <w:r>
          <w:rPr>
            <w:noProof/>
            <w:webHidden/>
          </w:rPr>
          <w:t>23</w:t>
        </w:r>
        <w:r>
          <w:rPr>
            <w:noProof/>
            <w:webHidden/>
          </w:rPr>
          <w:fldChar w:fldCharType="end"/>
        </w:r>
      </w:hyperlink>
    </w:p>
    <w:p w14:paraId="3DB1CA69" w14:textId="148B941C"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61" w:history="1">
        <w:r w:rsidRPr="00423D1E">
          <w:rPr>
            <w:rStyle w:val="Hipercze"/>
            <w:noProof/>
          </w:rPr>
          <w:t>Tabela 1.16. Projekcje emisji gazów cieplarnianych w podziale na ETS i non-ETS, dla scenariuszy WEM i WAM</w:t>
        </w:r>
        <w:r>
          <w:rPr>
            <w:noProof/>
            <w:webHidden/>
          </w:rPr>
          <w:tab/>
        </w:r>
        <w:r>
          <w:rPr>
            <w:noProof/>
            <w:webHidden/>
          </w:rPr>
          <w:fldChar w:fldCharType="begin"/>
        </w:r>
        <w:r>
          <w:rPr>
            <w:noProof/>
            <w:webHidden/>
          </w:rPr>
          <w:instrText xml:space="preserve"> PAGEREF _Toc202966961 \h </w:instrText>
        </w:r>
        <w:r>
          <w:rPr>
            <w:noProof/>
            <w:webHidden/>
          </w:rPr>
        </w:r>
        <w:r>
          <w:rPr>
            <w:noProof/>
            <w:webHidden/>
          </w:rPr>
          <w:fldChar w:fldCharType="separate"/>
        </w:r>
        <w:r>
          <w:rPr>
            <w:noProof/>
            <w:webHidden/>
          </w:rPr>
          <w:t>26</w:t>
        </w:r>
        <w:r>
          <w:rPr>
            <w:noProof/>
            <w:webHidden/>
          </w:rPr>
          <w:fldChar w:fldCharType="end"/>
        </w:r>
      </w:hyperlink>
    </w:p>
    <w:p w14:paraId="68AF046B" w14:textId="0B8C9DB4"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62" w:history="1">
        <w:r w:rsidRPr="00423D1E">
          <w:rPr>
            <w:rStyle w:val="Hipercze"/>
            <w:noProof/>
          </w:rPr>
          <w:t>Tabela 1.17. Prognozy zmiany emisji dwutlenku siarki, według sektorów (kategorii NFR), scenariusz WAM vs. WEM</w:t>
        </w:r>
        <w:r>
          <w:rPr>
            <w:noProof/>
            <w:webHidden/>
          </w:rPr>
          <w:tab/>
        </w:r>
        <w:r>
          <w:rPr>
            <w:noProof/>
            <w:webHidden/>
          </w:rPr>
          <w:fldChar w:fldCharType="begin"/>
        </w:r>
        <w:r>
          <w:rPr>
            <w:noProof/>
            <w:webHidden/>
          </w:rPr>
          <w:instrText xml:space="preserve"> PAGEREF _Toc202966962 \h </w:instrText>
        </w:r>
        <w:r>
          <w:rPr>
            <w:noProof/>
            <w:webHidden/>
          </w:rPr>
        </w:r>
        <w:r>
          <w:rPr>
            <w:noProof/>
            <w:webHidden/>
          </w:rPr>
          <w:fldChar w:fldCharType="separate"/>
        </w:r>
        <w:r>
          <w:rPr>
            <w:noProof/>
            <w:webHidden/>
          </w:rPr>
          <w:t>26</w:t>
        </w:r>
        <w:r>
          <w:rPr>
            <w:noProof/>
            <w:webHidden/>
          </w:rPr>
          <w:fldChar w:fldCharType="end"/>
        </w:r>
      </w:hyperlink>
    </w:p>
    <w:p w14:paraId="1D497AC1" w14:textId="63BCF14C"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63" w:history="1">
        <w:r w:rsidRPr="00423D1E">
          <w:rPr>
            <w:rStyle w:val="Hipercze"/>
            <w:noProof/>
          </w:rPr>
          <w:t>Tabela 1.18. Prognozy zmiany emisji tlenków azotu, według sektorów (kategorii NFR), scenariusz WAM vs. WEM</w:t>
        </w:r>
        <w:r>
          <w:rPr>
            <w:noProof/>
            <w:webHidden/>
          </w:rPr>
          <w:tab/>
        </w:r>
        <w:r>
          <w:rPr>
            <w:noProof/>
            <w:webHidden/>
          </w:rPr>
          <w:fldChar w:fldCharType="begin"/>
        </w:r>
        <w:r>
          <w:rPr>
            <w:noProof/>
            <w:webHidden/>
          </w:rPr>
          <w:instrText xml:space="preserve"> PAGEREF _Toc202966963 \h </w:instrText>
        </w:r>
        <w:r>
          <w:rPr>
            <w:noProof/>
            <w:webHidden/>
          </w:rPr>
        </w:r>
        <w:r>
          <w:rPr>
            <w:noProof/>
            <w:webHidden/>
          </w:rPr>
          <w:fldChar w:fldCharType="separate"/>
        </w:r>
        <w:r>
          <w:rPr>
            <w:noProof/>
            <w:webHidden/>
          </w:rPr>
          <w:t>27</w:t>
        </w:r>
        <w:r>
          <w:rPr>
            <w:noProof/>
            <w:webHidden/>
          </w:rPr>
          <w:fldChar w:fldCharType="end"/>
        </w:r>
      </w:hyperlink>
    </w:p>
    <w:p w14:paraId="26F6F796" w14:textId="2A96548D"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64" w:history="1">
        <w:r w:rsidRPr="00423D1E">
          <w:rPr>
            <w:rStyle w:val="Hipercze"/>
            <w:noProof/>
          </w:rPr>
          <w:t>Tabela 1.19. Prognozy zmiany emisji NMLZO, według sektorów (kategorii NFR), scenariusz WAM vs. WEM</w:t>
        </w:r>
        <w:r>
          <w:rPr>
            <w:noProof/>
            <w:webHidden/>
          </w:rPr>
          <w:tab/>
        </w:r>
        <w:r>
          <w:rPr>
            <w:noProof/>
            <w:webHidden/>
          </w:rPr>
          <w:fldChar w:fldCharType="begin"/>
        </w:r>
        <w:r>
          <w:rPr>
            <w:noProof/>
            <w:webHidden/>
          </w:rPr>
          <w:instrText xml:space="preserve"> PAGEREF _Toc202966964 \h </w:instrText>
        </w:r>
        <w:r>
          <w:rPr>
            <w:noProof/>
            <w:webHidden/>
          </w:rPr>
        </w:r>
        <w:r>
          <w:rPr>
            <w:noProof/>
            <w:webHidden/>
          </w:rPr>
          <w:fldChar w:fldCharType="separate"/>
        </w:r>
        <w:r>
          <w:rPr>
            <w:noProof/>
            <w:webHidden/>
          </w:rPr>
          <w:t>28</w:t>
        </w:r>
        <w:r>
          <w:rPr>
            <w:noProof/>
            <w:webHidden/>
          </w:rPr>
          <w:fldChar w:fldCharType="end"/>
        </w:r>
      </w:hyperlink>
    </w:p>
    <w:p w14:paraId="6B84F52E" w14:textId="17AA3206"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65" w:history="1">
        <w:r w:rsidRPr="00423D1E">
          <w:rPr>
            <w:rStyle w:val="Hipercze"/>
            <w:noProof/>
          </w:rPr>
          <w:t>Tabela 1.20. Prognozy zmiany emisji amoniaku, według sektorów (kategorii NFR), scenariusz WAM vs. WEM</w:t>
        </w:r>
        <w:r>
          <w:rPr>
            <w:noProof/>
            <w:webHidden/>
          </w:rPr>
          <w:tab/>
        </w:r>
        <w:r>
          <w:rPr>
            <w:noProof/>
            <w:webHidden/>
          </w:rPr>
          <w:fldChar w:fldCharType="begin"/>
        </w:r>
        <w:r>
          <w:rPr>
            <w:noProof/>
            <w:webHidden/>
          </w:rPr>
          <w:instrText xml:space="preserve"> PAGEREF _Toc202966965 \h </w:instrText>
        </w:r>
        <w:r>
          <w:rPr>
            <w:noProof/>
            <w:webHidden/>
          </w:rPr>
        </w:r>
        <w:r>
          <w:rPr>
            <w:noProof/>
            <w:webHidden/>
          </w:rPr>
          <w:fldChar w:fldCharType="separate"/>
        </w:r>
        <w:r>
          <w:rPr>
            <w:noProof/>
            <w:webHidden/>
          </w:rPr>
          <w:t>28</w:t>
        </w:r>
        <w:r>
          <w:rPr>
            <w:noProof/>
            <w:webHidden/>
          </w:rPr>
          <w:fldChar w:fldCharType="end"/>
        </w:r>
      </w:hyperlink>
    </w:p>
    <w:p w14:paraId="66BECEAF" w14:textId="00713203"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66" w:history="1">
        <w:r w:rsidRPr="00423D1E">
          <w:rPr>
            <w:rStyle w:val="Hipercze"/>
            <w:noProof/>
          </w:rPr>
          <w:t>Tabela 1.21. Prognozy zmiany emisji PM2,5, według sektorów (kategorii NFR), scenariusz WAM vs. WEM</w:t>
        </w:r>
        <w:r>
          <w:rPr>
            <w:noProof/>
            <w:webHidden/>
          </w:rPr>
          <w:tab/>
        </w:r>
        <w:r>
          <w:rPr>
            <w:noProof/>
            <w:webHidden/>
          </w:rPr>
          <w:fldChar w:fldCharType="begin"/>
        </w:r>
        <w:r>
          <w:rPr>
            <w:noProof/>
            <w:webHidden/>
          </w:rPr>
          <w:instrText xml:space="preserve"> PAGEREF _Toc202966966 \h </w:instrText>
        </w:r>
        <w:r>
          <w:rPr>
            <w:noProof/>
            <w:webHidden/>
          </w:rPr>
        </w:r>
        <w:r>
          <w:rPr>
            <w:noProof/>
            <w:webHidden/>
          </w:rPr>
          <w:fldChar w:fldCharType="separate"/>
        </w:r>
        <w:r>
          <w:rPr>
            <w:noProof/>
            <w:webHidden/>
          </w:rPr>
          <w:t>29</w:t>
        </w:r>
        <w:r>
          <w:rPr>
            <w:noProof/>
            <w:webHidden/>
          </w:rPr>
          <w:fldChar w:fldCharType="end"/>
        </w:r>
      </w:hyperlink>
    </w:p>
    <w:p w14:paraId="410BFBD9" w14:textId="1D518597"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67" w:history="1">
        <w:r w:rsidRPr="00423D1E">
          <w:rPr>
            <w:rStyle w:val="Hipercze"/>
            <w:noProof/>
          </w:rPr>
          <w:t>Tabela 1.22. Pojemność magazynów ciepła w Polsce w ciepłownictwie systemowym w latach 2020-2040</w:t>
        </w:r>
        <w:r>
          <w:rPr>
            <w:noProof/>
            <w:webHidden/>
          </w:rPr>
          <w:tab/>
        </w:r>
        <w:r>
          <w:rPr>
            <w:noProof/>
            <w:webHidden/>
          </w:rPr>
          <w:fldChar w:fldCharType="begin"/>
        </w:r>
        <w:r>
          <w:rPr>
            <w:noProof/>
            <w:webHidden/>
          </w:rPr>
          <w:instrText xml:space="preserve"> PAGEREF _Toc202966967 \h </w:instrText>
        </w:r>
        <w:r>
          <w:rPr>
            <w:noProof/>
            <w:webHidden/>
          </w:rPr>
        </w:r>
        <w:r>
          <w:rPr>
            <w:noProof/>
            <w:webHidden/>
          </w:rPr>
          <w:fldChar w:fldCharType="separate"/>
        </w:r>
        <w:r>
          <w:rPr>
            <w:noProof/>
            <w:webHidden/>
          </w:rPr>
          <w:t>34</w:t>
        </w:r>
        <w:r>
          <w:rPr>
            <w:noProof/>
            <w:webHidden/>
          </w:rPr>
          <w:fldChar w:fldCharType="end"/>
        </w:r>
      </w:hyperlink>
    </w:p>
    <w:p w14:paraId="03C9795F" w14:textId="26CB7645"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68" w:history="1">
        <w:r w:rsidRPr="00423D1E">
          <w:rPr>
            <w:rStyle w:val="Hipercze"/>
            <w:noProof/>
          </w:rPr>
          <w:t>Tabela 1.23. Sektorowe i całkowite zużycie energii końcowej brutto ze źródeł odnawialnych</w:t>
        </w:r>
        <w:r>
          <w:rPr>
            <w:noProof/>
            <w:webHidden/>
          </w:rPr>
          <w:tab/>
        </w:r>
        <w:r>
          <w:rPr>
            <w:noProof/>
            <w:webHidden/>
          </w:rPr>
          <w:fldChar w:fldCharType="begin"/>
        </w:r>
        <w:r>
          <w:rPr>
            <w:noProof/>
            <w:webHidden/>
          </w:rPr>
          <w:instrText xml:space="preserve"> PAGEREF _Toc202966968 \h </w:instrText>
        </w:r>
        <w:r>
          <w:rPr>
            <w:noProof/>
            <w:webHidden/>
          </w:rPr>
        </w:r>
        <w:r>
          <w:rPr>
            <w:noProof/>
            <w:webHidden/>
          </w:rPr>
          <w:fldChar w:fldCharType="separate"/>
        </w:r>
        <w:r>
          <w:rPr>
            <w:noProof/>
            <w:webHidden/>
          </w:rPr>
          <w:t>39</w:t>
        </w:r>
        <w:r>
          <w:rPr>
            <w:noProof/>
            <w:webHidden/>
          </w:rPr>
          <w:fldChar w:fldCharType="end"/>
        </w:r>
      </w:hyperlink>
    </w:p>
    <w:p w14:paraId="6341D434" w14:textId="16A5ADF8"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69" w:history="1">
        <w:r w:rsidRPr="00423D1E">
          <w:rPr>
            <w:rStyle w:val="Hipercze"/>
            <w:noProof/>
          </w:rPr>
          <w:t>Tabela 1.24. Sektor elektroenergetyczny</w:t>
        </w:r>
        <w:r>
          <w:rPr>
            <w:noProof/>
            <w:webHidden/>
          </w:rPr>
          <w:tab/>
        </w:r>
        <w:r>
          <w:rPr>
            <w:noProof/>
            <w:webHidden/>
          </w:rPr>
          <w:fldChar w:fldCharType="begin"/>
        </w:r>
        <w:r>
          <w:rPr>
            <w:noProof/>
            <w:webHidden/>
          </w:rPr>
          <w:instrText xml:space="preserve"> PAGEREF _Toc202966969 \h </w:instrText>
        </w:r>
        <w:r>
          <w:rPr>
            <w:noProof/>
            <w:webHidden/>
          </w:rPr>
        </w:r>
        <w:r>
          <w:rPr>
            <w:noProof/>
            <w:webHidden/>
          </w:rPr>
          <w:fldChar w:fldCharType="separate"/>
        </w:r>
        <w:r>
          <w:rPr>
            <w:noProof/>
            <w:webHidden/>
          </w:rPr>
          <w:t>39</w:t>
        </w:r>
        <w:r>
          <w:rPr>
            <w:noProof/>
            <w:webHidden/>
          </w:rPr>
          <w:fldChar w:fldCharType="end"/>
        </w:r>
      </w:hyperlink>
    </w:p>
    <w:p w14:paraId="6F76AC8C" w14:textId="103D60CF"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70" w:history="1">
        <w:r w:rsidRPr="00423D1E">
          <w:rPr>
            <w:rStyle w:val="Hipercze"/>
            <w:noProof/>
          </w:rPr>
          <w:t>Tabela 1.25. Sektor ciepłownictwa i chłodnictwa</w:t>
        </w:r>
        <w:r>
          <w:rPr>
            <w:noProof/>
            <w:webHidden/>
          </w:rPr>
          <w:tab/>
        </w:r>
        <w:r>
          <w:rPr>
            <w:noProof/>
            <w:webHidden/>
          </w:rPr>
          <w:fldChar w:fldCharType="begin"/>
        </w:r>
        <w:r>
          <w:rPr>
            <w:noProof/>
            <w:webHidden/>
          </w:rPr>
          <w:instrText xml:space="preserve"> PAGEREF _Toc202966970 \h </w:instrText>
        </w:r>
        <w:r>
          <w:rPr>
            <w:noProof/>
            <w:webHidden/>
          </w:rPr>
        </w:r>
        <w:r>
          <w:rPr>
            <w:noProof/>
            <w:webHidden/>
          </w:rPr>
          <w:fldChar w:fldCharType="separate"/>
        </w:r>
        <w:r>
          <w:rPr>
            <w:noProof/>
            <w:webHidden/>
          </w:rPr>
          <w:t>40</w:t>
        </w:r>
        <w:r>
          <w:rPr>
            <w:noProof/>
            <w:webHidden/>
          </w:rPr>
          <w:fldChar w:fldCharType="end"/>
        </w:r>
      </w:hyperlink>
    </w:p>
    <w:p w14:paraId="36C67903" w14:textId="26214544"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71" w:history="1">
        <w:r w:rsidRPr="00423D1E">
          <w:rPr>
            <w:rStyle w:val="Hipercze"/>
            <w:noProof/>
          </w:rPr>
          <w:t>Tabela 1.26. Sektor transportu – uwzględnieniem mnożników dla rozliczenia celu OZE zgodnie z RED II.</w:t>
        </w:r>
        <w:r>
          <w:rPr>
            <w:noProof/>
            <w:webHidden/>
          </w:rPr>
          <w:tab/>
        </w:r>
        <w:r>
          <w:rPr>
            <w:noProof/>
            <w:webHidden/>
          </w:rPr>
          <w:fldChar w:fldCharType="begin"/>
        </w:r>
        <w:r>
          <w:rPr>
            <w:noProof/>
            <w:webHidden/>
          </w:rPr>
          <w:instrText xml:space="preserve"> PAGEREF _Toc202966971 \h </w:instrText>
        </w:r>
        <w:r>
          <w:rPr>
            <w:noProof/>
            <w:webHidden/>
          </w:rPr>
        </w:r>
        <w:r>
          <w:rPr>
            <w:noProof/>
            <w:webHidden/>
          </w:rPr>
          <w:fldChar w:fldCharType="separate"/>
        </w:r>
        <w:r>
          <w:rPr>
            <w:noProof/>
            <w:webHidden/>
          </w:rPr>
          <w:t>41</w:t>
        </w:r>
        <w:r>
          <w:rPr>
            <w:noProof/>
            <w:webHidden/>
          </w:rPr>
          <w:fldChar w:fldCharType="end"/>
        </w:r>
      </w:hyperlink>
    </w:p>
    <w:p w14:paraId="771D2F32" w14:textId="54A5A7DD"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72" w:history="1">
        <w:r w:rsidRPr="00423D1E">
          <w:rPr>
            <w:rStyle w:val="Hipercze"/>
            <w:noProof/>
          </w:rPr>
          <w:t>Tabela 1.27. Wytwarzanie energii elektrycznej z odnawialnych źródeł energii w budynkach [GWh]</w:t>
        </w:r>
        <w:r>
          <w:rPr>
            <w:noProof/>
            <w:webHidden/>
          </w:rPr>
          <w:tab/>
        </w:r>
        <w:r>
          <w:rPr>
            <w:noProof/>
            <w:webHidden/>
          </w:rPr>
          <w:fldChar w:fldCharType="begin"/>
        </w:r>
        <w:r>
          <w:rPr>
            <w:noProof/>
            <w:webHidden/>
          </w:rPr>
          <w:instrText xml:space="preserve"> PAGEREF _Toc202966972 \h </w:instrText>
        </w:r>
        <w:r>
          <w:rPr>
            <w:noProof/>
            <w:webHidden/>
          </w:rPr>
        </w:r>
        <w:r>
          <w:rPr>
            <w:noProof/>
            <w:webHidden/>
          </w:rPr>
          <w:fldChar w:fldCharType="separate"/>
        </w:r>
        <w:r>
          <w:rPr>
            <w:noProof/>
            <w:webHidden/>
          </w:rPr>
          <w:t>42</w:t>
        </w:r>
        <w:r>
          <w:rPr>
            <w:noProof/>
            <w:webHidden/>
          </w:rPr>
          <w:fldChar w:fldCharType="end"/>
        </w:r>
      </w:hyperlink>
    </w:p>
    <w:p w14:paraId="35A87977" w14:textId="297F8DD5"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73" w:history="1">
        <w:r w:rsidRPr="00423D1E">
          <w:rPr>
            <w:rStyle w:val="Hipercze"/>
            <w:noProof/>
          </w:rPr>
          <w:t>Tabela 1.28. Wytwarzanie ciepła z odnawialnych źródeł energii w budynkach [ktoe]</w:t>
        </w:r>
        <w:r>
          <w:rPr>
            <w:noProof/>
            <w:webHidden/>
          </w:rPr>
          <w:tab/>
        </w:r>
        <w:r>
          <w:rPr>
            <w:noProof/>
            <w:webHidden/>
          </w:rPr>
          <w:fldChar w:fldCharType="begin"/>
        </w:r>
        <w:r>
          <w:rPr>
            <w:noProof/>
            <w:webHidden/>
          </w:rPr>
          <w:instrText xml:space="preserve"> PAGEREF _Toc202966973 \h </w:instrText>
        </w:r>
        <w:r>
          <w:rPr>
            <w:noProof/>
            <w:webHidden/>
          </w:rPr>
        </w:r>
        <w:r>
          <w:rPr>
            <w:noProof/>
            <w:webHidden/>
          </w:rPr>
          <w:fldChar w:fldCharType="separate"/>
        </w:r>
        <w:r>
          <w:rPr>
            <w:noProof/>
            <w:webHidden/>
          </w:rPr>
          <w:t>43</w:t>
        </w:r>
        <w:r>
          <w:rPr>
            <w:noProof/>
            <w:webHidden/>
          </w:rPr>
          <w:fldChar w:fldCharType="end"/>
        </w:r>
      </w:hyperlink>
    </w:p>
    <w:p w14:paraId="1B489E14" w14:textId="10A2155E"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74" w:history="1">
        <w:r w:rsidRPr="00423D1E">
          <w:rPr>
            <w:rStyle w:val="Hipercze"/>
            <w:noProof/>
          </w:rPr>
          <w:t>Tabela 1.29 OZE w budynkach [ktoe]</w:t>
        </w:r>
        <w:r>
          <w:rPr>
            <w:noProof/>
            <w:webHidden/>
          </w:rPr>
          <w:tab/>
        </w:r>
        <w:r>
          <w:rPr>
            <w:noProof/>
            <w:webHidden/>
          </w:rPr>
          <w:fldChar w:fldCharType="begin"/>
        </w:r>
        <w:r>
          <w:rPr>
            <w:noProof/>
            <w:webHidden/>
          </w:rPr>
          <w:instrText xml:space="preserve"> PAGEREF _Toc202966974 \h </w:instrText>
        </w:r>
        <w:r>
          <w:rPr>
            <w:noProof/>
            <w:webHidden/>
          </w:rPr>
        </w:r>
        <w:r>
          <w:rPr>
            <w:noProof/>
            <w:webHidden/>
          </w:rPr>
          <w:fldChar w:fldCharType="separate"/>
        </w:r>
        <w:r>
          <w:rPr>
            <w:noProof/>
            <w:webHidden/>
          </w:rPr>
          <w:t>43</w:t>
        </w:r>
        <w:r>
          <w:rPr>
            <w:noProof/>
            <w:webHidden/>
          </w:rPr>
          <w:fldChar w:fldCharType="end"/>
        </w:r>
      </w:hyperlink>
    </w:p>
    <w:p w14:paraId="4BE5228E" w14:textId="51B88AF3"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75" w:history="1">
        <w:r w:rsidRPr="00423D1E">
          <w:rPr>
            <w:rStyle w:val="Hipercze"/>
            <w:noProof/>
          </w:rPr>
          <w:t>Tabela 1.30. OZE* w przemyśle [ktoe]</w:t>
        </w:r>
        <w:r>
          <w:rPr>
            <w:noProof/>
            <w:webHidden/>
          </w:rPr>
          <w:tab/>
        </w:r>
        <w:r>
          <w:rPr>
            <w:noProof/>
            <w:webHidden/>
          </w:rPr>
          <w:fldChar w:fldCharType="begin"/>
        </w:r>
        <w:r>
          <w:rPr>
            <w:noProof/>
            <w:webHidden/>
          </w:rPr>
          <w:instrText xml:space="preserve"> PAGEREF _Toc202966975 \h </w:instrText>
        </w:r>
        <w:r>
          <w:rPr>
            <w:noProof/>
            <w:webHidden/>
          </w:rPr>
        </w:r>
        <w:r>
          <w:rPr>
            <w:noProof/>
            <w:webHidden/>
          </w:rPr>
          <w:fldChar w:fldCharType="separate"/>
        </w:r>
        <w:r>
          <w:rPr>
            <w:noProof/>
            <w:webHidden/>
          </w:rPr>
          <w:t>43</w:t>
        </w:r>
        <w:r>
          <w:rPr>
            <w:noProof/>
            <w:webHidden/>
          </w:rPr>
          <w:fldChar w:fldCharType="end"/>
        </w:r>
      </w:hyperlink>
    </w:p>
    <w:p w14:paraId="306B91C1" w14:textId="2D6D3530"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76" w:history="1">
        <w:r w:rsidRPr="00423D1E">
          <w:rPr>
            <w:rStyle w:val="Hipercze"/>
            <w:noProof/>
          </w:rPr>
          <w:t>Tabela 2.1. Zużycie energii pierwotnej i finalnej ogółem [ktoe]</w:t>
        </w:r>
        <w:r>
          <w:rPr>
            <w:noProof/>
            <w:webHidden/>
          </w:rPr>
          <w:tab/>
        </w:r>
        <w:r>
          <w:rPr>
            <w:noProof/>
            <w:webHidden/>
          </w:rPr>
          <w:fldChar w:fldCharType="begin"/>
        </w:r>
        <w:r>
          <w:rPr>
            <w:noProof/>
            <w:webHidden/>
          </w:rPr>
          <w:instrText xml:space="preserve"> PAGEREF _Toc202966976 \h </w:instrText>
        </w:r>
        <w:r>
          <w:rPr>
            <w:noProof/>
            <w:webHidden/>
          </w:rPr>
        </w:r>
        <w:r>
          <w:rPr>
            <w:noProof/>
            <w:webHidden/>
          </w:rPr>
          <w:fldChar w:fldCharType="separate"/>
        </w:r>
        <w:r>
          <w:rPr>
            <w:noProof/>
            <w:webHidden/>
          </w:rPr>
          <w:t>46</w:t>
        </w:r>
        <w:r>
          <w:rPr>
            <w:noProof/>
            <w:webHidden/>
          </w:rPr>
          <w:fldChar w:fldCharType="end"/>
        </w:r>
      </w:hyperlink>
    </w:p>
    <w:p w14:paraId="29C36FBB" w14:textId="3EA7EB12"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77" w:history="1">
        <w:r w:rsidRPr="00423D1E">
          <w:rPr>
            <w:rStyle w:val="Hipercze"/>
            <w:noProof/>
          </w:rPr>
          <w:t>Tabela 2.2. Zużycie energii finalnej w podziale na sektory (bez zużycia nieenergetycznego) [ktoe]</w:t>
        </w:r>
        <w:r>
          <w:rPr>
            <w:noProof/>
            <w:webHidden/>
          </w:rPr>
          <w:tab/>
        </w:r>
        <w:r>
          <w:rPr>
            <w:noProof/>
            <w:webHidden/>
          </w:rPr>
          <w:fldChar w:fldCharType="begin"/>
        </w:r>
        <w:r>
          <w:rPr>
            <w:noProof/>
            <w:webHidden/>
          </w:rPr>
          <w:instrText xml:space="preserve"> PAGEREF _Toc202966977 \h </w:instrText>
        </w:r>
        <w:r>
          <w:rPr>
            <w:noProof/>
            <w:webHidden/>
          </w:rPr>
        </w:r>
        <w:r>
          <w:rPr>
            <w:noProof/>
            <w:webHidden/>
          </w:rPr>
          <w:fldChar w:fldCharType="separate"/>
        </w:r>
        <w:r>
          <w:rPr>
            <w:noProof/>
            <w:webHidden/>
          </w:rPr>
          <w:t>47</w:t>
        </w:r>
        <w:r>
          <w:rPr>
            <w:noProof/>
            <w:webHidden/>
          </w:rPr>
          <w:fldChar w:fldCharType="end"/>
        </w:r>
      </w:hyperlink>
    </w:p>
    <w:p w14:paraId="49A231E0" w14:textId="3F5B28D7"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78" w:history="1">
        <w:r w:rsidRPr="00423D1E">
          <w:rPr>
            <w:rStyle w:val="Hipercze"/>
            <w:noProof/>
          </w:rPr>
          <w:t>Tabela 2.3. Zużycie energii finalnej w podziale na paliwa i nośniki [ktoe]</w:t>
        </w:r>
        <w:r>
          <w:rPr>
            <w:noProof/>
            <w:webHidden/>
          </w:rPr>
          <w:tab/>
        </w:r>
        <w:r>
          <w:rPr>
            <w:noProof/>
            <w:webHidden/>
          </w:rPr>
          <w:fldChar w:fldCharType="begin"/>
        </w:r>
        <w:r>
          <w:rPr>
            <w:noProof/>
            <w:webHidden/>
          </w:rPr>
          <w:instrText xml:space="preserve"> PAGEREF _Toc202966978 \h </w:instrText>
        </w:r>
        <w:r>
          <w:rPr>
            <w:noProof/>
            <w:webHidden/>
          </w:rPr>
        </w:r>
        <w:r>
          <w:rPr>
            <w:noProof/>
            <w:webHidden/>
          </w:rPr>
          <w:fldChar w:fldCharType="separate"/>
        </w:r>
        <w:r>
          <w:rPr>
            <w:noProof/>
            <w:webHidden/>
          </w:rPr>
          <w:t>50</w:t>
        </w:r>
        <w:r>
          <w:rPr>
            <w:noProof/>
            <w:webHidden/>
          </w:rPr>
          <w:fldChar w:fldCharType="end"/>
        </w:r>
      </w:hyperlink>
    </w:p>
    <w:p w14:paraId="6E602927" w14:textId="0D16F743"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79" w:history="1">
        <w:r w:rsidRPr="00423D1E">
          <w:rPr>
            <w:rStyle w:val="Hipercze"/>
            <w:noProof/>
          </w:rPr>
          <w:t>Tabela 2.4. Zużycie nieenergetyczne w podziale na paliwa [ktoe]</w:t>
        </w:r>
        <w:r>
          <w:rPr>
            <w:noProof/>
            <w:webHidden/>
          </w:rPr>
          <w:tab/>
        </w:r>
        <w:r>
          <w:rPr>
            <w:noProof/>
            <w:webHidden/>
          </w:rPr>
          <w:fldChar w:fldCharType="begin"/>
        </w:r>
        <w:r>
          <w:rPr>
            <w:noProof/>
            <w:webHidden/>
          </w:rPr>
          <w:instrText xml:space="preserve"> PAGEREF _Toc202966979 \h </w:instrText>
        </w:r>
        <w:r>
          <w:rPr>
            <w:noProof/>
            <w:webHidden/>
          </w:rPr>
        </w:r>
        <w:r>
          <w:rPr>
            <w:noProof/>
            <w:webHidden/>
          </w:rPr>
          <w:fldChar w:fldCharType="separate"/>
        </w:r>
        <w:r>
          <w:rPr>
            <w:noProof/>
            <w:webHidden/>
          </w:rPr>
          <w:t>51</w:t>
        </w:r>
        <w:r>
          <w:rPr>
            <w:noProof/>
            <w:webHidden/>
          </w:rPr>
          <w:fldChar w:fldCharType="end"/>
        </w:r>
      </w:hyperlink>
    </w:p>
    <w:p w14:paraId="7A17A1A5" w14:textId="59D69974"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80" w:history="1">
        <w:r w:rsidRPr="00423D1E">
          <w:rPr>
            <w:rStyle w:val="Hipercze"/>
            <w:noProof/>
          </w:rPr>
          <w:t>Tabela 2.5. Wskaźniki intensywności zużycia energii pierwotnej względem PKB [toe/mln EUR’2024]</w:t>
        </w:r>
        <w:r>
          <w:rPr>
            <w:noProof/>
            <w:webHidden/>
          </w:rPr>
          <w:tab/>
        </w:r>
        <w:r>
          <w:rPr>
            <w:noProof/>
            <w:webHidden/>
          </w:rPr>
          <w:fldChar w:fldCharType="begin"/>
        </w:r>
        <w:r>
          <w:rPr>
            <w:noProof/>
            <w:webHidden/>
          </w:rPr>
          <w:instrText xml:space="preserve"> PAGEREF _Toc202966980 \h </w:instrText>
        </w:r>
        <w:r>
          <w:rPr>
            <w:noProof/>
            <w:webHidden/>
          </w:rPr>
        </w:r>
        <w:r>
          <w:rPr>
            <w:noProof/>
            <w:webHidden/>
          </w:rPr>
          <w:fldChar w:fldCharType="separate"/>
        </w:r>
        <w:r>
          <w:rPr>
            <w:noProof/>
            <w:webHidden/>
          </w:rPr>
          <w:t>51</w:t>
        </w:r>
        <w:r>
          <w:rPr>
            <w:noProof/>
            <w:webHidden/>
          </w:rPr>
          <w:fldChar w:fldCharType="end"/>
        </w:r>
      </w:hyperlink>
    </w:p>
    <w:p w14:paraId="77A1271B" w14:textId="15009537"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81" w:history="1">
        <w:r w:rsidRPr="00423D1E">
          <w:rPr>
            <w:rStyle w:val="Hipercze"/>
            <w:noProof/>
          </w:rPr>
          <w:t>Tabela 2.6. Wskaźniki intensywności zużycia energii pierwotnej [toe/Ma]</w:t>
        </w:r>
        <w:r>
          <w:rPr>
            <w:noProof/>
            <w:webHidden/>
          </w:rPr>
          <w:tab/>
        </w:r>
        <w:r>
          <w:rPr>
            <w:noProof/>
            <w:webHidden/>
          </w:rPr>
          <w:fldChar w:fldCharType="begin"/>
        </w:r>
        <w:r>
          <w:rPr>
            <w:noProof/>
            <w:webHidden/>
          </w:rPr>
          <w:instrText xml:space="preserve"> PAGEREF _Toc202966981 \h </w:instrText>
        </w:r>
        <w:r>
          <w:rPr>
            <w:noProof/>
            <w:webHidden/>
          </w:rPr>
        </w:r>
        <w:r>
          <w:rPr>
            <w:noProof/>
            <w:webHidden/>
          </w:rPr>
          <w:fldChar w:fldCharType="separate"/>
        </w:r>
        <w:r>
          <w:rPr>
            <w:noProof/>
            <w:webHidden/>
          </w:rPr>
          <w:t>51</w:t>
        </w:r>
        <w:r>
          <w:rPr>
            <w:noProof/>
            <w:webHidden/>
          </w:rPr>
          <w:fldChar w:fldCharType="end"/>
        </w:r>
      </w:hyperlink>
    </w:p>
    <w:p w14:paraId="7C6633DC" w14:textId="264049CC"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82" w:history="1">
        <w:r w:rsidRPr="00423D1E">
          <w:rPr>
            <w:rStyle w:val="Hipercze"/>
            <w:noProof/>
          </w:rPr>
          <w:t>Tabela 2.7. Wskaźniki intensywności zużycia energii finalnej w podziale na sektory [toe/mln EUR’2024]</w:t>
        </w:r>
        <w:r>
          <w:rPr>
            <w:noProof/>
            <w:webHidden/>
          </w:rPr>
          <w:tab/>
        </w:r>
        <w:r>
          <w:rPr>
            <w:noProof/>
            <w:webHidden/>
          </w:rPr>
          <w:fldChar w:fldCharType="begin"/>
        </w:r>
        <w:r>
          <w:rPr>
            <w:noProof/>
            <w:webHidden/>
          </w:rPr>
          <w:instrText xml:space="preserve"> PAGEREF _Toc202966982 \h </w:instrText>
        </w:r>
        <w:r>
          <w:rPr>
            <w:noProof/>
            <w:webHidden/>
          </w:rPr>
        </w:r>
        <w:r>
          <w:rPr>
            <w:noProof/>
            <w:webHidden/>
          </w:rPr>
          <w:fldChar w:fldCharType="separate"/>
        </w:r>
        <w:r>
          <w:rPr>
            <w:noProof/>
            <w:webHidden/>
          </w:rPr>
          <w:t>52</w:t>
        </w:r>
        <w:r>
          <w:rPr>
            <w:noProof/>
            <w:webHidden/>
          </w:rPr>
          <w:fldChar w:fldCharType="end"/>
        </w:r>
      </w:hyperlink>
    </w:p>
    <w:p w14:paraId="77E08544" w14:textId="5BE4E940"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83" w:history="1">
        <w:r w:rsidRPr="00423D1E">
          <w:rPr>
            <w:rStyle w:val="Hipercze"/>
            <w:noProof/>
          </w:rPr>
          <w:t>Tabela 2.8. Wsad paliwowy na potrzeby wytwarzania energii elektrycznej i cieplnej do wszystkich odbiorców [ktoe]</w:t>
        </w:r>
        <w:r>
          <w:rPr>
            <w:noProof/>
            <w:webHidden/>
          </w:rPr>
          <w:tab/>
        </w:r>
        <w:r>
          <w:rPr>
            <w:noProof/>
            <w:webHidden/>
          </w:rPr>
          <w:fldChar w:fldCharType="begin"/>
        </w:r>
        <w:r>
          <w:rPr>
            <w:noProof/>
            <w:webHidden/>
          </w:rPr>
          <w:instrText xml:space="preserve"> PAGEREF _Toc202966983 \h </w:instrText>
        </w:r>
        <w:r>
          <w:rPr>
            <w:noProof/>
            <w:webHidden/>
          </w:rPr>
        </w:r>
        <w:r>
          <w:rPr>
            <w:noProof/>
            <w:webHidden/>
          </w:rPr>
          <w:fldChar w:fldCharType="separate"/>
        </w:r>
        <w:r>
          <w:rPr>
            <w:noProof/>
            <w:webHidden/>
          </w:rPr>
          <w:t>52</w:t>
        </w:r>
        <w:r>
          <w:rPr>
            <w:noProof/>
            <w:webHidden/>
          </w:rPr>
          <w:fldChar w:fldCharType="end"/>
        </w:r>
      </w:hyperlink>
    </w:p>
    <w:p w14:paraId="7B6575C4" w14:textId="4433483C"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84" w:history="1">
        <w:r w:rsidRPr="00423D1E">
          <w:rPr>
            <w:rStyle w:val="Hipercze"/>
            <w:noProof/>
          </w:rPr>
          <w:t>Tabela 2.9. Wsad paliwowy w pozostałe procesy konwersji [ktoe]</w:t>
        </w:r>
        <w:r>
          <w:rPr>
            <w:noProof/>
            <w:webHidden/>
          </w:rPr>
          <w:tab/>
        </w:r>
        <w:r>
          <w:rPr>
            <w:noProof/>
            <w:webHidden/>
          </w:rPr>
          <w:fldChar w:fldCharType="begin"/>
        </w:r>
        <w:r>
          <w:rPr>
            <w:noProof/>
            <w:webHidden/>
          </w:rPr>
          <w:instrText xml:space="preserve"> PAGEREF _Toc202966984 \h </w:instrText>
        </w:r>
        <w:r>
          <w:rPr>
            <w:noProof/>
            <w:webHidden/>
          </w:rPr>
        </w:r>
        <w:r>
          <w:rPr>
            <w:noProof/>
            <w:webHidden/>
          </w:rPr>
          <w:fldChar w:fldCharType="separate"/>
        </w:r>
        <w:r>
          <w:rPr>
            <w:noProof/>
            <w:webHidden/>
          </w:rPr>
          <w:t>53</w:t>
        </w:r>
        <w:r>
          <w:rPr>
            <w:noProof/>
            <w:webHidden/>
          </w:rPr>
          <w:fldChar w:fldCharType="end"/>
        </w:r>
      </w:hyperlink>
    </w:p>
    <w:p w14:paraId="7E63C7FA" w14:textId="5144580F"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85" w:history="1">
        <w:r w:rsidRPr="00423D1E">
          <w:rPr>
            <w:rStyle w:val="Hipercze"/>
            <w:noProof/>
          </w:rPr>
          <w:t>Tabela 2.10 Procentowy udział wytwarzania skojarzonego w produkcji energii elektrycznej i ciepła</w:t>
        </w:r>
        <w:r>
          <w:rPr>
            <w:noProof/>
            <w:webHidden/>
          </w:rPr>
          <w:tab/>
        </w:r>
        <w:r>
          <w:rPr>
            <w:noProof/>
            <w:webHidden/>
          </w:rPr>
          <w:fldChar w:fldCharType="begin"/>
        </w:r>
        <w:r>
          <w:rPr>
            <w:noProof/>
            <w:webHidden/>
          </w:rPr>
          <w:instrText xml:space="preserve"> PAGEREF _Toc202966985 \h </w:instrText>
        </w:r>
        <w:r>
          <w:rPr>
            <w:noProof/>
            <w:webHidden/>
          </w:rPr>
        </w:r>
        <w:r>
          <w:rPr>
            <w:noProof/>
            <w:webHidden/>
          </w:rPr>
          <w:fldChar w:fldCharType="separate"/>
        </w:r>
        <w:r>
          <w:rPr>
            <w:noProof/>
            <w:webHidden/>
          </w:rPr>
          <w:t>54</w:t>
        </w:r>
        <w:r>
          <w:rPr>
            <w:noProof/>
            <w:webHidden/>
          </w:rPr>
          <w:fldChar w:fldCharType="end"/>
        </w:r>
      </w:hyperlink>
    </w:p>
    <w:p w14:paraId="54FBB1B0" w14:textId="17EE20F0"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86" w:history="1">
        <w:r w:rsidRPr="00423D1E">
          <w:rPr>
            <w:rStyle w:val="Hipercze"/>
            <w:noProof/>
          </w:rPr>
          <w:t>Tabela 2.11. Produkcja energii cieplnej w elektrowniach, elektrociepłowniach i ciepłowniach [TJ]</w:t>
        </w:r>
        <w:r>
          <w:rPr>
            <w:noProof/>
            <w:webHidden/>
          </w:rPr>
          <w:tab/>
        </w:r>
        <w:r>
          <w:rPr>
            <w:noProof/>
            <w:webHidden/>
          </w:rPr>
          <w:fldChar w:fldCharType="begin"/>
        </w:r>
        <w:r>
          <w:rPr>
            <w:noProof/>
            <w:webHidden/>
          </w:rPr>
          <w:instrText xml:space="preserve"> PAGEREF _Toc202966986 \h </w:instrText>
        </w:r>
        <w:r>
          <w:rPr>
            <w:noProof/>
            <w:webHidden/>
          </w:rPr>
        </w:r>
        <w:r>
          <w:rPr>
            <w:noProof/>
            <w:webHidden/>
          </w:rPr>
          <w:fldChar w:fldCharType="separate"/>
        </w:r>
        <w:r>
          <w:rPr>
            <w:noProof/>
            <w:webHidden/>
          </w:rPr>
          <w:t>54</w:t>
        </w:r>
        <w:r>
          <w:rPr>
            <w:noProof/>
            <w:webHidden/>
          </w:rPr>
          <w:fldChar w:fldCharType="end"/>
        </w:r>
      </w:hyperlink>
    </w:p>
    <w:p w14:paraId="56DC8E1E" w14:textId="2F30D034"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87" w:history="1">
        <w:r w:rsidRPr="00423D1E">
          <w:rPr>
            <w:rStyle w:val="Hipercze"/>
            <w:i/>
            <w:iCs/>
            <w:noProof/>
          </w:rPr>
          <w:t>Tabela 2.12. Produkcja energii cieplnej w elektrowniach, elektrociepłowniach i ciepłowniach (ciepłownictwie systemowym) w podziale na paliwa [TJ]</w:t>
        </w:r>
        <w:r>
          <w:rPr>
            <w:noProof/>
            <w:webHidden/>
          </w:rPr>
          <w:tab/>
        </w:r>
        <w:r>
          <w:rPr>
            <w:noProof/>
            <w:webHidden/>
          </w:rPr>
          <w:fldChar w:fldCharType="begin"/>
        </w:r>
        <w:r>
          <w:rPr>
            <w:noProof/>
            <w:webHidden/>
          </w:rPr>
          <w:instrText xml:space="preserve"> PAGEREF _Toc202966987 \h </w:instrText>
        </w:r>
        <w:r>
          <w:rPr>
            <w:noProof/>
            <w:webHidden/>
          </w:rPr>
        </w:r>
        <w:r>
          <w:rPr>
            <w:noProof/>
            <w:webHidden/>
          </w:rPr>
          <w:fldChar w:fldCharType="separate"/>
        </w:r>
        <w:r>
          <w:rPr>
            <w:noProof/>
            <w:webHidden/>
          </w:rPr>
          <w:t>55</w:t>
        </w:r>
        <w:r>
          <w:rPr>
            <w:noProof/>
            <w:webHidden/>
          </w:rPr>
          <w:fldChar w:fldCharType="end"/>
        </w:r>
      </w:hyperlink>
    </w:p>
    <w:p w14:paraId="6645054A" w14:textId="473A4EBF"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88" w:history="1">
        <w:r w:rsidRPr="00423D1E">
          <w:rPr>
            <w:rStyle w:val="Hipercze"/>
            <w:noProof/>
          </w:rPr>
          <w:t>Tabela 2.13. Produkcja ciepła w indywidualnych źródłach grzewczych w podziale na sektory [PJ]</w:t>
        </w:r>
        <w:r>
          <w:rPr>
            <w:noProof/>
            <w:webHidden/>
          </w:rPr>
          <w:tab/>
        </w:r>
        <w:r>
          <w:rPr>
            <w:noProof/>
            <w:webHidden/>
          </w:rPr>
          <w:fldChar w:fldCharType="begin"/>
        </w:r>
        <w:r>
          <w:rPr>
            <w:noProof/>
            <w:webHidden/>
          </w:rPr>
          <w:instrText xml:space="preserve"> PAGEREF _Toc202966988 \h </w:instrText>
        </w:r>
        <w:r>
          <w:rPr>
            <w:noProof/>
            <w:webHidden/>
          </w:rPr>
        </w:r>
        <w:r>
          <w:rPr>
            <w:noProof/>
            <w:webHidden/>
          </w:rPr>
          <w:fldChar w:fldCharType="separate"/>
        </w:r>
        <w:r>
          <w:rPr>
            <w:noProof/>
            <w:webHidden/>
          </w:rPr>
          <w:t>56</w:t>
        </w:r>
        <w:r>
          <w:rPr>
            <w:noProof/>
            <w:webHidden/>
          </w:rPr>
          <w:fldChar w:fldCharType="end"/>
        </w:r>
      </w:hyperlink>
    </w:p>
    <w:p w14:paraId="00E8D369" w14:textId="4AD8BCFC"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89" w:history="1">
        <w:r w:rsidRPr="00423D1E">
          <w:rPr>
            <w:rStyle w:val="Hipercze"/>
            <w:noProof/>
          </w:rPr>
          <w:t>Tabela 2.14. Produkcja ciepła w indywidualnych źródłach ciepła w podziale na paliwa i nośniki energii [PJ]</w:t>
        </w:r>
        <w:r>
          <w:rPr>
            <w:noProof/>
            <w:webHidden/>
          </w:rPr>
          <w:tab/>
        </w:r>
        <w:r>
          <w:rPr>
            <w:noProof/>
            <w:webHidden/>
          </w:rPr>
          <w:fldChar w:fldCharType="begin"/>
        </w:r>
        <w:r>
          <w:rPr>
            <w:noProof/>
            <w:webHidden/>
          </w:rPr>
          <w:instrText xml:space="preserve"> PAGEREF _Toc202966989 \h </w:instrText>
        </w:r>
        <w:r>
          <w:rPr>
            <w:noProof/>
            <w:webHidden/>
          </w:rPr>
        </w:r>
        <w:r>
          <w:rPr>
            <w:noProof/>
            <w:webHidden/>
          </w:rPr>
          <w:fldChar w:fldCharType="separate"/>
        </w:r>
        <w:r>
          <w:rPr>
            <w:noProof/>
            <w:webHidden/>
          </w:rPr>
          <w:t>57</w:t>
        </w:r>
        <w:r>
          <w:rPr>
            <w:noProof/>
            <w:webHidden/>
          </w:rPr>
          <w:fldChar w:fldCharType="end"/>
        </w:r>
      </w:hyperlink>
    </w:p>
    <w:p w14:paraId="7F03095B" w14:textId="0ACA0C62"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90" w:history="1">
        <w:r w:rsidRPr="00423D1E">
          <w:rPr>
            <w:rStyle w:val="Hipercze"/>
            <w:noProof/>
          </w:rPr>
          <w:t>Tabela 2.15. Produkcja ciepła w indywidualnych źródłach ciepła w podziale na paliwa i nośniki energii w gospodarstwach domowych [PJ]</w:t>
        </w:r>
        <w:r>
          <w:rPr>
            <w:noProof/>
            <w:webHidden/>
          </w:rPr>
          <w:tab/>
        </w:r>
        <w:r>
          <w:rPr>
            <w:noProof/>
            <w:webHidden/>
          </w:rPr>
          <w:fldChar w:fldCharType="begin"/>
        </w:r>
        <w:r>
          <w:rPr>
            <w:noProof/>
            <w:webHidden/>
          </w:rPr>
          <w:instrText xml:space="preserve"> PAGEREF _Toc202966990 \h </w:instrText>
        </w:r>
        <w:r>
          <w:rPr>
            <w:noProof/>
            <w:webHidden/>
          </w:rPr>
        </w:r>
        <w:r>
          <w:rPr>
            <w:noProof/>
            <w:webHidden/>
          </w:rPr>
          <w:fldChar w:fldCharType="separate"/>
        </w:r>
        <w:r>
          <w:rPr>
            <w:noProof/>
            <w:webHidden/>
          </w:rPr>
          <w:t>57</w:t>
        </w:r>
        <w:r>
          <w:rPr>
            <w:noProof/>
            <w:webHidden/>
          </w:rPr>
          <w:fldChar w:fldCharType="end"/>
        </w:r>
      </w:hyperlink>
    </w:p>
    <w:p w14:paraId="328ADA54" w14:textId="1AE6C2F1"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91" w:history="1">
        <w:r w:rsidRPr="00423D1E">
          <w:rPr>
            <w:rStyle w:val="Hipercze"/>
            <w:noProof/>
          </w:rPr>
          <w:t>Tabela 3.1. Krajowy potencjał zrównoważony biomasy stałej dla scenariusza WAM [PJ/rok]</w:t>
        </w:r>
        <w:r>
          <w:rPr>
            <w:noProof/>
            <w:webHidden/>
          </w:rPr>
          <w:tab/>
        </w:r>
        <w:r>
          <w:rPr>
            <w:noProof/>
            <w:webHidden/>
          </w:rPr>
          <w:fldChar w:fldCharType="begin"/>
        </w:r>
        <w:r>
          <w:rPr>
            <w:noProof/>
            <w:webHidden/>
          </w:rPr>
          <w:instrText xml:space="preserve"> PAGEREF _Toc202966991 \h </w:instrText>
        </w:r>
        <w:r>
          <w:rPr>
            <w:noProof/>
            <w:webHidden/>
          </w:rPr>
        </w:r>
        <w:r>
          <w:rPr>
            <w:noProof/>
            <w:webHidden/>
          </w:rPr>
          <w:fldChar w:fldCharType="separate"/>
        </w:r>
        <w:r>
          <w:rPr>
            <w:noProof/>
            <w:webHidden/>
          </w:rPr>
          <w:t>63</w:t>
        </w:r>
        <w:r>
          <w:rPr>
            <w:noProof/>
            <w:webHidden/>
          </w:rPr>
          <w:fldChar w:fldCharType="end"/>
        </w:r>
      </w:hyperlink>
    </w:p>
    <w:p w14:paraId="13E687AF" w14:textId="77CD3F77"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92" w:history="1">
        <w:r w:rsidRPr="00423D1E">
          <w:rPr>
            <w:rStyle w:val="Hipercze"/>
            <w:noProof/>
          </w:rPr>
          <w:t>Tabela 3.2. Produkcja krajowa z podziałem na rodzaj paliwa [ktoe] – scenariusz WAM</w:t>
        </w:r>
        <w:r>
          <w:rPr>
            <w:noProof/>
            <w:webHidden/>
          </w:rPr>
          <w:tab/>
        </w:r>
        <w:r>
          <w:rPr>
            <w:noProof/>
            <w:webHidden/>
          </w:rPr>
          <w:fldChar w:fldCharType="begin"/>
        </w:r>
        <w:r>
          <w:rPr>
            <w:noProof/>
            <w:webHidden/>
          </w:rPr>
          <w:instrText xml:space="preserve"> PAGEREF _Toc202966992 \h </w:instrText>
        </w:r>
        <w:r>
          <w:rPr>
            <w:noProof/>
            <w:webHidden/>
          </w:rPr>
        </w:r>
        <w:r>
          <w:rPr>
            <w:noProof/>
            <w:webHidden/>
          </w:rPr>
          <w:fldChar w:fldCharType="separate"/>
        </w:r>
        <w:r>
          <w:rPr>
            <w:noProof/>
            <w:webHidden/>
          </w:rPr>
          <w:t>66</w:t>
        </w:r>
        <w:r>
          <w:rPr>
            <w:noProof/>
            <w:webHidden/>
          </w:rPr>
          <w:fldChar w:fldCharType="end"/>
        </w:r>
      </w:hyperlink>
    </w:p>
    <w:p w14:paraId="0DEFFCC6" w14:textId="23363973"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93" w:history="1">
        <w:r w:rsidRPr="00423D1E">
          <w:rPr>
            <w:rStyle w:val="Hipercze"/>
            <w:noProof/>
          </w:rPr>
          <w:t>Tabela 3.3. Saldo importowo-eksportowe netto [ktoe]</w:t>
        </w:r>
        <w:r>
          <w:rPr>
            <w:noProof/>
            <w:webHidden/>
          </w:rPr>
          <w:tab/>
        </w:r>
        <w:r>
          <w:rPr>
            <w:noProof/>
            <w:webHidden/>
          </w:rPr>
          <w:fldChar w:fldCharType="begin"/>
        </w:r>
        <w:r>
          <w:rPr>
            <w:noProof/>
            <w:webHidden/>
          </w:rPr>
          <w:instrText xml:space="preserve"> PAGEREF _Toc202966993 \h </w:instrText>
        </w:r>
        <w:r>
          <w:rPr>
            <w:noProof/>
            <w:webHidden/>
          </w:rPr>
        </w:r>
        <w:r>
          <w:rPr>
            <w:noProof/>
            <w:webHidden/>
          </w:rPr>
          <w:fldChar w:fldCharType="separate"/>
        </w:r>
        <w:r>
          <w:rPr>
            <w:noProof/>
            <w:webHidden/>
          </w:rPr>
          <w:t>67</w:t>
        </w:r>
        <w:r>
          <w:rPr>
            <w:noProof/>
            <w:webHidden/>
          </w:rPr>
          <w:fldChar w:fldCharType="end"/>
        </w:r>
      </w:hyperlink>
    </w:p>
    <w:p w14:paraId="4AC0F43F" w14:textId="1F2014DC"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94" w:history="1">
        <w:r w:rsidRPr="00423D1E">
          <w:rPr>
            <w:rStyle w:val="Hipercze"/>
            <w:noProof/>
          </w:rPr>
          <w:t>Tabela 3.4. Saldo importowo-eksportowe netto energii elektrycznej [ktoe]</w:t>
        </w:r>
        <w:r>
          <w:rPr>
            <w:noProof/>
            <w:webHidden/>
          </w:rPr>
          <w:tab/>
        </w:r>
        <w:r>
          <w:rPr>
            <w:noProof/>
            <w:webHidden/>
          </w:rPr>
          <w:fldChar w:fldCharType="begin"/>
        </w:r>
        <w:r>
          <w:rPr>
            <w:noProof/>
            <w:webHidden/>
          </w:rPr>
          <w:instrText xml:space="preserve"> PAGEREF _Toc202966994 \h </w:instrText>
        </w:r>
        <w:r>
          <w:rPr>
            <w:noProof/>
            <w:webHidden/>
          </w:rPr>
        </w:r>
        <w:r>
          <w:rPr>
            <w:noProof/>
            <w:webHidden/>
          </w:rPr>
          <w:fldChar w:fldCharType="separate"/>
        </w:r>
        <w:r>
          <w:rPr>
            <w:noProof/>
            <w:webHidden/>
          </w:rPr>
          <w:t>67</w:t>
        </w:r>
        <w:r>
          <w:rPr>
            <w:noProof/>
            <w:webHidden/>
          </w:rPr>
          <w:fldChar w:fldCharType="end"/>
        </w:r>
      </w:hyperlink>
    </w:p>
    <w:p w14:paraId="6766F731" w14:textId="4F7B9188"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95" w:history="1">
        <w:r w:rsidRPr="00423D1E">
          <w:rPr>
            <w:rStyle w:val="Hipercze"/>
            <w:noProof/>
          </w:rPr>
          <w:t>Tabela 3.5. Uzależnienie od importu z państw trzecich</w:t>
        </w:r>
        <w:r>
          <w:rPr>
            <w:noProof/>
            <w:webHidden/>
          </w:rPr>
          <w:tab/>
        </w:r>
        <w:r>
          <w:rPr>
            <w:noProof/>
            <w:webHidden/>
          </w:rPr>
          <w:fldChar w:fldCharType="begin"/>
        </w:r>
        <w:r>
          <w:rPr>
            <w:noProof/>
            <w:webHidden/>
          </w:rPr>
          <w:instrText xml:space="preserve"> PAGEREF _Toc202966995 \h </w:instrText>
        </w:r>
        <w:r>
          <w:rPr>
            <w:noProof/>
            <w:webHidden/>
          </w:rPr>
        </w:r>
        <w:r>
          <w:rPr>
            <w:noProof/>
            <w:webHidden/>
          </w:rPr>
          <w:fldChar w:fldCharType="separate"/>
        </w:r>
        <w:r>
          <w:rPr>
            <w:noProof/>
            <w:webHidden/>
          </w:rPr>
          <w:t>68</w:t>
        </w:r>
        <w:r>
          <w:rPr>
            <w:noProof/>
            <w:webHidden/>
          </w:rPr>
          <w:fldChar w:fldCharType="end"/>
        </w:r>
      </w:hyperlink>
    </w:p>
    <w:p w14:paraId="7425F8A0" w14:textId="3943E4CC"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96" w:history="1">
        <w:r w:rsidRPr="00423D1E">
          <w:rPr>
            <w:rStyle w:val="Hipercze"/>
            <w:noProof/>
          </w:rPr>
          <w:t>Tabela 3.6. Główne źródła importu (państwa)</w:t>
        </w:r>
        <w:r>
          <w:rPr>
            <w:noProof/>
            <w:webHidden/>
          </w:rPr>
          <w:tab/>
        </w:r>
        <w:r>
          <w:rPr>
            <w:noProof/>
            <w:webHidden/>
          </w:rPr>
          <w:fldChar w:fldCharType="begin"/>
        </w:r>
        <w:r>
          <w:rPr>
            <w:noProof/>
            <w:webHidden/>
          </w:rPr>
          <w:instrText xml:space="preserve"> PAGEREF _Toc202966996 \h </w:instrText>
        </w:r>
        <w:r>
          <w:rPr>
            <w:noProof/>
            <w:webHidden/>
          </w:rPr>
        </w:r>
        <w:r>
          <w:rPr>
            <w:noProof/>
            <w:webHidden/>
          </w:rPr>
          <w:fldChar w:fldCharType="separate"/>
        </w:r>
        <w:r>
          <w:rPr>
            <w:noProof/>
            <w:webHidden/>
          </w:rPr>
          <w:t>69</w:t>
        </w:r>
        <w:r>
          <w:rPr>
            <w:noProof/>
            <w:webHidden/>
          </w:rPr>
          <w:fldChar w:fldCharType="end"/>
        </w:r>
      </w:hyperlink>
    </w:p>
    <w:p w14:paraId="6FC00C8E" w14:textId="1B4D780A"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97" w:history="1">
        <w:r w:rsidRPr="00423D1E">
          <w:rPr>
            <w:rStyle w:val="Hipercze"/>
            <w:noProof/>
          </w:rPr>
          <w:t>Tabela 3.7 Zużycie energii elektrycznej w elektrolizerach</w:t>
        </w:r>
        <w:r>
          <w:rPr>
            <w:noProof/>
            <w:webHidden/>
          </w:rPr>
          <w:tab/>
        </w:r>
        <w:r>
          <w:rPr>
            <w:noProof/>
            <w:webHidden/>
          </w:rPr>
          <w:fldChar w:fldCharType="begin"/>
        </w:r>
        <w:r>
          <w:rPr>
            <w:noProof/>
            <w:webHidden/>
          </w:rPr>
          <w:instrText xml:space="preserve"> PAGEREF _Toc202966997 \h </w:instrText>
        </w:r>
        <w:r>
          <w:rPr>
            <w:noProof/>
            <w:webHidden/>
          </w:rPr>
        </w:r>
        <w:r>
          <w:rPr>
            <w:noProof/>
            <w:webHidden/>
          </w:rPr>
          <w:fldChar w:fldCharType="separate"/>
        </w:r>
        <w:r>
          <w:rPr>
            <w:noProof/>
            <w:webHidden/>
          </w:rPr>
          <w:t>71</w:t>
        </w:r>
        <w:r>
          <w:rPr>
            <w:noProof/>
            <w:webHidden/>
          </w:rPr>
          <w:fldChar w:fldCharType="end"/>
        </w:r>
      </w:hyperlink>
    </w:p>
    <w:p w14:paraId="35AE9C4C" w14:textId="38F98C03"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98" w:history="1">
        <w:r w:rsidRPr="00423D1E">
          <w:rPr>
            <w:rStyle w:val="Hipercze"/>
            <w:noProof/>
          </w:rPr>
          <w:t>Tabela 3.8. Krajowe zużycie brutto paliw i energii [ktoe] – scenariusz WAM</w:t>
        </w:r>
        <w:r>
          <w:rPr>
            <w:noProof/>
            <w:webHidden/>
          </w:rPr>
          <w:tab/>
        </w:r>
        <w:r>
          <w:rPr>
            <w:noProof/>
            <w:webHidden/>
          </w:rPr>
          <w:fldChar w:fldCharType="begin"/>
        </w:r>
        <w:r>
          <w:rPr>
            <w:noProof/>
            <w:webHidden/>
          </w:rPr>
          <w:instrText xml:space="preserve"> PAGEREF _Toc202966998 \h </w:instrText>
        </w:r>
        <w:r>
          <w:rPr>
            <w:noProof/>
            <w:webHidden/>
          </w:rPr>
        </w:r>
        <w:r>
          <w:rPr>
            <w:noProof/>
            <w:webHidden/>
          </w:rPr>
          <w:fldChar w:fldCharType="separate"/>
        </w:r>
        <w:r>
          <w:rPr>
            <w:noProof/>
            <w:webHidden/>
          </w:rPr>
          <w:t>72</w:t>
        </w:r>
        <w:r>
          <w:rPr>
            <w:noProof/>
            <w:webHidden/>
          </w:rPr>
          <w:fldChar w:fldCharType="end"/>
        </w:r>
      </w:hyperlink>
    </w:p>
    <w:p w14:paraId="06AEDB11" w14:textId="5161E91F"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6999" w:history="1">
        <w:r w:rsidRPr="00423D1E">
          <w:rPr>
            <w:rStyle w:val="Hipercze"/>
            <w:noProof/>
          </w:rPr>
          <w:t>Tabela 3.9 Produkcja energii elektrycznej i ciepła sieciowego brutto – scenariusz WAM</w:t>
        </w:r>
        <w:r>
          <w:rPr>
            <w:noProof/>
            <w:webHidden/>
          </w:rPr>
          <w:tab/>
        </w:r>
        <w:r>
          <w:rPr>
            <w:noProof/>
            <w:webHidden/>
          </w:rPr>
          <w:fldChar w:fldCharType="begin"/>
        </w:r>
        <w:r>
          <w:rPr>
            <w:noProof/>
            <w:webHidden/>
          </w:rPr>
          <w:instrText xml:space="preserve"> PAGEREF _Toc202966999 \h </w:instrText>
        </w:r>
        <w:r>
          <w:rPr>
            <w:noProof/>
            <w:webHidden/>
          </w:rPr>
        </w:r>
        <w:r>
          <w:rPr>
            <w:noProof/>
            <w:webHidden/>
          </w:rPr>
          <w:fldChar w:fldCharType="separate"/>
        </w:r>
        <w:r>
          <w:rPr>
            <w:noProof/>
            <w:webHidden/>
          </w:rPr>
          <w:t>73</w:t>
        </w:r>
        <w:r>
          <w:rPr>
            <w:noProof/>
            <w:webHidden/>
          </w:rPr>
          <w:fldChar w:fldCharType="end"/>
        </w:r>
      </w:hyperlink>
    </w:p>
    <w:p w14:paraId="7D16CB47" w14:textId="0D815E43"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00" w:history="1">
        <w:r w:rsidRPr="00423D1E">
          <w:rPr>
            <w:rStyle w:val="Hipercze"/>
            <w:noProof/>
          </w:rPr>
          <w:t>Tabela 3.10. Produkcja energii elektrycznej brutto [TWh] – scenariusz WAM</w:t>
        </w:r>
        <w:r>
          <w:rPr>
            <w:noProof/>
            <w:webHidden/>
          </w:rPr>
          <w:tab/>
        </w:r>
        <w:r>
          <w:rPr>
            <w:noProof/>
            <w:webHidden/>
          </w:rPr>
          <w:fldChar w:fldCharType="begin"/>
        </w:r>
        <w:r>
          <w:rPr>
            <w:noProof/>
            <w:webHidden/>
          </w:rPr>
          <w:instrText xml:space="preserve"> PAGEREF _Toc202967000 \h </w:instrText>
        </w:r>
        <w:r>
          <w:rPr>
            <w:noProof/>
            <w:webHidden/>
          </w:rPr>
        </w:r>
        <w:r>
          <w:rPr>
            <w:noProof/>
            <w:webHidden/>
          </w:rPr>
          <w:fldChar w:fldCharType="separate"/>
        </w:r>
        <w:r>
          <w:rPr>
            <w:noProof/>
            <w:webHidden/>
          </w:rPr>
          <w:t>75</w:t>
        </w:r>
        <w:r>
          <w:rPr>
            <w:noProof/>
            <w:webHidden/>
          </w:rPr>
          <w:fldChar w:fldCharType="end"/>
        </w:r>
      </w:hyperlink>
    </w:p>
    <w:p w14:paraId="6E815428" w14:textId="10CEE21A"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01" w:history="1">
        <w:r w:rsidRPr="00423D1E">
          <w:rPr>
            <w:rStyle w:val="Hipercze"/>
            <w:noProof/>
          </w:rPr>
          <w:t>Tabela 3.11. Moc osiągalna netto źródeł wytwarzania energii elektrycznej wg technologii (scenariusz WAM) [MW]</w:t>
        </w:r>
        <w:r>
          <w:rPr>
            <w:noProof/>
            <w:webHidden/>
          </w:rPr>
          <w:tab/>
        </w:r>
        <w:r>
          <w:rPr>
            <w:noProof/>
            <w:webHidden/>
          </w:rPr>
          <w:fldChar w:fldCharType="begin"/>
        </w:r>
        <w:r>
          <w:rPr>
            <w:noProof/>
            <w:webHidden/>
          </w:rPr>
          <w:instrText xml:space="preserve"> PAGEREF _Toc202967001 \h </w:instrText>
        </w:r>
        <w:r>
          <w:rPr>
            <w:noProof/>
            <w:webHidden/>
          </w:rPr>
        </w:r>
        <w:r>
          <w:rPr>
            <w:noProof/>
            <w:webHidden/>
          </w:rPr>
          <w:fldChar w:fldCharType="separate"/>
        </w:r>
        <w:r>
          <w:rPr>
            <w:noProof/>
            <w:webHidden/>
          </w:rPr>
          <w:t>78</w:t>
        </w:r>
        <w:r>
          <w:rPr>
            <w:noProof/>
            <w:webHidden/>
          </w:rPr>
          <w:fldChar w:fldCharType="end"/>
        </w:r>
      </w:hyperlink>
    </w:p>
    <w:p w14:paraId="72867BFD" w14:textId="7552CAEB"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02" w:history="1">
        <w:r w:rsidRPr="00423D1E">
          <w:rPr>
            <w:rStyle w:val="Hipercze"/>
            <w:noProof/>
          </w:rPr>
          <w:t>Tabela 4.1. Jednostkowe koszty wytwarzania energii elektrycznej [EUR’2024/MWh] – scenariusz WAM</w:t>
        </w:r>
        <w:r>
          <w:rPr>
            <w:noProof/>
            <w:webHidden/>
          </w:rPr>
          <w:tab/>
        </w:r>
        <w:r>
          <w:rPr>
            <w:noProof/>
            <w:webHidden/>
          </w:rPr>
          <w:fldChar w:fldCharType="begin"/>
        </w:r>
        <w:r>
          <w:rPr>
            <w:noProof/>
            <w:webHidden/>
          </w:rPr>
          <w:instrText xml:space="preserve"> PAGEREF _Toc202967002 \h </w:instrText>
        </w:r>
        <w:r>
          <w:rPr>
            <w:noProof/>
            <w:webHidden/>
          </w:rPr>
        </w:r>
        <w:r>
          <w:rPr>
            <w:noProof/>
            <w:webHidden/>
          </w:rPr>
          <w:fldChar w:fldCharType="separate"/>
        </w:r>
        <w:r>
          <w:rPr>
            <w:noProof/>
            <w:webHidden/>
          </w:rPr>
          <w:t>81</w:t>
        </w:r>
        <w:r>
          <w:rPr>
            <w:noProof/>
            <w:webHidden/>
          </w:rPr>
          <w:fldChar w:fldCharType="end"/>
        </w:r>
      </w:hyperlink>
    </w:p>
    <w:p w14:paraId="2C4F83AF" w14:textId="16B9F0BD"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03" w:history="1">
        <w:r w:rsidRPr="00423D1E">
          <w:rPr>
            <w:rStyle w:val="Hipercze"/>
            <w:noProof/>
          </w:rPr>
          <w:t>Tabela 4.2. Jednostkowe koszty wytwarzania  wodoru w procesie elektrolizy [EUR’2024/kg] – scenariusz WAM</w:t>
        </w:r>
        <w:r>
          <w:rPr>
            <w:noProof/>
            <w:webHidden/>
          </w:rPr>
          <w:tab/>
        </w:r>
        <w:r>
          <w:rPr>
            <w:noProof/>
            <w:webHidden/>
          </w:rPr>
          <w:fldChar w:fldCharType="begin"/>
        </w:r>
        <w:r>
          <w:rPr>
            <w:noProof/>
            <w:webHidden/>
          </w:rPr>
          <w:instrText xml:space="preserve"> PAGEREF _Toc202967003 \h </w:instrText>
        </w:r>
        <w:r>
          <w:rPr>
            <w:noProof/>
            <w:webHidden/>
          </w:rPr>
        </w:r>
        <w:r>
          <w:rPr>
            <w:noProof/>
            <w:webHidden/>
          </w:rPr>
          <w:fldChar w:fldCharType="separate"/>
        </w:r>
        <w:r>
          <w:rPr>
            <w:noProof/>
            <w:webHidden/>
          </w:rPr>
          <w:t>81</w:t>
        </w:r>
        <w:r>
          <w:rPr>
            <w:noProof/>
            <w:webHidden/>
          </w:rPr>
          <w:fldChar w:fldCharType="end"/>
        </w:r>
      </w:hyperlink>
    </w:p>
    <w:p w14:paraId="017BA446" w14:textId="3FDF394F"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04" w:history="1">
        <w:r w:rsidRPr="00423D1E">
          <w:rPr>
            <w:rStyle w:val="Hipercze"/>
            <w:noProof/>
          </w:rPr>
          <w:t>Tabela 4.3. Ceny energii elektrycznej z podziałem na sektor [EUR'2024/kWh] – scenariusz WAM</w:t>
        </w:r>
        <w:r>
          <w:rPr>
            <w:noProof/>
            <w:webHidden/>
          </w:rPr>
          <w:tab/>
        </w:r>
        <w:r>
          <w:rPr>
            <w:noProof/>
            <w:webHidden/>
          </w:rPr>
          <w:fldChar w:fldCharType="begin"/>
        </w:r>
        <w:r>
          <w:rPr>
            <w:noProof/>
            <w:webHidden/>
          </w:rPr>
          <w:instrText xml:space="preserve"> PAGEREF _Toc202967004 \h </w:instrText>
        </w:r>
        <w:r>
          <w:rPr>
            <w:noProof/>
            <w:webHidden/>
          </w:rPr>
        </w:r>
        <w:r>
          <w:rPr>
            <w:noProof/>
            <w:webHidden/>
          </w:rPr>
          <w:fldChar w:fldCharType="separate"/>
        </w:r>
        <w:r>
          <w:rPr>
            <w:noProof/>
            <w:webHidden/>
          </w:rPr>
          <w:t>82</w:t>
        </w:r>
        <w:r>
          <w:rPr>
            <w:noProof/>
            <w:webHidden/>
          </w:rPr>
          <w:fldChar w:fldCharType="end"/>
        </w:r>
      </w:hyperlink>
    </w:p>
    <w:p w14:paraId="7F59C0C8" w14:textId="14959335"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05" w:history="1">
        <w:r w:rsidRPr="00423D1E">
          <w:rPr>
            <w:rStyle w:val="Hipercze"/>
            <w:i/>
            <w:iCs/>
            <w:noProof/>
          </w:rPr>
          <w:t>Tabela 4.4. Spadek cen energii elektrycznej dla odbiorców końcowych - scenariusz WAM i WEM</w:t>
        </w:r>
        <w:r>
          <w:rPr>
            <w:noProof/>
            <w:webHidden/>
          </w:rPr>
          <w:tab/>
        </w:r>
        <w:r>
          <w:rPr>
            <w:noProof/>
            <w:webHidden/>
          </w:rPr>
          <w:fldChar w:fldCharType="begin"/>
        </w:r>
        <w:r>
          <w:rPr>
            <w:noProof/>
            <w:webHidden/>
          </w:rPr>
          <w:instrText xml:space="preserve"> PAGEREF _Toc202967005 \h </w:instrText>
        </w:r>
        <w:r>
          <w:rPr>
            <w:noProof/>
            <w:webHidden/>
          </w:rPr>
        </w:r>
        <w:r>
          <w:rPr>
            <w:noProof/>
            <w:webHidden/>
          </w:rPr>
          <w:fldChar w:fldCharType="separate"/>
        </w:r>
        <w:r>
          <w:rPr>
            <w:noProof/>
            <w:webHidden/>
          </w:rPr>
          <w:t>82</w:t>
        </w:r>
        <w:r>
          <w:rPr>
            <w:noProof/>
            <w:webHidden/>
          </w:rPr>
          <w:fldChar w:fldCharType="end"/>
        </w:r>
      </w:hyperlink>
    </w:p>
    <w:p w14:paraId="3145B112" w14:textId="4933B15C"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06" w:history="1">
        <w:r w:rsidRPr="00423D1E">
          <w:rPr>
            <w:rStyle w:val="Hipercze"/>
            <w:noProof/>
          </w:rPr>
          <w:t>Tabela 4.5. Krajowe ceny detaliczne paliw – gaz ziemny [EUR’2024/ktoe] scenariusz WAM</w:t>
        </w:r>
        <w:r>
          <w:rPr>
            <w:noProof/>
            <w:webHidden/>
          </w:rPr>
          <w:tab/>
        </w:r>
        <w:r>
          <w:rPr>
            <w:noProof/>
            <w:webHidden/>
          </w:rPr>
          <w:fldChar w:fldCharType="begin"/>
        </w:r>
        <w:r>
          <w:rPr>
            <w:noProof/>
            <w:webHidden/>
          </w:rPr>
          <w:instrText xml:space="preserve"> PAGEREF _Toc202967006 \h </w:instrText>
        </w:r>
        <w:r>
          <w:rPr>
            <w:noProof/>
            <w:webHidden/>
          </w:rPr>
        </w:r>
        <w:r>
          <w:rPr>
            <w:noProof/>
            <w:webHidden/>
          </w:rPr>
          <w:fldChar w:fldCharType="separate"/>
        </w:r>
        <w:r>
          <w:rPr>
            <w:noProof/>
            <w:webHidden/>
          </w:rPr>
          <w:t>83</w:t>
        </w:r>
        <w:r>
          <w:rPr>
            <w:noProof/>
            <w:webHidden/>
          </w:rPr>
          <w:fldChar w:fldCharType="end"/>
        </w:r>
      </w:hyperlink>
    </w:p>
    <w:p w14:paraId="59A6BAA8" w14:textId="1A83C8A7"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07" w:history="1">
        <w:r w:rsidRPr="00423D1E">
          <w:rPr>
            <w:rStyle w:val="Hipercze"/>
            <w:noProof/>
          </w:rPr>
          <w:t>Tabela 4.6. Krajowe ceny detaliczne paliw – węgiel kamienny energetyczny i koksujący [EUR’2024/ktoe] scenariusz WAM</w:t>
        </w:r>
        <w:r>
          <w:rPr>
            <w:noProof/>
            <w:webHidden/>
          </w:rPr>
          <w:tab/>
        </w:r>
        <w:r>
          <w:rPr>
            <w:noProof/>
            <w:webHidden/>
          </w:rPr>
          <w:fldChar w:fldCharType="begin"/>
        </w:r>
        <w:r>
          <w:rPr>
            <w:noProof/>
            <w:webHidden/>
          </w:rPr>
          <w:instrText xml:space="preserve"> PAGEREF _Toc202967007 \h </w:instrText>
        </w:r>
        <w:r>
          <w:rPr>
            <w:noProof/>
            <w:webHidden/>
          </w:rPr>
        </w:r>
        <w:r>
          <w:rPr>
            <w:noProof/>
            <w:webHidden/>
          </w:rPr>
          <w:fldChar w:fldCharType="separate"/>
        </w:r>
        <w:r>
          <w:rPr>
            <w:noProof/>
            <w:webHidden/>
          </w:rPr>
          <w:t>83</w:t>
        </w:r>
        <w:r>
          <w:rPr>
            <w:noProof/>
            <w:webHidden/>
          </w:rPr>
          <w:fldChar w:fldCharType="end"/>
        </w:r>
      </w:hyperlink>
    </w:p>
    <w:p w14:paraId="6C53A4EE" w14:textId="66A26A2E"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08" w:history="1">
        <w:r w:rsidRPr="00423D1E">
          <w:rPr>
            <w:rStyle w:val="Hipercze"/>
            <w:noProof/>
          </w:rPr>
          <w:t>Tabela 4.7. Krajowe ceny detaliczne paliw – lekki olej opałowy i olej napędowy [EUR’2024/ktoe] scenariusz WAM</w:t>
        </w:r>
        <w:r>
          <w:rPr>
            <w:noProof/>
            <w:webHidden/>
          </w:rPr>
          <w:tab/>
        </w:r>
        <w:r>
          <w:rPr>
            <w:noProof/>
            <w:webHidden/>
          </w:rPr>
          <w:fldChar w:fldCharType="begin"/>
        </w:r>
        <w:r>
          <w:rPr>
            <w:noProof/>
            <w:webHidden/>
          </w:rPr>
          <w:instrText xml:space="preserve"> PAGEREF _Toc202967008 \h </w:instrText>
        </w:r>
        <w:r>
          <w:rPr>
            <w:noProof/>
            <w:webHidden/>
          </w:rPr>
        </w:r>
        <w:r>
          <w:rPr>
            <w:noProof/>
            <w:webHidden/>
          </w:rPr>
          <w:fldChar w:fldCharType="separate"/>
        </w:r>
        <w:r>
          <w:rPr>
            <w:noProof/>
            <w:webHidden/>
          </w:rPr>
          <w:t>83</w:t>
        </w:r>
        <w:r>
          <w:rPr>
            <w:noProof/>
            <w:webHidden/>
          </w:rPr>
          <w:fldChar w:fldCharType="end"/>
        </w:r>
      </w:hyperlink>
    </w:p>
    <w:p w14:paraId="5FEB3FDC" w14:textId="74B36299"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09" w:history="1">
        <w:r w:rsidRPr="00423D1E">
          <w:rPr>
            <w:rStyle w:val="Hipercze"/>
            <w:noProof/>
          </w:rPr>
          <w:t>Tabela 4.8. Krajowe ceny detaliczne paliw – benzyna i LPG [EUR’2024/ktoe] scenariusz WAM</w:t>
        </w:r>
        <w:r>
          <w:rPr>
            <w:noProof/>
            <w:webHidden/>
          </w:rPr>
          <w:tab/>
        </w:r>
        <w:r>
          <w:rPr>
            <w:noProof/>
            <w:webHidden/>
          </w:rPr>
          <w:fldChar w:fldCharType="begin"/>
        </w:r>
        <w:r>
          <w:rPr>
            <w:noProof/>
            <w:webHidden/>
          </w:rPr>
          <w:instrText xml:space="preserve"> PAGEREF _Toc202967009 \h </w:instrText>
        </w:r>
        <w:r>
          <w:rPr>
            <w:noProof/>
            <w:webHidden/>
          </w:rPr>
        </w:r>
        <w:r>
          <w:rPr>
            <w:noProof/>
            <w:webHidden/>
          </w:rPr>
          <w:fldChar w:fldCharType="separate"/>
        </w:r>
        <w:r>
          <w:rPr>
            <w:noProof/>
            <w:webHidden/>
          </w:rPr>
          <w:t>84</w:t>
        </w:r>
        <w:r>
          <w:rPr>
            <w:noProof/>
            <w:webHidden/>
          </w:rPr>
          <w:fldChar w:fldCharType="end"/>
        </w:r>
      </w:hyperlink>
    </w:p>
    <w:p w14:paraId="5EFDCF6F" w14:textId="77731FF9"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10" w:history="1">
        <w:r w:rsidRPr="00423D1E">
          <w:rPr>
            <w:rStyle w:val="Hipercze"/>
            <w:noProof/>
          </w:rPr>
          <w:t>Tabela 4.9 Prognozowane nakłady inwestycyjne w sektorze wytwórczym w latach 2021-2040* [mld EUR’2024]</w:t>
        </w:r>
        <w:r>
          <w:rPr>
            <w:noProof/>
            <w:webHidden/>
          </w:rPr>
          <w:tab/>
        </w:r>
        <w:r>
          <w:rPr>
            <w:noProof/>
            <w:webHidden/>
          </w:rPr>
          <w:fldChar w:fldCharType="begin"/>
        </w:r>
        <w:r>
          <w:rPr>
            <w:noProof/>
            <w:webHidden/>
          </w:rPr>
          <w:instrText xml:space="preserve"> PAGEREF _Toc202967010 \h </w:instrText>
        </w:r>
        <w:r>
          <w:rPr>
            <w:noProof/>
            <w:webHidden/>
          </w:rPr>
        </w:r>
        <w:r>
          <w:rPr>
            <w:noProof/>
            <w:webHidden/>
          </w:rPr>
          <w:fldChar w:fldCharType="separate"/>
        </w:r>
        <w:r>
          <w:rPr>
            <w:noProof/>
            <w:webHidden/>
          </w:rPr>
          <w:t>90</w:t>
        </w:r>
        <w:r>
          <w:rPr>
            <w:noProof/>
            <w:webHidden/>
          </w:rPr>
          <w:fldChar w:fldCharType="end"/>
        </w:r>
      </w:hyperlink>
    </w:p>
    <w:p w14:paraId="4A0BC079" w14:textId="5E009BCA"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11" w:history="1">
        <w:r w:rsidRPr="00423D1E">
          <w:rPr>
            <w:rStyle w:val="Hipercze"/>
            <w:noProof/>
          </w:rPr>
          <w:t>Tabela 4.10.</w:t>
        </w:r>
        <w:r w:rsidRPr="00423D1E">
          <w:rPr>
            <w:rStyle w:val="Hipercze"/>
            <w:rFonts w:eastAsia="Calibri"/>
            <w:bCs/>
            <w:i/>
            <w:noProof/>
          </w:rPr>
          <w:t xml:space="preserve"> </w:t>
        </w:r>
        <w:r w:rsidRPr="00423D1E">
          <w:rPr>
            <w:rStyle w:val="Hipercze"/>
            <w:noProof/>
          </w:rPr>
          <w:t>Prognozowane nakłady inwestycyjne w podsektorze przesyłu i dystrybucji [mld EUR’2024]</w:t>
        </w:r>
        <w:r>
          <w:rPr>
            <w:noProof/>
            <w:webHidden/>
          </w:rPr>
          <w:tab/>
        </w:r>
        <w:r>
          <w:rPr>
            <w:noProof/>
            <w:webHidden/>
          </w:rPr>
          <w:fldChar w:fldCharType="begin"/>
        </w:r>
        <w:r>
          <w:rPr>
            <w:noProof/>
            <w:webHidden/>
          </w:rPr>
          <w:instrText xml:space="preserve"> PAGEREF _Toc202967011 \h </w:instrText>
        </w:r>
        <w:r>
          <w:rPr>
            <w:noProof/>
            <w:webHidden/>
          </w:rPr>
        </w:r>
        <w:r>
          <w:rPr>
            <w:noProof/>
            <w:webHidden/>
          </w:rPr>
          <w:fldChar w:fldCharType="separate"/>
        </w:r>
        <w:r>
          <w:rPr>
            <w:noProof/>
            <w:webHidden/>
          </w:rPr>
          <w:t>91</w:t>
        </w:r>
        <w:r>
          <w:rPr>
            <w:noProof/>
            <w:webHidden/>
          </w:rPr>
          <w:fldChar w:fldCharType="end"/>
        </w:r>
      </w:hyperlink>
    </w:p>
    <w:p w14:paraId="3FE3B20E" w14:textId="4A55C36F"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12" w:history="1">
        <w:r w:rsidRPr="00423D1E">
          <w:rPr>
            <w:rStyle w:val="Hipercze"/>
            <w:noProof/>
          </w:rPr>
          <w:t xml:space="preserve">Tabela 4.11 Projekty infrastruktury przesyłowej gazu zrealizowane przy wsparciu </w:t>
        </w:r>
        <w:r w:rsidRPr="00423D1E">
          <w:rPr>
            <w:rStyle w:val="Hipercze"/>
            <w:rFonts w:ascii="Calibri" w:eastAsia="Calibri" w:hAnsi="Calibri" w:cs="Calibri"/>
            <w:noProof/>
          </w:rPr>
          <w:t>POIiŚ</w:t>
        </w:r>
        <w:r w:rsidRPr="00423D1E">
          <w:rPr>
            <w:rStyle w:val="Hipercze"/>
            <w:noProof/>
          </w:rPr>
          <w:t xml:space="preserve"> 2014-2020</w:t>
        </w:r>
        <w:r>
          <w:rPr>
            <w:noProof/>
            <w:webHidden/>
          </w:rPr>
          <w:tab/>
        </w:r>
        <w:r>
          <w:rPr>
            <w:noProof/>
            <w:webHidden/>
          </w:rPr>
          <w:fldChar w:fldCharType="begin"/>
        </w:r>
        <w:r>
          <w:rPr>
            <w:noProof/>
            <w:webHidden/>
          </w:rPr>
          <w:instrText xml:space="preserve"> PAGEREF _Toc202967012 \h </w:instrText>
        </w:r>
        <w:r>
          <w:rPr>
            <w:noProof/>
            <w:webHidden/>
          </w:rPr>
        </w:r>
        <w:r>
          <w:rPr>
            <w:noProof/>
            <w:webHidden/>
          </w:rPr>
          <w:fldChar w:fldCharType="separate"/>
        </w:r>
        <w:r>
          <w:rPr>
            <w:noProof/>
            <w:webHidden/>
          </w:rPr>
          <w:t>91</w:t>
        </w:r>
        <w:r>
          <w:rPr>
            <w:noProof/>
            <w:webHidden/>
          </w:rPr>
          <w:fldChar w:fldCharType="end"/>
        </w:r>
      </w:hyperlink>
    </w:p>
    <w:p w14:paraId="1D32A399" w14:textId="0075A452"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13" w:history="1">
        <w:r w:rsidRPr="00423D1E">
          <w:rPr>
            <w:rStyle w:val="Hipercze"/>
            <w:noProof/>
          </w:rPr>
          <w:t>Tabela 4.12 Nakłady inwestycyjne w sektorach paliwowo-energetycznych w podziale na sektory [mln EUR'2024] dla scenariusza WAM</w:t>
        </w:r>
        <w:r>
          <w:rPr>
            <w:noProof/>
            <w:webHidden/>
          </w:rPr>
          <w:tab/>
        </w:r>
        <w:r>
          <w:rPr>
            <w:noProof/>
            <w:webHidden/>
          </w:rPr>
          <w:fldChar w:fldCharType="begin"/>
        </w:r>
        <w:r>
          <w:rPr>
            <w:noProof/>
            <w:webHidden/>
          </w:rPr>
          <w:instrText xml:space="preserve"> PAGEREF _Toc202967013 \h </w:instrText>
        </w:r>
        <w:r>
          <w:rPr>
            <w:noProof/>
            <w:webHidden/>
          </w:rPr>
        </w:r>
        <w:r>
          <w:rPr>
            <w:noProof/>
            <w:webHidden/>
          </w:rPr>
          <w:fldChar w:fldCharType="separate"/>
        </w:r>
        <w:r>
          <w:rPr>
            <w:noProof/>
            <w:webHidden/>
          </w:rPr>
          <w:t>93</w:t>
        </w:r>
        <w:r>
          <w:rPr>
            <w:noProof/>
            <w:webHidden/>
          </w:rPr>
          <w:fldChar w:fldCharType="end"/>
        </w:r>
      </w:hyperlink>
    </w:p>
    <w:p w14:paraId="3ABAD643" w14:textId="3CF3BAD0"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14" w:history="1">
        <w:r w:rsidRPr="00423D1E">
          <w:rPr>
            <w:rStyle w:val="Hipercze"/>
            <w:noProof/>
          </w:rPr>
          <w:t>Tabela 5.1. Nakłady na badania naukowe i prace rozwojowe (mln EUR’2024)</w:t>
        </w:r>
        <w:r>
          <w:rPr>
            <w:noProof/>
            <w:webHidden/>
          </w:rPr>
          <w:tab/>
        </w:r>
        <w:r>
          <w:rPr>
            <w:noProof/>
            <w:webHidden/>
          </w:rPr>
          <w:fldChar w:fldCharType="begin"/>
        </w:r>
        <w:r>
          <w:rPr>
            <w:noProof/>
            <w:webHidden/>
          </w:rPr>
          <w:instrText xml:space="preserve"> PAGEREF _Toc202967014 \h </w:instrText>
        </w:r>
        <w:r>
          <w:rPr>
            <w:noProof/>
            <w:webHidden/>
          </w:rPr>
        </w:r>
        <w:r>
          <w:rPr>
            <w:noProof/>
            <w:webHidden/>
          </w:rPr>
          <w:fldChar w:fldCharType="separate"/>
        </w:r>
        <w:r>
          <w:rPr>
            <w:noProof/>
            <w:webHidden/>
          </w:rPr>
          <w:t>98</w:t>
        </w:r>
        <w:r>
          <w:rPr>
            <w:noProof/>
            <w:webHidden/>
          </w:rPr>
          <w:fldChar w:fldCharType="end"/>
        </w:r>
      </w:hyperlink>
    </w:p>
    <w:p w14:paraId="2CBA8C3A" w14:textId="15B7CE62"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15" w:history="1">
        <w:r w:rsidRPr="00423D1E">
          <w:rPr>
            <w:rStyle w:val="Hipercze"/>
            <w:noProof/>
          </w:rPr>
          <w:t>Tabela 5.2. Prognoza sumarycznych nakładów ponoszonych na badania nad ograniczaniem emisji do 2040 r. (mln EUR’2024)</w:t>
        </w:r>
        <w:r>
          <w:rPr>
            <w:noProof/>
            <w:webHidden/>
          </w:rPr>
          <w:tab/>
        </w:r>
        <w:r>
          <w:rPr>
            <w:noProof/>
            <w:webHidden/>
          </w:rPr>
          <w:fldChar w:fldCharType="begin"/>
        </w:r>
        <w:r>
          <w:rPr>
            <w:noProof/>
            <w:webHidden/>
          </w:rPr>
          <w:instrText xml:space="preserve"> PAGEREF _Toc202967015 \h </w:instrText>
        </w:r>
        <w:r>
          <w:rPr>
            <w:noProof/>
            <w:webHidden/>
          </w:rPr>
        </w:r>
        <w:r>
          <w:rPr>
            <w:noProof/>
            <w:webHidden/>
          </w:rPr>
          <w:fldChar w:fldCharType="separate"/>
        </w:r>
        <w:r>
          <w:rPr>
            <w:noProof/>
            <w:webHidden/>
          </w:rPr>
          <w:t>99</w:t>
        </w:r>
        <w:r>
          <w:rPr>
            <w:noProof/>
            <w:webHidden/>
          </w:rPr>
          <w:fldChar w:fldCharType="end"/>
        </w:r>
      </w:hyperlink>
    </w:p>
    <w:p w14:paraId="0BA25647" w14:textId="7A90DE1A"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16" w:history="1">
        <w:r w:rsidRPr="00423D1E">
          <w:rPr>
            <w:rStyle w:val="Hipercze"/>
            <w:noProof/>
          </w:rPr>
          <w:t>Tabela 6.1. Produkt Krajowy Brutto Polski</w:t>
        </w:r>
        <w:r>
          <w:rPr>
            <w:noProof/>
            <w:webHidden/>
          </w:rPr>
          <w:tab/>
        </w:r>
        <w:r>
          <w:rPr>
            <w:noProof/>
            <w:webHidden/>
          </w:rPr>
          <w:fldChar w:fldCharType="begin"/>
        </w:r>
        <w:r>
          <w:rPr>
            <w:noProof/>
            <w:webHidden/>
          </w:rPr>
          <w:instrText xml:space="preserve"> PAGEREF _Toc202967016 \h </w:instrText>
        </w:r>
        <w:r>
          <w:rPr>
            <w:noProof/>
            <w:webHidden/>
          </w:rPr>
        </w:r>
        <w:r>
          <w:rPr>
            <w:noProof/>
            <w:webHidden/>
          </w:rPr>
          <w:fldChar w:fldCharType="separate"/>
        </w:r>
        <w:r>
          <w:rPr>
            <w:noProof/>
            <w:webHidden/>
          </w:rPr>
          <w:t>101</w:t>
        </w:r>
        <w:r>
          <w:rPr>
            <w:noProof/>
            <w:webHidden/>
          </w:rPr>
          <w:fldChar w:fldCharType="end"/>
        </w:r>
      </w:hyperlink>
    </w:p>
    <w:p w14:paraId="6DD4A706" w14:textId="435B7785"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17" w:history="1">
        <w:r w:rsidRPr="00423D1E">
          <w:rPr>
            <w:rStyle w:val="Hipercze"/>
            <w:noProof/>
          </w:rPr>
          <w:t>Tabela 6.2 Ceny uprawnień do emisji GHG w systemie EU ETS [EUR’2024/tCO</w:t>
        </w:r>
        <w:r w:rsidRPr="00423D1E">
          <w:rPr>
            <w:rStyle w:val="Hipercze"/>
            <w:noProof/>
            <w:vertAlign w:val="subscript"/>
          </w:rPr>
          <w:t>2</w:t>
        </w:r>
        <w:r w:rsidRPr="00423D1E">
          <w:rPr>
            <w:rStyle w:val="Hipercze"/>
            <w:noProof/>
          </w:rPr>
          <w:t>eq] w scenariuszu WEM</w:t>
        </w:r>
        <w:r>
          <w:rPr>
            <w:noProof/>
            <w:webHidden/>
          </w:rPr>
          <w:tab/>
        </w:r>
        <w:r>
          <w:rPr>
            <w:noProof/>
            <w:webHidden/>
          </w:rPr>
          <w:fldChar w:fldCharType="begin"/>
        </w:r>
        <w:r>
          <w:rPr>
            <w:noProof/>
            <w:webHidden/>
          </w:rPr>
          <w:instrText xml:space="preserve"> PAGEREF _Toc202967017 \h </w:instrText>
        </w:r>
        <w:r>
          <w:rPr>
            <w:noProof/>
            <w:webHidden/>
          </w:rPr>
        </w:r>
        <w:r>
          <w:rPr>
            <w:noProof/>
            <w:webHidden/>
          </w:rPr>
          <w:fldChar w:fldCharType="separate"/>
        </w:r>
        <w:r>
          <w:rPr>
            <w:noProof/>
            <w:webHidden/>
          </w:rPr>
          <w:t>101</w:t>
        </w:r>
        <w:r>
          <w:rPr>
            <w:noProof/>
            <w:webHidden/>
          </w:rPr>
          <w:fldChar w:fldCharType="end"/>
        </w:r>
      </w:hyperlink>
    </w:p>
    <w:p w14:paraId="12188B17" w14:textId="03B36599"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18" w:history="1">
        <w:r w:rsidRPr="00423D1E">
          <w:rPr>
            <w:rStyle w:val="Hipercze"/>
            <w:noProof/>
          </w:rPr>
          <w:t>Tabela 6.3. Prognozowana liczba ludności Polski oraz liczby ludności gotowej do pracy</w:t>
        </w:r>
        <w:r>
          <w:rPr>
            <w:noProof/>
            <w:webHidden/>
          </w:rPr>
          <w:tab/>
        </w:r>
        <w:r>
          <w:rPr>
            <w:noProof/>
            <w:webHidden/>
          </w:rPr>
          <w:fldChar w:fldCharType="begin"/>
        </w:r>
        <w:r>
          <w:rPr>
            <w:noProof/>
            <w:webHidden/>
          </w:rPr>
          <w:instrText xml:space="preserve"> PAGEREF _Toc202967018 \h </w:instrText>
        </w:r>
        <w:r>
          <w:rPr>
            <w:noProof/>
            <w:webHidden/>
          </w:rPr>
        </w:r>
        <w:r>
          <w:rPr>
            <w:noProof/>
            <w:webHidden/>
          </w:rPr>
          <w:fldChar w:fldCharType="separate"/>
        </w:r>
        <w:r>
          <w:rPr>
            <w:noProof/>
            <w:webHidden/>
          </w:rPr>
          <w:t>102</w:t>
        </w:r>
        <w:r>
          <w:rPr>
            <w:noProof/>
            <w:webHidden/>
          </w:rPr>
          <w:fldChar w:fldCharType="end"/>
        </w:r>
      </w:hyperlink>
    </w:p>
    <w:p w14:paraId="529CB936" w14:textId="76A7EBBA"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19" w:history="1">
        <w:r w:rsidRPr="00423D1E">
          <w:rPr>
            <w:rStyle w:val="Hipercze"/>
            <w:noProof/>
          </w:rPr>
          <w:t>Tabela 6.4. Dynamiki średnich cen energii elektrycznej dla odbiorców końcowych</w:t>
        </w:r>
        <w:r>
          <w:rPr>
            <w:noProof/>
            <w:webHidden/>
          </w:rPr>
          <w:tab/>
        </w:r>
        <w:r>
          <w:rPr>
            <w:noProof/>
            <w:webHidden/>
          </w:rPr>
          <w:fldChar w:fldCharType="begin"/>
        </w:r>
        <w:r>
          <w:rPr>
            <w:noProof/>
            <w:webHidden/>
          </w:rPr>
          <w:instrText xml:space="preserve"> PAGEREF _Toc202967019 \h </w:instrText>
        </w:r>
        <w:r>
          <w:rPr>
            <w:noProof/>
            <w:webHidden/>
          </w:rPr>
        </w:r>
        <w:r>
          <w:rPr>
            <w:noProof/>
            <w:webHidden/>
          </w:rPr>
          <w:fldChar w:fldCharType="separate"/>
        </w:r>
        <w:r>
          <w:rPr>
            <w:noProof/>
            <w:webHidden/>
          </w:rPr>
          <w:t>102</w:t>
        </w:r>
        <w:r>
          <w:rPr>
            <w:noProof/>
            <w:webHidden/>
          </w:rPr>
          <w:fldChar w:fldCharType="end"/>
        </w:r>
      </w:hyperlink>
    </w:p>
    <w:p w14:paraId="617A2DDF" w14:textId="02A1D607"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20" w:history="1">
        <w:r w:rsidRPr="00423D1E">
          <w:rPr>
            <w:rStyle w:val="Hipercze"/>
            <w:noProof/>
          </w:rPr>
          <w:t>Tabela 6.5. Dynamika nakładów inwestycyjnych związanych z wytwarzaniem i wykorzystaniem energii w scenariuszach WEM i WAM [2021-2025=1]</w:t>
        </w:r>
        <w:r>
          <w:rPr>
            <w:noProof/>
            <w:webHidden/>
          </w:rPr>
          <w:tab/>
        </w:r>
        <w:r>
          <w:rPr>
            <w:noProof/>
            <w:webHidden/>
          </w:rPr>
          <w:fldChar w:fldCharType="begin"/>
        </w:r>
        <w:r>
          <w:rPr>
            <w:noProof/>
            <w:webHidden/>
          </w:rPr>
          <w:instrText xml:space="preserve"> PAGEREF _Toc202967020 \h </w:instrText>
        </w:r>
        <w:r>
          <w:rPr>
            <w:noProof/>
            <w:webHidden/>
          </w:rPr>
        </w:r>
        <w:r>
          <w:rPr>
            <w:noProof/>
            <w:webHidden/>
          </w:rPr>
          <w:fldChar w:fldCharType="separate"/>
        </w:r>
        <w:r>
          <w:rPr>
            <w:noProof/>
            <w:webHidden/>
          </w:rPr>
          <w:t>103</w:t>
        </w:r>
        <w:r>
          <w:rPr>
            <w:noProof/>
            <w:webHidden/>
          </w:rPr>
          <w:fldChar w:fldCharType="end"/>
        </w:r>
      </w:hyperlink>
    </w:p>
    <w:p w14:paraId="273EBB60" w14:textId="2DEF0AC3"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21" w:history="1">
        <w:r w:rsidRPr="00423D1E">
          <w:rPr>
            <w:rStyle w:val="Hipercze"/>
            <w:noProof/>
          </w:rPr>
          <w:t>Tabela 6.6. Zmiany PKB w scenariuszu WEM i WAM [mld EUR’2024]</w:t>
        </w:r>
        <w:r>
          <w:rPr>
            <w:noProof/>
            <w:webHidden/>
          </w:rPr>
          <w:tab/>
        </w:r>
        <w:r>
          <w:rPr>
            <w:noProof/>
            <w:webHidden/>
          </w:rPr>
          <w:fldChar w:fldCharType="begin"/>
        </w:r>
        <w:r>
          <w:rPr>
            <w:noProof/>
            <w:webHidden/>
          </w:rPr>
          <w:instrText xml:space="preserve"> PAGEREF _Toc202967021 \h </w:instrText>
        </w:r>
        <w:r>
          <w:rPr>
            <w:noProof/>
            <w:webHidden/>
          </w:rPr>
        </w:r>
        <w:r>
          <w:rPr>
            <w:noProof/>
            <w:webHidden/>
          </w:rPr>
          <w:fldChar w:fldCharType="separate"/>
        </w:r>
        <w:r>
          <w:rPr>
            <w:noProof/>
            <w:webHidden/>
          </w:rPr>
          <w:t>104</w:t>
        </w:r>
        <w:r>
          <w:rPr>
            <w:noProof/>
            <w:webHidden/>
          </w:rPr>
          <w:fldChar w:fldCharType="end"/>
        </w:r>
      </w:hyperlink>
    </w:p>
    <w:p w14:paraId="2CA712EA" w14:textId="36D663C9"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22" w:history="1">
        <w:r w:rsidRPr="00423D1E">
          <w:rPr>
            <w:rStyle w:val="Hipercze"/>
            <w:noProof/>
          </w:rPr>
          <w:t>Tabela 6.7. Zmiany całkowitych inwestycji w gospodarce w scenariuszu WEM i WAM [mld EUR’2024]</w:t>
        </w:r>
        <w:r>
          <w:rPr>
            <w:noProof/>
            <w:webHidden/>
          </w:rPr>
          <w:tab/>
        </w:r>
        <w:r>
          <w:rPr>
            <w:noProof/>
            <w:webHidden/>
          </w:rPr>
          <w:fldChar w:fldCharType="begin"/>
        </w:r>
        <w:r>
          <w:rPr>
            <w:noProof/>
            <w:webHidden/>
          </w:rPr>
          <w:instrText xml:space="preserve"> PAGEREF _Toc202967022 \h </w:instrText>
        </w:r>
        <w:r>
          <w:rPr>
            <w:noProof/>
            <w:webHidden/>
          </w:rPr>
        </w:r>
        <w:r>
          <w:rPr>
            <w:noProof/>
            <w:webHidden/>
          </w:rPr>
          <w:fldChar w:fldCharType="separate"/>
        </w:r>
        <w:r>
          <w:rPr>
            <w:noProof/>
            <w:webHidden/>
          </w:rPr>
          <w:t>105</w:t>
        </w:r>
        <w:r>
          <w:rPr>
            <w:noProof/>
            <w:webHidden/>
          </w:rPr>
          <w:fldChar w:fldCharType="end"/>
        </w:r>
      </w:hyperlink>
    </w:p>
    <w:p w14:paraId="208D67F6" w14:textId="092D88D4"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23" w:history="1">
        <w:r w:rsidRPr="00423D1E">
          <w:rPr>
            <w:rStyle w:val="Hipercze"/>
            <w:noProof/>
          </w:rPr>
          <w:t>Tabela 6.8. Zmiany konsumpcji gospodarstw domowych w scenariuszu WEM i WAM [mln EUR’2024]</w:t>
        </w:r>
        <w:r>
          <w:rPr>
            <w:noProof/>
            <w:webHidden/>
          </w:rPr>
          <w:tab/>
        </w:r>
        <w:r>
          <w:rPr>
            <w:noProof/>
            <w:webHidden/>
          </w:rPr>
          <w:fldChar w:fldCharType="begin"/>
        </w:r>
        <w:r>
          <w:rPr>
            <w:noProof/>
            <w:webHidden/>
          </w:rPr>
          <w:instrText xml:space="preserve"> PAGEREF _Toc202967023 \h </w:instrText>
        </w:r>
        <w:r>
          <w:rPr>
            <w:noProof/>
            <w:webHidden/>
          </w:rPr>
        </w:r>
        <w:r>
          <w:rPr>
            <w:noProof/>
            <w:webHidden/>
          </w:rPr>
          <w:fldChar w:fldCharType="separate"/>
        </w:r>
        <w:r>
          <w:rPr>
            <w:noProof/>
            <w:webHidden/>
          </w:rPr>
          <w:t>105</w:t>
        </w:r>
        <w:r>
          <w:rPr>
            <w:noProof/>
            <w:webHidden/>
          </w:rPr>
          <w:fldChar w:fldCharType="end"/>
        </w:r>
      </w:hyperlink>
    </w:p>
    <w:p w14:paraId="6BDA10BF" w14:textId="5CACA58D"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24" w:history="1">
        <w:r w:rsidRPr="00423D1E">
          <w:rPr>
            <w:rStyle w:val="Hipercze"/>
            <w:noProof/>
          </w:rPr>
          <w:t>Tabela 6.9. Projekcja salda handlu zagranicznego [mld EUR’2024]</w:t>
        </w:r>
        <w:r>
          <w:rPr>
            <w:noProof/>
            <w:webHidden/>
          </w:rPr>
          <w:tab/>
        </w:r>
        <w:r>
          <w:rPr>
            <w:noProof/>
            <w:webHidden/>
          </w:rPr>
          <w:fldChar w:fldCharType="begin"/>
        </w:r>
        <w:r>
          <w:rPr>
            <w:noProof/>
            <w:webHidden/>
          </w:rPr>
          <w:instrText xml:space="preserve"> PAGEREF _Toc202967024 \h </w:instrText>
        </w:r>
        <w:r>
          <w:rPr>
            <w:noProof/>
            <w:webHidden/>
          </w:rPr>
        </w:r>
        <w:r>
          <w:rPr>
            <w:noProof/>
            <w:webHidden/>
          </w:rPr>
          <w:fldChar w:fldCharType="separate"/>
        </w:r>
        <w:r>
          <w:rPr>
            <w:noProof/>
            <w:webHidden/>
          </w:rPr>
          <w:t>106</w:t>
        </w:r>
        <w:r>
          <w:rPr>
            <w:noProof/>
            <w:webHidden/>
          </w:rPr>
          <w:fldChar w:fldCharType="end"/>
        </w:r>
      </w:hyperlink>
    </w:p>
    <w:p w14:paraId="27C15B0F" w14:textId="563031AC"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25" w:history="1">
        <w:r w:rsidRPr="00423D1E">
          <w:rPr>
            <w:rStyle w:val="Hipercze"/>
            <w:noProof/>
          </w:rPr>
          <w:t>Tabela 6.10. Dynamika stopy bezrobocia w scenariuszu WEM i WAM</w:t>
        </w:r>
        <w:r>
          <w:rPr>
            <w:noProof/>
            <w:webHidden/>
          </w:rPr>
          <w:tab/>
        </w:r>
        <w:r>
          <w:rPr>
            <w:noProof/>
            <w:webHidden/>
          </w:rPr>
          <w:fldChar w:fldCharType="begin"/>
        </w:r>
        <w:r>
          <w:rPr>
            <w:noProof/>
            <w:webHidden/>
          </w:rPr>
          <w:instrText xml:space="preserve"> PAGEREF _Toc202967025 \h </w:instrText>
        </w:r>
        <w:r>
          <w:rPr>
            <w:noProof/>
            <w:webHidden/>
          </w:rPr>
        </w:r>
        <w:r>
          <w:rPr>
            <w:noProof/>
            <w:webHidden/>
          </w:rPr>
          <w:fldChar w:fldCharType="separate"/>
        </w:r>
        <w:r>
          <w:rPr>
            <w:noProof/>
            <w:webHidden/>
          </w:rPr>
          <w:t>106</w:t>
        </w:r>
        <w:r>
          <w:rPr>
            <w:noProof/>
            <w:webHidden/>
          </w:rPr>
          <w:fldChar w:fldCharType="end"/>
        </w:r>
      </w:hyperlink>
    </w:p>
    <w:p w14:paraId="3FCF290A" w14:textId="05ADBAC1"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26" w:history="1">
        <w:r w:rsidRPr="00423D1E">
          <w:rPr>
            <w:rStyle w:val="Hipercze"/>
            <w:noProof/>
          </w:rPr>
          <w:t>Tabela 6.11 Projekcja dynamiki płacy realnej</w:t>
        </w:r>
        <w:r>
          <w:rPr>
            <w:noProof/>
            <w:webHidden/>
          </w:rPr>
          <w:tab/>
        </w:r>
        <w:r>
          <w:rPr>
            <w:noProof/>
            <w:webHidden/>
          </w:rPr>
          <w:fldChar w:fldCharType="begin"/>
        </w:r>
        <w:r>
          <w:rPr>
            <w:noProof/>
            <w:webHidden/>
          </w:rPr>
          <w:instrText xml:space="preserve"> PAGEREF _Toc202967026 \h </w:instrText>
        </w:r>
        <w:r>
          <w:rPr>
            <w:noProof/>
            <w:webHidden/>
          </w:rPr>
        </w:r>
        <w:r>
          <w:rPr>
            <w:noProof/>
            <w:webHidden/>
          </w:rPr>
          <w:fldChar w:fldCharType="separate"/>
        </w:r>
        <w:r>
          <w:rPr>
            <w:noProof/>
            <w:webHidden/>
          </w:rPr>
          <w:t>107</w:t>
        </w:r>
        <w:r>
          <w:rPr>
            <w:noProof/>
            <w:webHidden/>
          </w:rPr>
          <w:fldChar w:fldCharType="end"/>
        </w:r>
      </w:hyperlink>
    </w:p>
    <w:p w14:paraId="09662F44" w14:textId="2694E882"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27" w:history="1">
        <w:r w:rsidRPr="00423D1E">
          <w:rPr>
            <w:rStyle w:val="Hipercze"/>
            <w:noProof/>
          </w:rPr>
          <w:t>Tabela 6.12. Dynamika zatrudnienia w sektorach gospodarki w scenariuszu WEM i WAM [tys. osób]</w:t>
        </w:r>
        <w:r>
          <w:rPr>
            <w:noProof/>
            <w:webHidden/>
          </w:rPr>
          <w:tab/>
        </w:r>
        <w:r>
          <w:rPr>
            <w:noProof/>
            <w:webHidden/>
          </w:rPr>
          <w:fldChar w:fldCharType="begin"/>
        </w:r>
        <w:r>
          <w:rPr>
            <w:noProof/>
            <w:webHidden/>
          </w:rPr>
          <w:instrText xml:space="preserve"> PAGEREF _Toc202967027 \h </w:instrText>
        </w:r>
        <w:r>
          <w:rPr>
            <w:noProof/>
            <w:webHidden/>
          </w:rPr>
        </w:r>
        <w:r>
          <w:rPr>
            <w:noProof/>
            <w:webHidden/>
          </w:rPr>
          <w:fldChar w:fldCharType="separate"/>
        </w:r>
        <w:r>
          <w:rPr>
            <w:noProof/>
            <w:webHidden/>
          </w:rPr>
          <w:t>107</w:t>
        </w:r>
        <w:r>
          <w:rPr>
            <w:noProof/>
            <w:webHidden/>
          </w:rPr>
          <w:fldChar w:fldCharType="end"/>
        </w:r>
      </w:hyperlink>
    </w:p>
    <w:p w14:paraId="302FF3E2" w14:textId="13DAEFA5"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28" w:history="1">
        <w:r w:rsidRPr="00423D1E">
          <w:rPr>
            <w:rStyle w:val="Hipercze"/>
            <w:noProof/>
          </w:rPr>
          <w:t xml:space="preserve">Tabela 6.13. </w:t>
        </w:r>
        <w:r w:rsidRPr="00423D1E">
          <w:rPr>
            <w:rStyle w:val="Hipercze"/>
            <w:rFonts w:cstheme="minorHAnsi"/>
            <w:noProof/>
          </w:rPr>
          <w:t>Skutki zdrowotne długookresowego narażenia na pył PM2,5 dla scenariuszy WEM i WAM</w:t>
        </w:r>
        <w:r>
          <w:rPr>
            <w:noProof/>
            <w:webHidden/>
          </w:rPr>
          <w:tab/>
        </w:r>
        <w:r>
          <w:rPr>
            <w:noProof/>
            <w:webHidden/>
          </w:rPr>
          <w:fldChar w:fldCharType="begin"/>
        </w:r>
        <w:r>
          <w:rPr>
            <w:noProof/>
            <w:webHidden/>
          </w:rPr>
          <w:instrText xml:space="preserve"> PAGEREF _Toc202967028 \h </w:instrText>
        </w:r>
        <w:r>
          <w:rPr>
            <w:noProof/>
            <w:webHidden/>
          </w:rPr>
        </w:r>
        <w:r>
          <w:rPr>
            <w:noProof/>
            <w:webHidden/>
          </w:rPr>
          <w:fldChar w:fldCharType="separate"/>
        </w:r>
        <w:r>
          <w:rPr>
            <w:noProof/>
            <w:webHidden/>
          </w:rPr>
          <w:t>113</w:t>
        </w:r>
        <w:r>
          <w:rPr>
            <w:noProof/>
            <w:webHidden/>
          </w:rPr>
          <w:fldChar w:fldCharType="end"/>
        </w:r>
      </w:hyperlink>
    </w:p>
    <w:p w14:paraId="3AABF713" w14:textId="11EB4726"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29" w:history="1">
        <w:r w:rsidRPr="00423D1E">
          <w:rPr>
            <w:rStyle w:val="Hipercze"/>
            <w:noProof/>
          </w:rPr>
          <w:t>Tabela 8.1. Redukcje emisji GHG wynikające z dodatkowych działań ujętych w scenariuszu WAM</w:t>
        </w:r>
        <w:r>
          <w:rPr>
            <w:noProof/>
            <w:webHidden/>
          </w:rPr>
          <w:tab/>
        </w:r>
        <w:r>
          <w:rPr>
            <w:noProof/>
            <w:webHidden/>
          </w:rPr>
          <w:fldChar w:fldCharType="begin"/>
        </w:r>
        <w:r>
          <w:rPr>
            <w:noProof/>
            <w:webHidden/>
          </w:rPr>
          <w:instrText xml:space="preserve"> PAGEREF _Toc202967029 \h </w:instrText>
        </w:r>
        <w:r>
          <w:rPr>
            <w:noProof/>
            <w:webHidden/>
          </w:rPr>
        </w:r>
        <w:r>
          <w:rPr>
            <w:noProof/>
            <w:webHidden/>
          </w:rPr>
          <w:fldChar w:fldCharType="separate"/>
        </w:r>
        <w:r>
          <w:rPr>
            <w:noProof/>
            <w:webHidden/>
          </w:rPr>
          <w:t>129</w:t>
        </w:r>
        <w:r>
          <w:rPr>
            <w:noProof/>
            <w:webHidden/>
          </w:rPr>
          <w:fldChar w:fldCharType="end"/>
        </w:r>
      </w:hyperlink>
    </w:p>
    <w:p w14:paraId="723262CD" w14:textId="6932141A"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30" w:history="1">
        <w:r w:rsidRPr="00423D1E">
          <w:rPr>
            <w:rStyle w:val="Hipercze"/>
            <w:noProof/>
          </w:rPr>
          <w:t>Tabela 8.2 Redukcja całkowitych emisji GHG wg scenariuszy względem poziomu emisji w 1990 r.</w:t>
        </w:r>
        <w:r>
          <w:rPr>
            <w:noProof/>
            <w:webHidden/>
          </w:rPr>
          <w:tab/>
        </w:r>
        <w:r>
          <w:rPr>
            <w:noProof/>
            <w:webHidden/>
          </w:rPr>
          <w:fldChar w:fldCharType="begin"/>
        </w:r>
        <w:r>
          <w:rPr>
            <w:noProof/>
            <w:webHidden/>
          </w:rPr>
          <w:instrText xml:space="preserve"> PAGEREF _Toc202967030 \h </w:instrText>
        </w:r>
        <w:r>
          <w:rPr>
            <w:noProof/>
            <w:webHidden/>
          </w:rPr>
        </w:r>
        <w:r>
          <w:rPr>
            <w:noProof/>
            <w:webHidden/>
          </w:rPr>
          <w:fldChar w:fldCharType="separate"/>
        </w:r>
        <w:r>
          <w:rPr>
            <w:noProof/>
            <w:webHidden/>
          </w:rPr>
          <w:t>129</w:t>
        </w:r>
        <w:r>
          <w:rPr>
            <w:noProof/>
            <w:webHidden/>
          </w:rPr>
          <w:fldChar w:fldCharType="end"/>
        </w:r>
      </w:hyperlink>
    </w:p>
    <w:p w14:paraId="25F4317F" w14:textId="36CA88FA" w:rsidR="00E901C4" w:rsidRDefault="00E901C4" w:rsidP="00184862">
      <w:pPr>
        <w:pStyle w:val="Nagwek1"/>
        <w:numPr>
          <w:ilvl w:val="0"/>
          <w:numId w:val="0"/>
        </w:numPr>
        <w:spacing w:after="120"/>
        <w:ind w:left="432" w:hanging="432"/>
      </w:pPr>
      <w:r>
        <w:fldChar w:fldCharType="end"/>
      </w:r>
      <w:bookmarkStart w:id="824" w:name="_Toc174710943"/>
      <w:bookmarkStart w:id="825" w:name="_Toc202966945"/>
      <w:r w:rsidR="004D6D5E">
        <w:t>Spis wykresów i rysunków</w:t>
      </w:r>
      <w:bookmarkEnd w:id="824"/>
      <w:bookmarkEnd w:id="825"/>
    </w:p>
    <w:p w14:paraId="11DA5F04" w14:textId="0D31E1D4" w:rsidR="00F27D6F" w:rsidRDefault="0004697D">
      <w:pPr>
        <w:pStyle w:val="Spisilustracji"/>
        <w:tabs>
          <w:tab w:val="right" w:leader="dot" w:pos="9062"/>
        </w:tabs>
        <w:rPr>
          <w:rFonts w:asciiTheme="minorHAnsi" w:eastAsiaTheme="minorEastAsia" w:hAnsiTheme="minorHAnsi"/>
          <w:noProof/>
          <w:kern w:val="2"/>
          <w:sz w:val="24"/>
          <w:szCs w:val="24"/>
          <w:lang w:eastAsia="pl-PL"/>
          <w14:ligatures w14:val="standardContextual"/>
        </w:rPr>
      </w:pPr>
      <w:r>
        <w:fldChar w:fldCharType="begin"/>
      </w:r>
      <w:r>
        <w:instrText xml:space="preserve"> TOC \h \z \c "Rysunek" </w:instrText>
      </w:r>
      <w:r>
        <w:fldChar w:fldCharType="separate"/>
      </w:r>
      <w:hyperlink w:anchor="_Toc202967031" w:history="1">
        <w:r w:rsidR="00F27D6F" w:rsidRPr="00DA38C7">
          <w:rPr>
            <w:rStyle w:val="Hipercze"/>
            <w:noProof/>
          </w:rPr>
          <w:t>Rysunek 1.1. Emisje historyczne (1990-2020) oraz projekcje emisji gazów cieplarnianych (z uwzględnieniem emisji pośredniej CO</w:t>
        </w:r>
        <w:r w:rsidR="00F27D6F" w:rsidRPr="00DA38C7">
          <w:rPr>
            <w:rStyle w:val="Hipercze"/>
            <w:noProof/>
            <w:vertAlign w:val="subscript"/>
          </w:rPr>
          <w:t>2</w:t>
        </w:r>
        <w:r w:rsidR="00F27D6F" w:rsidRPr="00DA38C7">
          <w:rPr>
            <w:rStyle w:val="Hipercze"/>
            <w:noProof/>
          </w:rPr>
          <w:t xml:space="preserve"> i wyłączeniem emisji i pochłaniania z LULUCF) wg sektorów, dla scenariusza WAM</w:t>
        </w:r>
        <w:r w:rsidR="00F27D6F">
          <w:rPr>
            <w:noProof/>
            <w:webHidden/>
          </w:rPr>
          <w:tab/>
        </w:r>
        <w:r w:rsidR="00F27D6F">
          <w:rPr>
            <w:noProof/>
            <w:webHidden/>
          </w:rPr>
          <w:fldChar w:fldCharType="begin"/>
        </w:r>
        <w:r w:rsidR="00F27D6F">
          <w:rPr>
            <w:noProof/>
            <w:webHidden/>
          </w:rPr>
          <w:instrText xml:space="preserve"> PAGEREF _Toc202967031 \h </w:instrText>
        </w:r>
        <w:r w:rsidR="00F27D6F">
          <w:rPr>
            <w:noProof/>
            <w:webHidden/>
          </w:rPr>
        </w:r>
        <w:r w:rsidR="00F27D6F">
          <w:rPr>
            <w:noProof/>
            <w:webHidden/>
          </w:rPr>
          <w:fldChar w:fldCharType="separate"/>
        </w:r>
        <w:r w:rsidR="00F27D6F">
          <w:rPr>
            <w:noProof/>
            <w:webHidden/>
          </w:rPr>
          <w:t>9</w:t>
        </w:r>
        <w:r w:rsidR="00F27D6F">
          <w:rPr>
            <w:noProof/>
            <w:webHidden/>
          </w:rPr>
          <w:fldChar w:fldCharType="end"/>
        </w:r>
      </w:hyperlink>
    </w:p>
    <w:p w14:paraId="017BD8A0" w14:textId="2204D875"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32" w:history="1">
        <w:r w:rsidRPr="00DA38C7">
          <w:rPr>
            <w:rStyle w:val="Hipercze"/>
            <w:noProof/>
          </w:rPr>
          <w:t>Rysunek 1.2. Emisje historyczne (2005-2020) oraz projekcje emisji gazów cieplarnianych (z uwzględnieniem emisji pośredniej CO</w:t>
        </w:r>
        <w:r w:rsidRPr="00DA38C7">
          <w:rPr>
            <w:rStyle w:val="Hipercze"/>
            <w:noProof/>
            <w:vertAlign w:val="subscript"/>
          </w:rPr>
          <w:t>2</w:t>
        </w:r>
        <w:r w:rsidRPr="00DA38C7">
          <w:rPr>
            <w:rStyle w:val="Hipercze"/>
            <w:noProof/>
          </w:rPr>
          <w:t xml:space="preserve"> i wyłączeniem emisji i pochłaniania z LULUCF) dla scenariusza WEM i WAM</w:t>
        </w:r>
        <w:r>
          <w:rPr>
            <w:noProof/>
            <w:webHidden/>
          </w:rPr>
          <w:tab/>
        </w:r>
        <w:r>
          <w:rPr>
            <w:noProof/>
            <w:webHidden/>
          </w:rPr>
          <w:fldChar w:fldCharType="begin"/>
        </w:r>
        <w:r>
          <w:rPr>
            <w:noProof/>
            <w:webHidden/>
          </w:rPr>
          <w:instrText xml:space="preserve"> PAGEREF _Toc202967032 \h </w:instrText>
        </w:r>
        <w:r>
          <w:rPr>
            <w:noProof/>
            <w:webHidden/>
          </w:rPr>
        </w:r>
        <w:r>
          <w:rPr>
            <w:noProof/>
            <w:webHidden/>
          </w:rPr>
          <w:fldChar w:fldCharType="separate"/>
        </w:r>
        <w:r>
          <w:rPr>
            <w:noProof/>
            <w:webHidden/>
          </w:rPr>
          <w:t>23</w:t>
        </w:r>
        <w:r>
          <w:rPr>
            <w:noProof/>
            <w:webHidden/>
          </w:rPr>
          <w:fldChar w:fldCharType="end"/>
        </w:r>
      </w:hyperlink>
    </w:p>
    <w:p w14:paraId="07322023" w14:textId="650A00C6"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33" w:history="1">
        <w:r w:rsidRPr="00DA38C7">
          <w:rPr>
            <w:rStyle w:val="Hipercze"/>
            <w:noProof/>
          </w:rPr>
          <w:t>Rysunek 1.3. Udział OZE w ujęciu krajowym</w:t>
        </w:r>
        <w:r>
          <w:rPr>
            <w:noProof/>
            <w:webHidden/>
          </w:rPr>
          <w:tab/>
        </w:r>
        <w:r>
          <w:rPr>
            <w:noProof/>
            <w:webHidden/>
          </w:rPr>
          <w:fldChar w:fldCharType="begin"/>
        </w:r>
        <w:r>
          <w:rPr>
            <w:noProof/>
            <w:webHidden/>
          </w:rPr>
          <w:instrText xml:space="preserve"> PAGEREF _Toc202967033 \h </w:instrText>
        </w:r>
        <w:r>
          <w:rPr>
            <w:noProof/>
            <w:webHidden/>
          </w:rPr>
        </w:r>
        <w:r>
          <w:rPr>
            <w:noProof/>
            <w:webHidden/>
          </w:rPr>
          <w:fldChar w:fldCharType="separate"/>
        </w:r>
        <w:r>
          <w:rPr>
            <w:noProof/>
            <w:webHidden/>
          </w:rPr>
          <w:t>31</w:t>
        </w:r>
        <w:r>
          <w:rPr>
            <w:noProof/>
            <w:webHidden/>
          </w:rPr>
          <w:fldChar w:fldCharType="end"/>
        </w:r>
      </w:hyperlink>
    </w:p>
    <w:p w14:paraId="29078010" w14:textId="02F4E88F"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34" w:history="1">
        <w:r w:rsidRPr="00DA38C7">
          <w:rPr>
            <w:rStyle w:val="Hipercze"/>
            <w:noProof/>
          </w:rPr>
          <w:t>Rysunek 1.4. Porównanie udziałów OZE w poszczególnych sektorach gospodarki</w:t>
        </w:r>
        <w:r>
          <w:rPr>
            <w:noProof/>
            <w:webHidden/>
          </w:rPr>
          <w:tab/>
        </w:r>
        <w:r>
          <w:rPr>
            <w:noProof/>
            <w:webHidden/>
          </w:rPr>
          <w:fldChar w:fldCharType="begin"/>
        </w:r>
        <w:r>
          <w:rPr>
            <w:noProof/>
            <w:webHidden/>
          </w:rPr>
          <w:instrText xml:space="preserve"> PAGEREF _Toc202967034 \h </w:instrText>
        </w:r>
        <w:r>
          <w:rPr>
            <w:noProof/>
            <w:webHidden/>
          </w:rPr>
        </w:r>
        <w:r>
          <w:rPr>
            <w:noProof/>
            <w:webHidden/>
          </w:rPr>
          <w:fldChar w:fldCharType="separate"/>
        </w:r>
        <w:r>
          <w:rPr>
            <w:noProof/>
            <w:webHidden/>
          </w:rPr>
          <w:t>31</w:t>
        </w:r>
        <w:r>
          <w:rPr>
            <w:noProof/>
            <w:webHidden/>
          </w:rPr>
          <w:fldChar w:fldCharType="end"/>
        </w:r>
      </w:hyperlink>
    </w:p>
    <w:p w14:paraId="1FC89E46" w14:textId="3F158221"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35" w:history="1">
        <w:r w:rsidRPr="00DA38C7">
          <w:rPr>
            <w:rStyle w:val="Hipercze"/>
            <w:noProof/>
          </w:rPr>
          <w:t>Rysunek 1.5. Udział OZE w zużyciu końcowym energii brutto oraz w poszczególnych sektorach gospodarki</w:t>
        </w:r>
        <w:r>
          <w:rPr>
            <w:noProof/>
            <w:webHidden/>
          </w:rPr>
          <w:tab/>
        </w:r>
        <w:r>
          <w:rPr>
            <w:noProof/>
            <w:webHidden/>
          </w:rPr>
          <w:fldChar w:fldCharType="begin"/>
        </w:r>
        <w:r>
          <w:rPr>
            <w:noProof/>
            <w:webHidden/>
          </w:rPr>
          <w:instrText xml:space="preserve"> PAGEREF _Toc202967035 \h </w:instrText>
        </w:r>
        <w:r>
          <w:rPr>
            <w:noProof/>
            <w:webHidden/>
          </w:rPr>
        </w:r>
        <w:r>
          <w:rPr>
            <w:noProof/>
            <w:webHidden/>
          </w:rPr>
          <w:fldChar w:fldCharType="separate"/>
        </w:r>
        <w:r>
          <w:rPr>
            <w:noProof/>
            <w:webHidden/>
          </w:rPr>
          <w:t>33</w:t>
        </w:r>
        <w:r>
          <w:rPr>
            <w:noProof/>
            <w:webHidden/>
          </w:rPr>
          <w:fldChar w:fldCharType="end"/>
        </w:r>
      </w:hyperlink>
    </w:p>
    <w:p w14:paraId="6E6CA4F4" w14:textId="7A269CBE"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36" w:history="1">
        <w:r w:rsidRPr="00DA38C7">
          <w:rPr>
            <w:rStyle w:val="Hipercze"/>
            <w:noProof/>
          </w:rPr>
          <w:t>Rysunek 1.6. Produkcja energii elektrycznej z OZE w podziale na technologie - sektor elektroenergetyczny [ktoe]</w:t>
        </w:r>
        <w:r>
          <w:rPr>
            <w:noProof/>
            <w:webHidden/>
          </w:rPr>
          <w:tab/>
        </w:r>
        <w:r>
          <w:rPr>
            <w:noProof/>
            <w:webHidden/>
          </w:rPr>
          <w:fldChar w:fldCharType="begin"/>
        </w:r>
        <w:r>
          <w:rPr>
            <w:noProof/>
            <w:webHidden/>
          </w:rPr>
          <w:instrText xml:space="preserve"> PAGEREF _Toc202967036 \h </w:instrText>
        </w:r>
        <w:r>
          <w:rPr>
            <w:noProof/>
            <w:webHidden/>
          </w:rPr>
        </w:r>
        <w:r>
          <w:rPr>
            <w:noProof/>
            <w:webHidden/>
          </w:rPr>
          <w:fldChar w:fldCharType="separate"/>
        </w:r>
        <w:r>
          <w:rPr>
            <w:noProof/>
            <w:webHidden/>
          </w:rPr>
          <w:t>34</w:t>
        </w:r>
        <w:r>
          <w:rPr>
            <w:noProof/>
            <w:webHidden/>
          </w:rPr>
          <w:fldChar w:fldCharType="end"/>
        </w:r>
      </w:hyperlink>
    </w:p>
    <w:p w14:paraId="59010BB4" w14:textId="6F3FAC50"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37" w:history="1">
        <w:r w:rsidRPr="00DA38C7">
          <w:rPr>
            <w:rStyle w:val="Hipercze"/>
            <w:noProof/>
          </w:rPr>
          <w:t>Rysunek 1.7. Zużycie energii końcowej brutto z OZE w podziale na technologie - ciepłownictwo i chłodnictwo [ktoe]</w:t>
        </w:r>
        <w:r>
          <w:rPr>
            <w:noProof/>
            <w:webHidden/>
          </w:rPr>
          <w:tab/>
        </w:r>
        <w:r>
          <w:rPr>
            <w:noProof/>
            <w:webHidden/>
          </w:rPr>
          <w:fldChar w:fldCharType="begin"/>
        </w:r>
        <w:r>
          <w:rPr>
            <w:noProof/>
            <w:webHidden/>
          </w:rPr>
          <w:instrText xml:space="preserve"> PAGEREF _Toc202967037 \h </w:instrText>
        </w:r>
        <w:r>
          <w:rPr>
            <w:noProof/>
            <w:webHidden/>
          </w:rPr>
        </w:r>
        <w:r>
          <w:rPr>
            <w:noProof/>
            <w:webHidden/>
          </w:rPr>
          <w:fldChar w:fldCharType="separate"/>
        </w:r>
        <w:r>
          <w:rPr>
            <w:noProof/>
            <w:webHidden/>
          </w:rPr>
          <w:t>35</w:t>
        </w:r>
        <w:r>
          <w:rPr>
            <w:noProof/>
            <w:webHidden/>
          </w:rPr>
          <w:fldChar w:fldCharType="end"/>
        </w:r>
      </w:hyperlink>
    </w:p>
    <w:p w14:paraId="182ADF92" w14:textId="5759DB62"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38" w:history="1">
        <w:r w:rsidRPr="00DA38C7">
          <w:rPr>
            <w:rStyle w:val="Hipercze"/>
            <w:noProof/>
          </w:rPr>
          <w:t>Rysunek 1.8. Finalne zużycie paliw i nośników energii zaliczanych do celu OZE* w transporcie</w:t>
        </w:r>
        <w:r>
          <w:rPr>
            <w:noProof/>
            <w:webHidden/>
          </w:rPr>
          <w:tab/>
        </w:r>
        <w:r>
          <w:rPr>
            <w:noProof/>
            <w:webHidden/>
          </w:rPr>
          <w:fldChar w:fldCharType="begin"/>
        </w:r>
        <w:r>
          <w:rPr>
            <w:noProof/>
            <w:webHidden/>
          </w:rPr>
          <w:instrText xml:space="preserve"> PAGEREF _Toc202967038 \h </w:instrText>
        </w:r>
        <w:r>
          <w:rPr>
            <w:noProof/>
            <w:webHidden/>
          </w:rPr>
        </w:r>
        <w:r>
          <w:rPr>
            <w:noProof/>
            <w:webHidden/>
          </w:rPr>
          <w:fldChar w:fldCharType="separate"/>
        </w:r>
        <w:r>
          <w:rPr>
            <w:noProof/>
            <w:webHidden/>
          </w:rPr>
          <w:t>36</w:t>
        </w:r>
        <w:r>
          <w:rPr>
            <w:noProof/>
            <w:webHidden/>
          </w:rPr>
          <w:fldChar w:fldCharType="end"/>
        </w:r>
      </w:hyperlink>
    </w:p>
    <w:p w14:paraId="3FCF9C16" w14:textId="5D87E383"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39" w:history="1">
        <w:r w:rsidRPr="00DA38C7">
          <w:rPr>
            <w:rStyle w:val="Hipercze"/>
            <w:noProof/>
          </w:rPr>
          <w:t>Rysunek 1.9. Zużycie energii końcowej brutto z OZE w podziale na technologie - sektor transportu z uwzględnieniem mnożników dla rozliczenia celu OZE zgodnie z RED II [ktoe]</w:t>
        </w:r>
        <w:r>
          <w:rPr>
            <w:noProof/>
            <w:webHidden/>
          </w:rPr>
          <w:tab/>
        </w:r>
        <w:r>
          <w:rPr>
            <w:noProof/>
            <w:webHidden/>
          </w:rPr>
          <w:fldChar w:fldCharType="begin"/>
        </w:r>
        <w:r>
          <w:rPr>
            <w:noProof/>
            <w:webHidden/>
          </w:rPr>
          <w:instrText xml:space="preserve"> PAGEREF _Toc202967039 \h </w:instrText>
        </w:r>
        <w:r>
          <w:rPr>
            <w:noProof/>
            <w:webHidden/>
          </w:rPr>
        </w:r>
        <w:r>
          <w:rPr>
            <w:noProof/>
            <w:webHidden/>
          </w:rPr>
          <w:fldChar w:fldCharType="separate"/>
        </w:r>
        <w:r>
          <w:rPr>
            <w:noProof/>
            <w:webHidden/>
          </w:rPr>
          <w:t>37</w:t>
        </w:r>
        <w:r>
          <w:rPr>
            <w:noProof/>
            <w:webHidden/>
          </w:rPr>
          <w:fldChar w:fldCharType="end"/>
        </w:r>
      </w:hyperlink>
    </w:p>
    <w:p w14:paraId="1AA3CCBD" w14:textId="69965F0F"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40" w:history="1">
        <w:r w:rsidRPr="00DA38C7">
          <w:rPr>
            <w:rStyle w:val="Hipercze"/>
            <w:noProof/>
          </w:rPr>
          <w:t>Rysunek 1.10. Struktura zużycia paliw z OZE i energii elektrycznej (nie tylko z OZE) w transporcie pasażerskim z uwzględnieniem sprawności przetwarzania energii*</w:t>
        </w:r>
        <w:r>
          <w:rPr>
            <w:noProof/>
            <w:webHidden/>
          </w:rPr>
          <w:tab/>
        </w:r>
        <w:r>
          <w:rPr>
            <w:noProof/>
            <w:webHidden/>
          </w:rPr>
          <w:fldChar w:fldCharType="begin"/>
        </w:r>
        <w:r>
          <w:rPr>
            <w:noProof/>
            <w:webHidden/>
          </w:rPr>
          <w:instrText xml:space="preserve"> PAGEREF _Toc202967040 \h </w:instrText>
        </w:r>
        <w:r>
          <w:rPr>
            <w:noProof/>
            <w:webHidden/>
          </w:rPr>
        </w:r>
        <w:r>
          <w:rPr>
            <w:noProof/>
            <w:webHidden/>
          </w:rPr>
          <w:fldChar w:fldCharType="separate"/>
        </w:r>
        <w:r>
          <w:rPr>
            <w:noProof/>
            <w:webHidden/>
          </w:rPr>
          <w:t>37</w:t>
        </w:r>
        <w:r>
          <w:rPr>
            <w:noProof/>
            <w:webHidden/>
          </w:rPr>
          <w:fldChar w:fldCharType="end"/>
        </w:r>
      </w:hyperlink>
    </w:p>
    <w:p w14:paraId="18F232D9" w14:textId="7CD06E45"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41" w:history="1">
        <w:r w:rsidRPr="00DA38C7">
          <w:rPr>
            <w:rStyle w:val="Hipercze"/>
            <w:noProof/>
          </w:rPr>
          <w:t>Rysunek 1.11. Struktura zużycia paliw z OZE i energii elektrycznej (nie tylko z OZE) transporcie towarowym z uwzględnieniem sprawności przetwarzania energii*</w:t>
        </w:r>
        <w:r>
          <w:rPr>
            <w:noProof/>
            <w:webHidden/>
          </w:rPr>
          <w:tab/>
        </w:r>
        <w:r>
          <w:rPr>
            <w:noProof/>
            <w:webHidden/>
          </w:rPr>
          <w:fldChar w:fldCharType="begin"/>
        </w:r>
        <w:r>
          <w:rPr>
            <w:noProof/>
            <w:webHidden/>
          </w:rPr>
          <w:instrText xml:space="preserve"> PAGEREF _Toc202967041 \h </w:instrText>
        </w:r>
        <w:r>
          <w:rPr>
            <w:noProof/>
            <w:webHidden/>
          </w:rPr>
        </w:r>
        <w:r>
          <w:rPr>
            <w:noProof/>
            <w:webHidden/>
          </w:rPr>
          <w:fldChar w:fldCharType="separate"/>
        </w:r>
        <w:r>
          <w:rPr>
            <w:noProof/>
            <w:webHidden/>
          </w:rPr>
          <w:t>38</w:t>
        </w:r>
        <w:r>
          <w:rPr>
            <w:noProof/>
            <w:webHidden/>
          </w:rPr>
          <w:fldChar w:fldCharType="end"/>
        </w:r>
      </w:hyperlink>
    </w:p>
    <w:p w14:paraId="1E956D8D" w14:textId="5D71D523"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42" w:history="1">
        <w:r w:rsidRPr="00DA38C7">
          <w:rPr>
            <w:rStyle w:val="Hipercze"/>
            <w:noProof/>
          </w:rPr>
          <w:t>Rysunek 2.1. Zużycie energii pierwotnej i finalnej ogółem w latach 2011-2021</w:t>
        </w:r>
        <w:r>
          <w:rPr>
            <w:noProof/>
            <w:webHidden/>
          </w:rPr>
          <w:tab/>
        </w:r>
        <w:r>
          <w:rPr>
            <w:noProof/>
            <w:webHidden/>
          </w:rPr>
          <w:fldChar w:fldCharType="begin"/>
        </w:r>
        <w:r>
          <w:rPr>
            <w:noProof/>
            <w:webHidden/>
          </w:rPr>
          <w:instrText xml:space="preserve"> PAGEREF _Toc202967042 \h </w:instrText>
        </w:r>
        <w:r>
          <w:rPr>
            <w:noProof/>
            <w:webHidden/>
          </w:rPr>
        </w:r>
        <w:r>
          <w:rPr>
            <w:noProof/>
            <w:webHidden/>
          </w:rPr>
          <w:fldChar w:fldCharType="separate"/>
        </w:r>
        <w:r>
          <w:rPr>
            <w:noProof/>
            <w:webHidden/>
          </w:rPr>
          <w:t>44</w:t>
        </w:r>
        <w:r>
          <w:rPr>
            <w:noProof/>
            <w:webHidden/>
          </w:rPr>
          <w:fldChar w:fldCharType="end"/>
        </w:r>
      </w:hyperlink>
    </w:p>
    <w:p w14:paraId="65986EF8" w14:textId="7797C3B5"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43" w:history="1">
        <w:r w:rsidRPr="00DA38C7">
          <w:rPr>
            <w:rStyle w:val="Hipercze"/>
            <w:noProof/>
          </w:rPr>
          <w:t>Rysunek 2.2. Zużycie energii pierwotnej i finalnej ogółem</w:t>
        </w:r>
        <w:r>
          <w:rPr>
            <w:noProof/>
            <w:webHidden/>
          </w:rPr>
          <w:tab/>
        </w:r>
        <w:r>
          <w:rPr>
            <w:noProof/>
            <w:webHidden/>
          </w:rPr>
          <w:fldChar w:fldCharType="begin"/>
        </w:r>
        <w:r>
          <w:rPr>
            <w:noProof/>
            <w:webHidden/>
          </w:rPr>
          <w:instrText xml:space="preserve"> PAGEREF _Toc202967043 \h </w:instrText>
        </w:r>
        <w:r>
          <w:rPr>
            <w:noProof/>
            <w:webHidden/>
          </w:rPr>
        </w:r>
        <w:r>
          <w:rPr>
            <w:noProof/>
            <w:webHidden/>
          </w:rPr>
          <w:fldChar w:fldCharType="separate"/>
        </w:r>
        <w:r>
          <w:rPr>
            <w:noProof/>
            <w:webHidden/>
          </w:rPr>
          <w:t>47</w:t>
        </w:r>
        <w:r>
          <w:rPr>
            <w:noProof/>
            <w:webHidden/>
          </w:rPr>
          <w:fldChar w:fldCharType="end"/>
        </w:r>
      </w:hyperlink>
    </w:p>
    <w:p w14:paraId="23E61B81" w14:textId="59787E07"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44" w:history="1">
        <w:r w:rsidRPr="00DA38C7">
          <w:rPr>
            <w:rStyle w:val="Hipercze"/>
            <w:noProof/>
          </w:rPr>
          <w:t>Rysunek 2.3. Zużycie energii finalnej w podziale na sektory (bez zużycia nieenergetycznego)</w:t>
        </w:r>
        <w:r>
          <w:rPr>
            <w:noProof/>
            <w:webHidden/>
          </w:rPr>
          <w:tab/>
        </w:r>
        <w:r>
          <w:rPr>
            <w:noProof/>
            <w:webHidden/>
          </w:rPr>
          <w:fldChar w:fldCharType="begin"/>
        </w:r>
        <w:r>
          <w:rPr>
            <w:noProof/>
            <w:webHidden/>
          </w:rPr>
          <w:instrText xml:space="preserve"> PAGEREF _Toc202967044 \h </w:instrText>
        </w:r>
        <w:r>
          <w:rPr>
            <w:noProof/>
            <w:webHidden/>
          </w:rPr>
        </w:r>
        <w:r>
          <w:rPr>
            <w:noProof/>
            <w:webHidden/>
          </w:rPr>
          <w:fldChar w:fldCharType="separate"/>
        </w:r>
        <w:r>
          <w:rPr>
            <w:noProof/>
            <w:webHidden/>
          </w:rPr>
          <w:t>48</w:t>
        </w:r>
        <w:r>
          <w:rPr>
            <w:noProof/>
            <w:webHidden/>
          </w:rPr>
          <w:fldChar w:fldCharType="end"/>
        </w:r>
      </w:hyperlink>
    </w:p>
    <w:p w14:paraId="4DB9DD8F" w14:textId="38D57BC7"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45" w:history="1">
        <w:r w:rsidRPr="00DA38C7">
          <w:rPr>
            <w:rStyle w:val="Hipercze"/>
            <w:noProof/>
          </w:rPr>
          <w:t>Rysunek 2.4. Zużycie energii finalnej w podziale na paliwa i nośniki</w:t>
        </w:r>
        <w:r>
          <w:rPr>
            <w:noProof/>
            <w:webHidden/>
          </w:rPr>
          <w:tab/>
        </w:r>
        <w:r>
          <w:rPr>
            <w:noProof/>
            <w:webHidden/>
          </w:rPr>
          <w:fldChar w:fldCharType="begin"/>
        </w:r>
        <w:r>
          <w:rPr>
            <w:noProof/>
            <w:webHidden/>
          </w:rPr>
          <w:instrText xml:space="preserve"> PAGEREF _Toc202967045 \h </w:instrText>
        </w:r>
        <w:r>
          <w:rPr>
            <w:noProof/>
            <w:webHidden/>
          </w:rPr>
        </w:r>
        <w:r>
          <w:rPr>
            <w:noProof/>
            <w:webHidden/>
          </w:rPr>
          <w:fldChar w:fldCharType="separate"/>
        </w:r>
        <w:r>
          <w:rPr>
            <w:noProof/>
            <w:webHidden/>
          </w:rPr>
          <w:t>50</w:t>
        </w:r>
        <w:r>
          <w:rPr>
            <w:noProof/>
            <w:webHidden/>
          </w:rPr>
          <w:fldChar w:fldCharType="end"/>
        </w:r>
      </w:hyperlink>
    </w:p>
    <w:p w14:paraId="6E758B8A" w14:textId="507E2DE7"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46" w:history="1">
        <w:r w:rsidRPr="00DA38C7">
          <w:rPr>
            <w:rStyle w:val="Hipercze"/>
            <w:i/>
            <w:iCs/>
            <w:noProof/>
          </w:rPr>
          <w:t xml:space="preserve">Rysunek 2.5. Produkcja </w:t>
        </w:r>
        <w:r w:rsidRPr="00DA38C7">
          <w:rPr>
            <w:rStyle w:val="Hipercze"/>
            <w:i/>
            <w:noProof/>
          </w:rPr>
          <w:t>ciepła systemowego</w:t>
        </w:r>
        <w:r w:rsidRPr="00DA38C7">
          <w:rPr>
            <w:rStyle w:val="Hipercze"/>
            <w:i/>
            <w:iCs/>
            <w:noProof/>
          </w:rPr>
          <w:t xml:space="preserve"> w podziale na paliwa [PJ]</w:t>
        </w:r>
        <w:r>
          <w:rPr>
            <w:noProof/>
            <w:webHidden/>
          </w:rPr>
          <w:tab/>
        </w:r>
        <w:r>
          <w:rPr>
            <w:noProof/>
            <w:webHidden/>
          </w:rPr>
          <w:fldChar w:fldCharType="begin"/>
        </w:r>
        <w:r>
          <w:rPr>
            <w:noProof/>
            <w:webHidden/>
          </w:rPr>
          <w:instrText xml:space="preserve"> PAGEREF _Toc202967046 \h </w:instrText>
        </w:r>
        <w:r>
          <w:rPr>
            <w:noProof/>
            <w:webHidden/>
          </w:rPr>
        </w:r>
        <w:r>
          <w:rPr>
            <w:noProof/>
            <w:webHidden/>
          </w:rPr>
          <w:fldChar w:fldCharType="separate"/>
        </w:r>
        <w:r>
          <w:rPr>
            <w:noProof/>
            <w:webHidden/>
          </w:rPr>
          <w:t>56</w:t>
        </w:r>
        <w:r>
          <w:rPr>
            <w:noProof/>
            <w:webHidden/>
          </w:rPr>
          <w:fldChar w:fldCharType="end"/>
        </w:r>
      </w:hyperlink>
    </w:p>
    <w:p w14:paraId="2E77301C" w14:textId="72EC84B3"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47" w:history="1">
        <w:r w:rsidRPr="00DA38C7">
          <w:rPr>
            <w:rStyle w:val="Hipercze"/>
            <w:i/>
            <w:iCs/>
            <w:noProof/>
          </w:rPr>
          <w:t>Rysunek 2.6. Produkcja ciepła w indywidulanych źródłach ciepła w podziale na paliwa i nośniki energii w gospodarstwach w gospodarstwach domowych</w:t>
        </w:r>
        <w:r>
          <w:rPr>
            <w:noProof/>
            <w:webHidden/>
          </w:rPr>
          <w:tab/>
        </w:r>
        <w:r>
          <w:rPr>
            <w:noProof/>
            <w:webHidden/>
          </w:rPr>
          <w:fldChar w:fldCharType="begin"/>
        </w:r>
        <w:r>
          <w:rPr>
            <w:noProof/>
            <w:webHidden/>
          </w:rPr>
          <w:instrText xml:space="preserve"> PAGEREF _Toc202967047 \h </w:instrText>
        </w:r>
        <w:r>
          <w:rPr>
            <w:noProof/>
            <w:webHidden/>
          </w:rPr>
        </w:r>
        <w:r>
          <w:rPr>
            <w:noProof/>
            <w:webHidden/>
          </w:rPr>
          <w:fldChar w:fldCharType="separate"/>
        </w:r>
        <w:r>
          <w:rPr>
            <w:noProof/>
            <w:webHidden/>
          </w:rPr>
          <w:t>58</w:t>
        </w:r>
        <w:r>
          <w:rPr>
            <w:noProof/>
            <w:webHidden/>
          </w:rPr>
          <w:fldChar w:fldCharType="end"/>
        </w:r>
      </w:hyperlink>
    </w:p>
    <w:p w14:paraId="2D7D6921" w14:textId="3585C583"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48" w:history="1">
        <w:r w:rsidRPr="00DA38C7">
          <w:rPr>
            <w:rStyle w:val="Hipercze"/>
            <w:noProof/>
          </w:rPr>
          <w:t>Rysunek 3.1. Wydobycie węgla kamiennego w Polsce w latach 1990–2024</w:t>
        </w:r>
        <w:r>
          <w:rPr>
            <w:noProof/>
            <w:webHidden/>
          </w:rPr>
          <w:tab/>
        </w:r>
        <w:r>
          <w:rPr>
            <w:noProof/>
            <w:webHidden/>
          </w:rPr>
          <w:fldChar w:fldCharType="begin"/>
        </w:r>
        <w:r>
          <w:rPr>
            <w:noProof/>
            <w:webHidden/>
          </w:rPr>
          <w:instrText xml:space="preserve"> PAGEREF _Toc202967048 \h </w:instrText>
        </w:r>
        <w:r>
          <w:rPr>
            <w:noProof/>
            <w:webHidden/>
          </w:rPr>
        </w:r>
        <w:r>
          <w:rPr>
            <w:noProof/>
            <w:webHidden/>
          </w:rPr>
          <w:fldChar w:fldCharType="separate"/>
        </w:r>
        <w:r>
          <w:rPr>
            <w:noProof/>
            <w:webHidden/>
          </w:rPr>
          <w:t>59</w:t>
        </w:r>
        <w:r>
          <w:rPr>
            <w:noProof/>
            <w:webHidden/>
          </w:rPr>
          <w:fldChar w:fldCharType="end"/>
        </w:r>
      </w:hyperlink>
    </w:p>
    <w:p w14:paraId="3F36F15A" w14:textId="09268659"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49" w:history="1">
        <w:r w:rsidRPr="00DA38C7">
          <w:rPr>
            <w:rStyle w:val="Hipercze"/>
            <w:noProof/>
          </w:rPr>
          <w:t>Rysunek 3.2. Wydobycie węgla brunatnego w Polsce w latach 1990 – 2024</w:t>
        </w:r>
        <w:r>
          <w:rPr>
            <w:noProof/>
            <w:webHidden/>
          </w:rPr>
          <w:tab/>
        </w:r>
        <w:r>
          <w:rPr>
            <w:noProof/>
            <w:webHidden/>
          </w:rPr>
          <w:fldChar w:fldCharType="begin"/>
        </w:r>
        <w:r>
          <w:rPr>
            <w:noProof/>
            <w:webHidden/>
          </w:rPr>
          <w:instrText xml:space="preserve"> PAGEREF _Toc202967049 \h </w:instrText>
        </w:r>
        <w:r>
          <w:rPr>
            <w:noProof/>
            <w:webHidden/>
          </w:rPr>
        </w:r>
        <w:r>
          <w:rPr>
            <w:noProof/>
            <w:webHidden/>
          </w:rPr>
          <w:fldChar w:fldCharType="separate"/>
        </w:r>
        <w:r>
          <w:rPr>
            <w:noProof/>
            <w:webHidden/>
          </w:rPr>
          <w:t>60</w:t>
        </w:r>
        <w:r>
          <w:rPr>
            <w:noProof/>
            <w:webHidden/>
          </w:rPr>
          <w:fldChar w:fldCharType="end"/>
        </w:r>
      </w:hyperlink>
    </w:p>
    <w:p w14:paraId="39D5E5C8" w14:textId="6A32DCBB"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50" w:history="1">
        <w:r w:rsidRPr="00DA38C7">
          <w:rPr>
            <w:rStyle w:val="Hipercze"/>
            <w:noProof/>
          </w:rPr>
          <w:t>Rysunek 3.3. Wydobycie gazu ziemnego w Polsce w latach 1990–2024</w:t>
        </w:r>
        <w:r>
          <w:rPr>
            <w:noProof/>
            <w:webHidden/>
          </w:rPr>
          <w:tab/>
        </w:r>
        <w:r>
          <w:rPr>
            <w:noProof/>
            <w:webHidden/>
          </w:rPr>
          <w:fldChar w:fldCharType="begin"/>
        </w:r>
        <w:r>
          <w:rPr>
            <w:noProof/>
            <w:webHidden/>
          </w:rPr>
          <w:instrText xml:space="preserve"> PAGEREF _Toc202967050 \h </w:instrText>
        </w:r>
        <w:r>
          <w:rPr>
            <w:noProof/>
            <w:webHidden/>
          </w:rPr>
        </w:r>
        <w:r>
          <w:rPr>
            <w:noProof/>
            <w:webHidden/>
          </w:rPr>
          <w:fldChar w:fldCharType="separate"/>
        </w:r>
        <w:r>
          <w:rPr>
            <w:noProof/>
            <w:webHidden/>
          </w:rPr>
          <w:t>61</w:t>
        </w:r>
        <w:r>
          <w:rPr>
            <w:noProof/>
            <w:webHidden/>
          </w:rPr>
          <w:fldChar w:fldCharType="end"/>
        </w:r>
      </w:hyperlink>
    </w:p>
    <w:p w14:paraId="5DDD0C8F" w14:textId="2249399D"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51" w:history="1">
        <w:r w:rsidRPr="00DA38C7">
          <w:rPr>
            <w:rStyle w:val="Hipercze"/>
            <w:noProof/>
          </w:rPr>
          <w:t>Rysunek 3.4 Produkcja energii elektrycznej i ciepła sieciowego brutto – scenariusz WAM</w:t>
        </w:r>
        <w:r>
          <w:rPr>
            <w:noProof/>
            <w:webHidden/>
          </w:rPr>
          <w:tab/>
        </w:r>
        <w:r>
          <w:rPr>
            <w:noProof/>
            <w:webHidden/>
          </w:rPr>
          <w:fldChar w:fldCharType="begin"/>
        </w:r>
        <w:r>
          <w:rPr>
            <w:noProof/>
            <w:webHidden/>
          </w:rPr>
          <w:instrText xml:space="preserve"> PAGEREF _Toc202967051 \h </w:instrText>
        </w:r>
        <w:r>
          <w:rPr>
            <w:noProof/>
            <w:webHidden/>
          </w:rPr>
        </w:r>
        <w:r>
          <w:rPr>
            <w:noProof/>
            <w:webHidden/>
          </w:rPr>
          <w:fldChar w:fldCharType="separate"/>
        </w:r>
        <w:r>
          <w:rPr>
            <w:noProof/>
            <w:webHidden/>
          </w:rPr>
          <w:t>73</w:t>
        </w:r>
        <w:r>
          <w:rPr>
            <w:noProof/>
            <w:webHidden/>
          </w:rPr>
          <w:fldChar w:fldCharType="end"/>
        </w:r>
      </w:hyperlink>
    </w:p>
    <w:p w14:paraId="0437C12A" w14:textId="5B722F80"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52" w:history="1">
        <w:r w:rsidRPr="00DA38C7">
          <w:rPr>
            <w:rStyle w:val="Hipercze"/>
            <w:noProof/>
          </w:rPr>
          <w:t xml:space="preserve"> Rysunek 3.5. Produkcja energii elektrycznej brutto w Polsce z podziałem na paliwa (scenariusz WAM)</w:t>
        </w:r>
        <w:r>
          <w:rPr>
            <w:noProof/>
            <w:webHidden/>
          </w:rPr>
          <w:tab/>
        </w:r>
        <w:r>
          <w:rPr>
            <w:noProof/>
            <w:webHidden/>
          </w:rPr>
          <w:fldChar w:fldCharType="begin"/>
        </w:r>
        <w:r>
          <w:rPr>
            <w:noProof/>
            <w:webHidden/>
          </w:rPr>
          <w:instrText xml:space="preserve"> PAGEREF _Toc202967052 \h </w:instrText>
        </w:r>
        <w:r>
          <w:rPr>
            <w:noProof/>
            <w:webHidden/>
          </w:rPr>
        </w:r>
        <w:r>
          <w:rPr>
            <w:noProof/>
            <w:webHidden/>
          </w:rPr>
          <w:fldChar w:fldCharType="separate"/>
        </w:r>
        <w:r>
          <w:rPr>
            <w:noProof/>
            <w:webHidden/>
          </w:rPr>
          <w:t>76</w:t>
        </w:r>
        <w:r>
          <w:rPr>
            <w:noProof/>
            <w:webHidden/>
          </w:rPr>
          <w:fldChar w:fldCharType="end"/>
        </w:r>
      </w:hyperlink>
    </w:p>
    <w:p w14:paraId="69FA1B5B" w14:textId="61C52496"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53" w:history="1">
        <w:r w:rsidRPr="00DA38C7">
          <w:rPr>
            <w:rStyle w:val="Hipercze"/>
            <w:noProof/>
          </w:rPr>
          <w:t>Rysunek 3.6. Moc osiągalna źródeł wytwarzania energii elektrycznej wg technologii (scenariusz WAM)</w:t>
        </w:r>
        <w:r>
          <w:rPr>
            <w:noProof/>
            <w:webHidden/>
          </w:rPr>
          <w:tab/>
        </w:r>
        <w:r>
          <w:rPr>
            <w:noProof/>
            <w:webHidden/>
          </w:rPr>
          <w:fldChar w:fldCharType="begin"/>
        </w:r>
        <w:r>
          <w:rPr>
            <w:noProof/>
            <w:webHidden/>
          </w:rPr>
          <w:instrText xml:space="preserve"> PAGEREF _Toc202967053 \h </w:instrText>
        </w:r>
        <w:r>
          <w:rPr>
            <w:noProof/>
            <w:webHidden/>
          </w:rPr>
        </w:r>
        <w:r>
          <w:rPr>
            <w:noProof/>
            <w:webHidden/>
          </w:rPr>
          <w:fldChar w:fldCharType="separate"/>
        </w:r>
        <w:r>
          <w:rPr>
            <w:noProof/>
            <w:webHidden/>
          </w:rPr>
          <w:t>79</w:t>
        </w:r>
        <w:r>
          <w:rPr>
            <w:noProof/>
            <w:webHidden/>
          </w:rPr>
          <w:fldChar w:fldCharType="end"/>
        </w:r>
      </w:hyperlink>
    </w:p>
    <w:p w14:paraId="3AF86D9E" w14:textId="62458538"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54" w:history="1">
        <w:r w:rsidRPr="00DA38C7">
          <w:rPr>
            <w:rStyle w:val="Hipercze"/>
            <w:noProof/>
          </w:rPr>
          <w:t>Rysunek 6.1. Udziały wydatków gospodarstw domowych na paliwa i energię w podziale na kwintyle dochodowe dla scenariusza WEM w Polsce w latach 2020-2040.</w:t>
        </w:r>
        <w:r>
          <w:rPr>
            <w:noProof/>
            <w:webHidden/>
          </w:rPr>
          <w:tab/>
        </w:r>
        <w:r>
          <w:rPr>
            <w:noProof/>
            <w:webHidden/>
          </w:rPr>
          <w:fldChar w:fldCharType="begin"/>
        </w:r>
        <w:r>
          <w:rPr>
            <w:noProof/>
            <w:webHidden/>
          </w:rPr>
          <w:instrText xml:space="preserve"> PAGEREF _Toc202967054 \h </w:instrText>
        </w:r>
        <w:r>
          <w:rPr>
            <w:noProof/>
            <w:webHidden/>
          </w:rPr>
        </w:r>
        <w:r>
          <w:rPr>
            <w:noProof/>
            <w:webHidden/>
          </w:rPr>
          <w:fldChar w:fldCharType="separate"/>
        </w:r>
        <w:r>
          <w:rPr>
            <w:noProof/>
            <w:webHidden/>
          </w:rPr>
          <w:t>110</w:t>
        </w:r>
        <w:r>
          <w:rPr>
            <w:noProof/>
            <w:webHidden/>
          </w:rPr>
          <w:fldChar w:fldCharType="end"/>
        </w:r>
      </w:hyperlink>
    </w:p>
    <w:p w14:paraId="67920E07" w14:textId="532FA86E" w:rsidR="00F27D6F" w:rsidRDefault="00F27D6F">
      <w:pPr>
        <w:pStyle w:val="Spisilustracji"/>
        <w:tabs>
          <w:tab w:val="right" w:leader="dot" w:pos="9062"/>
        </w:tabs>
        <w:rPr>
          <w:rFonts w:asciiTheme="minorHAnsi" w:eastAsiaTheme="minorEastAsia" w:hAnsiTheme="minorHAnsi"/>
          <w:noProof/>
          <w:kern w:val="2"/>
          <w:sz w:val="24"/>
          <w:szCs w:val="24"/>
          <w:lang w:eastAsia="pl-PL"/>
          <w14:ligatures w14:val="standardContextual"/>
        </w:rPr>
      </w:pPr>
      <w:hyperlink w:anchor="_Toc202967055" w:history="1">
        <w:r w:rsidRPr="00DA38C7">
          <w:rPr>
            <w:rStyle w:val="Hipercze"/>
            <w:noProof/>
          </w:rPr>
          <w:t>Rysunek 6.2. Udziały wydatków gospodarstw domowych na paliwa i energię w podziale na kwintyle dochodowe dla scenariusza WAM w Polsce w latach 2020-2040.</w:t>
        </w:r>
        <w:r>
          <w:rPr>
            <w:noProof/>
            <w:webHidden/>
          </w:rPr>
          <w:tab/>
        </w:r>
        <w:r>
          <w:rPr>
            <w:noProof/>
            <w:webHidden/>
          </w:rPr>
          <w:fldChar w:fldCharType="begin"/>
        </w:r>
        <w:r>
          <w:rPr>
            <w:noProof/>
            <w:webHidden/>
          </w:rPr>
          <w:instrText xml:space="preserve"> PAGEREF _Toc202967055 \h </w:instrText>
        </w:r>
        <w:r>
          <w:rPr>
            <w:noProof/>
            <w:webHidden/>
          </w:rPr>
        </w:r>
        <w:r>
          <w:rPr>
            <w:noProof/>
            <w:webHidden/>
          </w:rPr>
          <w:fldChar w:fldCharType="separate"/>
        </w:r>
        <w:r>
          <w:rPr>
            <w:noProof/>
            <w:webHidden/>
          </w:rPr>
          <w:t>112</w:t>
        </w:r>
        <w:r>
          <w:rPr>
            <w:noProof/>
            <w:webHidden/>
          </w:rPr>
          <w:fldChar w:fldCharType="end"/>
        </w:r>
      </w:hyperlink>
    </w:p>
    <w:p w14:paraId="5D213081" w14:textId="1263C1CE" w:rsidR="004D6D5E" w:rsidRPr="004D6D5E" w:rsidRDefault="0004697D" w:rsidP="004D6D5E">
      <w:r>
        <w:fldChar w:fldCharType="end"/>
      </w:r>
    </w:p>
    <w:sectPr w:rsidR="004D6D5E" w:rsidRPr="004D6D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24A9C" w14:textId="77777777" w:rsidR="004452A0" w:rsidRDefault="004452A0" w:rsidP="003772B3">
      <w:pPr>
        <w:spacing w:after="0" w:line="240" w:lineRule="auto"/>
      </w:pPr>
      <w:r>
        <w:separator/>
      </w:r>
    </w:p>
  </w:endnote>
  <w:endnote w:type="continuationSeparator" w:id="0">
    <w:p w14:paraId="1931B200" w14:textId="77777777" w:rsidR="004452A0" w:rsidRDefault="004452A0" w:rsidP="003772B3">
      <w:pPr>
        <w:spacing w:after="0" w:line="240" w:lineRule="auto"/>
      </w:pPr>
      <w:r>
        <w:continuationSeparator/>
      </w:r>
    </w:p>
  </w:endnote>
  <w:endnote w:type="continuationNotice" w:id="1">
    <w:p w14:paraId="19FBC921" w14:textId="77777777" w:rsidR="004452A0" w:rsidRDefault="00445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hnschrift">
    <w:panose1 w:val="020B0502040204020203"/>
    <w:charset w:val="EE"/>
    <w:family w:val="swiss"/>
    <w:pitch w:val="variable"/>
    <w:sig w:usb0="A00002C7"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tka Display Semibold">
    <w:panose1 w:val="00000000000000000000"/>
    <w:charset w:val="EE"/>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846347"/>
      <w:docPartObj>
        <w:docPartGallery w:val="Page Numbers (Bottom of Page)"/>
        <w:docPartUnique/>
      </w:docPartObj>
    </w:sdtPr>
    <w:sdtEndPr/>
    <w:sdtContent>
      <w:p w14:paraId="687BEFE4" w14:textId="49DF573E" w:rsidR="006A0B5C" w:rsidRDefault="006A0B5C">
        <w:pPr>
          <w:pStyle w:val="Stopka"/>
          <w:jc w:val="center"/>
        </w:pPr>
        <w:r>
          <w:fldChar w:fldCharType="begin"/>
        </w:r>
        <w:r>
          <w:instrText>PAGE   \* MERGEFORMAT</w:instrText>
        </w:r>
        <w:r>
          <w:fldChar w:fldCharType="separate"/>
        </w:r>
        <w:r w:rsidR="00534C14">
          <w:rPr>
            <w:noProof/>
          </w:rPr>
          <w:t>136</w:t>
        </w:r>
        <w:r>
          <w:fldChar w:fldCharType="end"/>
        </w:r>
      </w:p>
    </w:sdtContent>
  </w:sdt>
  <w:p w14:paraId="0405F55C" w14:textId="77777777" w:rsidR="006A0B5C" w:rsidRDefault="006A0B5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5AA6" w14:textId="77777777" w:rsidR="006A0B5C" w:rsidRDefault="006A0B5C">
    <w:pPr>
      <w:pStyle w:val="Stopka"/>
    </w:pPr>
  </w:p>
  <w:p w14:paraId="15C8743D" w14:textId="77777777" w:rsidR="006A0B5C" w:rsidRDefault="006A0B5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88CC" w14:textId="77777777" w:rsidR="006A0B5C" w:rsidRDefault="006A0B5C">
    <w:pPr>
      <w:pStyle w:val="Stopka"/>
    </w:pPr>
  </w:p>
  <w:p w14:paraId="703EC99B" w14:textId="77777777" w:rsidR="006A0B5C" w:rsidRDefault="006A0B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E055B" w14:textId="77777777" w:rsidR="004452A0" w:rsidRDefault="004452A0" w:rsidP="003772B3">
      <w:pPr>
        <w:spacing w:after="0" w:line="240" w:lineRule="auto"/>
      </w:pPr>
      <w:r>
        <w:separator/>
      </w:r>
    </w:p>
  </w:footnote>
  <w:footnote w:type="continuationSeparator" w:id="0">
    <w:p w14:paraId="54BBE7EF" w14:textId="77777777" w:rsidR="004452A0" w:rsidRDefault="004452A0" w:rsidP="003772B3">
      <w:pPr>
        <w:spacing w:after="0" w:line="240" w:lineRule="auto"/>
      </w:pPr>
      <w:r>
        <w:continuationSeparator/>
      </w:r>
    </w:p>
  </w:footnote>
  <w:footnote w:type="continuationNotice" w:id="1">
    <w:p w14:paraId="51F20C19" w14:textId="77777777" w:rsidR="004452A0" w:rsidRDefault="004452A0">
      <w:pPr>
        <w:spacing w:after="0" w:line="240" w:lineRule="auto"/>
      </w:pPr>
    </w:p>
  </w:footnote>
  <w:footnote w:id="2">
    <w:p w14:paraId="51EA621F" w14:textId="5BD8CFA5" w:rsidR="006A0B5C" w:rsidRPr="004040AA" w:rsidRDefault="006A0B5C">
      <w:pPr>
        <w:pStyle w:val="Tekstprzypisudolnego"/>
        <w:rPr>
          <w:sz w:val="18"/>
          <w:szCs w:val="18"/>
        </w:rPr>
      </w:pPr>
      <w:r w:rsidRPr="004040AA">
        <w:rPr>
          <w:rStyle w:val="Odwoanieprzypisudolnego"/>
          <w:sz w:val="18"/>
          <w:szCs w:val="18"/>
        </w:rPr>
        <w:footnoteRef/>
      </w:r>
      <w:r w:rsidRPr="004040AA">
        <w:rPr>
          <w:sz w:val="18"/>
          <w:szCs w:val="18"/>
        </w:rPr>
        <w:t xml:space="preserve"> Zgodnie z wytycznymi określonymi w unijnym rozporządzeniu 2018/1999, „planowane polityki i działania” oznaczają będące przedmiotem dyskusji rozwiązania, co do których istnieją realistyczne szanse przyjęcia i wdrożenia po dacie przedłożenia zintegrowanego Krajowego planu.</w:t>
      </w:r>
    </w:p>
  </w:footnote>
  <w:footnote w:id="3">
    <w:p w14:paraId="1FB5EA5F" w14:textId="77777777" w:rsidR="006A0B5C" w:rsidRPr="004040AA" w:rsidRDefault="006A0B5C" w:rsidP="00294B86">
      <w:pPr>
        <w:pStyle w:val="Tekstprzypisudolnego"/>
        <w:rPr>
          <w:sz w:val="18"/>
          <w:szCs w:val="18"/>
        </w:rPr>
      </w:pPr>
      <w:r w:rsidRPr="004040AA">
        <w:rPr>
          <w:rStyle w:val="Odwoanieprzypisudolnego"/>
          <w:sz w:val="18"/>
          <w:szCs w:val="18"/>
        </w:rPr>
        <w:footnoteRef/>
      </w:r>
      <w:r w:rsidRPr="004040AA">
        <w:rPr>
          <w:sz w:val="18"/>
          <w:szCs w:val="18"/>
        </w:rPr>
        <w:t xml:space="preserve"> Polityka leśna państwa. 1997. Dokument przyjęty przez Radę Ministrów w dniu 22 kwietnia 1997 r. Ministerstwo Ochrony Środowiska Zasobów Naturalnych i Leśnictwa, Warszawa</w:t>
      </w:r>
    </w:p>
  </w:footnote>
  <w:footnote w:id="4">
    <w:p w14:paraId="4E85B062" w14:textId="77777777" w:rsidR="006A0B5C" w:rsidRPr="004040AA" w:rsidRDefault="006A0B5C" w:rsidP="00F73884">
      <w:pPr>
        <w:pStyle w:val="Tekstprzypisudolnego"/>
        <w:rPr>
          <w:sz w:val="18"/>
          <w:szCs w:val="18"/>
        </w:rPr>
      </w:pPr>
      <w:r w:rsidRPr="004040AA">
        <w:rPr>
          <w:rStyle w:val="Odwoanieprzypisudolnego"/>
          <w:sz w:val="18"/>
          <w:szCs w:val="18"/>
        </w:rPr>
        <w:footnoteRef/>
      </w:r>
      <w:r w:rsidRPr="004040AA">
        <w:rPr>
          <w:sz w:val="18"/>
          <w:szCs w:val="18"/>
        </w:rPr>
        <w:t xml:space="preserve"> Krajowy bilans emisji SO</w:t>
      </w:r>
      <w:r w:rsidRPr="004040AA">
        <w:rPr>
          <w:sz w:val="18"/>
          <w:szCs w:val="18"/>
          <w:vertAlign w:val="subscript"/>
        </w:rPr>
        <w:t>2</w:t>
      </w:r>
      <w:r w:rsidRPr="004040AA">
        <w:rPr>
          <w:sz w:val="18"/>
          <w:szCs w:val="18"/>
        </w:rPr>
        <w:t>, NO</w:t>
      </w:r>
      <w:r w:rsidRPr="004040AA">
        <w:rPr>
          <w:sz w:val="18"/>
          <w:szCs w:val="18"/>
          <w:vertAlign w:val="subscript"/>
        </w:rPr>
        <w:t>x</w:t>
      </w:r>
      <w:r w:rsidRPr="004040AA">
        <w:rPr>
          <w:sz w:val="18"/>
          <w:szCs w:val="18"/>
        </w:rPr>
        <w:t>, CO, NH</w:t>
      </w:r>
      <w:r w:rsidRPr="004040AA">
        <w:rPr>
          <w:sz w:val="18"/>
          <w:szCs w:val="18"/>
          <w:vertAlign w:val="subscript"/>
        </w:rPr>
        <w:t>3</w:t>
      </w:r>
      <w:r w:rsidRPr="004040AA">
        <w:rPr>
          <w:sz w:val="18"/>
          <w:szCs w:val="18"/>
        </w:rPr>
        <w:t>, NMLZO, pyłów, metali ciężkich i TZO za lata 1990-2022; KOBIZE-IOŚ PIB. Raport syntetyczny; Warszawa, styczeń 2024</w:t>
      </w:r>
    </w:p>
  </w:footnote>
  <w:footnote w:id="5">
    <w:p w14:paraId="10928CA7" w14:textId="62B5A339" w:rsidR="006A0B5C" w:rsidRPr="004040AA" w:rsidRDefault="006A0B5C" w:rsidP="00EE48DE">
      <w:pPr>
        <w:pStyle w:val="Tekstprzypisudolnego"/>
        <w:rPr>
          <w:sz w:val="18"/>
          <w:szCs w:val="18"/>
        </w:rPr>
      </w:pPr>
      <w:r w:rsidRPr="004040AA">
        <w:rPr>
          <w:rStyle w:val="Odwoanieprzypisudolnego"/>
          <w:sz w:val="18"/>
          <w:szCs w:val="18"/>
        </w:rPr>
        <w:footnoteRef/>
      </w:r>
      <w:r w:rsidRPr="004040AA">
        <w:rPr>
          <w:sz w:val="18"/>
          <w:szCs w:val="18"/>
        </w:rPr>
        <w:t xml:space="preserve"> Ustawa z dnia 20 lutego 2015 r. o odnawialnych źródłach energii (Dz. U. z 2024 r. poz. 1361, z późn. zm.)</w:t>
      </w:r>
    </w:p>
  </w:footnote>
  <w:footnote w:id="6">
    <w:p w14:paraId="71A4BE89" w14:textId="622F2712" w:rsidR="006A0B5C" w:rsidRPr="004040AA" w:rsidRDefault="006A0B5C">
      <w:pPr>
        <w:pStyle w:val="Tekstprzypisudolnego"/>
        <w:rPr>
          <w:sz w:val="18"/>
          <w:szCs w:val="18"/>
        </w:rPr>
      </w:pPr>
      <w:r w:rsidRPr="004040AA">
        <w:rPr>
          <w:rStyle w:val="Odwoanieprzypisudolnego"/>
          <w:sz w:val="18"/>
          <w:szCs w:val="18"/>
        </w:rPr>
        <w:footnoteRef/>
      </w:r>
      <w:r w:rsidRPr="004040AA">
        <w:rPr>
          <w:sz w:val="18"/>
          <w:szCs w:val="18"/>
        </w:rPr>
        <w:t xml:space="preserve"> Postulaty Europejskiej Karty Wiatru podpisanej przez przedstawiciela Rządu RP w grudniu 2023 r.</w:t>
      </w:r>
    </w:p>
  </w:footnote>
  <w:footnote w:id="7">
    <w:p w14:paraId="2C464432" w14:textId="77777777" w:rsidR="006A0B5C" w:rsidRPr="004040AA" w:rsidRDefault="006A0B5C" w:rsidP="00EE48DE">
      <w:pPr>
        <w:pStyle w:val="Tekstprzypisudolnego"/>
        <w:rPr>
          <w:sz w:val="18"/>
          <w:szCs w:val="18"/>
        </w:rPr>
      </w:pPr>
      <w:r w:rsidRPr="004040AA">
        <w:rPr>
          <w:rStyle w:val="Odwoanieprzypisudolnego"/>
          <w:sz w:val="18"/>
          <w:szCs w:val="18"/>
        </w:rPr>
        <w:footnoteRef/>
      </w:r>
      <w:r w:rsidRPr="004040AA">
        <w:rPr>
          <w:sz w:val="18"/>
          <w:szCs w:val="18"/>
          <w:lang w:val="en-US"/>
        </w:rPr>
        <w:t xml:space="preserve"> European Commission. SHARES Tool Manual. </w:t>
      </w:r>
      <w:r w:rsidRPr="004040AA">
        <w:rPr>
          <w:sz w:val="18"/>
          <w:szCs w:val="18"/>
        </w:rPr>
        <w:t>Version 2022.181023</w:t>
      </w:r>
    </w:p>
  </w:footnote>
  <w:footnote w:id="8">
    <w:p w14:paraId="1EB30869" w14:textId="77777777" w:rsidR="006A0B5C" w:rsidRPr="004040AA" w:rsidRDefault="006A0B5C" w:rsidP="00EE48DE">
      <w:pPr>
        <w:pStyle w:val="Tekstprzypisudolnego"/>
        <w:rPr>
          <w:sz w:val="18"/>
          <w:szCs w:val="18"/>
        </w:rPr>
      </w:pPr>
      <w:r w:rsidRPr="004040AA">
        <w:rPr>
          <w:rStyle w:val="Odwoanieprzypisudolnego"/>
          <w:sz w:val="18"/>
          <w:szCs w:val="18"/>
        </w:rPr>
        <w:footnoteRef/>
      </w:r>
      <w:r w:rsidRPr="004040AA">
        <w:rPr>
          <w:sz w:val="18"/>
          <w:szCs w:val="18"/>
        </w:rPr>
        <w:t xml:space="preserve"> Dyrektywa Parlamentu Europejskiego i Rady UE 2023/2413 z dnia 18 października 2023 r. zmieniająca dyrektywę (UE) 2018/2001, rozporządzenie (UE) 2018/1999 i dyrektywę 98/70/WE w odniesieniu do promowania energii ze źródeł odnawialnych oraz uchylająca dyrektywę Rady (UE) 2015/652</w:t>
      </w:r>
    </w:p>
  </w:footnote>
  <w:footnote w:id="9">
    <w:p w14:paraId="21F01167" w14:textId="74F85B44" w:rsidR="006A0B5C" w:rsidRPr="004040AA" w:rsidRDefault="006A0B5C">
      <w:pPr>
        <w:pStyle w:val="Tekstprzypisudolnego"/>
        <w:rPr>
          <w:sz w:val="18"/>
          <w:szCs w:val="18"/>
        </w:rPr>
      </w:pPr>
      <w:r w:rsidRPr="004040AA">
        <w:rPr>
          <w:rStyle w:val="Odwoanieprzypisudolnego"/>
          <w:sz w:val="18"/>
          <w:szCs w:val="18"/>
        </w:rPr>
        <w:footnoteRef/>
      </w:r>
      <w:r w:rsidRPr="004040AA">
        <w:rPr>
          <w:sz w:val="18"/>
          <w:szCs w:val="18"/>
        </w:rPr>
        <w:t xml:space="preserve"> Raport Polish EV Outlook 2025. Polskie Stowarzyszenie Nowej Mobilności.</w:t>
      </w:r>
    </w:p>
  </w:footnote>
  <w:footnote w:id="10">
    <w:p w14:paraId="2353A32D" w14:textId="0F60071D" w:rsidR="006A0B5C" w:rsidRPr="004040AA" w:rsidRDefault="006A0B5C">
      <w:pPr>
        <w:pStyle w:val="Tekstprzypisudolnego"/>
        <w:rPr>
          <w:sz w:val="18"/>
          <w:szCs w:val="18"/>
        </w:rPr>
      </w:pPr>
      <w:r w:rsidRPr="004040AA">
        <w:rPr>
          <w:rStyle w:val="Odwoanieprzypisudolnego"/>
          <w:sz w:val="18"/>
          <w:szCs w:val="18"/>
        </w:rPr>
        <w:footnoteRef/>
      </w:r>
      <w:r w:rsidRPr="004040AA">
        <w:rPr>
          <w:sz w:val="18"/>
          <w:szCs w:val="18"/>
        </w:rPr>
        <w:t xml:space="preserve"> w rozumieniu art. 2 ust. 1 dyrektywy 2010/31/UE</w:t>
      </w:r>
    </w:p>
  </w:footnote>
  <w:footnote w:id="11">
    <w:p w14:paraId="2D1A6423" w14:textId="77777777" w:rsidR="006A0B5C" w:rsidRPr="004040AA" w:rsidRDefault="006A0B5C" w:rsidP="00357419">
      <w:pPr>
        <w:pStyle w:val="Tekstprzypisudolnego"/>
        <w:rPr>
          <w:sz w:val="18"/>
          <w:szCs w:val="18"/>
        </w:rPr>
      </w:pPr>
      <w:r w:rsidRPr="004040AA">
        <w:rPr>
          <w:rStyle w:val="Odwoanieprzypisudolnego"/>
          <w:sz w:val="18"/>
          <w:szCs w:val="18"/>
        </w:rPr>
        <w:footnoteRef/>
      </w:r>
      <w:r w:rsidRPr="004040AA">
        <w:rPr>
          <w:sz w:val="18"/>
          <w:szCs w:val="18"/>
        </w:rPr>
        <w:t>„Zbiorcze informacje dotyczące wytwarzania energii elektrycznej z odnawialnych źródeł energii w mikroinstalacji lub małej instalacji za 2020, 2021 i 2022 r. Urząd Regulacji Energetyki, Warszawa.</w:t>
      </w:r>
    </w:p>
  </w:footnote>
  <w:footnote w:id="12">
    <w:p w14:paraId="239135E4" w14:textId="77777777" w:rsidR="006A0B5C" w:rsidRPr="004040AA" w:rsidRDefault="006A0B5C" w:rsidP="00FE7FBD">
      <w:pPr>
        <w:pStyle w:val="Tekstprzypisudolnego"/>
        <w:rPr>
          <w:sz w:val="18"/>
          <w:szCs w:val="18"/>
        </w:rPr>
      </w:pPr>
      <w:r w:rsidRPr="004040AA">
        <w:rPr>
          <w:rStyle w:val="Odwoanieprzypisudolnego"/>
          <w:sz w:val="18"/>
          <w:szCs w:val="18"/>
        </w:rPr>
        <w:footnoteRef/>
      </w:r>
      <w:r w:rsidRPr="004040AA">
        <w:rPr>
          <w:sz w:val="18"/>
          <w:szCs w:val="18"/>
        </w:rPr>
        <w:t xml:space="preserve"> „Efektywność wykorzystania energii w latach 2011-2021”. Główny Urząd Statystyczny, Warszawa, 15.06.2023 r.</w:t>
      </w:r>
    </w:p>
  </w:footnote>
  <w:footnote w:id="13">
    <w:p w14:paraId="7E2A6A20" w14:textId="77777777" w:rsidR="006A0B5C" w:rsidRPr="004040AA" w:rsidRDefault="006A0B5C" w:rsidP="00FE7FBD">
      <w:pPr>
        <w:pStyle w:val="Tekstprzypisudolnego"/>
        <w:rPr>
          <w:sz w:val="18"/>
          <w:szCs w:val="18"/>
        </w:rPr>
      </w:pPr>
    </w:p>
  </w:footnote>
  <w:footnote w:id="14">
    <w:p w14:paraId="7F19444D" w14:textId="77777777" w:rsidR="006A0B5C" w:rsidRPr="004040AA" w:rsidRDefault="006A0B5C" w:rsidP="00FE7FBD">
      <w:pPr>
        <w:pStyle w:val="Tekstprzypisudolnego"/>
        <w:rPr>
          <w:sz w:val="18"/>
          <w:szCs w:val="18"/>
        </w:rPr>
      </w:pPr>
      <w:r w:rsidRPr="004040AA">
        <w:rPr>
          <w:rStyle w:val="Odwoanieprzypisudolnego"/>
          <w:sz w:val="18"/>
          <w:szCs w:val="18"/>
        </w:rPr>
        <w:footnoteRef/>
      </w:r>
      <w:r w:rsidRPr="004040AA">
        <w:rPr>
          <w:sz w:val="18"/>
          <w:szCs w:val="18"/>
        </w:rPr>
        <w:t xml:space="preserve"> https://www.kape.gov.pl/blog/aktualnosci-kape-1/krajowy-plan-renowacji-budynkow-730</w:t>
      </w:r>
    </w:p>
  </w:footnote>
  <w:footnote w:id="15">
    <w:p w14:paraId="49E5FF98" w14:textId="77777777" w:rsidR="006A0B5C" w:rsidRPr="004040AA" w:rsidRDefault="006A0B5C" w:rsidP="00B11237">
      <w:pPr>
        <w:pStyle w:val="Tekstprzypisudolnego"/>
        <w:rPr>
          <w:sz w:val="18"/>
          <w:szCs w:val="18"/>
        </w:rPr>
      </w:pPr>
      <w:r w:rsidRPr="004040AA">
        <w:rPr>
          <w:rStyle w:val="Odwoanieprzypisudolnego"/>
          <w:sz w:val="18"/>
          <w:szCs w:val="18"/>
        </w:rPr>
        <w:footnoteRef/>
      </w:r>
      <w:r w:rsidRPr="004040AA">
        <w:rPr>
          <w:sz w:val="18"/>
          <w:szCs w:val="18"/>
        </w:rPr>
        <w:t xml:space="preserve"> „Gospodarka paliwowo-energetyczna” - GUS, Warszawa 2021</w:t>
      </w:r>
    </w:p>
  </w:footnote>
  <w:footnote w:id="16">
    <w:p w14:paraId="08B412C3" w14:textId="011CA370" w:rsidR="006A0B5C" w:rsidRPr="004040AA" w:rsidRDefault="006A0B5C" w:rsidP="006B2284">
      <w:pPr>
        <w:pStyle w:val="Tekstprzypisudolnego"/>
        <w:rPr>
          <w:sz w:val="18"/>
          <w:szCs w:val="18"/>
        </w:rPr>
      </w:pPr>
      <w:r w:rsidRPr="004040AA">
        <w:rPr>
          <w:rStyle w:val="Odwoanieprzypisudolnego"/>
          <w:sz w:val="18"/>
          <w:szCs w:val="18"/>
        </w:rPr>
        <w:footnoteRef/>
      </w:r>
      <w:r w:rsidRPr="004040AA">
        <w:rPr>
          <w:sz w:val="18"/>
          <w:szCs w:val="18"/>
        </w:rPr>
        <w:t xml:space="preserve"> „Bilans zasobów złóż kopalin w Polsce, wg stanu na 31.XII.202</w:t>
      </w:r>
      <w:r>
        <w:rPr>
          <w:sz w:val="18"/>
          <w:szCs w:val="18"/>
        </w:rPr>
        <w:t>4</w:t>
      </w:r>
      <w:r w:rsidRPr="004040AA">
        <w:rPr>
          <w:sz w:val="18"/>
          <w:szCs w:val="18"/>
        </w:rPr>
        <w:t xml:space="preserve"> r.” - Państwowy Instytut Geologiczny. Warszawa, </w:t>
      </w:r>
      <w:r>
        <w:rPr>
          <w:sz w:val="18"/>
          <w:szCs w:val="18"/>
        </w:rPr>
        <w:t>2025</w:t>
      </w:r>
    </w:p>
  </w:footnote>
  <w:footnote w:id="17">
    <w:p w14:paraId="0401DCBE" w14:textId="24BAA4FE" w:rsidR="006A0B5C" w:rsidRDefault="006A0B5C">
      <w:pPr>
        <w:pStyle w:val="Tekstprzypisudolnego"/>
      </w:pPr>
      <w:r>
        <w:rPr>
          <w:rStyle w:val="Odwoanieprzypisudolnego"/>
        </w:rPr>
        <w:footnoteRef/>
      </w:r>
      <w:r>
        <w:t xml:space="preserve"> W porównaniu do stanu z końca 2023 r. nastąpił wzrost ze 105,3 mld m</w:t>
      </w:r>
      <w:r w:rsidRPr="00F85B97">
        <w:rPr>
          <w:vertAlign w:val="superscript"/>
        </w:rPr>
        <w:t>3</w:t>
      </w:r>
      <w:r w:rsidRPr="00D51EBA">
        <w:t>,</w:t>
      </w:r>
      <w:r>
        <w:t xml:space="preserve"> ze względu na włączenie do bilansu nowych złóż.</w:t>
      </w:r>
    </w:p>
  </w:footnote>
  <w:footnote w:id="18">
    <w:p w14:paraId="525ED5BE" w14:textId="00FD1128" w:rsidR="006A0B5C" w:rsidRPr="004040AA" w:rsidRDefault="006A0B5C">
      <w:pPr>
        <w:pStyle w:val="Tekstprzypisudolnego"/>
        <w:rPr>
          <w:sz w:val="18"/>
          <w:szCs w:val="18"/>
        </w:rPr>
      </w:pPr>
      <w:r w:rsidRPr="004040AA">
        <w:rPr>
          <w:rStyle w:val="Odwoanieprzypisudolnego"/>
          <w:sz w:val="18"/>
          <w:szCs w:val="18"/>
        </w:rPr>
        <w:footnoteRef/>
      </w:r>
      <w:r w:rsidRPr="004040AA">
        <w:rPr>
          <w:sz w:val="18"/>
          <w:szCs w:val="18"/>
        </w:rPr>
        <w:t xml:space="preserve"> Opracowanie własne MKiŚ, 2025.</w:t>
      </w:r>
    </w:p>
  </w:footnote>
  <w:footnote w:id="19">
    <w:p w14:paraId="7F385474" w14:textId="7B97BFE7" w:rsidR="006A0B5C" w:rsidRPr="004040AA" w:rsidRDefault="006A0B5C">
      <w:pPr>
        <w:pStyle w:val="Tekstprzypisudolnego"/>
        <w:rPr>
          <w:sz w:val="18"/>
          <w:szCs w:val="18"/>
        </w:rPr>
      </w:pPr>
      <w:r w:rsidRPr="004040AA">
        <w:rPr>
          <w:rStyle w:val="Odwoanieprzypisudolnego"/>
          <w:sz w:val="18"/>
          <w:szCs w:val="18"/>
        </w:rPr>
        <w:footnoteRef/>
      </w:r>
      <w:r w:rsidRPr="004040AA">
        <w:rPr>
          <w:sz w:val="18"/>
          <w:szCs w:val="18"/>
        </w:rPr>
        <w:t xml:space="preserve"> Rocznik statystyczny leśnictwa, GUS 2024.</w:t>
      </w:r>
    </w:p>
  </w:footnote>
  <w:footnote w:id="20">
    <w:p w14:paraId="70C27B3A" w14:textId="04ABB5EF" w:rsidR="006A0B5C" w:rsidRPr="004040AA" w:rsidRDefault="006A0B5C">
      <w:pPr>
        <w:pStyle w:val="Tekstprzypisudolnego"/>
        <w:rPr>
          <w:sz w:val="18"/>
          <w:szCs w:val="18"/>
        </w:rPr>
      </w:pPr>
      <w:r w:rsidRPr="004040AA">
        <w:rPr>
          <w:rStyle w:val="Odwoanieprzypisudolnego"/>
          <w:sz w:val="18"/>
          <w:szCs w:val="18"/>
        </w:rPr>
        <w:footnoteRef/>
      </w:r>
      <w:r w:rsidRPr="004040AA">
        <w:rPr>
          <w:sz w:val="18"/>
          <w:szCs w:val="18"/>
        </w:rPr>
        <w:t xml:space="preserve"> Wielkoobszarowa Inwentaryzacja Stanu Lasu, 2024.</w:t>
      </w:r>
    </w:p>
  </w:footnote>
  <w:footnote w:id="21">
    <w:p w14:paraId="230D3388" w14:textId="6BCC433B" w:rsidR="006A0B5C" w:rsidRPr="004040AA" w:rsidRDefault="006A0B5C">
      <w:pPr>
        <w:pStyle w:val="Tekstprzypisudolnego"/>
        <w:rPr>
          <w:sz w:val="18"/>
          <w:szCs w:val="18"/>
        </w:rPr>
      </w:pPr>
      <w:r w:rsidRPr="004040AA">
        <w:rPr>
          <w:rStyle w:val="Odwoanieprzypisudolnego"/>
          <w:sz w:val="18"/>
          <w:szCs w:val="18"/>
        </w:rPr>
        <w:footnoteRef/>
      </w:r>
      <w:r w:rsidRPr="004040AA">
        <w:rPr>
          <w:sz w:val="18"/>
          <w:szCs w:val="18"/>
        </w:rPr>
        <w:t xml:space="preserve"> </w:t>
      </w:r>
      <w:r w:rsidRPr="00EC6FEA">
        <w:rPr>
          <w:i/>
          <w:iCs/>
          <w:sz w:val="18"/>
          <w:szCs w:val="18"/>
        </w:rPr>
        <w:t>Dostępność biomasy stałej na cele energetyczne – potencjał zrównoważony</w:t>
      </w:r>
      <w:r w:rsidRPr="004040AA">
        <w:rPr>
          <w:sz w:val="18"/>
          <w:szCs w:val="18"/>
        </w:rPr>
        <w:t>. Analiza wewnętrzna MKiŚ, 2025.</w:t>
      </w:r>
    </w:p>
  </w:footnote>
  <w:footnote w:id="22">
    <w:p w14:paraId="008A0DB7" w14:textId="77777777" w:rsidR="006A0B5C" w:rsidRPr="004040AA" w:rsidRDefault="006A0B5C" w:rsidP="00F61C52">
      <w:pPr>
        <w:pStyle w:val="Tekstprzypisudolnego"/>
        <w:rPr>
          <w:sz w:val="18"/>
          <w:szCs w:val="18"/>
        </w:rPr>
      </w:pPr>
      <w:r w:rsidRPr="004040AA">
        <w:rPr>
          <w:rStyle w:val="Odwoanieprzypisudolnego"/>
          <w:sz w:val="18"/>
          <w:szCs w:val="18"/>
        </w:rPr>
        <w:footnoteRef/>
      </w:r>
      <w:r w:rsidRPr="004040AA">
        <w:rPr>
          <w:sz w:val="18"/>
          <w:szCs w:val="18"/>
        </w:rPr>
        <w:t xml:space="preserve"> Realny potencjał produkcji biometanu w Polsce. NCBR Warszawa. 2024.</w:t>
      </w:r>
    </w:p>
  </w:footnote>
  <w:footnote w:id="23">
    <w:p w14:paraId="48A34272" w14:textId="77777777" w:rsidR="006A0B5C" w:rsidRPr="004040AA" w:rsidRDefault="006A0B5C" w:rsidP="00AE11E4">
      <w:pPr>
        <w:pStyle w:val="Tekstprzypisudolnego"/>
        <w:rPr>
          <w:sz w:val="18"/>
          <w:szCs w:val="18"/>
        </w:rPr>
      </w:pPr>
      <w:r w:rsidRPr="004040AA">
        <w:rPr>
          <w:rStyle w:val="Odwoanieprzypisudolnego"/>
          <w:sz w:val="18"/>
          <w:szCs w:val="18"/>
        </w:rPr>
        <w:footnoteRef/>
      </w:r>
      <w:r w:rsidRPr="004040AA">
        <w:rPr>
          <w:sz w:val="18"/>
          <w:szCs w:val="18"/>
        </w:rPr>
        <w:t xml:space="preserve"> Potencjał energetyki wiatrowej na morzu. Kompleksowa analiza możliwości rozwoju morskiej energetyki wiatrowej w polskich obszarach morskich. Polskie Stowarzyszenie Energetyki Wiatrowej, Warszawa 11/2022</w:t>
      </w:r>
    </w:p>
  </w:footnote>
  <w:footnote w:id="24">
    <w:p w14:paraId="4131D822" w14:textId="77777777" w:rsidR="006A0B5C" w:rsidRPr="004040AA" w:rsidRDefault="006A0B5C" w:rsidP="0061183B">
      <w:pPr>
        <w:pStyle w:val="Tekstprzypisudolnego"/>
        <w:rPr>
          <w:sz w:val="18"/>
          <w:szCs w:val="18"/>
        </w:rPr>
      </w:pPr>
      <w:r w:rsidRPr="004040AA">
        <w:rPr>
          <w:rStyle w:val="Odwoanieprzypisudolnego"/>
          <w:sz w:val="18"/>
          <w:szCs w:val="18"/>
        </w:rPr>
        <w:footnoteRef/>
      </w:r>
      <w:r w:rsidRPr="004040AA">
        <w:rPr>
          <w:sz w:val="18"/>
          <w:szCs w:val="18"/>
        </w:rPr>
        <w:t xml:space="preserve"> Sprawozdanie z wyników monitorowania bezpieczeństwa paliw gazowych za okres od dnia 1 stycznia 2022 do dnia 31 grudnia 2022 r.</w:t>
      </w:r>
    </w:p>
  </w:footnote>
  <w:footnote w:id="25">
    <w:p w14:paraId="303D7A60" w14:textId="77777777" w:rsidR="006A0B5C" w:rsidRPr="004040AA" w:rsidRDefault="006A0B5C" w:rsidP="0061183B">
      <w:pPr>
        <w:pStyle w:val="Tekstprzypisudolnego"/>
        <w:rPr>
          <w:sz w:val="18"/>
          <w:szCs w:val="18"/>
        </w:rPr>
      </w:pPr>
      <w:r w:rsidRPr="004040AA">
        <w:rPr>
          <w:rStyle w:val="Odwoanieprzypisudolnego"/>
          <w:sz w:val="18"/>
          <w:szCs w:val="18"/>
        </w:rPr>
        <w:footnoteRef/>
      </w:r>
      <w:r w:rsidRPr="004040AA">
        <w:rPr>
          <w:sz w:val="18"/>
          <w:szCs w:val="18"/>
        </w:rPr>
        <w:t xml:space="preserve"> Rozporządzenie Rady (UE) 2022/879 z dnia 3 czerwca 2022 r. zmieniające rozporządzenie (UE) nr 833/2014 dotyczące środków ograniczających w związku z działaniami Rosji destabilizującymi sytuację na Ukrainie.</w:t>
      </w:r>
    </w:p>
  </w:footnote>
  <w:footnote w:id="26">
    <w:p w14:paraId="0C28DC1D" w14:textId="38A1071A" w:rsidR="006A0B5C" w:rsidRDefault="006A0B5C">
      <w:pPr>
        <w:pStyle w:val="Tekstprzypisudolnego"/>
      </w:pPr>
      <w:r>
        <w:rPr>
          <w:rStyle w:val="Odwoanieprzypisudolnego"/>
        </w:rPr>
        <w:footnoteRef/>
      </w:r>
      <w:r>
        <w:t xml:space="preserve"> Nie wyklucza się uwzględnienia ww. technologii w przyszłych prognozach do kolejnego aKPEiK</w:t>
      </w:r>
    </w:p>
  </w:footnote>
  <w:footnote w:id="27">
    <w:p w14:paraId="7273EE3A" w14:textId="77777777" w:rsidR="006A0B5C" w:rsidRPr="004040AA" w:rsidRDefault="006A0B5C" w:rsidP="001D48D3">
      <w:pPr>
        <w:spacing w:after="0"/>
        <w:rPr>
          <w:sz w:val="18"/>
          <w:szCs w:val="18"/>
        </w:rPr>
      </w:pPr>
      <w:r w:rsidRPr="004040AA">
        <w:rPr>
          <w:rStyle w:val="Odwoanieprzypisudolnego"/>
          <w:sz w:val="18"/>
          <w:szCs w:val="18"/>
        </w:rPr>
        <w:footnoteRef/>
      </w:r>
      <w:r w:rsidRPr="004040AA">
        <w:rPr>
          <w:sz w:val="18"/>
          <w:szCs w:val="18"/>
        </w:rPr>
        <w:t xml:space="preserve"> Przy uwzględnieniu istnienia wrażliwości wyników na przyjęte założenia, tj.:</w:t>
      </w:r>
    </w:p>
    <w:p w14:paraId="64872386" w14:textId="77777777" w:rsidR="006A0B5C" w:rsidRPr="004040AA" w:rsidRDefault="006A0B5C" w:rsidP="001D48D3">
      <w:pPr>
        <w:spacing w:after="0"/>
        <w:ind w:left="142"/>
        <w:rPr>
          <w:rFonts w:ascii="Calibri" w:hAnsi="Calibri"/>
          <w:sz w:val="18"/>
          <w:szCs w:val="18"/>
          <w:lang w:eastAsia="pl-PL"/>
          <w14:ligatures w14:val="none"/>
        </w:rPr>
      </w:pPr>
      <w:r w:rsidRPr="004040AA">
        <w:rPr>
          <w:sz w:val="18"/>
          <w:szCs w:val="18"/>
        </w:rPr>
        <w:t>- adekwatnego odwzorowania kształtu prognozowanego zapotrzebowania na moc,</w:t>
      </w:r>
    </w:p>
    <w:p w14:paraId="2F6AC0A5" w14:textId="77777777" w:rsidR="006A0B5C" w:rsidRPr="004040AA" w:rsidRDefault="006A0B5C" w:rsidP="001D48D3">
      <w:pPr>
        <w:spacing w:after="0"/>
        <w:ind w:left="142"/>
        <w:rPr>
          <w:sz w:val="18"/>
          <w:szCs w:val="18"/>
        </w:rPr>
      </w:pPr>
      <w:r w:rsidRPr="004040AA">
        <w:rPr>
          <w:sz w:val="18"/>
          <w:szCs w:val="18"/>
        </w:rPr>
        <w:t>- braku wystąpienia ograniczeń sieciowych,</w:t>
      </w:r>
    </w:p>
    <w:p w14:paraId="2D6D422C" w14:textId="77777777" w:rsidR="006A0B5C" w:rsidRPr="004040AA" w:rsidRDefault="006A0B5C" w:rsidP="001D48D3">
      <w:pPr>
        <w:spacing w:after="0"/>
        <w:ind w:left="142"/>
        <w:rPr>
          <w:sz w:val="18"/>
          <w:szCs w:val="18"/>
        </w:rPr>
      </w:pPr>
      <w:r w:rsidRPr="004040AA">
        <w:rPr>
          <w:sz w:val="18"/>
          <w:szCs w:val="18"/>
        </w:rPr>
        <w:t>- braku ograniczeń czasowych w zakresie mocy dostępnej w ramach importu i DSR,</w:t>
      </w:r>
    </w:p>
    <w:p w14:paraId="53906FB8" w14:textId="1A339633" w:rsidR="006A0B5C" w:rsidRPr="004040AA" w:rsidRDefault="006A0B5C" w:rsidP="001D48D3">
      <w:pPr>
        <w:pStyle w:val="Tekstprzypisudolnego"/>
        <w:ind w:left="142"/>
        <w:rPr>
          <w:sz w:val="18"/>
          <w:szCs w:val="18"/>
        </w:rPr>
      </w:pPr>
      <w:r w:rsidRPr="004040AA">
        <w:rPr>
          <w:sz w:val="18"/>
          <w:szCs w:val="18"/>
        </w:rPr>
        <w:t>- powtórzenia się określonych scenariuszy klimatycznych i in.</w:t>
      </w:r>
    </w:p>
    <w:p w14:paraId="0E9DBD53" w14:textId="671AC899" w:rsidR="006A0B5C" w:rsidRPr="004040AA" w:rsidRDefault="006A0B5C">
      <w:pPr>
        <w:pStyle w:val="Tekstprzypisudolnego"/>
        <w:rPr>
          <w:sz w:val="18"/>
          <w:szCs w:val="18"/>
        </w:rPr>
      </w:pPr>
    </w:p>
  </w:footnote>
  <w:footnote w:id="28">
    <w:p w14:paraId="10C71574" w14:textId="77777777" w:rsidR="006A0B5C" w:rsidRPr="004040AA" w:rsidRDefault="006A0B5C" w:rsidP="00E43152">
      <w:pPr>
        <w:pStyle w:val="Tekstprzypisudolnego"/>
        <w:rPr>
          <w:sz w:val="18"/>
          <w:szCs w:val="18"/>
        </w:rPr>
      </w:pPr>
      <w:r w:rsidRPr="004040AA">
        <w:rPr>
          <w:rStyle w:val="Odwoanieprzypisudolnego"/>
          <w:sz w:val="18"/>
          <w:szCs w:val="18"/>
        </w:rPr>
        <w:footnoteRef/>
      </w:r>
      <w:r w:rsidRPr="004040AA">
        <w:rPr>
          <w:sz w:val="18"/>
          <w:szCs w:val="18"/>
        </w:rPr>
        <w:t xml:space="preserve"> „Energy prices and taxes”, MAE</w:t>
      </w:r>
    </w:p>
  </w:footnote>
  <w:footnote w:id="29">
    <w:p w14:paraId="504FE6E1" w14:textId="77777777" w:rsidR="006A0B5C" w:rsidRPr="004040AA" w:rsidRDefault="006A0B5C" w:rsidP="00447CCF">
      <w:pPr>
        <w:pStyle w:val="Tekstprzypisudolnego"/>
        <w:rPr>
          <w:sz w:val="18"/>
          <w:szCs w:val="18"/>
        </w:rPr>
      </w:pPr>
      <w:r w:rsidRPr="004040AA">
        <w:rPr>
          <w:rStyle w:val="Odwoanieprzypisudolnego"/>
          <w:sz w:val="18"/>
          <w:szCs w:val="18"/>
        </w:rPr>
        <w:footnoteRef/>
      </w:r>
      <w:r w:rsidRPr="004040AA">
        <w:rPr>
          <w:sz w:val="18"/>
          <w:szCs w:val="18"/>
        </w:rPr>
        <w:t xml:space="preserve"> Rozporządzenie Ministra Klimatu i Środowiska z dnia 6 sierpnia 2022 r. zmieniające rozporządzenie w sprawie szczegółowych warunków funkcjonowania systemu gazowego</w:t>
      </w:r>
    </w:p>
  </w:footnote>
  <w:footnote w:id="30">
    <w:p w14:paraId="60362D88" w14:textId="77777777" w:rsidR="006A0B5C" w:rsidRPr="004040AA" w:rsidRDefault="006A0B5C" w:rsidP="00267BF8">
      <w:pPr>
        <w:pStyle w:val="Tekstprzypisudolnego"/>
        <w:ind w:left="142" w:hanging="142"/>
        <w:rPr>
          <w:sz w:val="18"/>
          <w:szCs w:val="18"/>
        </w:rPr>
      </w:pPr>
      <w:r w:rsidRPr="004040AA">
        <w:rPr>
          <w:rStyle w:val="Odwoanieprzypisudolnego"/>
          <w:sz w:val="18"/>
          <w:szCs w:val="18"/>
        </w:rPr>
        <w:footnoteRef/>
      </w:r>
      <w:r w:rsidRPr="004040AA">
        <w:rPr>
          <w:sz w:val="18"/>
          <w:szCs w:val="18"/>
        </w:rPr>
        <w:t xml:space="preserve"> Zob. rozdz. 4.1.2</w:t>
      </w:r>
    </w:p>
  </w:footnote>
  <w:footnote w:id="31">
    <w:p w14:paraId="70E19DFA" w14:textId="77777777" w:rsidR="006A0B5C" w:rsidRPr="004040AA" w:rsidRDefault="006A0B5C" w:rsidP="0057312F">
      <w:pPr>
        <w:pStyle w:val="Tekstprzypisudolnego"/>
        <w:rPr>
          <w:sz w:val="18"/>
          <w:szCs w:val="18"/>
        </w:rPr>
      </w:pPr>
      <w:r w:rsidRPr="004040AA">
        <w:rPr>
          <w:rStyle w:val="Odwoanieprzypisudolnego"/>
          <w:sz w:val="18"/>
          <w:szCs w:val="18"/>
        </w:rPr>
        <w:footnoteRef/>
      </w:r>
      <w:r w:rsidRPr="004040AA">
        <w:rPr>
          <w:sz w:val="18"/>
          <w:szCs w:val="18"/>
        </w:rPr>
        <w:t xml:space="preserve"> Zakres sektorów i gazów objętych ceną uprawnień do emisji GHG jest zgodny z dyrektywą EU ETS (2003/87/WE).</w:t>
      </w:r>
    </w:p>
  </w:footnote>
  <w:footnote w:id="32">
    <w:p w14:paraId="564A5FB7" w14:textId="77777777" w:rsidR="006A0B5C" w:rsidRPr="004040AA" w:rsidRDefault="006A0B5C" w:rsidP="00504A3E">
      <w:pPr>
        <w:pStyle w:val="Tekstprzypisudolnego"/>
        <w:rPr>
          <w:sz w:val="18"/>
          <w:szCs w:val="18"/>
        </w:rPr>
      </w:pPr>
      <w:r w:rsidRPr="004040AA">
        <w:rPr>
          <w:rStyle w:val="Odwoanieprzypisudolnego"/>
          <w:sz w:val="18"/>
          <w:szCs w:val="18"/>
        </w:rPr>
        <w:footnoteRef/>
      </w:r>
      <w:r w:rsidRPr="004040AA">
        <w:rPr>
          <w:sz w:val="18"/>
          <w:szCs w:val="18"/>
        </w:rPr>
        <w:t xml:space="preserve"> Zob. rozdz. 4.1.1</w:t>
      </w:r>
    </w:p>
  </w:footnote>
  <w:footnote w:id="33">
    <w:p w14:paraId="7E46CAF7" w14:textId="442DA62D" w:rsidR="006A0B5C" w:rsidRPr="004040AA" w:rsidRDefault="006A0B5C" w:rsidP="00504A3E">
      <w:pPr>
        <w:pStyle w:val="Tekstprzypisudolnego"/>
        <w:ind w:left="142" w:hanging="142"/>
        <w:rPr>
          <w:sz w:val="18"/>
          <w:szCs w:val="18"/>
        </w:rPr>
      </w:pPr>
      <w:r w:rsidRPr="004040AA">
        <w:rPr>
          <w:rStyle w:val="Odwoanieprzypisudolnego"/>
          <w:sz w:val="18"/>
          <w:szCs w:val="18"/>
        </w:rPr>
        <w:footnoteRef/>
      </w:r>
      <w:r>
        <w:rPr>
          <w:sz w:val="18"/>
          <w:szCs w:val="18"/>
        </w:rPr>
        <w:t xml:space="preserve"> </w:t>
      </w:r>
      <w:hyperlink r:id="rId1" w:history="1">
        <w:r w:rsidRPr="00696068">
          <w:rPr>
            <w:rStyle w:val="Hipercze"/>
            <w:sz w:val="18"/>
            <w:szCs w:val="18"/>
          </w:rPr>
          <w:t>Link</w:t>
        </w:r>
      </w:hyperlink>
      <w:r>
        <w:rPr>
          <w:sz w:val="18"/>
          <w:szCs w:val="18"/>
        </w:rPr>
        <w:t xml:space="preserve">, </w:t>
      </w:r>
      <w:r w:rsidRPr="004040AA">
        <w:rPr>
          <w:sz w:val="18"/>
          <w:szCs w:val="18"/>
        </w:rPr>
        <w:t>stan na dzień 31.04.2024 r.</w:t>
      </w:r>
    </w:p>
  </w:footnote>
  <w:footnote w:id="34">
    <w:p w14:paraId="609B894F" w14:textId="69EA8BBB" w:rsidR="006A0B5C" w:rsidRPr="004040AA" w:rsidRDefault="006A0B5C" w:rsidP="007A16AC">
      <w:pPr>
        <w:pStyle w:val="Tekstprzypisudolnego"/>
        <w:rPr>
          <w:sz w:val="18"/>
          <w:szCs w:val="18"/>
        </w:rPr>
      </w:pPr>
      <w:r w:rsidRPr="004040AA">
        <w:rPr>
          <w:rStyle w:val="Odwoanieprzypisudolnego"/>
          <w:sz w:val="18"/>
          <w:szCs w:val="18"/>
        </w:rPr>
        <w:footnoteRef/>
      </w:r>
      <w:r w:rsidRPr="004040AA">
        <w:rPr>
          <w:sz w:val="18"/>
          <w:szCs w:val="18"/>
        </w:rPr>
        <w:t xml:space="preserve"> </w:t>
      </w:r>
      <w:r w:rsidRPr="004040AA">
        <w:rPr>
          <w:rFonts w:eastAsia="Lato" w:cs="Lato"/>
          <w:sz w:val="18"/>
          <w:szCs w:val="18"/>
        </w:rPr>
        <w:t>IBS Research Report 01/2020. Zatrudnienie w górnictwie węgla kamiennego w zagłębiu górnośląskim. Wrzesień 2020.</w:t>
      </w:r>
    </w:p>
  </w:footnote>
  <w:footnote w:id="35">
    <w:p w14:paraId="49EF8F8A" w14:textId="77777777" w:rsidR="006A0B5C" w:rsidRPr="004040AA" w:rsidRDefault="006A0B5C" w:rsidP="007A16AC">
      <w:pPr>
        <w:pStyle w:val="Tekstprzypisudolnego"/>
        <w:rPr>
          <w:sz w:val="18"/>
          <w:szCs w:val="18"/>
        </w:rPr>
      </w:pPr>
      <w:r w:rsidRPr="004040AA">
        <w:rPr>
          <w:rStyle w:val="Odwoanieprzypisudolnego"/>
          <w:sz w:val="18"/>
          <w:szCs w:val="18"/>
        </w:rPr>
        <w:footnoteRef/>
      </w:r>
      <w:r w:rsidRPr="004040AA">
        <w:rPr>
          <w:sz w:val="18"/>
          <w:szCs w:val="18"/>
        </w:rPr>
        <w:t xml:space="preserve"> </w:t>
      </w:r>
      <w:r w:rsidRPr="004040AA">
        <w:rPr>
          <w:rFonts w:eastAsia="Lato" w:cs="Lato"/>
          <w:sz w:val="18"/>
          <w:szCs w:val="18"/>
        </w:rPr>
        <w:t>https://srk.com.pl/media/aktualnosci/WIATR-KOPALNIA-MOZLIWOSCI/idn:385 (dostęp: 1 czerwca 2024 r.)</w:t>
      </w:r>
    </w:p>
  </w:footnote>
  <w:footnote w:id="36">
    <w:p w14:paraId="06628AEF" w14:textId="77777777" w:rsidR="006A0B5C" w:rsidRPr="004040AA" w:rsidRDefault="006A0B5C" w:rsidP="007A16AC">
      <w:pPr>
        <w:pStyle w:val="Tekstprzypisudolnego"/>
        <w:rPr>
          <w:sz w:val="18"/>
          <w:szCs w:val="18"/>
        </w:rPr>
      </w:pPr>
      <w:r w:rsidRPr="004040AA">
        <w:rPr>
          <w:rStyle w:val="Odwoanieprzypisudolnego"/>
          <w:sz w:val="18"/>
          <w:szCs w:val="18"/>
        </w:rPr>
        <w:footnoteRef/>
      </w:r>
      <w:r w:rsidRPr="004040AA">
        <w:rPr>
          <w:sz w:val="18"/>
          <w:szCs w:val="18"/>
        </w:rPr>
        <w:t xml:space="preserve"> </w:t>
      </w:r>
      <w:r w:rsidRPr="004040AA">
        <w:rPr>
          <w:rFonts w:eastAsia="Lato" w:cs="Lato"/>
          <w:sz w:val="18"/>
          <w:szCs w:val="18"/>
        </w:rPr>
        <w:t>https://pracapoweglu.pl/ (dostęp: 1 czerwca 2024 r.)</w:t>
      </w:r>
    </w:p>
  </w:footnote>
  <w:footnote w:id="37">
    <w:p w14:paraId="0D78B896" w14:textId="1105B089" w:rsidR="006A0B5C" w:rsidRPr="004040AA" w:rsidRDefault="006A0B5C" w:rsidP="007A16AC">
      <w:pPr>
        <w:pStyle w:val="Tekstprzypisudolnego"/>
        <w:ind w:left="142" w:hanging="142"/>
        <w:rPr>
          <w:sz w:val="18"/>
          <w:szCs w:val="18"/>
          <w:lang w:val="en-GB"/>
        </w:rPr>
      </w:pPr>
      <w:r w:rsidRPr="004040AA">
        <w:rPr>
          <w:rStyle w:val="Odwoanieprzypisudolnego"/>
          <w:sz w:val="18"/>
          <w:szCs w:val="18"/>
        </w:rPr>
        <w:footnoteRef/>
      </w:r>
      <w:r w:rsidRPr="004040AA">
        <w:rPr>
          <w:sz w:val="18"/>
          <w:szCs w:val="18"/>
          <w:lang w:val="en-GB"/>
        </w:rPr>
        <w:t xml:space="preserve"> Zob. np. najnowszy raport: IRENA and ILO (2023), Renewable energy and jobs: Annual review 2023, International Renewable Energy Agency, Abu Dhabi and International Labour Organization, Geneva.</w:t>
      </w:r>
    </w:p>
  </w:footnote>
  <w:footnote w:id="38">
    <w:p w14:paraId="53050D9A" w14:textId="77777777" w:rsidR="006A0B5C" w:rsidRPr="004040AA" w:rsidRDefault="006A0B5C" w:rsidP="00D65C5C">
      <w:pPr>
        <w:pStyle w:val="Tekstprzypisudolnego"/>
        <w:rPr>
          <w:sz w:val="18"/>
          <w:szCs w:val="18"/>
        </w:rPr>
      </w:pPr>
      <w:r w:rsidRPr="004040AA">
        <w:rPr>
          <w:rStyle w:val="Odwoanieprzypisudolnego"/>
          <w:sz w:val="18"/>
          <w:szCs w:val="18"/>
        </w:rPr>
        <w:footnoteRef/>
      </w:r>
      <w:r w:rsidRPr="004040AA">
        <w:rPr>
          <w:sz w:val="18"/>
          <w:szCs w:val="18"/>
        </w:rPr>
        <w:t xml:space="preserve"> Paliwa płynne obejmuje przede wszystkim ropę stosowaną do ogrzewania domów. </w:t>
      </w:r>
    </w:p>
  </w:footnote>
  <w:footnote w:id="39">
    <w:p w14:paraId="03E7BF71" w14:textId="44A4BE61" w:rsidR="006A0B5C" w:rsidRPr="004040AA" w:rsidRDefault="006A0B5C" w:rsidP="00D65C5C">
      <w:pPr>
        <w:pStyle w:val="Tekstprzypisudolnego"/>
        <w:rPr>
          <w:sz w:val="18"/>
          <w:szCs w:val="18"/>
        </w:rPr>
      </w:pPr>
      <w:r w:rsidRPr="004040AA">
        <w:rPr>
          <w:rStyle w:val="Odwoanieprzypisudolnego"/>
          <w:sz w:val="18"/>
          <w:szCs w:val="18"/>
        </w:rPr>
        <w:footnoteRef/>
      </w:r>
      <w:r w:rsidRPr="004040AA">
        <w:rPr>
          <w:sz w:val="18"/>
          <w:szCs w:val="18"/>
        </w:rPr>
        <w:t xml:space="preserve"> Paliwa stałe stanowią przede wszystkim węgiel oraz</w:t>
      </w:r>
      <w:r>
        <w:rPr>
          <w:sz w:val="18"/>
          <w:szCs w:val="18"/>
        </w:rPr>
        <w:t xml:space="preserve"> – </w:t>
      </w:r>
      <w:r w:rsidRPr="004040AA">
        <w:rPr>
          <w:sz w:val="18"/>
          <w:szCs w:val="18"/>
        </w:rPr>
        <w:t>w dużo mniejszym stopniu</w:t>
      </w:r>
      <w:r>
        <w:rPr>
          <w:sz w:val="18"/>
          <w:szCs w:val="18"/>
        </w:rPr>
        <w:t xml:space="preserve"> –</w:t>
      </w:r>
      <w:r w:rsidRPr="004040AA">
        <w:rPr>
          <w:sz w:val="18"/>
          <w:szCs w:val="18"/>
        </w:rPr>
        <w:t xml:space="preserve"> drewno opałowe.</w:t>
      </w:r>
    </w:p>
  </w:footnote>
  <w:footnote w:id="40">
    <w:p w14:paraId="224727B0" w14:textId="3BE38B91" w:rsidR="006A0B5C" w:rsidRPr="004040AA" w:rsidRDefault="006A0B5C" w:rsidP="00B6716F">
      <w:pPr>
        <w:pStyle w:val="Tekstprzypisudolnego"/>
        <w:rPr>
          <w:sz w:val="18"/>
          <w:szCs w:val="18"/>
        </w:rPr>
      </w:pPr>
      <w:r w:rsidRPr="004040AA">
        <w:rPr>
          <w:rStyle w:val="Odwoanieprzypisudolnego"/>
          <w:sz w:val="18"/>
          <w:szCs w:val="18"/>
        </w:rPr>
        <w:footnoteRef/>
      </w:r>
      <w:r w:rsidRPr="004040AA">
        <w:rPr>
          <w:sz w:val="18"/>
          <w:szCs w:val="18"/>
        </w:rPr>
        <w:t xml:space="preserve"> Nowy system handlu uprawnieniami do emisji o nazwie ETS2, który jest niezależny od dotychczasowego EU ETS, będzie obejmował emisje CO</w:t>
      </w:r>
      <w:r w:rsidRPr="004040AA">
        <w:rPr>
          <w:sz w:val="18"/>
          <w:szCs w:val="18"/>
          <w:vertAlign w:val="subscript"/>
        </w:rPr>
        <w:t>2</w:t>
      </w:r>
      <w:r w:rsidRPr="004040AA">
        <w:rPr>
          <w:sz w:val="18"/>
          <w:szCs w:val="18"/>
        </w:rPr>
        <w:t xml:space="preserve"> ze spalania paliw w budynkach, transporcie drogowym oraz dodatkowych sektorach, w tym głównie małych przedsiębiorstw, które nie są objęte obecnym systemem EU ETS.</w:t>
      </w:r>
    </w:p>
  </w:footnote>
  <w:footnote w:id="41">
    <w:p w14:paraId="1ECA3E31" w14:textId="77777777" w:rsidR="006A0B5C" w:rsidRPr="004040AA" w:rsidRDefault="006A0B5C" w:rsidP="00B6716F">
      <w:pPr>
        <w:pStyle w:val="Tekstprzypisudolnego"/>
        <w:rPr>
          <w:sz w:val="18"/>
          <w:szCs w:val="18"/>
        </w:rPr>
      </w:pPr>
      <w:r w:rsidRPr="004040AA">
        <w:rPr>
          <w:rStyle w:val="Odwoanieprzypisudolnego"/>
          <w:sz w:val="18"/>
          <w:szCs w:val="18"/>
        </w:rPr>
        <w:footnoteRef/>
      </w:r>
      <w:r w:rsidRPr="004040AA">
        <w:rPr>
          <w:sz w:val="18"/>
          <w:szCs w:val="18"/>
        </w:rPr>
        <w:t xml:space="preserve"> W niniejszej analizie przyjmujemy, że umowny próg niedostatku energetycznego wynosi 10% udziału wydatków na nośniki energii, wyłączając paliwa transportowe. </w:t>
      </w:r>
    </w:p>
  </w:footnote>
  <w:footnote w:id="42">
    <w:p w14:paraId="4FC09A91" w14:textId="77777777" w:rsidR="006A0B5C" w:rsidRPr="004040AA" w:rsidRDefault="006A0B5C" w:rsidP="00B6716F">
      <w:pPr>
        <w:pStyle w:val="Tekstprzypisudolnego"/>
        <w:rPr>
          <w:sz w:val="18"/>
          <w:szCs w:val="18"/>
        </w:rPr>
      </w:pPr>
      <w:r w:rsidRPr="004040AA">
        <w:rPr>
          <w:rStyle w:val="Odwoanieprzypisudolnego"/>
          <w:sz w:val="18"/>
          <w:szCs w:val="18"/>
        </w:rPr>
        <w:footnoteRef/>
      </w:r>
      <w:r w:rsidRPr="004040AA">
        <w:rPr>
          <w:sz w:val="18"/>
          <w:szCs w:val="18"/>
        </w:rPr>
        <w:t xml:space="preserve"> Bazowym, czyli nieuwzględniającym ceny pozwoleń na emisje.</w:t>
      </w:r>
    </w:p>
  </w:footnote>
  <w:footnote w:id="43">
    <w:p w14:paraId="2AF6926E" w14:textId="18032E52" w:rsidR="006A0B5C" w:rsidRPr="004040AA" w:rsidRDefault="006A0B5C" w:rsidP="00B6716F">
      <w:pPr>
        <w:pStyle w:val="Tekstprzypisudolnego"/>
        <w:rPr>
          <w:sz w:val="18"/>
          <w:szCs w:val="18"/>
        </w:rPr>
      </w:pPr>
      <w:r w:rsidRPr="004040AA">
        <w:rPr>
          <w:rStyle w:val="Odwoanieprzypisudolnego"/>
          <w:sz w:val="18"/>
          <w:szCs w:val="18"/>
        </w:rPr>
        <w:footnoteRef/>
      </w:r>
      <w:r w:rsidRPr="004040AA">
        <w:rPr>
          <w:sz w:val="18"/>
          <w:szCs w:val="18"/>
        </w:rPr>
        <w:t xml:space="preserve"> W przypadku szoków cenowych z </w:t>
      </w:r>
      <w:r>
        <w:rPr>
          <w:sz w:val="18"/>
          <w:szCs w:val="18"/>
        </w:rPr>
        <w:t>2022 r.</w:t>
      </w:r>
      <w:r w:rsidRPr="004040AA">
        <w:rPr>
          <w:sz w:val="18"/>
          <w:szCs w:val="18"/>
        </w:rPr>
        <w:t xml:space="preserve"> tego czasu na dostosowanie było bardzo mało.</w:t>
      </w:r>
    </w:p>
  </w:footnote>
  <w:footnote w:id="44">
    <w:p w14:paraId="3D393D7B" w14:textId="77777777" w:rsidR="006A0B5C" w:rsidRPr="004040AA" w:rsidRDefault="006A0B5C" w:rsidP="00FA091E">
      <w:pPr>
        <w:shd w:val="clear" w:color="auto" w:fill="FFFFFF"/>
        <w:rPr>
          <w:rFonts w:ascii="Calibri" w:eastAsia="Times New Roman" w:hAnsi="Calibri" w:cs="Calibri"/>
          <w:sz w:val="18"/>
          <w:szCs w:val="18"/>
          <w:lang w:eastAsia="pl-PL"/>
        </w:rPr>
      </w:pPr>
      <w:r w:rsidRPr="004040AA">
        <w:rPr>
          <w:rStyle w:val="Odwoanieprzypisudolnego"/>
          <w:rFonts w:ascii="Calibri" w:hAnsi="Calibri" w:cs="Calibri"/>
          <w:sz w:val="18"/>
          <w:szCs w:val="18"/>
        </w:rPr>
        <w:footnoteRef/>
      </w:r>
      <w:r w:rsidRPr="004040AA">
        <w:rPr>
          <w:rFonts w:ascii="Calibri" w:hAnsi="Calibri" w:cs="Calibri"/>
          <w:sz w:val="18"/>
          <w:szCs w:val="18"/>
        </w:rPr>
        <w:t xml:space="preserve"> </w:t>
      </w:r>
      <w:r w:rsidRPr="004040AA">
        <w:rPr>
          <w:rFonts w:ascii="Calibri" w:eastAsia="Times New Roman" w:hAnsi="Calibri" w:cs="Calibri"/>
          <w:sz w:val="18"/>
          <w:szCs w:val="18"/>
          <w:lang w:eastAsia="pl-PL"/>
        </w:rPr>
        <w:t>https://www.who.int/europe/tools-and-toolkits/airq---software-tool-for-health-risk-assessment-of-air-pollution</w:t>
      </w:r>
    </w:p>
    <w:p w14:paraId="57F85C2B" w14:textId="77777777" w:rsidR="006A0B5C" w:rsidRPr="004040AA" w:rsidRDefault="006A0B5C" w:rsidP="00FA091E">
      <w:pPr>
        <w:pStyle w:val="Tekstprzypisudolnego"/>
        <w:rPr>
          <w:sz w:val="18"/>
          <w:szCs w:val="18"/>
        </w:rPr>
      </w:pPr>
    </w:p>
  </w:footnote>
  <w:footnote w:id="45">
    <w:p w14:paraId="10373DBF" w14:textId="2B997FEB" w:rsidR="006A0B5C" w:rsidRPr="004040AA" w:rsidRDefault="006A0B5C" w:rsidP="007F2BC7">
      <w:pPr>
        <w:pStyle w:val="Tekstprzypisudolnego"/>
        <w:rPr>
          <w:sz w:val="18"/>
          <w:szCs w:val="18"/>
        </w:rPr>
      </w:pPr>
      <w:r w:rsidRPr="004040AA">
        <w:rPr>
          <w:rStyle w:val="Odwoanieprzypisudolnego"/>
          <w:sz w:val="18"/>
          <w:szCs w:val="18"/>
        </w:rPr>
        <w:footnoteRef/>
      </w:r>
      <w:r w:rsidRPr="004040AA">
        <w:rPr>
          <w:sz w:val="18"/>
          <w:szCs w:val="18"/>
        </w:rPr>
        <w:t xml:space="preserve"> Rozporządzenie PE i Rady (UE) 2021/1119 w sprawie ustanowienia ram na potrzeby osiągnięcia neutralności klimatycznej – Europejskie prawo o klimacie.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135D" w14:textId="1BCEA6D5" w:rsidR="006A0B5C" w:rsidRDefault="006A0B5C" w:rsidP="00FF3BC7">
    <w:pPr>
      <w:pStyle w:val="Nagwek"/>
      <w:jc w:val="right"/>
    </w:pPr>
    <w:r>
      <w:t>Załącznik 1 do projektu aKPEiK – scenariusz WEM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5E55A" w14:textId="5CA1FCD4" w:rsidR="006A0B5C" w:rsidRDefault="006A0B5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689C" w14:textId="55A581AA" w:rsidR="006A0B5C" w:rsidRDefault="006A0B5C" w:rsidP="006B2085">
    <w:pPr>
      <w:pStyle w:val="Nagwek"/>
      <w:tabs>
        <w:tab w:val="clear" w:pos="4536"/>
        <w:tab w:val="clear" w:pos="9072"/>
        <w:tab w:val="left" w:pos="6034"/>
      </w:tabs>
      <w:jc w:val="right"/>
    </w:pPr>
    <w:r>
      <w:t>Załącznik 1. do projektu aKPEiK – scenariusz WAM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1F0E" w14:textId="0EC4778C" w:rsidR="006A0B5C" w:rsidRPr="00851B8D" w:rsidRDefault="006A0B5C" w:rsidP="006B2085">
    <w:pPr>
      <w:pStyle w:val="Nagwek"/>
      <w:jc w:val="right"/>
      <w:rPr>
        <w:i/>
        <w:iCs/>
      </w:rPr>
    </w:pPr>
    <w:r w:rsidRPr="00851B8D">
      <w:rPr>
        <w:i/>
        <w:iCs/>
      </w:rPr>
      <w:t>Załącznik 1. do aKPEiK – scenariusz WAM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1A200" w14:textId="4BE392A5" w:rsidR="006A0B5C" w:rsidRDefault="006A0B5C">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F45D" w14:textId="747D94F0" w:rsidR="006A0B5C" w:rsidRDefault="006A0B5C">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60766" w14:textId="727349D0" w:rsidR="006A0B5C" w:rsidRDefault="006A0B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939"/>
    <w:multiLevelType w:val="hybridMultilevel"/>
    <w:tmpl w:val="47B66FFC"/>
    <w:lvl w:ilvl="0" w:tplc="9BFED3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4E23FC"/>
    <w:multiLevelType w:val="hybridMultilevel"/>
    <w:tmpl w:val="C1240178"/>
    <w:lvl w:ilvl="0" w:tplc="0BB21638">
      <w:start w:val="1"/>
      <w:numFmt w:val="bullet"/>
      <w:lvlText w:val="‒"/>
      <w:lvlJc w:val="left"/>
      <w:pPr>
        <w:ind w:left="1069" w:hanging="360"/>
      </w:pPr>
      <w:rPr>
        <w:rFonts w:ascii="Times New Roman" w:hAnsi="Times New Roman" w:cs="Times New Roman" w:hint="default"/>
      </w:rPr>
    </w:lvl>
    <w:lvl w:ilvl="1" w:tplc="FFFFFFFF">
      <w:start w:val="1"/>
      <w:numFmt w:val="bullet"/>
      <w:lvlText w:val="-"/>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 w15:restartNumberingAfterBreak="0">
    <w:nsid w:val="07405449"/>
    <w:multiLevelType w:val="hybridMultilevel"/>
    <w:tmpl w:val="4196A37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03CC1"/>
    <w:multiLevelType w:val="hybridMultilevel"/>
    <w:tmpl w:val="FA24C13A"/>
    <w:lvl w:ilvl="0" w:tplc="8066508C">
      <w:start w:val="1"/>
      <w:numFmt w:val="decimal"/>
      <w:lvlText w:val="%1."/>
      <w:lvlJc w:val="left"/>
      <w:pPr>
        <w:ind w:left="720" w:hanging="360"/>
      </w:pPr>
    </w:lvl>
    <w:lvl w:ilvl="1" w:tplc="78FE0932">
      <w:start w:val="1"/>
      <w:numFmt w:val="decimal"/>
      <w:lvlText w:val="%2."/>
      <w:lvlJc w:val="left"/>
      <w:pPr>
        <w:ind w:left="720" w:hanging="360"/>
      </w:pPr>
    </w:lvl>
    <w:lvl w:ilvl="2" w:tplc="24508788">
      <w:start w:val="1"/>
      <w:numFmt w:val="decimal"/>
      <w:lvlText w:val="%3."/>
      <w:lvlJc w:val="left"/>
      <w:pPr>
        <w:ind w:left="720" w:hanging="360"/>
      </w:pPr>
    </w:lvl>
    <w:lvl w:ilvl="3" w:tplc="104226F4">
      <w:start w:val="1"/>
      <w:numFmt w:val="decimal"/>
      <w:lvlText w:val="%4."/>
      <w:lvlJc w:val="left"/>
      <w:pPr>
        <w:ind w:left="720" w:hanging="360"/>
      </w:pPr>
    </w:lvl>
    <w:lvl w:ilvl="4" w:tplc="CB4CBCD2">
      <w:start w:val="1"/>
      <w:numFmt w:val="decimal"/>
      <w:lvlText w:val="%5."/>
      <w:lvlJc w:val="left"/>
      <w:pPr>
        <w:ind w:left="720" w:hanging="360"/>
      </w:pPr>
    </w:lvl>
    <w:lvl w:ilvl="5" w:tplc="7F86D47E">
      <w:start w:val="1"/>
      <w:numFmt w:val="decimal"/>
      <w:lvlText w:val="%6."/>
      <w:lvlJc w:val="left"/>
      <w:pPr>
        <w:ind w:left="720" w:hanging="360"/>
      </w:pPr>
    </w:lvl>
    <w:lvl w:ilvl="6" w:tplc="84AC3AFE">
      <w:start w:val="1"/>
      <w:numFmt w:val="decimal"/>
      <w:lvlText w:val="%7."/>
      <w:lvlJc w:val="left"/>
      <w:pPr>
        <w:ind w:left="720" w:hanging="360"/>
      </w:pPr>
    </w:lvl>
    <w:lvl w:ilvl="7" w:tplc="A052D8A8">
      <w:start w:val="1"/>
      <w:numFmt w:val="decimal"/>
      <w:lvlText w:val="%8."/>
      <w:lvlJc w:val="left"/>
      <w:pPr>
        <w:ind w:left="720" w:hanging="360"/>
      </w:pPr>
    </w:lvl>
    <w:lvl w:ilvl="8" w:tplc="1FCA0092">
      <w:start w:val="1"/>
      <w:numFmt w:val="decimal"/>
      <w:lvlText w:val="%9."/>
      <w:lvlJc w:val="left"/>
      <w:pPr>
        <w:ind w:left="720" w:hanging="360"/>
      </w:pPr>
    </w:lvl>
  </w:abstractNum>
  <w:abstractNum w:abstractNumId="4" w15:restartNumberingAfterBreak="0">
    <w:nsid w:val="0A231F70"/>
    <w:multiLevelType w:val="hybridMultilevel"/>
    <w:tmpl w:val="A5704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9C1216"/>
    <w:multiLevelType w:val="hybridMultilevel"/>
    <w:tmpl w:val="F9A830B4"/>
    <w:lvl w:ilvl="0" w:tplc="27C89E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3F67CA"/>
    <w:multiLevelType w:val="hybridMultilevel"/>
    <w:tmpl w:val="DC1A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8D7470"/>
    <w:multiLevelType w:val="hybridMultilevel"/>
    <w:tmpl w:val="66C897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C44F4B"/>
    <w:multiLevelType w:val="multilevel"/>
    <w:tmpl w:val="79DA1DBC"/>
    <w:styleLink w:val="Biecalista3"/>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1993CEA"/>
    <w:multiLevelType w:val="hybridMultilevel"/>
    <w:tmpl w:val="30B04B78"/>
    <w:lvl w:ilvl="0" w:tplc="899A52B8">
      <w:start w:val="1"/>
      <w:numFmt w:val="decimal"/>
      <w:lvlText w:val="%1."/>
      <w:lvlJc w:val="left"/>
      <w:pPr>
        <w:ind w:left="1020" w:hanging="360"/>
      </w:pPr>
    </w:lvl>
    <w:lvl w:ilvl="1" w:tplc="DF1277F2">
      <w:start w:val="1"/>
      <w:numFmt w:val="decimal"/>
      <w:lvlText w:val="%2."/>
      <w:lvlJc w:val="left"/>
      <w:pPr>
        <w:ind w:left="1020" w:hanging="360"/>
      </w:pPr>
    </w:lvl>
    <w:lvl w:ilvl="2" w:tplc="DA16F78C">
      <w:start w:val="1"/>
      <w:numFmt w:val="decimal"/>
      <w:lvlText w:val="%3."/>
      <w:lvlJc w:val="left"/>
      <w:pPr>
        <w:ind w:left="1020" w:hanging="360"/>
      </w:pPr>
    </w:lvl>
    <w:lvl w:ilvl="3" w:tplc="387EBE52">
      <w:start w:val="1"/>
      <w:numFmt w:val="decimal"/>
      <w:lvlText w:val="%4."/>
      <w:lvlJc w:val="left"/>
      <w:pPr>
        <w:ind w:left="1020" w:hanging="360"/>
      </w:pPr>
    </w:lvl>
    <w:lvl w:ilvl="4" w:tplc="F8D4777A">
      <w:start w:val="1"/>
      <w:numFmt w:val="decimal"/>
      <w:lvlText w:val="%5."/>
      <w:lvlJc w:val="left"/>
      <w:pPr>
        <w:ind w:left="1020" w:hanging="360"/>
      </w:pPr>
    </w:lvl>
    <w:lvl w:ilvl="5" w:tplc="10A84774">
      <w:start w:val="1"/>
      <w:numFmt w:val="decimal"/>
      <w:lvlText w:val="%6."/>
      <w:lvlJc w:val="left"/>
      <w:pPr>
        <w:ind w:left="1020" w:hanging="360"/>
      </w:pPr>
    </w:lvl>
    <w:lvl w:ilvl="6" w:tplc="AB80FA64">
      <w:start w:val="1"/>
      <w:numFmt w:val="decimal"/>
      <w:lvlText w:val="%7."/>
      <w:lvlJc w:val="left"/>
      <w:pPr>
        <w:ind w:left="1020" w:hanging="360"/>
      </w:pPr>
    </w:lvl>
    <w:lvl w:ilvl="7" w:tplc="61402858">
      <w:start w:val="1"/>
      <w:numFmt w:val="decimal"/>
      <w:lvlText w:val="%8."/>
      <w:lvlJc w:val="left"/>
      <w:pPr>
        <w:ind w:left="1020" w:hanging="360"/>
      </w:pPr>
    </w:lvl>
    <w:lvl w:ilvl="8" w:tplc="4560E790">
      <w:start w:val="1"/>
      <w:numFmt w:val="decimal"/>
      <w:lvlText w:val="%9."/>
      <w:lvlJc w:val="left"/>
      <w:pPr>
        <w:ind w:left="1020" w:hanging="360"/>
      </w:pPr>
    </w:lvl>
  </w:abstractNum>
  <w:abstractNum w:abstractNumId="10" w15:restartNumberingAfterBreak="0">
    <w:nsid w:val="12C01192"/>
    <w:multiLevelType w:val="hybridMultilevel"/>
    <w:tmpl w:val="9E3E4C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915D64"/>
    <w:multiLevelType w:val="hybridMultilevel"/>
    <w:tmpl w:val="C300744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B81D29"/>
    <w:multiLevelType w:val="hybridMultilevel"/>
    <w:tmpl w:val="D1E0FE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393CED"/>
    <w:multiLevelType w:val="hybridMultilevel"/>
    <w:tmpl w:val="30BC0B3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0545E0"/>
    <w:multiLevelType w:val="hybridMultilevel"/>
    <w:tmpl w:val="B6EE6A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0F4FD4"/>
    <w:multiLevelType w:val="hybridMultilevel"/>
    <w:tmpl w:val="AC248FC4"/>
    <w:lvl w:ilvl="0" w:tplc="C9A0BDD4">
      <w:start w:val="1"/>
      <w:numFmt w:val="bullet"/>
      <w:pStyle w:val="wylicze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2887A5E"/>
    <w:multiLevelType w:val="hybridMultilevel"/>
    <w:tmpl w:val="57A83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2F6014"/>
    <w:multiLevelType w:val="multilevel"/>
    <w:tmpl w:val="79DA1DBC"/>
    <w:styleLink w:val="Biecalista2"/>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6B22201"/>
    <w:multiLevelType w:val="hybridMultilevel"/>
    <w:tmpl w:val="A1769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4E3398"/>
    <w:multiLevelType w:val="hybridMultilevel"/>
    <w:tmpl w:val="07D601F4"/>
    <w:lvl w:ilvl="0" w:tplc="04150001">
      <w:start w:val="1"/>
      <w:numFmt w:val="bullet"/>
      <w:lvlText w:val=""/>
      <w:lvlJc w:val="left"/>
      <w:pPr>
        <w:ind w:left="1069" w:hanging="360"/>
      </w:pPr>
      <w:rPr>
        <w:rFonts w:ascii="Symbol" w:hAnsi="Symbol" w:hint="default"/>
      </w:rPr>
    </w:lvl>
    <w:lvl w:ilvl="1" w:tplc="40545C26">
      <w:start w:val="1"/>
      <w:numFmt w:val="bullet"/>
      <w:lvlText w:val="-"/>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0" w15:restartNumberingAfterBreak="0">
    <w:nsid w:val="2D9C647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3E176B"/>
    <w:multiLevelType w:val="hybridMultilevel"/>
    <w:tmpl w:val="0E38CF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F620BB1"/>
    <w:multiLevelType w:val="multilevel"/>
    <w:tmpl w:val="58CC1094"/>
    <w:lvl w:ilvl="0">
      <w:start w:val="1"/>
      <w:numFmt w:val="decimal"/>
      <w:pStyle w:val="Styl2"/>
      <w:lvlText w:val="2.%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F6A33E4"/>
    <w:multiLevelType w:val="hybridMultilevel"/>
    <w:tmpl w:val="465C95B8"/>
    <w:lvl w:ilvl="0" w:tplc="DF601EEC">
      <w:start w:val="1"/>
      <w:numFmt w:val="decimal"/>
      <w:pStyle w:val="Styl3"/>
      <w:lvlText w:val="2.13.%1."/>
      <w:lvlJc w:val="left"/>
      <w:pPr>
        <w:ind w:left="1430" w:hanging="360"/>
      </w:pPr>
      <w:rPr>
        <w:rFonts w:hint="default"/>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4" w15:restartNumberingAfterBreak="0">
    <w:nsid w:val="31DC0950"/>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3050EE0"/>
    <w:multiLevelType w:val="hybridMultilevel"/>
    <w:tmpl w:val="9E8E26C4"/>
    <w:lvl w:ilvl="0" w:tplc="B844814C">
      <w:start w:val="1"/>
      <w:numFmt w:val="bullet"/>
      <w:lvlText w:val=""/>
      <w:lvlJc w:val="left"/>
      <w:pPr>
        <w:ind w:left="720" w:hanging="360"/>
      </w:pPr>
      <w:rPr>
        <w:rFonts w:ascii="Symbol" w:hAnsi="Symbol" w:hint="default"/>
      </w:rPr>
    </w:lvl>
    <w:lvl w:ilvl="1" w:tplc="83D06AA4">
      <w:start w:val="3"/>
      <w:numFmt w:val="bullet"/>
      <w:lvlText w:val="•"/>
      <w:lvlJc w:val="left"/>
      <w:pPr>
        <w:ind w:left="1785" w:hanging="705"/>
      </w:pPr>
      <w:rPr>
        <w:rFonts w:ascii="Lato" w:eastAsiaTheme="minorHAnsi" w:hAnsi="Lato" w:cstheme="minorBid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A700BFA"/>
    <w:multiLevelType w:val="hybridMultilevel"/>
    <w:tmpl w:val="5A9EC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A26F41"/>
    <w:multiLevelType w:val="hybridMultilevel"/>
    <w:tmpl w:val="10A03EB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2D1682"/>
    <w:multiLevelType w:val="multilevel"/>
    <w:tmpl w:val="041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71495C"/>
    <w:multiLevelType w:val="hybridMultilevel"/>
    <w:tmpl w:val="49FA5E82"/>
    <w:lvl w:ilvl="0" w:tplc="2B5845B6">
      <w:start w:val="1"/>
      <w:numFmt w:val="decimal"/>
      <w:lvlText w:val="%1)"/>
      <w:lvlJc w:val="left"/>
      <w:pPr>
        <w:ind w:left="1020" w:hanging="360"/>
      </w:pPr>
    </w:lvl>
    <w:lvl w:ilvl="1" w:tplc="A49EDD3C">
      <w:start w:val="1"/>
      <w:numFmt w:val="decimal"/>
      <w:lvlText w:val="%2)"/>
      <w:lvlJc w:val="left"/>
      <w:pPr>
        <w:ind w:left="1020" w:hanging="360"/>
      </w:pPr>
    </w:lvl>
    <w:lvl w:ilvl="2" w:tplc="DA5A55EA">
      <w:start w:val="1"/>
      <w:numFmt w:val="decimal"/>
      <w:lvlText w:val="%3)"/>
      <w:lvlJc w:val="left"/>
      <w:pPr>
        <w:ind w:left="1020" w:hanging="360"/>
      </w:pPr>
    </w:lvl>
    <w:lvl w:ilvl="3" w:tplc="5EC4172A">
      <w:start w:val="1"/>
      <w:numFmt w:val="decimal"/>
      <w:lvlText w:val="%4)"/>
      <w:lvlJc w:val="left"/>
      <w:pPr>
        <w:ind w:left="1020" w:hanging="360"/>
      </w:pPr>
    </w:lvl>
    <w:lvl w:ilvl="4" w:tplc="016E1AA6">
      <w:start w:val="1"/>
      <w:numFmt w:val="decimal"/>
      <w:lvlText w:val="%5)"/>
      <w:lvlJc w:val="left"/>
      <w:pPr>
        <w:ind w:left="1020" w:hanging="360"/>
      </w:pPr>
    </w:lvl>
    <w:lvl w:ilvl="5" w:tplc="9BEC27B4">
      <w:start w:val="1"/>
      <w:numFmt w:val="decimal"/>
      <w:lvlText w:val="%6)"/>
      <w:lvlJc w:val="left"/>
      <w:pPr>
        <w:ind w:left="1020" w:hanging="360"/>
      </w:pPr>
    </w:lvl>
    <w:lvl w:ilvl="6" w:tplc="ACBEA21E">
      <w:start w:val="1"/>
      <w:numFmt w:val="decimal"/>
      <w:lvlText w:val="%7)"/>
      <w:lvlJc w:val="left"/>
      <w:pPr>
        <w:ind w:left="1020" w:hanging="360"/>
      </w:pPr>
    </w:lvl>
    <w:lvl w:ilvl="7" w:tplc="048E0B4A">
      <w:start w:val="1"/>
      <w:numFmt w:val="decimal"/>
      <w:lvlText w:val="%8)"/>
      <w:lvlJc w:val="left"/>
      <w:pPr>
        <w:ind w:left="1020" w:hanging="360"/>
      </w:pPr>
    </w:lvl>
    <w:lvl w:ilvl="8" w:tplc="7ACEC4C0">
      <w:start w:val="1"/>
      <w:numFmt w:val="decimal"/>
      <w:lvlText w:val="%9)"/>
      <w:lvlJc w:val="left"/>
      <w:pPr>
        <w:ind w:left="1020" w:hanging="360"/>
      </w:pPr>
    </w:lvl>
  </w:abstractNum>
  <w:abstractNum w:abstractNumId="30" w15:restartNumberingAfterBreak="0">
    <w:nsid w:val="419530A1"/>
    <w:multiLevelType w:val="hybridMultilevel"/>
    <w:tmpl w:val="76BC6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BD3F1C"/>
    <w:multiLevelType w:val="hybridMultilevel"/>
    <w:tmpl w:val="887EC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4E84600"/>
    <w:multiLevelType w:val="multilevel"/>
    <w:tmpl w:val="79DA1DBC"/>
    <w:styleLink w:val="Biecalista1"/>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55D5692"/>
    <w:multiLevelType w:val="hybridMultilevel"/>
    <w:tmpl w:val="618CD0DE"/>
    <w:lvl w:ilvl="0" w:tplc="7382DA8E">
      <w:start w:val="1"/>
      <w:numFmt w:val="bullet"/>
      <w:pStyle w:val="lista"/>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5DB3082"/>
    <w:multiLevelType w:val="multilevel"/>
    <w:tmpl w:val="79DA1DBC"/>
    <w:styleLink w:val="Biecalista4"/>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75E1438"/>
    <w:multiLevelType w:val="hybridMultilevel"/>
    <w:tmpl w:val="A49681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7875954"/>
    <w:multiLevelType w:val="hybridMultilevel"/>
    <w:tmpl w:val="06900434"/>
    <w:lvl w:ilvl="0" w:tplc="FFFFFFFF">
      <w:start w:val="1"/>
      <w:numFmt w:val="decimal"/>
      <w:lvlText w:val="%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BA83F20"/>
    <w:multiLevelType w:val="hybridMultilevel"/>
    <w:tmpl w:val="38A68F1E"/>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EA3F45"/>
    <w:multiLevelType w:val="hybridMultilevel"/>
    <w:tmpl w:val="AB7AEB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FAF43E8"/>
    <w:multiLevelType w:val="hybridMultilevel"/>
    <w:tmpl w:val="B4281A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4E11BA"/>
    <w:multiLevelType w:val="hybridMultilevel"/>
    <w:tmpl w:val="8C923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2A739B"/>
    <w:multiLevelType w:val="hybridMultilevel"/>
    <w:tmpl w:val="A1F2379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52763F4A"/>
    <w:multiLevelType w:val="hybridMultilevel"/>
    <w:tmpl w:val="39909F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69729CB"/>
    <w:multiLevelType w:val="hybridMultilevel"/>
    <w:tmpl w:val="AA6EE596"/>
    <w:lvl w:ilvl="0" w:tplc="04150017">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29311B"/>
    <w:multiLevelType w:val="multilevel"/>
    <w:tmpl w:val="E570A5CA"/>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14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5AAD6A18"/>
    <w:multiLevelType w:val="hybridMultilevel"/>
    <w:tmpl w:val="AFF85292"/>
    <w:lvl w:ilvl="0" w:tplc="0F1E6B56">
      <w:start w:val="1"/>
      <w:numFmt w:val="decimal"/>
      <w:lvlText w:val="%1."/>
      <w:lvlJc w:val="left"/>
      <w:pPr>
        <w:ind w:left="1020" w:hanging="360"/>
      </w:pPr>
    </w:lvl>
    <w:lvl w:ilvl="1" w:tplc="1DFCA24A">
      <w:start w:val="1"/>
      <w:numFmt w:val="decimal"/>
      <w:lvlText w:val="%2."/>
      <w:lvlJc w:val="left"/>
      <w:pPr>
        <w:ind w:left="1020" w:hanging="360"/>
      </w:pPr>
    </w:lvl>
    <w:lvl w:ilvl="2" w:tplc="5B3208DE">
      <w:start w:val="1"/>
      <w:numFmt w:val="decimal"/>
      <w:lvlText w:val="%3."/>
      <w:lvlJc w:val="left"/>
      <w:pPr>
        <w:ind w:left="1020" w:hanging="360"/>
      </w:pPr>
    </w:lvl>
    <w:lvl w:ilvl="3" w:tplc="906C10DE">
      <w:start w:val="1"/>
      <w:numFmt w:val="decimal"/>
      <w:lvlText w:val="%4."/>
      <w:lvlJc w:val="left"/>
      <w:pPr>
        <w:ind w:left="1020" w:hanging="360"/>
      </w:pPr>
    </w:lvl>
    <w:lvl w:ilvl="4" w:tplc="71E27EE6">
      <w:start w:val="1"/>
      <w:numFmt w:val="decimal"/>
      <w:lvlText w:val="%5."/>
      <w:lvlJc w:val="left"/>
      <w:pPr>
        <w:ind w:left="1020" w:hanging="360"/>
      </w:pPr>
    </w:lvl>
    <w:lvl w:ilvl="5" w:tplc="B65C7D74">
      <w:start w:val="1"/>
      <w:numFmt w:val="decimal"/>
      <w:lvlText w:val="%6."/>
      <w:lvlJc w:val="left"/>
      <w:pPr>
        <w:ind w:left="1020" w:hanging="360"/>
      </w:pPr>
    </w:lvl>
    <w:lvl w:ilvl="6" w:tplc="2A0A4080">
      <w:start w:val="1"/>
      <w:numFmt w:val="decimal"/>
      <w:lvlText w:val="%7."/>
      <w:lvlJc w:val="left"/>
      <w:pPr>
        <w:ind w:left="1020" w:hanging="360"/>
      </w:pPr>
    </w:lvl>
    <w:lvl w:ilvl="7" w:tplc="00EC9CB4">
      <w:start w:val="1"/>
      <w:numFmt w:val="decimal"/>
      <w:lvlText w:val="%8."/>
      <w:lvlJc w:val="left"/>
      <w:pPr>
        <w:ind w:left="1020" w:hanging="360"/>
      </w:pPr>
    </w:lvl>
    <w:lvl w:ilvl="8" w:tplc="4ADC2B18">
      <w:start w:val="1"/>
      <w:numFmt w:val="decimal"/>
      <w:lvlText w:val="%9."/>
      <w:lvlJc w:val="left"/>
      <w:pPr>
        <w:ind w:left="1020" w:hanging="360"/>
      </w:pPr>
    </w:lvl>
  </w:abstractNum>
  <w:abstractNum w:abstractNumId="46" w15:restartNumberingAfterBreak="0">
    <w:nsid w:val="5B0A4B95"/>
    <w:multiLevelType w:val="hybridMultilevel"/>
    <w:tmpl w:val="8EACF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BB74A13"/>
    <w:multiLevelType w:val="hybridMultilevel"/>
    <w:tmpl w:val="08DA0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C1014E6"/>
    <w:multiLevelType w:val="hybridMultilevel"/>
    <w:tmpl w:val="DAAA4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E40148A"/>
    <w:multiLevelType w:val="hybridMultilevel"/>
    <w:tmpl w:val="5B2AD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EEF4FF0"/>
    <w:multiLevelType w:val="hybridMultilevel"/>
    <w:tmpl w:val="C3BC858E"/>
    <w:lvl w:ilvl="0" w:tplc="FFFFFFFF">
      <w:start w:val="1"/>
      <w:numFmt w:val="lowerLetter"/>
      <w:lvlText w:val="%1)"/>
      <w:lvlJc w:val="left"/>
      <w:pPr>
        <w:ind w:left="720" w:hanging="360"/>
      </w:pPr>
    </w:lvl>
    <w:lvl w:ilvl="1" w:tplc="0BB21638">
      <w:start w:val="1"/>
      <w:numFmt w:val="bullet"/>
      <w:lvlText w:val="‒"/>
      <w:lvlJc w:val="left"/>
      <w:pPr>
        <w:ind w:left="720" w:hanging="360"/>
      </w:pPr>
      <w:rPr>
        <w:rFonts w:ascii="Times New Roman"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F546A63"/>
    <w:multiLevelType w:val="hybridMultilevel"/>
    <w:tmpl w:val="3B80FDE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2" w15:restartNumberingAfterBreak="0">
    <w:nsid w:val="611F28B6"/>
    <w:multiLevelType w:val="hybridMultilevel"/>
    <w:tmpl w:val="310C1F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27B57EA"/>
    <w:multiLevelType w:val="hybridMultilevel"/>
    <w:tmpl w:val="E22A2B54"/>
    <w:lvl w:ilvl="0" w:tplc="A4806734">
      <w:start w:val="1"/>
      <w:numFmt w:val="decimal"/>
      <w:lvlText w:val="%1."/>
      <w:lvlJc w:val="left"/>
      <w:pPr>
        <w:ind w:left="1020" w:hanging="360"/>
      </w:pPr>
    </w:lvl>
    <w:lvl w:ilvl="1" w:tplc="D79C0A18">
      <w:start w:val="1"/>
      <w:numFmt w:val="decimal"/>
      <w:lvlText w:val="%2."/>
      <w:lvlJc w:val="left"/>
      <w:pPr>
        <w:ind w:left="1020" w:hanging="360"/>
      </w:pPr>
    </w:lvl>
    <w:lvl w:ilvl="2" w:tplc="73EEE444">
      <w:start w:val="1"/>
      <w:numFmt w:val="decimal"/>
      <w:lvlText w:val="%3."/>
      <w:lvlJc w:val="left"/>
      <w:pPr>
        <w:ind w:left="1020" w:hanging="360"/>
      </w:pPr>
    </w:lvl>
    <w:lvl w:ilvl="3" w:tplc="C4F8127A">
      <w:start w:val="1"/>
      <w:numFmt w:val="decimal"/>
      <w:lvlText w:val="%4."/>
      <w:lvlJc w:val="left"/>
      <w:pPr>
        <w:ind w:left="1020" w:hanging="360"/>
      </w:pPr>
    </w:lvl>
    <w:lvl w:ilvl="4" w:tplc="456CC338">
      <w:start w:val="1"/>
      <w:numFmt w:val="decimal"/>
      <w:lvlText w:val="%5."/>
      <w:lvlJc w:val="left"/>
      <w:pPr>
        <w:ind w:left="1020" w:hanging="360"/>
      </w:pPr>
    </w:lvl>
    <w:lvl w:ilvl="5" w:tplc="F2D8FF9A">
      <w:start w:val="1"/>
      <w:numFmt w:val="decimal"/>
      <w:lvlText w:val="%6."/>
      <w:lvlJc w:val="left"/>
      <w:pPr>
        <w:ind w:left="1020" w:hanging="360"/>
      </w:pPr>
    </w:lvl>
    <w:lvl w:ilvl="6" w:tplc="472CAFE0">
      <w:start w:val="1"/>
      <w:numFmt w:val="decimal"/>
      <w:lvlText w:val="%7."/>
      <w:lvlJc w:val="left"/>
      <w:pPr>
        <w:ind w:left="1020" w:hanging="360"/>
      </w:pPr>
    </w:lvl>
    <w:lvl w:ilvl="7" w:tplc="956E1112">
      <w:start w:val="1"/>
      <w:numFmt w:val="decimal"/>
      <w:lvlText w:val="%8."/>
      <w:lvlJc w:val="left"/>
      <w:pPr>
        <w:ind w:left="1020" w:hanging="360"/>
      </w:pPr>
    </w:lvl>
    <w:lvl w:ilvl="8" w:tplc="4DD0B0EA">
      <w:start w:val="1"/>
      <w:numFmt w:val="decimal"/>
      <w:lvlText w:val="%9."/>
      <w:lvlJc w:val="left"/>
      <w:pPr>
        <w:ind w:left="1020" w:hanging="360"/>
      </w:pPr>
    </w:lvl>
  </w:abstractNum>
  <w:abstractNum w:abstractNumId="54" w15:restartNumberingAfterBreak="0">
    <w:nsid w:val="689453D1"/>
    <w:multiLevelType w:val="multilevel"/>
    <w:tmpl w:val="64E059B2"/>
    <w:lvl w:ilvl="0">
      <w:start w:val="1"/>
      <w:numFmt w:val="decimal"/>
      <w:pStyle w:val="Nagwek1"/>
      <w:lvlText w:val="%1."/>
      <w:lvlJc w:val="left"/>
      <w:pPr>
        <w:ind w:left="567" w:hanging="567"/>
      </w:pPr>
      <w:rPr>
        <w:rFonts w:hint="default"/>
        <w:b/>
        <w:i w:val="0"/>
      </w:rPr>
    </w:lvl>
    <w:lvl w:ilvl="1">
      <w:start w:val="1"/>
      <w:numFmt w:val="decimal"/>
      <w:pStyle w:val="Nagwek2"/>
      <w:lvlText w:val="%1.%2."/>
      <w:lvlJc w:val="left"/>
      <w:pPr>
        <w:ind w:left="936" w:hanging="794"/>
      </w:pPr>
      <w:rPr>
        <w:rFonts w:hint="default"/>
        <w:b/>
        <w:bCs w:val="0"/>
        <w:i w:val="0"/>
      </w:rPr>
    </w:lvl>
    <w:lvl w:ilvl="2">
      <w:start w:val="1"/>
      <w:numFmt w:val="decimal"/>
      <w:pStyle w:val="Nagwek3"/>
      <w:lvlText w:val="%1.%2.%3."/>
      <w:lvlJc w:val="left"/>
      <w:pPr>
        <w:ind w:left="1145" w:hanging="720"/>
      </w:pPr>
      <w:rPr>
        <w:rFonts w:hint="default"/>
        <w:b/>
        <w:i w:val="0"/>
      </w:rPr>
    </w:lvl>
    <w:lvl w:ilvl="3">
      <w:start w:val="1"/>
      <w:numFmt w:val="decimal"/>
      <w:pStyle w:val="Nagwek4"/>
      <w:lvlText w:val="%1.%2.%3.%4."/>
      <w:lvlJc w:val="left"/>
      <w:pPr>
        <w:ind w:left="864" w:hanging="864"/>
      </w:pPr>
      <w:rPr>
        <w:rFonts w:hint="default"/>
        <w:b/>
        <w:i w:val="0"/>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55" w15:restartNumberingAfterBreak="0">
    <w:nsid w:val="68EE3665"/>
    <w:multiLevelType w:val="hybridMultilevel"/>
    <w:tmpl w:val="A67C5820"/>
    <w:lvl w:ilvl="0" w:tplc="494A2470">
      <w:start w:val="1"/>
      <w:numFmt w:val="lowerLetter"/>
      <w:lvlText w:val="%1)"/>
      <w:lvlJc w:val="left"/>
      <w:pPr>
        <w:ind w:left="720" w:hanging="360"/>
      </w:pPr>
      <w:rPr>
        <w:rFonts w:ascii="Lato" w:eastAsiaTheme="minorHAnsi" w:hAnsi="Lato"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A242E0B"/>
    <w:multiLevelType w:val="hybridMultilevel"/>
    <w:tmpl w:val="290862EC"/>
    <w:lvl w:ilvl="0" w:tplc="794CCC24">
      <w:start w:val="1"/>
      <w:numFmt w:val="decimal"/>
      <w:lvlText w:val="%1."/>
      <w:lvlJc w:val="left"/>
      <w:pPr>
        <w:ind w:left="1020" w:hanging="360"/>
      </w:pPr>
    </w:lvl>
    <w:lvl w:ilvl="1" w:tplc="1E24C7CA">
      <w:start w:val="1"/>
      <w:numFmt w:val="decimal"/>
      <w:lvlText w:val="%2."/>
      <w:lvlJc w:val="left"/>
      <w:pPr>
        <w:ind w:left="1020" w:hanging="360"/>
      </w:pPr>
    </w:lvl>
    <w:lvl w:ilvl="2" w:tplc="308498C6">
      <w:start w:val="1"/>
      <w:numFmt w:val="decimal"/>
      <w:lvlText w:val="%3."/>
      <w:lvlJc w:val="left"/>
      <w:pPr>
        <w:ind w:left="1020" w:hanging="360"/>
      </w:pPr>
    </w:lvl>
    <w:lvl w:ilvl="3" w:tplc="88C2FDA4">
      <w:start w:val="1"/>
      <w:numFmt w:val="decimal"/>
      <w:lvlText w:val="%4."/>
      <w:lvlJc w:val="left"/>
      <w:pPr>
        <w:ind w:left="1020" w:hanging="360"/>
      </w:pPr>
    </w:lvl>
    <w:lvl w:ilvl="4" w:tplc="06E28564">
      <w:start w:val="1"/>
      <w:numFmt w:val="decimal"/>
      <w:lvlText w:val="%5."/>
      <w:lvlJc w:val="left"/>
      <w:pPr>
        <w:ind w:left="1020" w:hanging="360"/>
      </w:pPr>
    </w:lvl>
    <w:lvl w:ilvl="5" w:tplc="C2A60D86">
      <w:start w:val="1"/>
      <w:numFmt w:val="decimal"/>
      <w:lvlText w:val="%6."/>
      <w:lvlJc w:val="left"/>
      <w:pPr>
        <w:ind w:left="1020" w:hanging="360"/>
      </w:pPr>
    </w:lvl>
    <w:lvl w:ilvl="6" w:tplc="371ECE24">
      <w:start w:val="1"/>
      <w:numFmt w:val="decimal"/>
      <w:lvlText w:val="%7."/>
      <w:lvlJc w:val="left"/>
      <w:pPr>
        <w:ind w:left="1020" w:hanging="360"/>
      </w:pPr>
    </w:lvl>
    <w:lvl w:ilvl="7" w:tplc="FAD8BCF4">
      <w:start w:val="1"/>
      <w:numFmt w:val="decimal"/>
      <w:lvlText w:val="%8."/>
      <w:lvlJc w:val="left"/>
      <w:pPr>
        <w:ind w:left="1020" w:hanging="360"/>
      </w:pPr>
    </w:lvl>
    <w:lvl w:ilvl="8" w:tplc="61D80B60">
      <w:start w:val="1"/>
      <w:numFmt w:val="decimal"/>
      <w:lvlText w:val="%9."/>
      <w:lvlJc w:val="left"/>
      <w:pPr>
        <w:ind w:left="1020" w:hanging="360"/>
      </w:pPr>
    </w:lvl>
  </w:abstractNum>
  <w:abstractNum w:abstractNumId="57" w15:restartNumberingAfterBreak="0">
    <w:nsid w:val="6A371A0A"/>
    <w:multiLevelType w:val="hybridMultilevel"/>
    <w:tmpl w:val="590CB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A7D106A"/>
    <w:multiLevelType w:val="multilevel"/>
    <w:tmpl w:val="D2E2B268"/>
    <w:lvl w:ilvl="0">
      <w:start w:val="1"/>
      <w:numFmt w:val="decimal"/>
      <w:lvlText w:val="%1."/>
      <w:lvlJc w:val="left"/>
      <w:pPr>
        <w:ind w:left="432" w:hanging="432"/>
      </w:pPr>
      <w:rPr>
        <w:rFonts w:ascii="Bahnschrift" w:eastAsiaTheme="majorEastAsia" w:hAnsi="Bahnschrift" w:cstheme="majorBidi"/>
      </w:rPr>
    </w:lvl>
    <w:lvl w:ilvl="1">
      <w:start w:val="1"/>
      <w:numFmt w:val="decimal"/>
      <w:lvlText w:val="%1.%2."/>
      <w:lvlJc w:val="left"/>
      <w:pPr>
        <w:ind w:left="860" w:hanging="576"/>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6A9101A1"/>
    <w:multiLevelType w:val="hybridMultilevel"/>
    <w:tmpl w:val="3D206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2CE0FCC"/>
    <w:multiLevelType w:val="multilevel"/>
    <w:tmpl w:val="0E900916"/>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4256FD2"/>
    <w:multiLevelType w:val="hybridMultilevel"/>
    <w:tmpl w:val="51409BC0"/>
    <w:lvl w:ilvl="0" w:tplc="84F88010">
      <w:start w:val="1"/>
      <w:numFmt w:val="decimal"/>
      <w:lvlText w:val="%1."/>
      <w:lvlJc w:val="left"/>
      <w:pPr>
        <w:ind w:left="720" w:hanging="360"/>
      </w:pPr>
    </w:lvl>
    <w:lvl w:ilvl="1" w:tplc="5AF6FD88">
      <w:start w:val="1"/>
      <w:numFmt w:val="decimal"/>
      <w:lvlText w:val="%2."/>
      <w:lvlJc w:val="left"/>
      <w:pPr>
        <w:ind w:left="720" w:hanging="360"/>
      </w:pPr>
    </w:lvl>
    <w:lvl w:ilvl="2" w:tplc="DC22B212">
      <w:start w:val="1"/>
      <w:numFmt w:val="decimal"/>
      <w:lvlText w:val="%3."/>
      <w:lvlJc w:val="left"/>
      <w:pPr>
        <w:ind w:left="720" w:hanging="360"/>
      </w:pPr>
    </w:lvl>
    <w:lvl w:ilvl="3" w:tplc="D1D8CC84">
      <w:start w:val="1"/>
      <w:numFmt w:val="decimal"/>
      <w:lvlText w:val="%4."/>
      <w:lvlJc w:val="left"/>
      <w:pPr>
        <w:ind w:left="720" w:hanging="360"/>
      </w:pPr>
    </w:lvl>
    <w:lvl w:ilvl="4" w:tplc="96B2AA7A">
      <w:start w:val="1"/>
      <w:numFmt w:val="decimal"/>
      <w:lvlText w:val="%5."/>
      <w:lvlJc w:val="left"/>
      <w:pPr>
        <w:ind w:left="720" w:hanging="360"/>
      </w:pPr>
    </w:lvl>
    <w:lvl w:ilvl="5" w:tplc="9A96FE2A">
      <w:start w:val="1"/>
      <w:numFmt w:val="decimal"/>
      <w:lvlText w:val="%6."/>
      <w:lvlJc w:val="left"/>
      <w:pPr>
        <w:ind w:left="720" w:hanging="360"/>
      </w:pPr>
    </w:lvl>
    <w:lvl w:ilvl="6" w:tplc="2E3AEC62">
      <w:start w:val="1"/>
      <w:numFmt w:val="decimal"/>
      <w:lvlText w:val="%7."/>
      <w:lvlJc w:val="left"/>
      <w:pPr>
        <w:ind w:left="720" w:hanging="360"/>
      </w:pPr>
    </w:lvl>
    <w:lvl w:ilvl="7" w:tplc="33882F12">
      <w:start w:val="1"/>
      <w:numFmt w:val="decimal"/>
      <w:lvlText w:val="%8."/>
      <w:lvlJc w:val="left"/>
      <w:pPr>
        <w:ind w:left="720" w:hanging="360"/>
      </w:pPr>
    </w:lvl>
    <w:lvl w:ilvl="8" w:tplc="09F68CAE">
      <w:start w:val="1"/>
      <w:numFmt w:val="decimal"/>
      <w:lvlText w:val="%9."/>
      <w:lvlJc w:val="left"/>
      <w:pPr>
        <w:ind w:left="720" w:hanging="360"/>
      </w:pPr>
    </w:lvl>
  </w:abstractNum>
  <w:abstractNum w:abstractNumId="62" w15:restartNumberingAfterBreak="0">
    <w:nsid w:val="7461778D"/>
    <w:multiLevelType w:val="hybridMultilevel"/>
    <w:tmpl w:val="64BCE7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7652481"/>
    <w:multiLevelType w:val="hybridMultilevel"/>
    <w:tmpl w:val="6214F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7956AA0"/>
    <w:multiLevelType w:val="hybridMultilevel"/>
    <w:tmpl w:val="927056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7F11927"/>
    <w:multiLevelType w:val="hybridMultilevel"/>
    <w:tmpl w:val="552E615C"/>
    <w:lvl w:ilvl="0" w:tplc="0BB21638">
      <w:start w:val="1"/>
      <w:numFmt w:val="bullet"/>
      <w:lvlText w:val="‒"/>
      <w:lvlJc w:val="left"/>
      <w:pPr>
        <w:ind w:left="1428" w:hanging="360"/>
      </w:pPr>
      <w:rPr>
        <w:rFonts w:ascii="Times New Roman" w:hAnsi="Times New Roman" w:cs="Times New Roman"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6" w15:restartNumberingAfterBreak="0">
    <w:nsid w:val="79A56E7D"/>
    <w:multiLevelType w:val="hybridMultilevel"/>
    <w:tmpl w:val="15860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B1B7EB2"/>
    <w:multiLevelType w:val="hybridMultilevel"/>
    <w:tmpl w:val="763A2FD4"/>
    <w:lvl w:ilvl="0" w:tplc="1D2CA2BA">
      <w:start w:val="1"/>
      <w:numFmt w:val="decimal"/>
      <w:lvlText w:val="%1."/>
      <w:lvlJc w:val="left"/>
      <w:pPr>
        <w:ind w:left="720" w:hanging="360"/>
      </w:pPr>
    </w:lvl>
    <w:lvl w:ilvl="1" w:tplc="6610D8EE">
      <w:start w:val="1"/>
      <w:numFmt w:val="decimal"/>
      <w:lvlText w:val="%2."/>
      <w:lvlJc w:val="left"/>
      <w:pPr>
        <w:ind w:left="720" w:hanging="360"/>
      </w:pPr>
    </w:lvl>
    <w:lvl w:ilvl="2" w:tplc="B466306A">
      <w:start w:val="1"/>
      <w:numFmt w:val="decimal"/>
      <w:lvlText w:val="%3."/>
      <w:lvlJc w:val="left"/>
      <w:pPr>
        <w:ind w:left="720" w:hanging="360"/>
      </w:pPr>
    </w:lvl>
    <w:lvl w:ilvl="3" w:tplc="CF9AFB7A">
      <w:start w:val="1"/>
      <w:numFmt w:val="decimal"/>
      <w:lvlText w:val="%4."/>
      <w:lvlJc w:val="left"/>
      <w:pPr>
        <w:ind w:left="720" w:hanging="360"/>
      </w:pPr>
    </w:lvl>
    <w:lvl w:ilvl="4" w:tplc="0F2EAB14">
      <w:start w:val="1"/>
      <w:numFmt w:val="decimal"/>
      <w:lvlText w:val="%5."/>
      <w:lvlJc w:val="left"/>
      <w:pPr>
        <w:ind w:left="720" w:hanging="360"/>
      </w:pPr>
    </w:lvl>
    <w:lvl w:ilvl="5" w:tplc="9D401B00">
      <w:start w:val="1"/>
      <w:numFmt w:val="decimal"/>
      <w:lvlText w:val="%6."/>
      <w:lvlJc w:val="left"/>
      <w:pPr>
        <w:ind w:left="720" w:hanging="360"/>
      </w:pPr>
    </w:lvl>
    <w:lvl w:ilvl="6" w:tplc="2280022A">
      <w:start w:val="1"/>
      <w:numFmt w:val="decimal"/>
      <w:lvlText w:val="%7."/>
      <w:lvlJc w:val="left"/>
      <w:pPr>
        <w:ind w:left="720" w:hanging="360"/>
      </w:pPr>
    </w:lvl>
    <w:lvl w:ilvl="7" w:tplc="3F02BBFE">
      <w:start w:val="1"/>
      <w:numFmt w:val="decimal"/>
      <w:lvlText w:val="%8."/>
      <w:lvlJc w:val="left"/>
      <w:pPr>
        <w:ind w:left="720" w:hanging="360"/>
      </w:pPr>
    </w:lvl>
    <w:lvl w:ilvl="8" w:tplc="96025F4E">
      <w:start w:val="1"/>
      <w:numFmt w:val="decimal"/>
      <w:lvlText w:val="%9."/>
      <w:lvlJc w:val="left"/>
      <w:pPr>
        <w:ind w:left="720" w:hanging="360"/>
      </w:pPr>
    </w:lvl>
  </w:abstractNum>
  <w:abstractNum w:abstractNumId="68" w15:restartNumberingAfterBreak="0">
    <w:nsid w:val="7B787389"/>
    <w:multiLevelType w:val="hybridMultilevel"/>
    <w:tmpl w:val="439ACF30"/>
    <w:lvl w:ilvl="0" w:tplc="40545C2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14617516">
    <w:abstractNumId w:val="15"/>
  </w:num>
  <w:num w:numId="2" w16cid:durableId="201207765">
    <w:abstractNumId w:val="5"/>
  </w:num>
  <w:num w:numId="3" w16cid:durableId="1622567520">
    <w:abstractNumId w:val="52"/>
  </w:num>
  <w:num w:numId="4" w16cid:durableId="1913201054">
    <w:abstractNumId w:val="62"/>
  </w:num>
  <w:num w:numId="5" w16cid:durableId="1670913014">
    <w:abstractNumId w:val="33"/>
  </w:num>
  <w:num w:numId="6" w16cid:durableId="1562981518">
    <w:abstractNumId w:val="0"/>
  </w:num>
  <w:num w:numId="7" w16cid:durableId="1064255739">
    <w:abstractNumId w:val="22"/>
  </w:num>
  <w:num w:numId="8" w16cid:durableId="839848844">
    <w:abstractNumId w:val="23"/>
  </w:num>
  <w:num w:numId="9" w16cid:durableId="948783701">
    <w:abstractNumId w:val="54"/>
  </w:num>
  <w:num w:numId="10" w16cid:durableId="2019454858">
    <w:abstractNumId w:val="68"/>
  </w:num>
  <w:num w:numId="11" w16cid:durableId="1317883243">
    <w:abstractNumId w:val="60"/>
  </w:num>
  <w:num w:numId="12" w16cid:durableId="137889862">
    <w:abstractNumId w:val="60"/>
    <w:lvlOverride w:ilvl="0">
      <w:startOverride w:val="1"/>
    </w:lvlOverride>
  </w:num>
  <w:num w:numId="13" w16cid:durableId="299573572">
    <w:abstractNumId w:val="32"/>
  </w:num>
  <w:num w:numId="14" w16cid:durableId="653679628">
    <w:abstractNumId w:val="17"/>
  </w:num>
  <w:num w:numId="15" w16cid:durableId="1710758893">
    <w:abstractNumId w:val="8"/>
  </w:num>
  <w:num w:numId="16" w16cid:durableId="606933985">
    <w:abstractNumId w:val="28"/>
  </w:num>
  <w:num w:numId="17" w16cid:durableId="646474180">
    <w:abstractNumId w:val="34"/>
  </w:num>
  <w:num w:numId="18" w16cid:durableId="556862098">
    <w:abstractNumId w:val="30"/>
  </w:num>
  <w:num w:numId="19" w16cid:durableId="1688369106">
    <w:abstractNumId w:val="6"/>
  </w:num>
  <w:num w:numId="20" w16cid:durableId="1037781906">
    <w:abstractNumId w:val="57"/>
  </w:num>
  <w:num w:numId="21" w16cid:durableId="1537310287">
    <w:abstractNumId w:val="11"/>
  </w:num>
  <w:num w:numId="22" w16cid:durableId="623578067">
    <w:abstractNumId w:val="3"/>
  </w:num>
  <w:num w:numId="23" w16cid:durableId="1687901104">
    <w:abstractNumId w:val="67"/>
  </w:num>
  <w:num w:numId="24" w16cid:durableId="7150097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4663026">
    <w:abstractNumId w:val="29"/>
  </w:num>
  <w:num w:numId="26" w16cid:durableId="1943296589">
    <w:abstractNumId w:val="54"/>
  </w:num>
  <w:num w:numId="27" w16cid:durableId="2060206848">
    <w:abstractNumId w:val="18"/>
  </w:num>
  <w:num w:numId="28" w16cid:durableId="247615990">
    <w:abstractNumId w:val="61"/>
  </w:num>
  <w:num w:numId="29" w16cid:durableId="1955096593">
    <w:abstractNumId w:val="54"/>
  </w:num>
  <w:num w:numId="30" w16cid:durableId="414979550">
    <w:abstractNumId w:val="46"/>
  </w:num>
  <w:num w:numId="31" w16cid:durableId="830146191">
    <w:abstractNumId w:val="13"/>
  </w:num>
  <w:num w:numId="32" w16cid:durableId="78017328">
    <w:abstractNumId w:val="21"/>
  </w:num>
  <w:num w:numId="33" w16cid:durableId="1983733506">
    <w:abstractNumId w:val="49"/>
  </w:num>
  <w:num w:numId="34" w16cid:durableId="135923716">
    <w:abstractNumId w:val="16"/>
  </w:num>
  <w:num w:numId="35" w16cid:durableId="719479273">
    <w:abstractNumId w:val="7"/>
  </w:num>
  <w:num w:numId="36" w16cid:durableId="1539513984">
    <w:abstractNumId w:val="36"/>
  </w:num>
  <w:num w:numId="37" w16cid:durableId="1557426284">
    <w:abstractNumId w:val="44"/>
  </w:num>
  <w:num w:numId="38" w16cid:durableId="166947355">
    <w:abstractNumId w:val="53"/>
  </w:num>
  <w:num w:numId="39" w16cid:durableId="1399980342">
    <w:abstractNumId w:val="37"/>
  </w:num>
  <w:num w:numId="40" w16cid:durableId="317000134">
    <w:abstractNumId w:val="47"/>
  </w:num>
  <w:num w:numId="41" w16cid:durableId="1658268147">
    <w:abstractNumId w:val="40"/>
  </w:num>
  <w:num w:numId="42" w16cid:durableId="385372089">
    <w:abstractNumId w:val="63"/>
  </w:num>
  <w:num w:numId="43" w16cid:durableId="1804075693">
    <w:abstractNumId w:val="10"/>
  </w:num>
  <w:num w:numId="44" w16cid:durableId="809833759">
    <w:abstractNumId w:val="38"/>
  </w:num>
  <w:num w:numId="45" w16cid:durableId="716441996">
    <w:abstractNumId w:val="12"/>
  </w:num>
  <w:num w:numId="46" w16cid:durableId="36130899">
    <w:abstractNumId w:val="55"/>
  </w:num>
  <w:num w:numId="47" w16cid:durableId="1023018775">
    <w:abstractNumId w:val="43"/>
  </w:num>
  <w:num w:numId="48" w16cid:durableId="1186292527">
    <w:abstractNumId w:val="25"/>
  </w:num>
  <w:num w:numId="49" w16cid:durableId="781923582">
    <w:abstractNumId w:val="14"/>
  </w:num>
  <w:num w:numId="50" w16cid:durableId="622729928">
    <w:abstractNumId w:val="50"/>
  </w:num>
  <w:num w:numId="51" w16cid:durableId="734930737">
    <w:abstractNumId w:val="65"/>
  </w:num>
  <w:num w:numId="52" w16cid:durableId="179393583">
    <w:abstractNumId w:val="39"/>
  </w:num>
  <w:num w:numId="53" w16cid:durableId="490024953">
    <w:abstractNumId w:val="59"/>
  </w:num>
  <w:num w:numId="54" w16cid:durableId="305473636">
    <w:abstractNumId w:val="64"/>
  </w:num>
  <w:num w:numId="55" w16cid:durableId="1696273720">
    <w:abstractNumId w:val="19"/>
  </w:num>
  <w:num w:numId="56" w16cid:durableId="48306214">
    <w:abstractNumId w:val="26"/>
  </w:num>
  <w:num w:numId="57" w16cid:durableId="1603565468">
    <w:abstractNumId w:val="42"/>
  </w:num>
  <w:num w:numId="58" w16cid:durableId="206794070">
    <w:abstractNumId w:val="66"/>
  </w:num>
  <w:num w:numId="59" w16cid:durableId="1564754597">
    <w:abstractNumId w:val="35"/>
  </w:num>
  <w:num w:numId="60" w16cid:durableId="2081319863">
    <w:abstractNumId w:val="27"/>
  </w:num>
  <w:num w:numId="61" w16cid:durableId="1624729875">
    <w:abstractNumId w:val="24"/>
  </w:num>
  <w:num w:numId="62" w16cid:durableId="1075208036">
    <w:abstractNumId w:val="2"/>
  </w:num>
  <w:num w:numId="63" w16cid:durableId="853961781">
    <w:abstractNumId w:val="20"/>
  </w:num>
  <w:num w:numId="64" w16cid:durableId="325287402">
    <w:abstractNumId w:val="31"/>
  </w:num>
  <w:num w:numId="65" w16cid:durableId="87317663">
    <w:abstractNumId w:val="48"/>
  </w:num>
  <w:num w:numId="66" w16cid:durableId="524832237">
    <w:abstractNumId w:val="4"/>
  </w:num>
  <w:num w:numId="67" w16cid:durableId="497311720">
    <w:abstractNumId w:val="1"/>
  </w:num>
  <w:num w:numId="68" w16cid:durableId="784352633">
    <w:abstractNumId w:val="58"/>
  </w:num>
  <w:num w:numId="69" w16cid:durableId="929193997">
    <w:abstractNumId w:val="56"/>
  </w:num>
  <w:num w:numId="70" w16cid:durableId="1216090537">
    <w:abstractNumId w:val="9"/>
  </w:num>
  <w:num w:numId="71" w16cid:durableId="2101756059">
    <w:abstractNumId w:val="45"/>
  </w:num>
  <w:num w:numId="72" w16cid:durableId="1588071911">
    <w:abstractNumId w:val="41"/>
  </w:num>
  <w:num w:numId="73" w16cid:durableId="820924339">
    <w:abstractNumId w:val="5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D61"/>
    <w:rsid w:val="00000357"/>
    <w:rsid w:val="000004B2"/>
    <w:rsid w:val="000005AB"/>
    <w:rsid w:val="00000702"/>
    <w:rsid w:val="00000892"/>
    <w:rsid w:val="000008E6"/>
    <w:rsid w:val="00000F13"/>
    <w:rsid w:val="00001151"/>
    <w:rsid w:val="000023CD"/>
    <w:rsid w:val="000028E3"/>
    <w:rsid w:val="00002A9C"/>
    <w:rsid w:val="00002B02"/>
    <w:rsid w:val="0000309F"/>
    <w:rsid w:val="000033FA"/>
    <w:rsid w:val="00003490"/>
    <w:rsid w:val="00003774"/>
    <w:rsid w:val="00003C8C"/>
    <w:rsid w:val="0000409E"/>
    <w:rsid w:val="0000409F"/>
    <w:rsid w:val="00004131"/>
    <w:rsid w:val="00004554"/>
    <w:rsid w:val="0000501E"/>
    <w:rsid w:val="00005162"/>
    <w:rsid w:val="0000552E"/>
    <w:rsid w:val="000055F5"/>
    <w:rsid w:val="00005822"/>
    <w:rsid w:val="000058A0"/>
    <w:rsid w:val="00005A73"/>
    <w:rsid w:val="00005F3E"/>
    <w:rsid w:val="00006257"/>
    <w:rsid w:val="00006286"/>
    <w:rsid w:val="000069AF"/>
    <w:rsid w:val="000069C4"/>
    <w:rsid w:val="000072F6"/>
    <w:rsid w:val="00007E3C"/>
    <w:rsid w:val="0001038D"/>
    <w:rsid w:val="000103FF"/>
    <w:rsid w:val="0001040A"/>
    <w:rsid w:val="00010427"/>
    <w:rsid w:val="00010562"/>
    <w:rsid w:val="00010657"/>
    <w:rsid w:val="000108D2"/>
    <w:rsid w:val="0001094E"/>
    <w:rsid w:val="00010C48"/>
    <w:rsid w:val="00010DFB"/>
    <w:rsid w:val="00010F59"/>
    <w:rsid w:val="00011683"/>
    <w:rsid w:val="0001168D"/>
    <w:rsid w:val="00011AA3"/>
    <w:rsid w:val="00011B68"/>
    <w:rsid w:val="00011CCE"/>
    <w:rsid w:val="00011EE3"/>
    <w:rsid w:val="000121AB"/>
    <w:rsid w:val="000129CE"/>
    <w:rsid w:val="00012C4B"/>
    <w:rsid w:val="00013241"/>
    <w:rsid w:val="00013364"/>
    <w:rsid w:val="00013964"/>
    <w:rsid w:val="00013A79"/>
    <w:rsid w:val="00013CE6"/>
    <w:rsid w:val="00013D10"/>
    <w:rsid w:val="00013EDF"/>
    <w:rsid w:val="00013F6F"/>
    <w:rsid w:val="00013F9F"/>
    <w:rsid w:val="00014176"/>
    <w:rsid w:val="000146BD"/>
    <w:rsid w:val="00014756"/>
    <w:rsid w:val="00014C8E"/>
    <w:rsid w:val="00014ED7"/>
    <w:rsid w:val="0001575E"/>
    <w:rsid w:val="000158FE"/>
    <w:rsid w:val="000159E5"/>
    <w:rsid w:val="00016060"/>
    <w:rsid w:val="00016834"/>
    <w:rsid w:val="00016B2F"/>
    <w:rsid w:val="00016BBC"/>
    <w:rsid w:val="00016C05"/>
    <w:rsid w:val="00016D6D"/>
    <w:rsid w:val="00016D9C"/>
    <w:rsid w:val="00016DDB"/>
    <w:rsid w:val="00016E33"/>
    <w:rsid w:val="000171EA"/>
    <w:rsid w:val="00017383"/>
    <w:rsid w:val="000202B7"/>
    <w:rsid w:val="00020603"/>
    <w:rsid w:val="00020A5E"/>
    <w:rsid w:val="00020A6D"/>
    <w:rsid w:val="00020B38"/>
    <w:rsid w:val="00020C18"/>
    <w:rsid w:val="00020D1B"/>
    <w:rsid w:val="00020F56"/>
    <w:rsid w:val="000211CA"/>
    <w:rsid w:val="000213CE"/>
    <w:rsid w:val="00021410"/>
    <w:rsid w:val="00021535"/>
    <w:rsid w:val="0002163D"/>
    <w:rsid w:val="0002184A"/>
    <w:rsid w:val="00021B9B"/>
    <w:rsid w:val="00021D47"/>
    <w:rsid w:val="00021DB5"/>
    <w:rsid w:val="00022117"/>
    <w:rsid w:val="0002223E"/>
    <w:rsid w:val="00022613"/>
    <w:rsid w:val="00022628"/>
    <w:rsid w:val="000229E1"/>
    <w:rsid w:val="00022A40"/>
    <w:rsid w:val="000233B5"/>
    <w:rsid w:val="000236D0"/>
    <w:rsid w:val="000239E4"/>
    <w:rsid w:val="00023A0A"/>
    <w:rsid w:val="00023B02"/>
    <w:rsid w:val="00023C88"/>
    <w:rsid w:val="00023CC4"/>
    <w:rsid w:val="00024014"/>
    <w:rsid w:val="00024489"/>
    <w:rsid w:val="00024875"/>
    <w:rsid w:val="0002493D"/>
    <w:rsid w:val="00024AFC"/>
    <w:rsid w:val="00024BD9"/>
    <w:rsid w:val="00024DED"/>
    <w:rsid w:val="00024F16"/>
    <w:rsid w:val="0002523F"/>
    <w:rsid w:val="000252C0"/>
    <w:rsid w:val="000252C6"/>
    <w:rsid w:val="00025332"/>
    <w:rsid w:val="000258B6"/>
    <w:rsid w:val="00025C74"/>
    <w:rsid w:val="00025E0E"/>
    <w:rsid w:val="000261BC"/>
    <w:rsid w:val="000263AC"/>
    <w:rsid w:val="000265EA"/>
    <w:rsid w:val="00026795"/>
    <w:rsid w:val="00026968"/>
    <w:rsid w:val="000269E5"/>
    <w:rsid w:val="00026B76"/>
    <w:rsid w:val="00026E29"/>
    <w:rsid w:val="000273CA"/>
    <w:rsid w:val="00027452"/>
    <w:rsid w:val="0002773D"/>
    <w:rsid w:val="000278E9"/>
    <w:rsid w:val="000279FD"/>
    <w:rsid w:val="00027AD9"/>
    <w:rsid w:val="00027AE7"/>
    <w:rsid w:val="00027CDE"/>
    <w:rsid w:val="00027E6C"/>
    <w:rsid w:val="00027F06"/>
    <w:rsid w:val="0003032E"/>
    <w:rsid w:val="00030635"/>
    <w:rsid w:val="0003070B"/>
    <w:rsid w:val="00030857"/>
    <w:rsid w:val="00031398"/>
    <w:rsid w:val="000313E7"/>
    <w:rsid w:val="0003177F"/>
    <w:rsid w:val="00031A45"/>
    <w:rsid w:val="00032809"/>
    <w:rsid w:val="000328DE"/>
    <w:rsid w:val="000329D5"/>
    <w:rsid w:val="00032ADF"/>
    <w:rsid w:val="00032D64"/>
    <w:rsid w:val="00032EB1"/>
    <w:rsid w:val="00033098"/>
    <w:rsid w:val="00033122"/>
    <w:rsid w:val="000331A8"/>
    <w:rsid w:val="000336D1"/>
    <w:rsid w:val="00033760"/>
    <w:rsid w:val="00033A07"/>
    <w:rsid w:val="00033B57"/>
    <w:rsid w:val="00033B78"/>
    <w:rsid w:val="00034181"/>
    <w:rsid w:val="000341C9"/>
    <w:rsid w:val="0003431C"/>
    <w:rsid w:val="0003452D"/>
    <w:rsid w:val="00034570"/>
    <w:rsid w:val="000345B7"/>
    <w:rsid w:val="000345B8"/>
    <w:rsid w:val="0003468A"/>
    <w:rsid w:val="00034A28"/>
    <w:rsid w:val="00034C68"/>
    <w:rsid w:val="00034DCF"/>
    <w:rsid w:val="000352A5"/>
    <w:rsid w:val="000355C3"/>
    <w:rsid w:val="000355D1"/>
    <w:rsid w:val="000358F0"/>
    <w:rsid w:val="000365FD"/>
    <w:rsid w:val="000373AF"/>
    <w:rsid w:val="00037447"/>
    <w:rsid w:val="00037471"/>
    <w:rsid w:val="00037576"/>
    <w:rsid w:val="0003788F"/>
    <w:rsid w:val="00037A2F"/>
    <w:rsid w:val="00037E94"/>
    <w:rsid w:val="00040036"/>
    <w:rsid w:val="000406CB"/>
    <w:rsid w:val="00040808"/>
    <w:rsid w:val="00040949"/>
    <w:rsid w:val="00040F76"/>
    <w:rsid w:val="0004114E"/>
    <w:rsid w:val="00041437"/>
    <w:rsid w:val="0004149E"/>
    <w:rsid w:val="000418C1"/>
    <w:rsid w:val="00041FF1"/>
    <w:rsid w:val="0004212B"/>
    <w:rsid w:val="00042EA0"/>
    <w:rsid w:val="00042F3B"/>
    <w:rsid w:val="00043521"/>
    <w:rsid w:val="0004355F"/>
    <w:rsid w:val="0004367C"/>
    <w:rsid w:val="0004394B"/>
    <w:rsid w:val="0004425B"/>
    <w:rsid w:val="00044565"/>
    <w:rsid w:val="00044740"/>
    <w:rsid w:val="0004498C"/>
    <w:rsid w:val="00044993"/>
    <w:rsid w:val="00044D05"/>
    <w:rsid w:val="0004524A"/>
    <w:rsid w:val="00045570"/>
    <w:rsid w:val="00045608"/>
    <w:rsid w:val="00045866"/>
    <w:rsid w:val="00045DE8"/>
    <w:rsid w:val="00045F07"/>
    <w:rsid w:val="00045F12"/>
    <w:rsid w:val="00045F4B"/>
    <w:rsid w:val="000461CE"/>
    <w:rsid w:val="0004650C"/>
    <w:rsid w:val="00046755"/>
    <w:rsid w:val="0004697D"/>
    <w:rsid w:val="00046AAD"/>
    <w:rsid w:val="00046E49"/>
    <w:rsid w:val="00046F57"/>
    <w:rsid w:val="00046F5B"/>
    <w:rsid w:val="000471C6"/>
    <w:rsid w:val="00047888"/>
    <w:rsid w:val="00047B4A"/>
    <w:rsid w:val="00047DC3"/>
    <w:rsid w:val="0005007D"/>
    <w:rsid w:val="000500F7"/>
    <w:rsid w:val="00050528"/>
    <w:rsid w:val="0005060C"/>
    <w:rsid w:val="0005077B"/>
    <w:rsid w:val="00050B71"/>
    <w:rsid w:val="00050D2B"/>
    <w:rsid w:val="00050EC3"/>
    <w:rsid w:val="000516AD"/>
    <w:rsid w:val="000516B3"/>
    <w:rsid w:val="00051BFD"/>
    <w:rsid w:val="00051D65"/>
    <w:rsid w:val="00051F38"/>
    <w:rsid w:val="00051F53"/>
    <w:rsid w:val="00052876"/>
    <w:rsid w:val="00052A93"/>
    <w:rsid w:val="00052B7A"/>
    <w:rsid w:val="00052E47"/>
    <w:rsid w:val="0005310B"/>
    <w:rsid w:val="0005315A"/>
    <w:rsid w:val="00053259"/>
    <w:rsid w:val="00053263"/>
    <w:rsid w:val="0005367A"/>
    <w:rsid w:val="0005395E"/>
    <w:rsid w:val="00053A0B"/>
    <w:rsid w:val="00053D94"/>
    <w:rsid w:val="00053EF1"/>
    <w:rsid w:val="000544CF"/>
    <w:rsid w:val="00054652"/>
    <w:rsid w:val="0005476F"/>
    <w:rsid w:val="00054BC3"/>
    <w:rsid w:val="00054D1E"/>
    <w:rsid w:val="00054FDD"/>
    <w:rsid w:val="00055695"/>
    <w:rsid w:val="00055859"/>
    <w:rsid w:val="000558A4"/>
    <w:rsid w:val="000558FD"/>
    <w:rsid w:val="00055BCD"/>
    <w:rsid w:val="00055C92"/>
    <w:rsid w:val="00055E46"/>
    <w:rsid w:val="00055E50"/>
    <w:rsid w:val="00055FBF"/>
    <w:rsid w:val="0005692A"/>
    <w:rsid w:val="00056B72"/>
    <w:rsid w:val="00056E8E"/>
    <w:rsid w:val="00056EB2"/>
    <w:rsid w:val="000573C4"/>
    <w:rsid w:val="0005750B"/>
    <w:rsid w:val="00057C10"/>
    <w:rsid w:val="00057C2D"/>
    <w:rsid w:val="00057EA8"/>
    <w:rsid w:val="000600CA"/>
    <w:rsid w:val="00060C89"/>
    <w:rsid w:val="00060CB0"/>
    <w:rsid w:val="00060D50"/>
    <w:rsid w:val="00060D66"/>
    <w:rsid w:val="0006174E"/>
    <w:rsid w:val="00061819"/>
    <w:rsid w:val="000619B3"/>
    <w:rsid w:val="00061B95"/>
    <w:rsid w:val="000620C0"/>
    <w:rsid w:val="000624D6"/>
    <w:rsid w:val="00062567"/>
    <w:rsid w:val="00062569"/>
    <w:rsid w:val="0006259C"/>
    <w:rsid w:val="0006279F"/>
    <w:rsid w:val="000628B2"/>
    <w:rsid w:val="0006296B"/>
    <w:rsid w:val="0006350A"/>
    <w:rsid w:val="000636E5"/>
    <w:rsid w:val="00063ACE"/>
    <w:rsid w:val="00063DB8"/>
    <w:rsid w:val="0006419A"/>
    <w:rsid w:val="00064630"/>
    <w:rsid w:val="00064F3B"/>
    <w:rsid w:val="0006626E"/>
    <w:rsid w:val="00066333"/>
    <w:rsid w:val="00066361"/>
    <w:rsid w:val="0006639B"/>
    <w:rsid w:val="000666D2"/>
    <w:rsid w:val="0006670B"/>
    <w:rsid w:val="00066BDC"/>
    <w:rsid w:val="00066C91"/>
    <w:rsid w:val="00066E2F"/>
    <w:rsid w:val="00066F93"/>
    <w:rsid w:val="000672DB"/>
    <w:rsid w:val="00067535"/>
    <w:rsid w:val="00067881"/>
    <w:rsid w:val="000679FE"/>
    <w:rsid w:val="00067CD3"/>
    <w:rsid w:val="00067D45"/>
    <w:rsid w:val="00070269"/>
    <w:rsid w:val="00070358"/>
    <w:rsid w:val="0007043C"/>
    <w:rsid w:val="00070D2D"/>
    <w:rsid w:val="000718BB"/>
    <w:rsid w:val="0007192B"/>
    <w:rsid w:val="00071A33"/>
    <w:rsid w:val="00071A97"/>
    <w:rsid w:val="00071C36"/>
    <w:rsid w:val="0007236A"/>
    <w:rsid w:val="0007244C"/>
    <w:rsid w:val="0007252F"/>
    <w:rsid w:val="00072534"/>
    <w:rsid w:val="00072647"/>
    <w:rsid w:val="00072A7A"/>
    <w:rsid w:val="00072D13"/>
    <w:rsid w:val="00072DF3"/>
    <w:rsid w:val="00073827"/>
    <w:rsid w:val="0007386C"/>
    <w:rsid w:val="00073FEB"/>
    <w:rsid w:val="00074286"/>
    <w:rsid w:val="000742CF"/>
    <w:rsid w:val="00074356"/>
    <w:rsid w:val="00074615"/>
    <w:rsid w:val="0007476B"/>
    <w:rsid w:val="00074887"/>
    <w:rsid w:val="00074A25"/>
    <w:rsid w:val="00074CC1"/>
    <w:rsid w:val="00075172"/>
    <w:rsid w:val="0007579B"/>
    <w:rsid w:val="000759E0"/>
    <w:rsid w:val="00075AF0"/>
    <w:rsid w:val="00075F95"/>
    <w:rsid w:val="00076034"/>
    <w:rsid w:val="000765E1"/>
    <w:rsid w:val="000767FB"/>
    <w:rsid w:val="00076A09"/>
    <w:rsid w:val="00076CBC"/>
    <w:rsid w:val="00076F68"/>
    <w:rsid w:val="00077253"/>
    <w:rsid w:val="000779C8"/>
    <w:rsid w:val="000779DD"/>
    <w:rsid w:val="00077BAA"/>
    <w:rsid w:val="00080451"/>
    <w:rsid w:val="000805A1"/>
    <w:rsid w:val="000805EC"/>
    <w:rsid w:val="0008065E"/>
    <w:rsid w:val="00080672"/>
    <w:rsid w:val="0008096E"/>
    <w:rsid w:val="00080B26"/>
    <w:rsid w:val="00080B39"/>
    <w:rsid w:val="00080BA7"/>
    <w:rsid w:val="00080BFA"/>
    <w:rsid w:val="00080F24"/>
    <w:rsid w:val="0008119B"/>
    <w:rsid w:val="0008158C"/>
    <w:rsid w:val="000817A4"/>
    <w:rsid w:val="000818DA"/>
    <w:rsid w:val="00082306"/>
    <w:rsid w:val="00082634"/>
    <w:rsid w:val="000826C8"/>
    <w:rsid w:val="0008295E"/>
    <w:rsid w:val="00082B44"/>
    <w:rsid w:val="00082CCE"/>
    <w:rsid w:val="00082D8A"/>
    <w:rsid w:val="00082DB6"/>
    <w:rsid w:val="00083199"/>
    <w:rsid w:val="00083377"/>
    <w:rsid w:val="00083499"/>
    <w:rsid w:val="00083568"/>
    <w:rsid w:val="00083A22"/>
    <w:rsid w:val="00083A4E"/>
    <w:rsid w:val="00083A82"/>
    <w:rsid w:val="00083AB6"/>
    <w:rsid w:val="00083B0C"/>
    <w:rsid w:val="00083D19"/>
    <w:rsid w:val="00083DD0"/>
    <w:rsid w:val="00083DD3"/>
    <w:rsid w:val="00083E8C"/>
    <w:rsid w:val="00083F1A"/>
    <w:rsid w:val="000840AF"/>
    <w:rsid w:val="000841A8"/>
    <w:rsid w:val="000841DA"/>
    <w:rsid w:val="000845EA"/>
    <w:rsid w:val="00084A05"/>
    <w:rsid w:val="00084B36"/>
    <w:rsid w:val="00084B85"/>
    <w:rsid w:val="00084BE0"/>
    <w:rsid w:val="00084D7A"/>
    <w:rsid w:val="000855B2"/>
    <w:rsid w:val="00085AC8"/>
    <w:rsid w:val="00085BD8"/>
    <w:rsid w:val="00085E2D"/>
    <w:rsid w:val="0008625C"/>
    <w:rsid w:val="000862C8"/>
    <w:rsid w:val="000866E3"/>
    <w:rsid w:val="00086894"/>
    <w:rsid w:val="00086A57"/>
    <w:rsid w:val="00086CE7"/>
    <w:rsid w:val="0008752B"/>
    <w:rsid w:val="00087535"/>
    <w:rsid w:val="0008763E"/>
    <w:rsid w:val="000876E0"/>
    <w:rsid w:val="00087CCD"/>
    <w:rsid w:val="00087D06"/>
    <w:rsid w:val="00090041"/>
    <w:rsid w:val="00091221"/>
    <w:rsid w:val="0009160D"/>
    <w:rsid w:val="00091927"/>
    <w:rsid w:val="00091AD4"/>
    <w:rsid w:val="00091F0C"/>
    <w:rsid w:val="000923B6"/>
    <w:rsid w:val="000926FE"/>
    <w:rsid w:val="00092DE2"/>
    <w:rsid w:val="00092EAA"/>
    <w:rsid w:val="000932E9"/>
    <w:rsid w:val="00093AFF"/>
    <w:rsid w:val="00093B53"/>
    <w:rsid w:val="00093C70"/>
    <w:rsid w:val="00093C9A"/>
    <w:rsid w:val="00093D74"/>
    <w:rsid w:val="00093FA1"/>
    <w:rsid w:val="00094219"/>
    <w:rsid w:val="000945C4"/>
    <w:rsid w:val="00094602"/>
    <w:rsid w:val="000947CE"/>
    <w:rsid w:val="0009481B"/>
    <w:rsid w:val="00094A46"/>
    <w:rsid w:val="00094A7B"/>
    <w:rsid w:val="00094AC3"/>
    <w:rsid w:val="000954F2"/>
    <w:rsid w:val="000955C0"/>
    <w:rsid w:val="00095C0C"/>
    <w:rsid w:val="00095E92"/>
    <w:rsid w:val="000960E7"/>
    <w:rsid w:val="0009620F"/>
    <w:rsid w:val="0009643F"/>
    <w:rsid w:val="00096657"/>
    <w:rsid w:val="00096F19"/>
    <w:rsid w:val="0009708C"/>
    <w:rsid w:val="000973FB"/>
    <w:rsid w:val="0009743A"/>
    <w:rsid w:val="000974AC"/>
    <w:rsid w:val="00097602"/>
    <w:rsid w:val="00097F56"/>
    <w:rsid w:val="000A00EF"/>
    <w:rsid w:val="000A0276"/>
    <w:rsid w:val="000A0400"/>
    <w:rsid w:val="000A075C"/>
    <w:rsid w:val="000A086B"/>
    <w:rsid w:val="000A0B8F"/>
    <w:rsid w:val="000A10EE"/>
    <w:rsid w:val="000A110C"/>
    <w:rsid w:val="000A14E6"/>
    <w:rsid w:val="000A1537"/>
    <w:rsid w:val="000A17D1"/>
    <w:rsid w:val="000A1916"/>
    <w:rsid w:val="000A1C45"/>
    <w:rsid w:val="000A1EF1"/>
    <w:rsid w:val="000A1F19"/>
    <w:rsid w:val="000A280C"/>
    <w:rsid w:val="000A2875"/>
    <w:rsid w:val="000A297E"/>
    <w:rsid w:val="000A2B3E"/>
    <w:rsid w:val="000A2EB4"/>
    <w:rsid w:val="000A339B"/>
    <w:rsid w:val="000A3535"/>
    <w:rsid w:val="000A3AA7"/>
    <w:rsid w:val="000A3D2C"/>
    <w:rsid w:val="000A3DDB"/>
    <w:rsid w:val="000A425A"/>
    <w:rsid w:val="000A431C"/>
    <w:rsid w:val="000A45F7"/>
    <w:rsid w:val="000A4726"/>
    <w:rsid w:val="000A4FBF"/>
    <w:rsid w:val="000A541B"/>
    <w:rsid w:val="000A57F6"/>
    <w:rsid w:val="000A5A45"/>
    <w:rsid w:val="000A5E53"/>
    <w:rsid w:val="000A6967"/>
    <w:rsid w:val="000A698F"/>
    <w:rsid w:val="000A6D07"/>
    <w:rsid w:val="000A72F7"/>
    <w:rsid w:val="000A788F"/>
    <w:rsid w:val="000A7B74"/>
    <w:rsid w:val="000B022E"/>
    <w:rsid w:val="000B036A"/>
    <w:rsid w:val="000B05F0"/>
    <w:rsid w:val="000B073D"/>
    <w:rsid w:val="000B0FC7"/>
    <w:rsid w:val="000B12AB"/>
    <w:rsid w:val="000B17BB"/>
    <w:rsid w:val="000B1831"/>
    <w:rsid w:val="000B1B87"/>
    <w:rsid w:val="000B1D2D"/>
    <w:rsid w:val="000B1F61"/>
    <w:rsid w:val="000B235C"/>
    <w:rsid w:val="000B2367"/>
    <w:rsid w:val="000B249A"/>
    <w:rsid w:val="000B2771"/>
    <w:rsid w:val="000B29BF"/>
    <w:rsid w:val="000B2B6D"/>
    <w:rsid w:val="000B376A"/>
    <w:rsid w:val="000B3C5D"/>
    <w:rsid w:val="000B3E2C"/>
    <w:rsid w:val="000B3E90"/>
    <w:rsid w:val="000B407F"/>
    <w:rsid w:val="000B41ED"/>
    <w:rsid w:val="000B42B0"/>
    <w:rsid w:val="000B460D"/>
    <w:rsid w:val="000B4890"/>
    <w:rsid w:val="000B4D9B"/>
    <w:rsid w:val="000B524B"/>
    <w:rsid w:val="000B5316"/>
    <w:rsid w:val="000B54A2"/>
    <w:rsid w:val="000B571C"/>
    <w:rsid w:val="000B574A"/>
    <w:rsid w:val="000B576F"/>
    <w:rsid w:val="000B5849"/>
    <w:rsid w:val="000B58B8"/>
    <w:rsid w:val="000B5BED"/>
    <w:rsid w:val="000B6158"/>
    <w:rsid w:val="000B65C9"/>
    <w:rsid w:val="000B6B4D"/>
    <w:rsid w:val="000B72DF"/>
    <w:rsid w:val="000B7360"/>
    <w:rsid w:val="000B73FD"/>
    <w:rsid w:val="000B75D3"/>
    <w:rsid w:val="000B795B"/>
    <w:rsid w:val="000B7B66"/>
    <w:rsid w:val="000B7DE6"/>
    <w:rsid w:val="000B7E76"/>
    <w:rsid w:val="000B7EE4"/>
    <w:rsid w:val="000C0036"/>
    <w:rsid w:val="000C0204"/>
    <w:rsid w:val="000C02AC"/>
    <w:rsid w:val="000C0395"/>
    <w:rsid w:val="000C0489"/>
    <w:rsid w:val="000C0835"/>
    <w:rsid w:val="000C0949"/>
    <w:rsid w:val="000C0A5C"/>
    <w:rsid w:val="000C157C"/>
    <w:rsid w:val="000C19E3"/>
    <w:rsid w:val="000C1F8F"/>
    <w:rsid w:val="000C23C5"/>
    <w:rsid w:val="000C25FB"/>
    <w:rsid w:val="000C2916"/>
    <w:rsid w:val="000C2926"/>
    <w:rsid w:val="000C2A39"/>
    <w:rsid w:val="000C2A6C"/>
    <w:rsid w:val="000C39D7"/>
    <w:rsid w:val="000C406A"/>
    <w:rsid w:val="000C40D1"/>
    <w:rsid w:val="000C44AD"/>
    <w:rsid w:val="000C492C"/>
    <w:rsid w:val="000C50D3"/>
    <w:rsid w:val="000C550B"/>
    <w:rsid w:val="000C56C6"/>
    <w:rsid w:val="000C5878"/>
    <w:rsid w:val="000C59DC"/>
    <w:rsid w:val="000C5A9E"/>
    <w:rsid w:val="000C5ADD"/>
    <w:rsid w:val="000C5BBC"/>
    <w:rsid w:val="000C5E25"/>
    <w:rsid w:val="000C5FB4"/>
    <w:rsid w:val="000C69AD"/>
    <w:rsid w:val="000C6A57"/>
    <w:rsid w:val="000C6BCC"/>
    <w:rsid w:val="000C6D83"/>
    <w:rsid w:val="000C6DAE"/>
    <w:rsid w:val="000C6EC4"/>
    <w:rsid w:val="000C7086"/>
    <w:rsid w:val="000C728E"/>
    <w:rsid w:val="000C788D"/>
    <w:rsid w:val="000C79D4"/>
    <w:rsid w:val="000C7B25"/>
    <w:rsid w:val="000D020C"/>
    <w:rsid w:val="000D03DF"/>
    <w:rsid w:val="000D0DAB"/>
    <w:rsid w:val="000D127F"/>
    <w:rsid w:val="000D1763"/>
    <w:rsid w:val="000D181A"/>
    <w:rsid w:val="000D1A06"/>
    <w:rsid w:val="000D1A66"/>
    <w:rsid w:val="000D1AF0"/>
    <w:rsid w:val="000D227A"/>
    <w:rsid w:val="000D2496"/>
    <w:rsid w:val="000D2544"/>
    <w:rsid w:val="000D279E"/>
    <w:rsid w:val="000D2929"/>
    <w:rsid w:val="000D2BEC"/>
    <w:rsid w:val="000D2E67"/>
    <w:rsid w:val="000D2FDB"/>
    <w:rsid w:val="000D2FE0"/>
    <w:rsid w:val="000D3335"/>
    <w:rsid w:val="000D34E5"/>
    <w:rsid w:val="000D3799"/>
    <w:rsid w:val="000D389D"/>
    <w:rsid w:val="000D3F4D"/>
    <w:rsid w:val="000D4097"/>
    <w:rsid w:val="000D40DF"/>
    <w:rsid w:val="000D43C5"/>
    <w:rsid w:val="000D4915"/>
    <w:rsid w:val="000D4A1F"/>
    <w:rsid w:val="000D4AEA"/>
    <w:rsid w:val="000D4E13"/>
    <w:rsid w:val="000D4E78"/>
    <w:rsid w:val="000D57A4"/>
    <w:rsid w:val="000D6593"/>
    <w:rsid w:val="000D65B3"/>
    <w:rsid w:val="000D6603"/>
    <w:rsid w:val="000D66F8"/>
    <w:rsid w:val="000D6750"/>
    <w:rsid w:val="000D680A"/>
    <w:rsid w:val="000D68DD"/>
    <w:rsid w:val="000D698D"/>
    <w:rsid w:val="000D6B17"/>
    <w:rsid w:val="000D6DBB"/>
    <w:rsid w:val="000D6E3E"/>
    <w:rsid w:val="000D6FD6"/>
    <w:rsid w:val="000D704E"/>
    <w:rsid w:val="000D717E"/>
    <w:rsid w:val="000D7202"/>
    <w:rsid w:val="000D74A4"/>
    <w:rsid w:val="000D77B9"/>
    <w:rsid w:val="000D7B88"/>
    <w:rsid w:val="000D7EDC"/>
    <w:rsid w:val="000E00A2"/>
    <w:rsid w:val="000E03B0"/>
    <w:rsid w:val="000E0896"/>
    <w:rsid w:val="000E09FE"/>
    <w:rsid w:val="000E0A4D"/>
    <w:rsid w:val="000E0BBF"/>
    <w:rsid w:val="000E0E73"/>
    <w:rsid w:val="000E1101"/>
    <w:rsid w:val="000E1114"/>
    <w:rsid w:val="000E19AC"/>
    <w:rsid w:val="000E19F6"/>
    <w:rsid w:val="000E1C43"/>
    <w:rsid w:val="000E1EF3"/>
    <w:rsid w:val="000E20EE"/>
    <w:rsid w:val="000E2397"/>
    <w:rsid w:val="000E240E"/>
    <w:rsid w:val="000E24E1"/>
    <w:rsid w:val="000E2C6E"/>
    <w:rsid w:val="000E2EC5"/>
    <w:rsid w:val="000E31DF"/>
    <w:rsid w:val="000E3241"/>
    <w:rsid w:val="000E3797"/>
    <w:rsid w:val="000E3A92"/>
    <w:rsid w:val="000E3C69"/>
    <w:rsid w:val="000E3D66"/>
    <w:rsid w:val="000E4454"/>
    <w:rsid w:val="000E47A7"/>
    <w:rsid w:val="000E499B"/>
    <w:rsid w:val="000E4E50"/>
    <w:rsid w:val="000E4FE4"/>
    <w:rsid w:val="000E502D"/>
    <w:rsid w:val="000E5501"/>
    <w:rsid w:val="000E55A9"/>
    <w:rsid w:val="000E5722"/>
    <w:rsid w:val="000E580B"/>
    <w:rsid w:val="000E5A4E"/>
    <w:rsid w:val="000E5C6F"/>
    <w:rsid w:val="000E6396"/>
    <w:rsid w:val="000E65DE"/>
    <w:rsid w:val="000E6731"/>
    <w:rsid w:val="000E6833"/>
    <w:rsid w:val="000E683A"/>
    <w:rsid w:val="000E6AC5"/>
    <w:rsid w:val="000E6AF7"/>
    <w:rsid w:val="000E6D26"/>
    <w:rsid w:val="000E6DF4"/>
    <w:rsid w:val="000E6EB7"/>
    <w:rsid w:val="000E6F56"/>
    <w:rsid w:val="000E6F99"/>
    <w:rsid w:val="000E7195"/>
    <w:rsid w:val="000E7799"/>
    <w:rsid w:val="000E78D5"/>
    <w:rsid w:val="000E7939"/>
    <w:rsid w:val="000E7965"/>
    <w:rsid w:val="000E7E63"/>
    <w:rsid w:val="000F0497"/>
    <w:rsid w:val="000F0591"/>
    <w:rsid w:val="000F0613"/>
    <w:rsid w:val="000F0E80"/>
    <w:rsid w:val="000F0F7C"/>
    <w:rsid w:val="000F0F9C"/>
    <w:rsid w:val="000F163C"/>
    <w:rsid w:val="000F1681"/>
    <w:rsid w:val="000F16B7"/>
    <w:rsid w:val="000F184D"/>
    <w:rsid w:val="000F193B"/>
    <w:rsid w:val="000F1C69"/>
    <w:rsid w:val="000F225B"/>
    <w:rsid w:val="000F2330"/>
    <w:rsid w:val="000F2425"/>
    <w:rsid w:val="000F243F"/>
    <w:rsid w:val="000F244E"/>
    <w:rsid w:val="000F2612"/>
    <w:rsid w:val="000F29A1"/>
    <w:rsid w:val="000F29D5"/>
    <w:rsid w:val="000F29FC"/>
    <w:rsid w:val="000F2BEA"/>
    <w:rsid w:val="000F3128"/>
    <w:rsid w:val="000F3682"/>
    <w:rsid w:val="000F3700"/>
    <w:rsid w:val="000F37BC"/>
    <w:rsid w:val="000F3CDD"/>
    <w:rsid w:val="000F447B"/>
    <w:rsid w:val="000F49B0"/>
    <w:rsid w:val="000F4A2A"/>
    <w:rsid w:val="000F514E"/>
    <w:rsid w:val="000F57F4"/>
    <w:rsid w:val="000F5962"/>
    <w:rsid w:val="000F5E37"/>
    <w:rsid w:val="000F62FD"/>
    <w:rsid w:val="000F6365"/>
    <w:rsid w:val="000F6610"/>
    <w:rsid w:val="000F6BB7"/>
    <w:rsid w:val="000F6CFE"/>
    <w:rsid w:val="000F6E52"/>
    <w:rsid w:val="000F7063"/>
    <w:rsid w:val="000F7751"/>
    <w:rsid w:val="000F78F6"/>
    <w:rsid w:val="000F7BF2"/>
    <w:rsid w:val="0010013B"/>
    <w:rsid w:val="00100F49"/>
    <w:rsid w:val="0010121C"/>
    <w:rsid w:val="001015C8"/>
    <w:rsid w:val="001016A8"/>
    <w:rsid w:val="001018AA"/>
    <w:rsid w:val="00101E6C"/>
    <w:rsid w:val="001022FD"/>
    <w:rsid w:val="001024F9"/>
    <w:rsid w:val="001025D6"/>
    <w:rsid w:val="001026A1"/>
    <w:rsid w:val="001029EC"/>
    <w:rsid w:val="001030DA"/>
    <w:rsid w:val="0010312E"/>
    <w:rsid w:val="00103576"/>
    <w:rsid w:val="0010357D"/>
    <w:rsid w:val="001038C8"/>
    <w:rsid w:val="001039C9"/>
    <w:rsid w:val="00103A80"/>
    <w:rsid w:val="00103ADD"/>
    <w:rsid w:val="00103B4A"/>
    <w:rsid w:val="001044D3"/>
    <w:rsid w:val="00104587"/>
    <w:rsid w:val="00104716"/>
    <w:rsid w:val="00104A81"/>
    <w:rsid w:val="00104B87"/>
    <w:rsid w:val="00104D11"/>
    <w:rsid w:val="0010548A"/>
    <w:rsid w:val="00105A5A"/>
    <w:rsid w:val="00105ED4"/>
    <w:rsid w:val="00105FD0"/>
    <w:rsid w:val="0010602C"/>
    <w:rsid w:val="0010632A"/>
    <w:rsid w:val="00106633"/>
    <w:rsid w:val="0010668C"/>
    <w:rsid w:val="00106B1E"/>
    <w:rsid w:val="00106B9D"/>
    <w:rsid w:val="00106D18"/>
    <w:rsid w:val="00106E60"/>
    <w:rsid w:val="001075C3"/>
    <w:rsid w:val="001076B4"/>
    <w:rsid w:val="001077A3"/>
    <w:rsid w:val="001078E9"/>
    <w:rsid w:val="00107C51"/>
    <w:rsid w:val="00107D4A"/>
    <w:rsid w:val="00107DFA"/>
    <w:rsid w:val="00107ED5"/>
    <w:rsid w:val="00110037"/>
    <w:rsid w:val="001100DF"/>
    <w:rsid w:val="001102AD"/>
    <w:rsid w:val="0011056F"/>
    <w:rsid w:val="00110619"/>
    <w:rsid w:val="00110E84"/>
    <w:rsid w:val="0011132E"/>
    <w:rsid w:val="00111AA2"/>
    <w:rsid w:val="00111B0D"/>
    <w:rsid w:val="00111CED"/>
    <w:rsid w:val="00112017"/>
    <w:rsid w:val="00112376"/>
    <w:rsid w:val="00112709"/>
    <w:rsid w:val="00112714"/>
    <w:rsid w:val="001127E5"/>
    <w:rsid w:val="00112AFA"/>
    <w:rsid w:val="00113029"/>
    <w:rsid w:val="001131AD"/>
    <w:rsid w:val="00113330"/>
    <w:rsid w:val="0011375D"/>
    <w:rsid w:val="00113A28"/>
    <w:rsid w:val="00113EFD"/>
    <w:rsid w:val="001144BC"/>
    <w:rsid w:val="001144FC"/>
    <w:rsid w:val="0011452C"/>
    <w:rsid w:val="00114AEB"/>
    <w:rsid w:val="00115265"/>
    <w:rsid w:val="00115A34"/>
    <w:rsid w:val="00115F6E"/>
    <w:rsid w:val="001164FF"/>
    <w:rsid w:val="00116706"/>
    <w:rsid w:val="00116949"/>
    <w:rsid w:val="00116B9A"/>
    <w:rsid w:val="00117094"/>
    <w:rsid w:val="00117314"/>
    <w:rsid w:val="001174B1"/>
    <w:rsid w:val="001174D9"/>
    <w:rsid w:val="001178A1"/>
    <w:rsid w:val="001201B6"/>
    <w:rsid w:val="001204B8"/>
    <w:rsid w:val="00120654"/>
    <w:rsid w:val="00120787"/>
    <w:rsid w:val="00121421"/>
    <w:rsid w:val="0012182D"/>
    <w:rsid w:val="00121867"/>
    <w:rsid w:val="001218BF"/>
    <w:rsid w:val="00121A0C"/>
    <w:rsid w:val="00121A7D"/>
    <w:rsid w:val="00121C6D"/>
    <w:rsid w:val="00121D3B"/>
    <w:rsid w:val="001220BB"/>
    <w:rsid w:val="00122156"/>
    <w:rsid w:val="00122809"/>
    <w:rsid w:val="00123546"/>
    <w:rsid w:val="001239D5"/>
    <w:rsid w:val="00123A65"/>
    <w:rsid w:val="00123AAC"/>
    <w:rsid w:val="00123DA0"/>
    <w:rsid w:val="00123E4D"/>
    <w:rsid w:val="00123F8E"/>
    <w:rsid w:val="001243C1"/>
    <w:rsid w:val="001243FF"/>
    <w:rsid w:val="00124505"/>
    <w:rsid w:val="001248E9"/>
    <w:rsid w:val="00124A3E"/>
    <w:rsid w:val="00124A5B"/>
    <w:rsid w:val="00124A8D"/>
    <w:rsid w:val="0012567F"/>
    <w:rsid w:val="001257A9"/>
    <w:rsid w:val="00125966"/>
    <w:rsid w:val="00125BCD"/>
    <w:rsid w:val="00125F06"/>
    <w:rsid w:val="0012691E"/>
    <w:rsid w:val="001269AB"/>
    <w:rsid w:val="00126B54"/>
    <w:rsid w:val="00126C0F"/>
    <w:rsid w:val="00126DA1"/>
    <w:rsid w:val="001274A5"/>
    <w:rsid w:val="00127580"/>
    <w:rsid w:val="0012765D"/>
    <w:rsid w:val="001279BE"/>
    <w:rsid w:val="00127FE4"/>
    <w:rsid w:val="00130406"/>
    <w:rsid w:val="001305A8"/>
    <w:rsid w:val="00130A39"/>
    <w:rsid w:val="00130C0C"/>
    <w:rsid w:val="00130CE9"/>
    <w:rsid w:val="00130F1A"/>
    <w:rsid w:val="0013121B"/>
    <w:rsid w:val="001313DC"/>
    <w:rsid w:val="001316B2"/>
    <w:rsid w:val="00131BA8"/>
    <w:rsid w:val="00131D20"/>
    <w:rsid w:val="00131D8B"/>
    <w:rsid w:val="00131E90"/>
    <w:rsid w:val="0013202F"/>
    <w:rsid w:val="001321ED"/>
    <w:rsid w:val="00132219"/>
    <w:rsid w:val="0013228A"/>
    <w:rsid w:val="001326A6"/>
    <w:rsid w:val="001328D3"/>
    <w:rsid w:val="00132A21"/>
    <w:rsid w:val="00133152"/>
    <w:rsid w:val="001331F6"/>
    <w:rsid w:val="00133287"/>
    <w:rsid w:val="00133878"/>
    <w:rsid w:val="00133B72"/>
    <w:rsid w:val="00133C1D"/>
    <w:rsid w:val="0013403E"/>
    <w:rsid w:val="0013447A"/>
    <w:rsid w:val="00134519"/>
    <w:rsid w:val="00134D09"/>
    <w:rsid w:val="0013515A"/>
    <w:rsid w:val="00135380"/>
    <w:rsid w:val="001355C2"/>
    <w:rsid w:val="001359F8"/>
    <w:rsid w:val="00135FB8"/>
    <w:rsid w:val="00135FE5"/>
    <w:rsid w:val="00136037"/>
    <w:rsid w:val="0013643C"/>
    <w:rsid w:val="00136584"/>
    <w:rsid w:val="001366BE"/>
    <w:rsid w:val="00136A4D"/>
    <w:rsid w:val="00136A92"/>
    <w:rsid w:val="00136C0E"/>
    <w:rsid w:val="00136C8E"/>
    <w:rsid w:val="00137AA3"/>
    <w:rsid w:val="00137C6B"/>
    <w:rsid w:val="00137D55"/>
    <w:rsid w:val="00137D6D"/>
    <w:rsid w:val="001400F4"/>
    <w:rsid w:val="00140302"/>
    <w:rsid w:val="0014064C"/>
    <w:rsid w:val="00140962"/>
    <w:rsid w:val="00140A6B"/>
    <w:rsid w:val="00140B4B"/>
    <w:rsid w:val="00140DFD"/>
    <w:rsid w:val="00141051"/>
    <w:rsid w:val="00141366"/>
    <w:rsid w:val="00141398"/>
    <w:rsid w:val="001418C4"/>
    <w:rsid w:val="001426F3"/>
    <w:rsid w:val="001428C1"/>
    <w:rsid w:val="00142BBE"/>
    <w:rsid w:val="00142FCA"/>
    <w:rsid w:val="00143688"/>
    <w:rsid w:val="00143977"/>
    <w:rsid w:val="00143A1B"/>
    <w:rsid w:val="00143F0B"/>
    <w:rsid w:val="0014491F"/>
    <w:rsid w:val="00144C71"/>
    <w:rsid w:val="00144E3C"/>
    <w:rsid w:val="00145067"/>
    <w:rsid w:val="001450A2"/>
    <w:rsid w:val="0014550E"/>
    <w:rsid w:val="001455F6"/>
    <w:rsid w:val="001456DF"/>
    <w:rsid w:val="001457F1"/>
    <w:rsid w:val="00145B4B"/>
    <w:rsid w:val="0014629A"/>
    <w:rsid w:val="001466CC"/>
    <w:rsid w:val="00146800"/>
    <w:rsid w:val="00146B26"/>
    <w:rsid w:val="00146FD1"/>
    <w:rsid w:val="00147008"/>
    <w:rsid w:val="001473F6"/>
    <w:rsid w:val="00147734"/>
    <w:rsid w:val="00147919"/>
    <w:rsid w:val="00147929"/>
    <w:rsid w:val="001479F4"/>
    <w:rsid w:val="00147AEE"/>
    <w:rsid w:val="00147D6B"/>
    <w:rsid w:val="00147E85"/>
    <w:rsid w:val="00147F7A"/>
    <w:rsid w:val="00150B9A"/>
    <w:rsid w:val="00151010"/>
    <w:rsid w:val="00151129"/>
    <w:rsid w:val="001511B6"/>
    <w:rsid w:val="00151216"/>
    <w:rsid w:val="00151340"/>
    <w:rsid w:val="0015171F"/>
    <w:rsid w:val="00151987"/>
    <w:rsid w:val="00151E1F"/>
    <w:rsid w:val="001523AE"/>
    <w:rsid w:val="00152E5C"/>
    <w:rsid w:val="00152F17"/>
    <w:rsid w:val="0015317D"/>
    <w:rsid w:val="001531EC"/>
    <w:rsid w:val="0015371F"/>
    <w:rsid w:val="00153ABE"/>
    <w:rsid w:val="00153B3F"/>
    <w:rsid w:val="00153B51"/>
    <w:rsid w:val="00153C00"/>
    <w:rsid w:val="00153D02"/>
    <w:rsid w:val="00153E46"/>
    <w:rsid w:val="00154045"/>
    <w:rsid w:val="00154D5D"/>
    <w:rsid w:val="00154D7D"/>
    <w:rsid w:val="001555DF"/>
    <w:rsid w:val="00155600"/>
    <w:rsid w:val="00155758"/>
    <w:rsid w:val="001557BC"/>
    <w:rsid w:val="0015597F"/>
    <w:rsid w:val="00155A3B"/>
    <w:rsid w:val="0015603A"/>
    <w:rsid w:val="00156479"/>
    <w:rsid w:val="00156CD6"/>
    <w:rsid w:val="00156D34"/>
    <w:rsid w:val="00156F14"/>
    <w:rsid w:val="001570FB"/>
    <w:rsid w:val="001571BE"/>
    <w:rsid w:val="001571C0"/>
    <w:rsid w:val="001571CC"/>
    <w:rsid w:val="00157963"/>
    <w:rsid w:val="00157981"/>
    <w:rsid w:val="00157A0B"/>
    <w:rsid w:val="00157B6E"/>
    <w:rsid w:val="00157DCE"/>
    <w:rsid w:val="001600E3"/>
    <w:rsid w:val="00160261"/>
    <w:rsid w:val="00160439"/>
    <w:rsid w:val="00160446"/>
    <w:rsid w:val="00160843"/>
    <w:rsid w:val="00160B24"/>
    <w:rsid w:val="00160E49"/>
    <w:rsid w:val="00160ECD"/>
    <w:rsid w:val="00161259"/>
    <w:rsid w:val="00161363"/>
    <w:rsid w:val="00161989"/>
    <w:rsid w:val="00161C7C"/>
    <w:rsid w:val="00161DBB"/>
    <w:rsid w:val="001622F2"/>
    <w:rsid w:val="001626F9"/>
    <w:rsid w:val="0016276B"/>
    <w:rsid w:val="001628D5"/>
    <w:rsid w:val="0016295B"/>
    <w:rsid w:val="00162E05"/>
    <w:rsid w:val="00162E15"/>
    <w:rsid w:val="00163053"/>
    <w:rsid w:val="001634C0"/>
    <w:rsid w:val="00163BFB"/>
    <w:rsid w:val="00163E1A"/>
    <w:rsid w:val="001644F5"/>
    <w:rsid w:val="0016455E"/>
    <w:rsid w:val="00164816"/>
    <w:rsid w:val="00164B58"/>
    <w:rsid w:val="0016533D"/>
    <w:rsid w:val="00165667"/>
    <w:rsid w:val="00165A9C"/>
    <w:rsid w:val="00165BAF"/>
    <w:rsid w:val="00165C74"/>
    <w:rsid w:val="00165E97"/>
    <w:rsid w:val="0016637A"/>
    <w:rsid w:val="0016672C"/>
    <w:rsid w:val="00166D7D"/>
    <w:rsid w:val="001673A9"/>
    <w:rsid w:val="00167568"/>
    <w:rsid w:val="001679D1"/>
    <w:rsid w:val="00167A06"/>
    <w:rsid w:val="00167FA6"/>
    <w:rsid w:val="00170448"/>
    <w:rsid w:val="00170D07"/>
    <w:rsid w:val="00170D62"/>
    <w:rsid w:val="00170E86"/>
    <w:rsid w:val="00170EB7"/>
    <w:rsid w:val="00170FD5"/>
    <w:rsid w:val="001710A7"/>
    <w:rsid w:val="0017116C"/>
    <w:rsid w:val="001712B6"/>
    <w:rsid w:val="001712D4"/>
    <w:rsid w:val="0017136F"/>
    <w:rsid w:val="0017169D"/>
    <w:rsid w:val="00171BB2"/>
    <w:rsid w:val="0017229E"/>
    <w:rsid w:val="001723AD"/>
    <w:rsid w:val="0017243A"/>
    <w:rsid w:val="00172809"/>
    <w:rsid w:val="00172DDB"/>
    <w:rsid w:val="0017302A"/>
    <w:rsid w:val="001730BE"/>
    <w:rsid w:val="00173360"/>
    <w:rsid w:val="001734F0"/>
    <w:rsid w:val="001739D7"/>
    <w:rsid w:val="001739E1"/>
    <w:rsid w:val="0017481D"/>
    <w:rsid w:val="00174B7D"/>
    <w:rsid w:val="00174C5E"/>
    <w:rsid w:val="00174C91"/>
    <w:rsid w:val="00174D61"/>
    <w:rsid w:val="00174F46"/>
    <w:rsid w:val="00174FB9"/>
    <w:rsid w:val="001751C3"/>
    <w:rsid w:val="00175587"/>
    <w:rsid w:val="0017598C"/>
    <w:rsid w:val="00175A2D"/>
    <w:rsid w:val="0017658D"/>
    <w:rsid w:val="00176740"/>
    <w:rsid w:val="0017675C"/>
    <w:rsid w:val="0017697C"/>
    <w:rsid w:val="00177370"/>
    <w:rsid w:val="0017799B"/>
    <w:rsid w:val="00177AAF"/>
    <w:rsid w:val="00177E04"/>
    <w:rsid w:val="00180327"/>
    <w:rsid w:val="00180346"/>
    <w:rsid w:val="0018046D"/>
    <w:rsid w:val="0018049D"/>
    <w:rsid w:val="001804D5"/>
    <w:rsid w:val="00180851"/>
    <w:rsid w:val="00180C00"/>
    <w:rsid w:val="00180C46"/>
    <w:rsid w:val="00180FE6"/>
    <w:rsid w:val="001812DD"/>
    <w:rsid w:val="00181337"/>
    <w:rsid w:val="0018139D"/>
    <w:rsid w:val="0018152E"/>
    <w:rsid w:val="001818E8"/>
    <w:rsid w:val="001819CE"/>
    <w:rsid w:val="001819DF"/>
    <w:rsid w:val="0018219D"/>
    <w:rsid w:val="0018279E"/>
    <w:rsid w:val="001827B6"/>
    <w:rsid w:val="00182F60"/>
    <w:rsid w:val="00183739"/>
    <w:rsid w:val="00183775"/>
    <w:rsid w:val="00183A91"/>
    <w:rsid w:val="00183B00"/>
    <w:rsid w:val="00183B40"/>
    <w:rsid w:val="00184379"/>
    <w:rsid w:val="00184496"/>
    <w:rsid w:val="001846DE"/>
    <w:rsid w:val="00184862"/>
    <w:rsid w:val="00184A0B"/>
    <w:rsid w:val="00184A69"/>
    <w:rsid w:val="0018503F"/>
    <w:rsid w:val="00185604"/>
    <w:rsid w:val="00185616"/>
    <w:rsid w:val="001857B3"/>
    <w:rsid w:val="00185ABE"/>
    <w:rsid w:val="00185C79"/>
    <w:rsid w:val="0018648D"/>
    <w:rsid w:val="001865F2"/>
    <w:rsid w:val="00186868"/>
    <w:rsid w:val="00186AEC"/>
    <w:rsid w:val="00186B35"/>
    <w:rsid w:val="00186BD3"/>
    <w:rsid w:val="00187185"/>
    <w:rsid w:val="00187281"/>
    <w:rsid w:val="00187618"/>
    <w:rsid w:val="0018761A"/>
    <w:rsid w:val="001878AC"/>
    <w:rsid w:val="001878E1"/>
    <w:rsid w:val="00187A35"/>
    <w:rsid w:val="00190085"/>
    <w:rsid w:val="0019023A"/>
    <w:rsid w:val="001902CE"/>
    <w:rsid w:val="001904B8"/>
    <w:rsid w:val="00190639"/>
    <w:rsid w:val="001906E8"/>
    <w:rsid w:val="00190CA6"/>
    <w:rsid w:val="001915F8"/>
    <w:rsid w:val="001916C9"/>
    <w:rsid w:val="00191B5C"/>
    <w:rsid w:val="001921F8"/>
    <w:rsid w:val="00192377"/>
    <w:rsid w:val="00192598"/>
    <w:rsid w:val="0019277E"/>
    <w:rsid w:val="001928BC"/>
    <w:rsid w:val="001928C4"/>
    <w:rsid w:val="001929F0"/>
    <w:rsid w:val="00192ABC"/>
    <w:rsid w:val="00192FD1"/>
    <w:rsid w:val="0019301F"/>
    <w:rsid w:val="00193021"/>
    <w:rsid w:val="00193347"/>
    <w:rsid w:val="0019367F"/>
    <w:rsid w:val="00193937"/>
    <w:rsid w:val="00193FEB"/>
    <w:rsid w:val="00194030"/>
    <w:rsid w:val="00194461"/>
    <w:rsid w:val="0019481D"/>
    <w:rsid w:val="0019507D"/>
    <w:rsid w:val="001950CD"/>
    <w:rsid w:val="001954BD"/>
    <w:rsid w:val="00196020"/>
    <w:rsid w:val="001962C6"/>
    <w:rsid w:val="0019635F"/>
    <w:rsid w:val="0019665C"/>
    <w:rsid w:val="00196A1F"/>
    <w:rsid w:val="00196A55"/>
    <w:rsid w:val="00196A6B"/>
    <w:rsid w:val="00196E65"/>
    <w:rsid w:val="00196E6F"/>
    <w:rsid w:val="00197186"/>
    <w:rsid w:val="0019756E"/>
    <w:rsid w:val="001976A8"/>
    <w:rsid w:val="00197700"/>
    <w:rsid w:val="001A01A0"/>
    <w:rsid w:val="001A04F5"/>
    <w:rsid w:val="001A0631"/>
    <w:rsid w:val="001A0941"/>
    <w:rsid w:val="001A0C29"/>
    <w:rsid w:val="001A0C6D"/>
    <w:rsid w:val="001A1067"/>
    <w:rsid w:val="001A11D7"/>
    <w:rsid w:val="001A1336"/>
    <w:rsid w:val="001A1827"/>
    <w:rsid w:val="001A18F5"/>
    <w:rsid w:val="001A1A08"/>
    <w:rsid w:val="001A1A6D"/>
    <w:rsid w:val="001A1C2E"/>
    <w:rsid w:val="001A1DD2"/>
    <w:rsid w:val="001A213A"/>
    <w:rsid w:val="001A2197"/>
    <w:rsid w:val="001A2763"/>
    <w:rsid w:val="001A27D7"/>
    <w:rsid w:val="001A2B87"/>
    <w:rsid w:val="001A2BCD"/>
    <w:rsid w:val="001A2F38"/>
    <w:rsid w:val="001A31E3"/>
    <w:rsid w:val="001A35BD"/>
    <w:rsid w:val="001A3BA5"/>
    <w:rsid w:val="001A3EA6"/>
    <w:rsid w:val="001A3FDF"/>
    <w:rsid w:val="001A3FE0"/>
    <w:rsid w:val="001A4219"/>
    <w:rsid w:val="001A42C9"/>
    <w:rsid w:val="001A4572"/>
    <w:rsid w:val="001A45B6"/>
    <w:rsid w:val="001A4759"/>
    <w:rsid w:val="001A48B2"/>
    <w:rsid w:val="001A4F55"/>
    <w:rsid w:val="001A520D"/>
    <w:rsid w:val="001A543C"/>
    <w:rsid w:val="001A55A8"/>
    <w:rsid w:val="001A59A6"/>
    <w:rsid w:val="001A5BA7"/>
    <w:rsid w:val="001A603E"/>
    <w:rsid w:val="001A6421"/>
    <w:rsid w:val="001A68EA"/>
    <w:rsid w:val="001A693B"/>
    <w:rsid w:val="001A6A7F"/>
    <w:rsid w:val="001A6A9E"/>
    <w:rsid w:val="001A6CA1"/>
    <w:rsid w:val="001A6EE4"/>
    <w:rsid w:val="001A732E"/>
    <w:rsid w:val="001A766A"/>
    <w:rsid w:val="001A7996"/>
    <w:rsid w:val="001B0791"/>
    <w:rsid w:val="001B0F14"/>
    <w:rsid w:val="001B10A7"/>
    <w:rsid w:val="001B10EC"/>
    <w:rsid w:val="001B1439"/>
    <w:rsid w:val="001B1463"/>
    <w:rsid w:val="001B1674"/>
    <w:rsid w:val="001B189B"/>
    <w:rsid w:val="001B1D88"/>
    <w:rsid w:val="001B1DF1"/>
    <w:rsid w:val="001B1E9B"/>
    <w:rsid w:val="001B1EBF"/>
    <w:rsid w:val="001B23F0"/>
    <w:rsid w:val="001B25F0"/>
    <w:rsid w:val="001B2623"/>
    <w:rsid w:val="001B2718"/>
    <w:rsid w:val="001B2A51"/>
    <w:rsid w:val="001B2BCF"/>
    <w:rsid w:val="001B2C19"/>
    <w:rsid w:val="001B2C2B"/>
    <w:rsid w:val="001B38FF"/>
    <w:rsid w:val="001B3C41"/>
    <w:rsid w:val="001B3D57"/>
    <w:rsid w:val="001B4425"/>
    <w:rsid w:val="001B46CA"/>
    <w:rsid w:val="001B4864"/>
    <w:rsid w:val="001B49A5"/>
    <w:rsid w:val="001B4D1A"/>
    <w:rsid w:val="001B4E86"/>
    <w:rsid w:val="001B4F28"/>
    <w:rsid w:val="001B4F62"/>
    <w:rsid w:val="001B5009"/>
    <w:rsid w:val="001B50C3"/>
    <w:rsid w:val="001B5158"/>
    <w:rsid w:val="001B550E"/>
    <w:rsid w:val="001B55A8"/>
    <w:rsid w:val="001B5940"/>
    <w:rsid w:val="001B5D0A"/>
    <w:rsid w:val="001B5D62"/>
    <w:rsid w:val="001B60AC"/>
    <w:rsid w:val="001B60E6"/>
    <w:rsid w:val="001B6161"/>
    <w:rsid w:val="001B6165"/>
    <w:rsid w:val="001B643B"/>
    <w:rsid w:val="001B6485"/>
    <w:rsid w:val="001B65F8"/>
    <w:rsid w:val="001B6687"/>
    <w:rsid w:val="001B6F50"/>
    <w:rsid w:val="001B727E"/>
    <w:rsid w:val="001B7799"/>
    <w:rsid w:val="001B7B48"/>
    <w:rsid w:val="001B7EC1"/>
    <w:rsid w:val="001C0312"/>
    <w:rsid w:val="001C0612"/>
    <w:rsid w:val="001C0D24"/>
    <w:rsid w:val="001C1126"/>
    <w:rsid w:val="001C11A8"/>
    <w:rsid w:val="001C1A76"/>
    <w:rsid w:val="001C1CD0"/>
    <w:rsid w:val="001C20FC"/>
    <w:rsid w:val="001C26CA"/>
    <w:rsid w:val="001C2716"/>
    <w:rsid w:val="001C2970"/>
    <w:rsid w:val="001C2AD9"/>
    <w:rsid w:val="001C2C11"/>
    <w:rsid w:val="001C304F"/>
    <w:rsid w:val="001C3082"/>
    <w:rsid w:val="001C30B5"/>
    <w:rsid w:val="001C3103"/>
    <w:rsid w:val="001C32C4"/>
    <w:rsid w:val="001C33AE"/>
    <w:rsid w:val="001C3456"/>
    <w:rsid w:val="001C38F1"/>
    <w:rsid w:val="001C3A2B"/>
    <w:rsid w:val="001C3C89"/>
    <w:rsid w:val="001C417C"/>
    <w:rsid w:val="001C421B"/>
    <w:rsid w:val="001C4530"/>
    <w:rsid w:val="001C4744"/>
    <w:rsid w:val="001C4E04"/>
    <w:rsid w:val="001C4F5B"/>
    <w:rsid w:val="001C4FE4"/>
    <w:rsid w:val="001C5187"/>
    <w:rsid w:val="001C5759"/>
    <w:rsid w:val="001C5E59"/>
    <w:rsid w:val="001C65BC"/>
    <w:rsid w:val="001C6729"/>
    <w:rsid w:val="001C67A1"/>
    <w:rsid w:val="001C689D"/>
    <w:rsid w:val="001C6F3C"/>
    <w:rsid w:val="001C728F"/>
    <w:rsid w:val="001C735A"/>
    <w:rsid w:val="001C7458"/>
    <w:rsid w:val="001C781E"/>
    <w:rsid w:val="001C7D86"/>
    <w:rsid w:val="001C7DEF"/>
    <w:rsid w:val="001D022A"/>
    <w:rsid w:val="001D0596"/>
    <w:rsid w:val="001D0870"/>
    <w:rsid w:val="001D0A99"/>
    <w:rsid w:val="001D0CFF"/>
    <w:rsid w:val="001D0EC0"/>
    <w:rsid w:val="001D12EE"/>
    <w:rsid w:val="001D1A6C"/>
    <w:rsid w:val="001D21E5"/>
    <w:rsid w:val="001D2306"/>
    <w:rsid w:val="001D242A"/>
    <w:rsid w:val="001D254E"/>
    <w:rsid w:val="001D2611"/>
    <w:rsid w:val="001D2779"/>
    <w:rsid w:val="001D2B7C"/>
    <w:rsid w:val="001D2BE7"/>
    <w:rsid w:val="001D2C3C"/>
    <w:rsid w:val="001D2D6F"/>
    <w:rsid w:val="001D30E9"/>
    <w:rsid w:val="001D3258"/>
    <w:rsid w:val="001D3DF0"/>
    <w:rsid w:val="001D469F"/>
    <w:rsid w:val="001D4776"/>
    <w:rsid w:val="001D48D3"/>
    <w:rsid w:val="001D4C71"/>
    <w:rsid w:val="001D4F3C"/>
    <w:rsid w:val="001D5099"/>
    <w:rsid w:val="001D5196"/>
    <w:rsid w:val="001D55DD"/>
    <w:rsid w:val="001D585D"/>
    <w:rsid w:val="001D58BF"/>
    <w:rsid w:val="001D5AFE"/>
    <w:rsid w:val="001D5E5E"/>
    <w:rsid w:val="001D5F1B"/>
    <w:rsid w:val="001D60B4"/>
    <w:rsid w:val="001D61E2"/>
    <w:rsid w:val="001D643A"/>
    <w:rsid w:val="001D6A7F"/>
    <w:rsid w:val="001D6FD7"/>
    <w:rsid w:val="001D70A1"/>
    <w:rsid w:val="001D7469"/>
    <w:rsid w:val="001D7648"/>
    <w:rsid w:val="001D777D"/>
    <w:rsid w:val="001D79F7"/>
    <w:rsid w:val="001D79FD"/>
    <w:rsid w:val="001E022E"/>
    <w:rsid w:val="001E02D5"/>
    <w:rsid w:val="001E0436"/>
    <w:rsid w:val="001E062C"/>
    <w:rsid w:val="001E0681"/>
    <w:rsid w:val="001E0983"/>
    <w:rsid w:val="001E0B6B"/>
    <w:rsid w:val="001E139C"/>
    <w:rsid w:val="001E16EE"/>
    <w:rsid w:val="001E1BEE"/>
    <w:rsid w:val="001E1D30"/>
    <w:rsid w:val="001E1D33"/>
    <w:rsid w:val="001E1ECB"/>
    <w:rsid w:val="001E1FE1"/>
    <w:rsid w:val="001E20FD"/>
    <w:rsid w:val="001E23EC"/>
    <w:rsid w:val="001E2412"/>
    <w:rsid w:val="001E2B34"/>
    <w:rsid w:val="001E2F44"/>
    <w:rsid w:val="001E3108"/>
    <w:rsid w:val="001E31C6"/>
    <w:rsid w:val="001E32FA"/>
    <w:rsid w:val="001E3B91"/>
    <w:rsid w:val="001E4179"/>
    <w:rsid w:val="001E4363"/>
    <w:rsid w:val="001E4388"/>
    <w:rsid w:val="001E44EB"/>
    <w:rsid w:val="001E456B"/>
    <w:rsid w:val="001E491B"/>
    <w:rsid w:val="001E4967"/>
    <w:rsid w:val="001E4CC6"/>
    <w:rsid w:val="001E504E"/>
    <w:rsid w:val="001E50F8"/>
    <w:rsid w:val="001E511A"/>
    <w:rsid w:val="001E51BC"/>
    <w:rsid w:val="001E52E7"/>
    <w:rsid w:val="001E5EB6"/>
    <w:rsid w:val="001E6442"/>
    <w:rsid w:val="001E64F6"/>
    <w:rsid w:val="001E65C5"/>
    <w:rsid w:val="001E6D2F"/>
    <w:rsid w:val="001E6D74"/>
    <w:rsid w:val="001E74DC"/>
    <w:rsid w:val="001E75C1"/>
    <w:rsid w:val="001E7A66"/>
    <w:rsid w:val="001F020B"/>
    <w:rsid w:val="001F0254"/>
    <w:rsid w:val="001F02A2"/>
    <w:rsid w:val="001F0807"/>
    <w:rsid w:val="001F0A71"/>
    <w:rsid w:val="001F0AC7"/>
    <w:rsid w:val="001F1274"/>
    <w:rsid w:val="001F15FA"/>
    <w:rsid w:val="001F1777"/>
    <w:rsid w:val="001F1BCB"/>
    <w:rsid w:val="001F1C2E"/>
    <w:rsid w:val="001F1E57"/>
    <w:rsid w:val="001F1ECD"/>
    <w:rsid w:val="001F20D8"/>
    <w:rsid w:val="001F2293"/>
    <w:rsid w:val="001F2646"/>
    <w:rsid w:val="001F27A7"/>
    <w:rsid w:val="001F287B"/>
    <w:rsid w:val="001F34BA"/>
    <w:rsid w:val="001F3B86"/>
    <w:rsid w:val="001F41F8"/>
    <w:rsid w:val="001F4346"/>
    <w:rsid w:val="001F4409"/>
    <w:rsid w:val="001F4AAE"/>
    <w:rsid w:val="001F4D9B"/>
    <w:rsid w:val="001F4DAB"/>
    <w:rsid w:val="001F4E25"/>
    <w:rsid w:val="001F4FB9"/>
    <w:rsid w:val="001F54CC"/>
    <w:rsid w:val="001F55CE"/>
    <w:rsid w:val="001F57EF"/>
    <w:rsid w:val="001F5A1C"/>
    <w:rsid w:val="001F5CF4"/>
    <w:rsid w:val="001F624B"/>
    <w:rsid w:val="001F628A"/>
    <w:rsid w:val="001F6332"/>
    <w:rsid w:val="001F64A2"/>
    <w:rsid w:val="001F6751"/>
    <w:rsid w:val="001F7159"/>
    <w:rsid w:val="001F71A4"/>
    <w:rsid w:val="001F728A"/>
    <w:rsid w:val="001F7335"/>
    <w:rsid w:val="001F7503"/>
    <w:rsid w:val="001F75C5"/>
    <w:rsid w:val="001F7768"/>
    <w:rsid w:val="001F79CE"/>
    <w:rsid w:val="001F7DC9"/>
    <w:rsid w:val="002001CD"/>
    <w:rsid w:val="00200410"/>
    <w:rsid w:val="002005B8"/>
    <w:rsid w:val="0020075C"/>
    <w:rsid w:val="00200805"/>
    <w:rsid w:val="002009F8"/>
    <w:rsid w:val="00200ADD"/>
    <w:rsid w:val="00200D01"/>
    <w:rsid w:val="002010E8"/>
    <w:rsid w:val="00201106"/>
    <w:rsid w:val="0020155F"/>
    <w:rsid w:val="00201610"/>
    <w:rsid w:val="00201E96"/>
    <w:rsid w:val="00202017"/>
    <w:rsid w:val="002020CF"/>
    <w:rsid w:val="00202996"/>
    <w:rsid w:val="002029B4"/>
    <w:rsid w:val="00202B70"/>
    <w:rsid w:val="00202C09"/>
    <w:rsid w:val="00202C30"/>
    <w:rsid w:val="00202C9A"/>
    <w:rsid w:val="00202F2A"/>
    <w:rsid w:val="00203657"/>
    <w:rsid w:val="00203965"/>
    <w:rsid w:val="00203B4E"/>
    <w:rsid w:val="00203C68"/>
    <w:rsid w:val="00203E7D"/>
    <w:rsid w:val="00204027"/>
    <w:rsid w:val="00204112"/>
    <w:rsid w:val="00204335"/>
    <w:rsid w:val="002043C9"/>
    <w:rsid w:val="00204421"/>
    <w:rsid w:val="002045D1"/>
    <w:rsid w:val="00204676"/>
    <w:rsid w:val="00204977"/>
    <w:rsid w:val="002049CF"/>
    <w:rsid w:val="00204B90"/>
    <w:rsid w:val="00204EDB"/>
    <w:rsid w:val="002051CD"/>
    <w:rsid w:val="002052D4"/>
    <w:rsid w:val="0020530E"/>
    <w:rsid w:val="0020562A"/>
    <w:rsid w:val="002058CE"/>
    <w:rsid w:val="00205B5F"/>
    <w:rsid w:val="00205D46"/>
    <w:rsid w:val="00206086"/>
    <w:rsid w:val="002061B8"/>
    <w:rsid w:val="002062A8"/>
    <w:rsid w:val="00206381"/>
    <w:rsid w:val="00206419"/>
    <w:rsid w:val="0020653A"/>
    <w:rsid w:val="0020692D"/>
    <w:rsid w:val="00206C6D"/>
    <w:rsid w:val="00206E10"/>
    <w:rsid w:val="00206F0F"/>
    <w:rsid w:val="00207154"/>
    <w:rsid w:val="00207598"/>
    <w:rsid w:val="00207717"/>
    <w:rsid w:val="00207C4D"/>
    <w:rsid w:val="00207D23"/>
    <w:rsid w:val="002100DA"/>
    <w:rsid w:val="002101A9"/>
    <w:rsid w:val="0021068D"/>
    <w:rsid w:val="00210731"/>
    <w:rsid w:val="00210E06"/>
    <w:rsid w:val="002114F1"/>
    <w:rsid w:val="00211D73"/>
    <w:rsid w:val="00211E1B"/>
    <w:rsid w:val="00211F03"/>
    <w:rsid w:val="00211F57"/>
    <w:rsid w:val="00212281"/>
    <w:rsid w:val="002124AF"/>
    <w:rsid w:val="00212682"/>
    <w:rsid w:val="00212CF2"/>
    <w:rsid w:val="00212ED4"/>
    <w:rsid w:val="00212F95"/>
    <w:rsid w:val="00212FF5"/>
    <w:rsid w:val="00213015"/>
    <w:rsid w:val="00213044"/>
    <w:rsid w:val="002131AD"/>
    <w:rsid w:val="0021320B"/>
    <w:rsid w:val="00213330"/>
    <w:rsid w:val="002134AD"/>
    <w:rsid w:val="0021389B"/>
    <w:rsid w:val="00213C01"/>
    <w:rsid w:val="00213D57"/>
    <w:rsid w:val="002147D6"/>
    <w:rsid w:val="00214B0C"/>
    <w:rsid w:val="00214B93"/>
    <w:rsid w:val="00214C04"/>
    <w:rsid w:val="00214D2C"/>
    <w:rsid w:val="002150C3"/>
    <w:rsid w:val="0021521E"/>
    <w:rsid w:val="00215499"/>
    <w:rsid w:val="002155A0"/>
    <w:rsid w:val="00215866"/>
    <w:rsid w:val="00215A42"/>
    <w:rsid w:val="00215BC1"/>
    <w:rsid w:val="00215DCE"/>
    <w:rsid w:val="0021603E"/>
    <w:rsid w:val="002160B8"/>
    <w:rsid w:val="0021614E"/>
    <w:rsid w:val="00216165"/>
    <w:rsid w:val="00216295"/>
    <w:rsid w:val="002164B8"/>
    <w:rsid w:val="002164CD"/>
    <w:rsid w:val="00216AD7"/>
    <w:rsid w:val="00216DD4"/>
    <w:rsid w:val="002176E2"/>
    <w:rsid w:val="00217C41"/>
    <w:rsid w:val="00217C98"/>
    <w:rsid w:val="00217CED"/>
    <w:rsid w:val="00217F28"/>
    <w:rsid w:val="00220206"/>
    <w:rsid w:val="002202B8"/>
    <w:rsid w:val="0022089B"/>
    <w:rsid w:val="00220A47"/>
    <w:rsid w:val="00220B88"/>
    <w:rsid w:val="00221019"/>
    <w:rsid w:val="00221035"/>
    <w:rsid w:val="002213C4"/>
    <w:rsid w:val="0022146C"/>
    <w:rsid w:val="00221E16"/>
    <w:rsid w:val="00221EA3"/>
    <w:rsid w:val="00222127"/>
    <w:rsid w:val="002226E2"/>
    <w:rsid w:val="00222D54"/>
    <w:rsid w:val="00222FF5"/>
    <w:rsid w:val="00223582"/>
    <w:rsid w:val="0022368D"/>
    <w:rsid w:val="002236AA"/>
    <w:rsid w:val="002239DD"/>
    <w:rsid w:val="00223B61"/>
    <w:rsid w:val="00223BFB"/>
    <w:rsid w:val="00223C3D"/>
    <w:rsid w:val="00223DAB"/>
    <w:rsid w:val="002241E3"/>
    <w:rsid w:val="0022487B"/>
    <w:rsid w:val="00224B94"/>
    <w:rsid w:val="00224D11"/>
    <w:rsid w:val="00225080"/>
    <w:rsid w:val="0022582E"/>
    <w:rsid w:val="00225977"/>
    <w:rsid w:val="00225A2A"/>
    <w:rsid w:val="00225AF0"/>
    <w:rsid w:val="00225B7A"/>
    <w:rsid w:val="00225CCD"/>
    <w:rsid w:val="00225E43"/>
    <w:rsid w:val="00225F41"/>
    <w:rsid w:val="00226632"/>
    <w:rsid w:val="00226AC5"/>
    <w:rsid w:val="00226B1F"/>
    <w:rsid w:val="00226C43"/>
    <w:rsid w:val="00226FAD"/>
    <w:rsid w:val="002273BD"/>
    <w:rsid w:val="00227533"/>
    <w:rsid w:val="00227537"/>
    <w:rsid w:val="002276D3"/>
    <w:rsid w:val="00227851"/>
    <w:rsid w:val="0022790C"/>
    <w:rsid w:val="00227931"/>
    <w:rsid w:val="002279F6"/>
    <w:rsid w:val="00227A18"/>
    <w:rsid w:val="00227FE7"/>
    <w:rsid w:val="002302C3"/>
    <w:rsid w:val="002307E0"/>
    <w:rsid w:val="00230C96"/>
    <w:rsid w:val="00230D10"/>
    <w:rsid w:val="00231547"/>
    <w:rsid w:val="0023163F"/>
    <w:rsid w:val="00231812"/>
    <w:rsid w:val="002318C6"/>
    <w:rsid w:val="00231C64"/>
    <w:rsid w:val="00231DF5"/>
    <w:rsid w:val="00231E7C"/>
    <w:rsid w:val="00232064"/>
    <w:rsid w:val="002324C2"/>
    <w:rsid w:val="00232663"/>
    <w:rsid w:val="00232D03"/>
    <w:rsid w:val="00232E2F"/>
    <w:rsid w:val="00232FFB"/>
    <w:rsid w:val="00233262"/>
    <w:rsid w:val="002332D0"/>
    <w:rsid w:val="00233B02"/>
    <w:rsid w:val="00233BA8"/>
    <w:rsid w:val="0023418B"/>
    <w:rsid w:val="002343B7"/>
    <w:rsid w:val="002343E2"/>
    <w:rsid w:val="00234552"/>
    <w:rsid w:val="00234970"/>
    <w:rsid w:val="002349B2"/>
    <w:rsid w:val="002349BB"/>
    <w:rsid w:val="00234D6D"/>
    <w:rsid w:val="00234E9B"/>
    <w:rsid w:val="0023511C"/>
    <w:rsid w:val="002352FB"/>
    <w:rsid w:val="00235E7C"/>
    <w:rsid w:val="00236091"/>
    <w:rsid w:val="0023640A"/>
    <w:rsid w:val="00236487"/>
    <w:rsid w:val="002364E3"/>
    <w:rsid w:val="00236713"/>
    <w:rsid w:val="00236CC8"/>
    <w:rsid w:val="00236CED"/>
    <w:rsid w:val="00236DE4"/>
    <w:rsid w:val="002370CC"/>
    <w:rsid w:val="0023727C"/>
    <w:rsid w:val="00237463"/>
    <w:rsid w:val="00237571"/>
    <w:rsid w:val="00237687"/>
    <w:rsid w:val="00237756"/>
    <w:rsid w:val="00237CF4"/>
    <w:rsid w:val="00240CEB"/>
    <w:rsid w:val="00240DD1"/>
    <w:rsid w:val="0024108D"/>
    <w:rsid w:val="00241092"/>
    <w:rsid w:val="0024122B"/>
    <w:rsid w:val="00241CA8"/>
    <w:rsid w:val="00241F22"/>
    <w:rsid w:val="0024203B"/>
    <w:rsid w:val="00242295"/>
    <w:rsid w:val="00242453"/>
    <w:rsid w:val="00242C89"/>
    <w:rsid w:val="00242DEC"/>
    <w:rsid w:val="0024305E"/>
    <w:rsid w:val="00243BFB"/>
    <w:rsid w:val="00243CB4"/>
    <w:rsid w:val="00243D7D"/>
    <w:rsid w:val="00243DF9"/>
    <w:rsid w:val="00243EFA"/>
    <w:rsid w:val="002440EB"/>
    <w:rsid w:val="00244175"/>
    <w:rsid w:val="002441EF"/>
    <w:rsid w:val="0024439F"/>
    <w:rsid w:val="00244A97"/>
    <w:rsid w:val="00244F2A"/>
    <w:rsid w:val="0024506D"/>
    <w:rsid w:val="002457C9"/>
    <w:rsid w:val="00245F8C"/>
    <w:rsid w:val="00246025"/>
    <w:rsid w:val="00246140"/>
    <w:rsid w:val="002463AF"/>
    <w:rsid w:val="00246454"/>
    <w:rsid w:val="00246542"/>
    <w:rsid w:val="002468B5"/>
    <w:rsid w:val="00246A2B"/>
    <w:rsid w:val="00246A71"/>
    <w:rsid w:val="00246AF5"/>
    <w:rsid w:val="00246B6E"/>
    <w:rsid w:val="00246D41"/>
    <w:rsid w:val="00247584"/>
    <w:rsid w:val="002478AD"/>
    <w:rsid w:val="002479A3"/>
    <w:rsid w:val="00247A26"/>
    <w:rsid w:val="00247ED6"/>
    <w:rsid w:val="00247F12"/>
    <w:rsid w:val="002503FA"/>
    <w:rsid w:val="002507DC"/>
    <w:rsid w:val="002509C6"/>
    <w:rsid w:val="00250B45"/>
    <w:rsid w:val="00251611"/>
    <w:rsid w:val="002516C2"/>
    <w:rsid w:val="002517EC"/>
    <w:rsid w:val="00251807"/>
    <w:rsid w:val="00251831"/>
    <w:rsid w:val="00251D54"/>
    <w:rsid w:val="00252940"/>
    <w:rsid w:val="00252A0C"/>
    <w:rsid w:val="00252BB8"/>
    <w:rsid w:val="0025322A"/>
    <w:rsid w:val="002532C8"/>
    <w:rsid w:val="0025347C"/>
    <w:rsid w:val="002535E0"/>
    <w:rsid w:val="00253839"/>
    <w:rsid w:val="00253C3C"/>
    <w:rsid w:val="00253FDA"/>
    <w:rsid w:val="002549D2"/>
    <w:rsid w:val="0025553D"/>
    <w:rsid w:val="00255762"/>
    <w:rsid w:val="002557B6"/>
    <w:rsid w:val="00255AF2"/>
    <w:rsid w:val="00255CF2"/>
    <w:rsid w:val="00255F5C"/>
    <w:rsid w:val="00256256"/>
    <w:rsid w:val="002568F7"/>
    <w:rsid w:val="00256DB8"/>
    <w:rsid w:val="00256F76"/>
    <w:rsid w:val="00257211"/>
    <w:rsid w:val="0025744F"/>
    <w:rsid w:val="002575C6"/>
    <w:rsid w:val="0025789C"/>
    <w:rsid w:val="002578B2"/>
    <w:rsid w:val="00257FB7"/>
    <w:rsid w:val="0026027E"/>
    <w:rsid w:val="002602B7"/>
    <w:rsid w:val="00260924"/>
    <w:rsid w:val="0026095F"/>
    <w:rsid w:val="00260BAA"/>
    <w:rsid w:val="00260CD5"/>
    <w:rsid w:val="00260F5F"/>
    <w:rsid w:val="00260F73"/>
    <w:rsid w:val="002613CF"/>
    <w:rsid w:val="00261515"/>
    <w:rsid w:val="0026186D"/>
    <w:rsid w:val="002622CA"/>
    <w:rsid w:val="0026261E"/>
    <w:rsid w:val="00262653"/>
    <w:rsid w:val="00262683"/>
    <w:rsid w:val="002629CD"/>
    <w:rsid w:val="00263230"/>
    <w:rsid w:val="002635F5"/>
    <w:rsid w:val="00263BB2"/>
    <w:rsid w:val="00263C2D"/>
    <w:rsid w:val="00263E2B"/>
    <w:rsid w:val="002641BA"/>
    <w:rsid w:val="002641DF"/>
    <w:rsid w:val="002646B6"/>
    <w:rsid w:val="002646F6"/>
    <w:rsid w:val="00264764"/>
    <w:rsid w:val="00264929"/>
    <w:rsid w:val="00264B88"/>
    <w:rsid w:val="00264E23"/>
    <w:rsid w:val="00264F0F"/>
    <w:rsid w:val="00265438"/>
    <w:rsid w:val="00265619"/>
    <w:rsid w:val="00265B68"/>
    <w:rsid w:val="00265BAF"/>
    <w:rsid w:val="00265D00"/>
    <w:rsid w:val="00265E29"/>
    <w:rsid w:val="00266ACE"/>
    <w:rsid w:val="00266BA9"/>
    <w:rsid w:val="00266C45"/>
    <w:rsid w:val="002670BF"/>
    <w:rsid w:val="002672BB"/>
    <w:rsid w:val="0026741D"/>
    <w:rsid w:val="00267BF8"/>
    <w:rsid w:val="002702B3"/>
    <w:rsid w:val="0027036E"/>
    <w:rsid w:val="002705D9"/>
    <w:rsid w:val="00270892"/>
    <w:rsid w:val="00270B99"/>
    <w:rsid w:val="002710E1"/>
    <w:rsid w:val="00271202"/>
    <w:rsid w:val="0027125A"/>
    <w:rsid w:val="00271F00"/>
    <w:rsid w:val="00271F65"/>
    <w:rsid w:val="00272116"/>
    <w:rsid w:val="002727CF"/>
    <w:rsid w:val="0027293F"/>
    <w:rsid w:val="00272A77"/>
    <w:rsid w:val="00272D3A"/>
    <w:rsid w:val="00272EA1"/>
    <w:rsid w:val="00273096"/>
    <w:rsid w:val="002733D5"/>
    <w:rsid w:val="002736E1"/>
    <w:rsid w:val="00273790"/>
    <w:rsid w:val="00273AEB"/>
    <w:rsid w:val="00273E0A"/>
    <w:rsid w:val="00273FD8"/>
    <w:rsid w:val="002741A5"/>
    <w:rsid w:val="0027429D"/>
    <w:rsid w:val="002742A2"/>
    <w:rsid w:val="002743BA"/>
    <w:rsid w:val="0027443B"/>
    <w:rsid w:val="00274774"/>
    <w:rsid w:val="00274A7A"/>
    <w:rsid w:val="00274A95"/>
    <w:rsid w:val="00274AD2"/>
    <w:rsid w:val="00275053"/>
    <w:rsid w:val="002750B7"/>
    <w:rsid w:val="002753B6"/>
    <w:rsid w:val="00275579"/>
    <w:rsid w:val="00275606"/>
    <w:rsid w:val="0027568E"/>
    <w:rsid w:val="00275719"/>
    <w:rsid w:val="00275839"/>
    <w:rsid w:val="00276294"/>
    <w:rsid w:val="00276324"/>
    <w:rsid w:val="00276B64"/>
    <w:rsid w:val="00276D57"/>
    <w:rsid w:val="00276E7A"/>
    <w:rsid w:val="00276F2C"/>
    <w:rsid w:val="00277036"/>
    <w:rsid w:val="0027722A"/>
    <w:rsid w:val="002772B4"/>
    <w:rsid w:val="002777E1"/>
    <w:rsid w:val="00277A40"/>
    <w:rsid w:val="00277B56"/>
    <w:rsid w:val="00277BF5"/>
    <w:rsid w:val="002801DC"/>
    <w:rsid w:val="002802E1"/>
    <w:rsid w:val="002802EC"/>
    <w:rsid w:val="00280367"/>
    <w:rsid w:val="002804C1"/>
    <w:rsid w:val="00281170"/>
    <w:rsid w:val="002815C8"/>
    <w:rsid w:val="0028166E"/>
    <w:rsid w:val="002818A0"/>
    <w:rsid w:val="00281945"/>
    <w:rsid w:val="00281B21"/>
    <w:rsid w:val="00281C6B"/>
    <w:rsid w:val="00281D74"/>
    <w:rsid w:val="002821EE"/>
    <w:rsid w:val="00282355"/>
    <w:rsid w:val="00282406"/>
    <w:rsid w:val="00282C1E"/>
    <w:rsid w:val="00282D03"/>
    <w:rsid w:val="00282FA1"/>
    <w:rsid w:val="00283566"/>
    <w:rsid w:val="00283925"/>
    <w:rsid w:val="00283976"/>
    <w:rsid w:val="002839E7"/>
    <w:rsid w:val="00283C59"/>
    <w:rsid w:val="00283D3F"/>
    <w:rsid w:val="00283F17"/>
    <w:rsid w:val="00283FCF"/>
    <w:rsid w:val="00284549"/>
    <w:rsid w:val="00284572"/>
    <w:rsid w:val="00284660"/>
    <w:rsid w:val="00284670"/>
    <w:rsid w:val="00284724"/>
    <w:rsid w:val="0028489A"/>
    <w:rsid w:val="002856E5"/>
    <w:rsid w:val="00285D53"/>
    <w:rsid w:val="00286373"/>
    <w:rsid w:val="0028644F"/>
    <w:rsid w:val="00286543"/>
    <w:rsid w:val="00286799"/>
    <w:rsid w:val="002867B6"/>
    <w:rsid w:val="00286CC6"/>
    <w:rsid w:val="00286E55"/>
    <w:rsid w:val="00286E86"/>
    <w:rsid w:val="00287085"/>
    <w:rsid w:val="00287213"/>
    <w:rsid w:val="002872DE"/>
    <w:rsid w:val="00287862"/>
    <w:rsid w:val="00287DBF"/>
    <w:rsid w:val="002901EC"/>
    <w:rsid w:val="00290364"/>
    <w:rsid w:val="0029047A"/>
    <w:rsid w:val="00290710"/>
    <w:rsid w:val="00290B9A"/>
    <w:rsid w:val="00290E4F"/>
    <w:rsid w:val="0029154B"/>
    <w:rsid w:val="002915FE"/>
    <w:rsid w:val="0029164E"/>
    <w:rsid w:val="0029193A"/>
    <w:rsid w:val="00291EBE"/>
    <w:rsid w:val="0029200A"/>
    <w:rsid w:val="00292550"/>
    <w:rsid w:val="00292704"/>
    <w:rsid w:val="00292765"/>
    <w:rsid w:val="00292914"/>
    <w:rsid w:val="00292F14"/>
    <w:rsid w:val="0029331D"/>
    <w:rsid w:val="0029331E"/>
    <w:rsid w:val="002933F3"/>
    <w:rsid w:val="00293991"/>
    <w:rsid w:val="00293B0C"/>
    <w:rsid w:val="00293B3D"/>
    <w:rsid w:val="0029406C"/>
    <w:rsid w:val="00294308"/>
    <w:rsid w:val="0029436A"/>
    <w:rsid w:val="002945C5"/>
    <w:rsid w:val="002948F5"/>
    <w:rsid w:val="00294B86"/>
    <w:rsid w:val="00294C33"/>
    <w:rsid w:val="00294CED"/>
    <w:rsid w:val="0029538E"/>
    <w:rsid w:val="00295652"/>
    <w:rsid w:val="0029570C"/>
    <w:rsid w:val="002958EF"/>
    <w:rsid w:val="002960B6"/>
    <w:rsid w:val="002962DA"/>
    <w:rsid w:val="002962EC"/>
    <w:rsid w:val="00296320"/>
    <w:rsid w:val="00296508"/>
    <w:rsid w:val="00296E14"/>
    <w:rsid w:val="002976EA"/>
    <w:rsid w:val="002977D2"/>
    <w:rsid w:val="002979E8"/>
    <w:rsid w:val="00297A23"/>
    <w:rsid w:val="00297CF3"/>
    <w:rsid w:val="002A002C"/>
    <w:rsid w:val="002A00CB"/>
    <w:rsid w:val="002A0371"/>
    <w:rsid w:val="002A06C3"/>
    <w:rsid w:val="002A0802"/>
    <w:rsid w:val="002A0820"/>
    <w:rsid w:val="002A0AD2"/>
    <w:rsid w:val="002A0B76"/>
    <w:rsid w:val="002A0BC3"/>
    <w:rsid w:val="002A0C01"/>
    <w:rsid w:val="002A0C4F"/>
    <w:rsid w:val="002A0D77"/>
    <w:rsid w:val="002A14E6"/>
    <w:rsid w:val="002A19B5"/>
    <w:rsid w:val="002A1B44"/>
    <w:rsid w:val="002A1C9C"/>
    <w:rsid w:val="002A2276"/>
    <w:rsid w:val="002A2329"/>
    <w:rsid w:val="002A25EB"/>
    <w:rsid w:val="002A27D2"/>
    <w:rsid w:val="002A2AB3"/>
    <w:rsid w:val="002A2D3E"/>
    <w:rsid w:val="002A2D44"/>
    <w:rsid w:val="002A2FC6"/>
    <w:rsid w:val="002A3219"/>
    <w:rsid w:val="002A36E4"/>
    <w:rsid w:val="002A38EC"/>
    <w:rsid w:val="002A3976"/>
    <w:rsid w:val="002A3CAF"/>
    <w:rsid w:val="002A3E0D"/>
    <w:rsid w:val="002A3F3A"/>
    <w:rsid w:val="002A4A8E"/>
    <w:rsid w:val="002A4B95"/>
    <w:rsid w:val="002A4F33"/>
    <w:rsid w:val="002A500D"/>
    <w:rsid w:val="002A531D"/>
    <w:rsid w:val="002A532C"/>
    <w:rsid w:val="002A53C9"/>
    <w:rsid w:val="002A5482"/>
    <w:rsid w:val="002A54AF"/>
    <w:rsid w:val="002A5548"/>
    <w:rsid w:val="002A5705"/>
    <w:rsid w:val="002A5A38"/>
    <w:rsid w:val="002A5B41"/>
    <w:rsid w:val="002A5C94"/>
    <w:rsid w:val="002A5CB5"/>
    <w:rsid w:val="002A5D74"/>
    <w:rsid w:val="002A5F96"/>
    <w:rsid w:val="002A6397"/>
    <w:rsid w:val="002A6447"/>
    <w:rsid w:val="002A676E"/>
    <w:rsid w:val="002A6AAC"/>
    <w:rsid w:val="002A6C23"/>
    <w:rsid w:val="002A6D58"/>
    <w:rsid w:val="002A6DFA"/>
    <w:rsid w:val="002A6EC2"/>
    <w:rsid w:val="002A6F3E"/>
    <w:rsid w:val="002A7005"/>
    <w:rsid w:val="002A707E"/>
    <w:rsid w:val="002A7221"/>
    <w:rsid w:val="002A7783"/>
    <w:rsid w:val="002A796C"/>
    <w:rsid w:val="002A7DCE"/>
    <w:rsid w:val="002A7E38"/>
    <w:rsid w:val="002B0000"/>
    <w:rsid w:val="002B0489"/>
    <w:rsid w:val="002B0495"/>
    <w:rsid w:val="002B04B7"/>
    <w:rsid w:val="002B0901"/>
    <w:rsid w:val="002B0C64"/>
    <w:rsid w:val="002B0DF9"/>
    <w:rsid w:val="002B157C"/>
    <w:rsid w:val="002B191C"/>
    <w:rsid w:val="002B23DA"/>
    <w:rsid w:val="002B2685"/>
    <w:rsid w:val="002B2B2B"/>
    <w:rsid w:val="002B3707"/>
    <w:rsid w:val="002B37EE"/>
    <w:rsid w:val="002B3DE6"/>
    <w:rsid w:val="002B3F06"/>
    <w:rsid w:val="002B404B"/>
    <w:rsid w:val="002B44C3"/>
    <w:rsid w:val="002B46FB"/>
    <w:rsid w:val="002B488F"/>
    <w:rsid w:val="002B4D06"/>
    <w:rsid w:val="002B4DFC"/>
    <w:rsid w:val="002B4F0C"/>
    <w:rsid w:val="002B4F90"/>
    <w:rsid w:val="002B5582"/>
    <w:rsid w:val="002B56CA"/>
    <w:rsid w:val="002B5CFB"/>
    <w:rsid w:val="002B5ED5"/>
    <w:rsid w:val="002B60C8"/>
    <w:rsid w:val="002B6242"/>
    <w:rsid w:val="002B6520"/>
    <w:rsid w:val="002B6660"/>
    <w:rsid w:val="002B66D7"/>
    <w:rsid w:val="002B6962"/>
    <w:rsid w:val="002B6A33"/>
    <w:rsid w:val="002B6AA7"/>
    <w:rsid w:val="002B6E62"/>
    <w:rsid w:val="002B7A2A"/>
    <w:rsid w:val="002B7EBB"/>
    <w:rsid w:val="002C0031"/>
    <w:rsid w:val="002C0A40"/>
    <w:rsid w:val="002C113E"/>
    <w:rsid w:val="002C138A"/>
    <w:rsid w:val="002C14D2"/>
    <w:rsid w:val="002C1D07"/>
    <w:rsid w:val="002C285E"/>
    <w:rsid w:val="002C30E6"/>
    <w:rsid w:val="002C3677"/>
    <w:rsid w:val="002C36C9"/>
    <w:rsid w:val="002C382E"/>
    <w:rsid w:val="002C39F4"/>
    <w:rsid w:val="002C3B28"/>
    <w:rsid w:val="002C421F"/>
    <w:rsid w:val="002C45E5"/>
    <w:rsid w:val="002C4917"/>
    <w:rsid w:val="002C4983"/>
    <w:rsid w:val="002C4E85"/>
    <w:rsid w:val="002C5180"/>
    <w:rsid w:val="002C5302"/>
    <w:rsid w:val="002C546E"/>
    <w:rsid w:val="002C54EA"/>
    <w:rsid w:val="002C55D2"/>
    <w:rsid w:val="002C5791"/>
    <w:rsid w:val="002C5857"/>
    <w:rsid w:val="002C5B6D"/>
    <w:rsid w:val="002C5E51"/>
    <w:rsid w:val="002C5F67"/>
    <w:rsid w:val="002C6316"/>
    <w:rsid w:val="002C65CA"/>
    <w:rsid w:val="002C6A86"/>
    <w:rsid w:val="002C6B51"/>
    <w:rsid w:val="002C6E50"/>
    <w:rsid w:val="002C6ECC"/>
    <w:rsid w:val="002C707C"/>
    <w:rsid w:val="002C712E"/>
    <w:rsid w:val="002C7B24"/>
    <w:rsid w:val="002C7BF6"/>
    <w:rsid w:val="002C7E18"/>
    <w:rsid w:val="002C7E4F"/>
    <w:rsid w:val="002D0372"/>
    <w:rsid w:val="002D0398"/>
    <w:rsid w:val="002D0755"/>
    <w:rsid w:val="002D0C1B"/>
    <w:rsid w:val="002D0F49"/>
    <w:rsid w:val="002D1382"/>
    <w:rsid w:val="002D1B08"/>
    <w:rsid w:val="002D1BAA"/>
    <w:rsid w:val="002D1DCC"/>
    <w:rsid w:val="002D2319"/>
    <w:rsid w:val="002D23E6"/>
    <w:rsid w:val="002D2520"/>
    <w:rsid w:val="002D2D3E"/>
    <w:rsid w:val="002D2D70"/>
    <w:rsid w:val="002D3018"/>
    <w:rsid w:val="002D3315"/>
    <w:rsid w:val="002D34D5"/>
    <w:rsid w:val="002D38F5"/>
    <w:rsid w:val="002D3913"/>
    <w:rsid w:val="002D3D6C"/>
    <w:rsid w:val="002D40B0"/>
    <w:rsid w:val="002D4210"/>
    <w:rsid w:val="002D43C7"/>
    <w:rsid w:val="002D45A1"/>
    <w:rsid w:val="002D48CA"/>
    <w:rsid w:val="002D4977"/>
    <w:rsid w:val="002D53AB"/>
    <w:rsid w:val="002D5628"/>
    <w:rsid w:val="002D56ED"/>
    <w:rsid w:val="002D5A81"/>
    <w:rsid w:val="002D5AC9"/>
    <w:rsid w:val="002D5B71"/>
    <w:rsid w:val="002D5F3A"/>
    <w:rsid w:val="002D6353"/>
    <w:rsid w:val="002D68F5"/>
    <w:rsid w:val="002D6B31"/>
    <w:rsid w:val="002D6D05"/>
    <w:rsid w:val="002D7344"/>
    <w:rsid w:val="002D75BA"/>
    <w:rsid w:val="002D7634"/>
    <w:rsid w:val="002D77F6"/>
    <w:rsid w:val="002D791C"/>
    <w:rsid w:val="002D7D49"/>
    <w:rsid w:val="002D7DC7"/>
    <w:rsid w:val="002E0259"/>
    <w:rsid w:val="002E068E"/>
    <w:rsid w:val="002E07F8"/>
    <w:rsid w:val="002E0C06"/>
    <w:rsid w:val="002E0DF3"/>
    <w:rsid w:val="002E0F8D"/>
    <w:rsid w:val="002E1138"/>
    <w:rsid w:val="002E161B"/>
    <w:rsid w:val="002E17D0"/>
    <w:rsid w:val="002E1A6F"/>
    <w:rsid w:val="002E1E0B"/>
    <w:rsid w:val="002E1EBD"/>
    <w:rsid w:val="002E21AC"/>
    <w:rsid w:val="002E2858"/>
    <w:rsid w:val="002E2EF8"/>
    <w:rsid w:val="002E3095"/>
    <w:rsid w:val="002E30EA"/>
    <w:rsid w:val="002E3107"/>
    <w:rsid w:val="002E325A"/>
    <w:rsid w:val="002E32EE"/>
    <w:rsid w:val="002E371E"/>
    <w:rsid w:val="002E3810"/>
    <w:rsid w:val="002E391B"/>
    <w:rsid w:val="002E3AFC"/>
    <w:rsid w:val="002E4188"/>
    <w:rsid w:val="002E47EB"/>
    <w:rsid w:val="002E4CBE"/>
    <w:rsid w:val="002E4D9C"/>
    <w:rsid w:val="002E4DAC"/>
    <w:rsid w:val="002E5146"/>
    <w:rsid w:val="002E51C2"/>
    <w:rsid w:val="002E5212"/>
    <w:rsid w:val="002E5815"/>
    <w:rsid w:val="002E584E"/>
    <w:rsid w:val="002E5A46"/>
    <w:rsid w:val="002E5DBA"/>
    <w:rsid w:val="002E5E1F"/>
    <w:rsid w:val="002E621F"/>
    <w:rsid w:val="002E64EB"/>
    <w:rsid w:val="002E64F3"/>
    <w:rsid w:val="002E6883"/>
    <w:rsid w:val="002E68C8"/>
    <w:rsid w:val="002E6A8D"/>
    <w:rsid w:val="002E6C49"/>
    <w:rsid w:val="002E6CF3"/>
    <w:rsid w:val="002E6DB8"/>
    <w:rsid w:val="002E6E79"/>
    <w:rsid w:val="002E7134"/>
    <w:rsid w:val="002E7144"/>
    <w:rsid w:val="002E7146"/>
    <w:rsid w:val="002E7239"/>
    <w:rsid w:val="002E75CF"/>
    <w:rsid w:val="002E7933"/>
    <w:rsid w:val="002E79BE"/>
    <w:rsid w:val="002E7DAB"/>
    <w:rsid w:val="002E7E3A"/>
    <w:rsid w:val="002F02FF"/>
    <w:rsid w:val="002F039E"/>
    <w:rsid w:val="002F0700"/>
    <w:rsid w:val="002F0855"/>
    <w:rsid w:val="002F0A50"/>
    <w:rsid w:val="002F0ED4"/>
    <w:rsid w:val="002F1223"/>
    <w:rsid w:val="002F1350"/>
    <w:rsid w:val="002F136B"/>
    <w:rsid w:val="002F1491"/>
    <w:rsid w:val="002F153E"/>
    <w:rsid w:val="002F17BC"/>
    <w:rsid w:val="002F1883"/>
    <w:rsid w:val="002F194C"/>
    <w:rsid w:val="002F1C1B"/>
    <w:rsid w:val="002F1C43"/>
    <w:rsid w:val="002F1FE1"/>
    <w:rsid w:val="002F2904"/>
    <w:rsid w:val="002F29B7"/>
    <w:rsid w:val="002F2B49"/>
    <w:rsid w:val="002F2F80"/>
    <w:rsid w:val="002F33E1"/>
    <w:rsid w:val="002F346F"/>
    <w:rsid w:val="002F394E"/>
    <w:rsid w:val="002F3FD1"/>
    <w:rsid w:val="002F4386"/>
    <w:rsid w:val="002F4460"/>
    <w:rsid w:val="002F454A"/>
    <w:rsid w:val="002F4A3D"/>
    <w:rsid w:val="002F4ECC"/>
    <w:rsid w:val="002F5084"/>
    <w:rsid w:val="002F50DF"/>
    <w:rsid w:val="002F5C50"/>
    <w:rsid w:val="002F60A4"/>
    <w:rsid w:val="002F6303"/>
    <w:rsid w:val="002F65CD"/>
    <w:rsid w:val="002F6644"/>
    <w:rsid w:val="002F668C"/>
    <w:rsid w:val="002F6733"/>
    <w:rsid w:val="002F6839"/>
    <w:rsid w:val="002F6B10"/>
    <w:rsid w:val="002F6DCC"/>
    <w:rsid w:val="002F750E"/>
    <w:rsid w:val="002F7884"/>
    <w:rsid w:val="002F78D0"/>
    <w:rsid w:val="002F7B31"/>
    <w:rsid w:val="002F7B86"/>
    <w:rsid w:val="002F7C78"/>
    <w:rsid w:val="002F7F37"/>
    <w:rsid w:val="003001C8"/>
    <w:rsid w:val="0030040D"/>
    <w:rsid w:val="0030070D"/>
    <w:rsid w:val="00300941"/>
    <w:rsid w:val="003009FF"/>
    <w:rsid w:val="00300A1F"/>
    <w:rsid w:val="00300EB5"/>
    <w:rsid w:val="00301006"/>
    <w:rsid w:val="00301449"/>
    <w:rsid w:val="00301498"/>
    <w:rsid w:val="00301B64"/>
    <w:rsid w:val="00301CFE"/>
    <w:rsid w:val="00301DCC"/>
    <w:rsid w:val="003024AA"/>
    <w:rsid w:val="00302CA8"/>
    <w:rsid w:val="00302E08"/>
    <w:rsid w:val="00302E5C"/>
    <w:rsid w:val="0030324F"/>
    <w:rsid w:val="003036B9"/>
    <w:rsid w:val="0030417A"/>
    <w:rsid w:val="003043D7"/>
    <w:rsid w:val="0030483B"/>
    <w:rsid w:val="00304F53"/>
    <w:rsid w:val="00304F87"/>
    <w:rsid w:val="00304F94"/>
    <w:rsid w:val="003050BC"/>
    <w:rsid w:val="003050E6"/>
    <w:rsid w:val="003056A5"/>
    <w:rsid w:val="00305B1D"/>
    <w:rsid w:val="00305DF9"/>
    <w:rsid w:val="00305EF1"/>
    <w:rsid w:val="00306B75"/>
    <w:rsid w:val="00306BC4"/>
    <w:rsid w:val="00306D32"/>
    <w:rsid w:val="00306D5E"/>
    <w:rsid w:val="00306F7C"/>
    <w:rsid w:val="0030787D"/>
    <w:rsid w:val="00307A0B"/>
    <w:rsid w:val="00307D68"/>
    <w:rsid w:val="00307FF5"/>
    <w:rsid w:val="0031086C"/>
    <w:rsid w:val="003108D8"/>
    <w:rsid w:val="00310CB2"/>
    <w:rsid w:val="00310CB4"/>
    <w:rsid w:val="00311025"/>
    <w:rsid w:val="0031102A"/>
    <w:rsid w:val="0031115F"/>
    <w:rsid w:val="0031124A"/>
    <w:rsid w:val="00311507"/>
    <w:rsid w:val="003116DC"/>
    <w:rsid w:val="00311A0A"/>
    <w:rsid w:val="00311F2F"/>
    <w:rsid w:val="00312028"/>
    <w:rsid w:val="0031223F"/>
    <w:rsid w:val="0031231D"/>
    <w:rsid w:val="00312B47"/>
    <w:rsid w:val="00312F74"/>
    <w:rsid w:val="00312FE1"/>
    <w:rsid w:val="0031388F"/>
    <w:rsid w:val="00313AA9"/>
    <w:rsid w:val="00313CE9"/>
    <w:rsid w:val="00313DE1"/>
    <w:rsid w:val="00313EEA"/>
    <w:rsid w:val="00314271"/>
    <w:rsid w:val="003142DE"/>
    <w:rsid w:val="003149E7"/>
    <w:rsid w:val="00315120"/>
    <w:rsid w:val="0031514F"/>
    <w:rsid w:val="00315265"/>
    <w:rsid w:val="0031533B"/>
    <w:rsid w:val="00315CD1"/>
    <w:rsid w:val="00315DEE"/>
    <w:rsid w:val="00315E7C"/>
    <w:rsid w:val="003160FC"/>
    <w:rsid w:val="00316161"/>
    <w:rsid w:val="003167E9"/>
    <w:rsid w:val="00316978"/>
    <w:rsid w:val="00316DFF"/>
    <w:rsid w:val="00316F35"/>
    <w:rsid w:val="0031754A"/>
    <w:rsid w:val="003175CE"/>
    <w:rsid w:val="003176F3"/>
    <w:rsid w:val="00317A2F"/>
    <w:rsid w:val="00317ECB"/>
    <w:rsid w:val="00320314"/>
    <w:rsid w:val="0032033A"/>
    <w:rsid w:val="003203DE"/>
    <w:rsid w:val="00320632"/>
    <w:rsid w:val="003206E9"/>
    <w:rsid w:val="00320C89"/>
    <w:rsid w:val="00320F62"/>
    <w:rsid w:val="00321162"/>
    <w:rsid w:val="00321C26"/>
    <w:rsid w:val="00321D54"/>
    <w:rsid w:val="00322103"/>
    <w:rsid w:val="00322150"/>
    <w:rsid w:val="003221F6"/>
    <w:rsid w:val="003222C9"/>
    <w:rsid w:val="00322331"/>
    <w:rsid w:val="003223E7"/>
    <w:rsid w:val="003225C9"/>
    <w:rsid w:val="003229D6"/>
    <w:rsid w:val="00322BEA"/>
    <w:rsid w:val="00322ED8"/>
    <w:rsid w:val="0032388E"/>
    <w:rsid w:val="00323F9B"/>
    <w:rsid w:val="00324289"/>
    <w:rsid w:val="0032428E"/>
    <w:rsid w:val="003245EB"/>
    <w:rsid w:val="003247C9"/>
    <w:rsid w:val="00324C4A"/>
    <w:rsid w:val="00324F01"/>
    <w:rsid w:val="00325005"/>
    <w:rsid w:val="0032503F"/>
    <w:rsid w:val="003251EA"/>
    <w:rsid w:val="00325714"/>
    <w:rsid w:val="003257C1"/>
    <w:rsid w:val="00325A6B"/>
    <w:rsid w:val="00325BCA"/>
    <w:rsid w:val="00325BFA"/>
    <w:rsid w:val="00325C4B"/>
    <w:rsid w:val="00325D5A"/>
    <w:rsid w:val="00325E39"/>
    <w:rsid w:val="003260C9"/>
    <w:rsid w:val="003265CC"/>
    <w:rsid w:val="003265D7"/>
    <w:rsid w:val="0032699D"/>
    <w:rsid w:val="00326B0F"/>
    <w:rsid w:val="00326E73"/>
    <w:rsid w:val="00327372"/>
    <w:rsid w:val="0032737F"/>
    <w:rsid w:val="00327540"/>
    <w:rsid w:val="003277D0"/>
    <w:rsid w:val="00327949"/>
    <w:rsid w:val="00327E43"/>
    <w:rsid w:val="00327FDB"/>
    <w:rsid w:val="00330353"/>
    <w:rsid w:val="0033058F"/>
    <w:rsid w:val="00330B81"/>
    <w:rsid w:val="00330CF4"/>
    <w:rsid w:val="003314F9"/>
    <w:rsid w:val="003317A7"/>
    <w:rsid w:val="003317D8"/>
    <w:rsid w:val="00331AE4"/>
    <w:rsid w:val="00331B74"/>
    <w:rsid w:val="00332039"/>
    <w:rsid w:val="003325F7"/>
    <w:rsid w:val="0033270F"/>
    <w:rsid w:val="003327D3"/>
    <w:rsid w:val="0033293D"/>
    <w:rsid w:val="003329FA"/>
    <w:rsid w:val="00332A31"/>
    <w:rsid w:val="00332CFC"/>
    <w:rsid w:val="00332D95"/>
    <w:rsid w:val="00332E22"/>
    <w:rsid w:val="003330EC"/>
    <w:rsid w:val="003331AE"/>
    <w:rsid w:val="003335BF"/>
    <w:rsid w:val="00333A31"/>
    <w:rsid w:val="00333DA7"/>
    <w:rsid w:val="003342F7"/>
    <w:rsid w:val="0033454D"/>
    <w:rsid w:val="003348A8"/>
    <w:rsid w:val="003349D4"/>
    <w:rsid w:val="00334A98"/>
    <w:rsid w:val="00334AEC"/>
    <w:rsid w:val="00334E68"/>
    <w:rsid w:val="00335056"/>
    <w:rsid w:val="003352F5"/>
    <w:rsid w:val="00335A9D"/>
    <w:rsid w:val="00335CE3"/>
    <w:rsid w:val="00335DDC"/>
    <w:rsid w:val="00335E2D"/>
    <w:rsid w:val="00335F8C"/>
    <w:rsid w:val="00336579"/>
    <w:rsid w:val="0033658B"/>
    <w:rsid w:val="003368C1"/>
    <w:rsid w:val="003369C8"/>
    <w:rsid w:val="00336C91"/>
    <w:rsid w:val="00336D07"/>
    <w:rsid w:val="00336EE7"/>
    <w:rsid w:val="00337550"/>
    <w:rsid w:val="003378A7"/>
    <w:rsid w:val="00337D89"/>
    <w:rsid w:val="00337DB7"/>
    <w:rsid w:val="003403B8"/>
    <w:rsid w:val="003407F8"/>
    <w:rsid w:val="0034118D"/>
    <w:rsid w:val="003411DE"/>
    <w:rsid w:val="00341387"/>
    <w:rsid w:val="0034180A"/>
    <w:rsid w:val="00341AF2"/>
    <w:rsid w:val="00341C7C"/>
    <w:rsid w:val="00342026"/>
    <w:rsid w:val="003421FC"/>
    <w:rsid w:val="00342887"/>
    <w:rsid w:val="00342BB9"/>
    <w:rsid w:val="00342F17"/>
    <w:rsid w:val="00342F8A"/>
    <w:rsid w:val="00343126"/>
    <w:rsid w:val="0034315D"/>
    <w:rsid w:val="003432D5"/>
    <w:rsid w:val="003432DD"/>
    <w:rsid w:val="00343727"/>
    <w:rsid w:val="0034377C"/>
    <w:rsid w:val="003438F5"/>
    <w:rsid w:val="00343C2A"/>
    <w:rsid w:val="00343C4B"/>
    <w:rsid w:val="003445E2"/>
    <w:rsid w:val="003446B0"/>
    <w:rsid w:val="00344ED6"/>
    <w:rsid w:val="003451EF"/>
    <w:rsid w:val="00345668"/>
    <w:rsid w:val="003456AF"/>
    <w:rsid w:val="00345773"/>
    <w:rsid w:val="00345E7C"/>
    <w:rsid w:val="0034648D"/>
    <w:rsid w:val="0034650B"/>
    <w:rsid w:val="0034677C"/>
    <w:rsid w:val="0034679C"/>
    <w:rsid w:val="00346E35"/>
    <w:rsid w:val="00346F04"/>
    <w:rsid w:val="00346F31"/>
    <w:rsid w:val="003473C3"/>
    <w:rsid w:val="00347805"/>
    <w:rsid w:val="00347E21"/>
    <w:rsid w:val="0035010A"/>
    <w:rsid w:val="003503E7"/>
    <w:rsid w:val="003507EB"/>
    <w:rsid w:val="00350AC1"/>
    <w:rsid w:val="00350ED5"/>
    <w:rsid w:val="00350EE0"/>
    <w:rsid w:val="0035104B"/>
    <w:rsid w:val="003510EC"/>
    <w:rsid w:val="003512A2"/>
    <w:rsid w:val="00351915"/>
    <w:rsid w:val="00351A2B"/>
    <w:rsid w:val="00351B11"/>
    <w:rsid w:val="00351B37"/>
    <w:rsid w:val="00351C44"/>
    <w:rsid w:val="00351CA6"/>
    <w:rsid w:val="00351CDE"/>
    <w:rsid w:val="00351E8D"/>
    <w:rsid w:val="00351F4C"/>
    <w:rsid w:val="003520A5"/>
    <w:rsid w:val="003520A8"/>
    <w:rsid w:val="00352AD5"/>
    <w:rsid w:val="00352D3E"/>
    <w:rsid w:val="00352E18"/>
    <w:rsid w:val="0035322B"/>
    <w:rsid w:val="0035357D"/>
    <w:rsid w:val="0035364D"/>
    <w:rsid w:val="00353A6C"/>
    <w:rsid w:val="00353B3E"/>
    <w:rsid w:val="00353D32"/>
    <w:rsid w:val="00353D58"/>
    <w:rsid w:val="00353ECC"/>
    <w:rsid w:val="00354053"/>
    <w:rsid w:val="00354A4D"/>
    <w:rsid w:val="00354C4E"/>
    <w:rsid w:val="00354CC0"/>
    <w:rsid w:val="003553B2"/>
    <w:rsid w:val="00355575"/>
    <w:rsid w:val="003555FC"/>
    <w:rsid w:val="003556D9"/>
    <w:rsid w:val="00355A1A"/>
    <w:rsid w:val="00355F82"/>
    <w:rsid w:val="00356245"/>
    <w:rsid w:val="0035661B"/>
    <w:rsid w:val="00356823"/>
    <w:rsid w:val="00356A00"/>
    <w:rsid w:val="00356BF1"/>
    <w:rsid w:val="00356E14"/>
    <w:rsid w:val="00357294"/>
    <w:rsid w:val="00357419"/>
    <w:rsid w:val="00357907"/>
    <w:rsid w:val="00357FC5"/>
    <w:rsid w:val="0036020F"/>
    <w:rsid w:val="0036021C"/>
    <w:rsid w:val="003604A2"/>
    <w:rsid w:val="003604FE"/>
    <w:rsid w:val="003608AD"/>
    <w:rsid w:val="00360CD4"/>
    <w:rsid w:val="00361167"/>
    <w:rsid w:val="00361F33"/>
    <w:rsid w:val="00362640"/>
    <w:rsid w:val="00362784"/>
    <w:rsid w:val="00362927"/>
    <w:rsid w:val="00362A2F"/>
    <w:rsid w:val="00362C1C"/>
    <w:rsid w:val="00362F3D"/>
    <w:rsid w:val="00363448"/>
    <w:rsid w:val="0036375B"/>
    <w:rsid w:val="00363A3E"/>
    <w:rsid w:val="00363BBC"/>
    <w:rsid w:val="00363BBF"/>
    <w:rsid w:val="00363BDE"/>
    <w:rsid w:val="003644A8"/>
    <w:rsid w:val="0036478F"/>
    <w:rsid w:val="00364996"/>
    <w:rsid w:val="00364F8A"/>
    <w:rsid w:val="00365154"/>
    <w:rsid w:val="003652EB"/>
    <w:rsid w:val="003654C6"/>
    <w:rsid w:val="003655D6"/>
    <w:rsid w:val="003657F2"/>
    <w:rsid w:val="00365CE2"/>
    <w:rsid w:val="00366022"/>
    <w:rsid w:val="003663D1"/>
    <w:rsid w:val="0036663E"/>
    <w:rsid w:val="003666BA"/>
    <w:rsid w:val="003669CC"/>
    <w:rsid w:val="00366DF8"/>
    <w:rsid w:val="00366F51"/>
    <w:rsid w:val="00367052"/>
    <w:rsid w:val="00367150"/>
    <w:rsid w:val="003673F2"/>
    <w:rsid w:val="0036779C"/>
    <w:rsid w:val="0036784B"/>
    <w:rsid w:val="00367892"/>
    <w:rsid w:val="0037031F"/>
    <w:rsid w:val="0037057E"/>
    <w:rsid w:val="003708C5"/>
    <w:rsid w:val="00370F22"/>
    <w:rsid w:val="00370F6C"/>
    <w:rsid w:val="00371177"/>
    <w:rsid w:val="0037130E"/>
    <w:rsid w:val="0037132A"/>
    <w:rsid w:val="003716B9"/>
    <w:rsid w:val="00371B6E"/>
    <w:rsid w:val="00371D30"/>
    <w:rsid w:val="00371FEC"/>
    <w:rsid w:val="0037221E"/>
    <w:rsid w:val="003727E5"/>
    <w:rsid w:val="00372A13"/>
    <w:rsid w:val="00372AB5"/>
    <w:rsid w:val="00372C56"/>
    <w:rsid w:val="00372D34"/>
    <w:rsid w:val="0037308A"/>
    <w:rsid w:val="0037341E"/>
    <w:rsid w:val="003734E0"/>
    <w:rsid w:val="003739C7"/>
    <w:rsid w:val="00373A02"/>
    <w:rsid w:val="00373FD3"/>
    <w:rsid w:val="00374E64"/>
    <w:rsid w:val="00375130"/>
    <w:rsid w:val="003752D5"/>
    <w:rsid w:val="00375650"/>
    <w:rsid w:val="0037587B"/>
    <w:rsid w:val="00375AD1"/>
    <w:rsid w:val="00375BF9"/>
    <w:rsid w:val="00375DF8"/>
    <w:rsid w:val="00375E81"/>
    <w:rsid w:val="00375EAE"/>
    <w:rsid w:val="00376027"/>
    <w:rsid w:val="003762C9"/>
    <w:rsid w:val="003768A4"/>
    <w:rsid w:val="00376CE7"/>
    <w:rsid w:val="003772B3"/>
    <w:rsid w:val="003774E2"/>
    <w:rsid w:val="00377622"/>
    <w:rsid w:val="003776F9"/>
    <w:rsid w:val="003803DA"/>
    <w:rsid w:val="003804DE"/>
    <w:rsid w:val="0038075A"/>
    <w:rsid w:val="00380ABE"/>
    <w:rsid w:val="003810E5"/>
    <w:rsid w:val="0038115D"/>
    <w:rsid w:val="00381556"/>
    <w:rsid w:val="00381838"/>
    <w:rsid w:val="003823D8"/>
    <w:rsid w:val="00382463"/>
    <w:rsid w:val="00382551"/>
    <w:rsid w:val="0038281D"/>
    <w:rsid w:val="003829EA"/>
    <w:rsid w:val="00382C39"/>
    <w:rsid w:val="0038330A"/>
    <w:rsid w:val="00383D73"/>
    <w:rsid w:val="003844A3"/>
    <w:rsid w:val="00384755"/>
    <w:rsid w:val="00384E90"/>
    <w:rsid w:val="003852B8"/>
    <w:rsid w:val="00385BC9"/>
    <w:rsid w:val="00385C35"/>
    <w:rsid w:val="00385D76"/>
    <w:rsid w:val="00385E27"/>
    <w:rsid w:val="003860B0"/>
    <w:rsid w:val="003860D9"/>
    <w:rsid w:val="0038616F"/>
    <w:rsid w:val="00386178"/>
    <w:rsid w:val="00386420"/>
    <w:rsid w:val="00386644"/>
    <w:rsid w:val="00386694"/>
    <w:rsid w:val="00386A58"/>
    <w:rsid w:val="00386B9A"/>
    <w:rsid w:val="00386E1D"/>
    <w:rsid w:val="00386F9F"/>
    <w:rsid w:val="0038702F"/>
    <w:rsid w:val="00387165"/>
    <w:rsid w:val="0038767D"/>
    <w:rsid w:val="00390032"/>
    <w:rsid w:val="00390084"/>
    <w:rsid w:val="00390686"/>
    <w:rsid w:val="0039086C"/>
    <w:rsid w:val="0039089D"/>
    <w:rsid w:val="00390994"/>
    <w:rsid w:val="00390DD9"/>
    <w:rsid w:val="00390ED2"/>
    <w:rsid w:val="00391081"/>
    <w:rsid w:val="003910C5"/>
    <w:rsid w:val="00391203"/>
    <w:rsid w:val="0039145E"/>
    <w:rsid w:val="00391527"/>
    <w:rsid w:val="00391ACA"/>
    <w:rsid w:val="00391D34"/>
    <w:rsid w:val="00391F08"/>
    <w:rsid w:val="003923E7"/>
    <w:rsid w:val="0039244E"/>
    <w:rsid w:val="0039266F"/>
    <w:rsid w:val="0039277C"/>
    <w:rsid w:val="00392824"/>
    <w:rsid w:val="003929E0"/>
    <w:rsid w:val="00392CB7"/>
    <w:rsid w:val="0039342E"/>
    <w:rsid w:val="00393939"/>
    <w:rsid w:val="003940F8"/>
    <w:rsid w:val="0039442A"/>
    <w:rsid w:val="0039454A"/>
    <w:rsid w:val="003945A7"/>
    <w:rsid w:val="003945CF"/>
    <w:rsid w:val="00394747"/>
    <w:rsid w:val="003947C5"/>
    <w:rsid w:val="00394B5A"/>
    <w:rsid w:val="00394CB4"/>
    <w:rsid w:val="00394D21"/>
    <w:rsid w:val="00394DCB"/>
    <w:rsid w:val="00394E21"/>
    <w:rsid w:val="00394F2D"/>
    <w:rsid w:val="00394F79"/>
    <w:rsid w:val="003951DC"/>
    <w:rsid w:val="00395583"/>
    <w:rsid w:val="00395785"/>
    <w:rsid w:val="0039594E"/>
    <w:rsid w:val="00395A4D"/>
    <w:rsid w:val="00395A8D"/>
    <w:rsid w:val="00395C58"/>
    <w:rsid w:val="00395E11"/>
    <w:rsid w:val="003967BC"/>
    <w:rsid w:val="0039680B"/>
    <w:rsid w:val="00396883"/>
    <w:rsid w:val="00396AB6"/>
    <w:rsid w:val="00396C5A"/>
    <w:rsid w:val="00396E39"/>
    <w:rsid w:val="00396EBA"/>
    <w:rsid w:val="003971DD"/>
    <w:rsid w:val="003972C8"/>
    <w:rsid w:val="0039776D"/>
    <w:rsid w:val="0039792A"/>
    <w:rsid w:val="003979F9"/>
    <w:rsid w:val="00397D90"/>
    <w:rsid w:val="00397EC3"/>
    <w:rsid w:val="003A017C"/>
    <w:rsid w:val="003A09DF"/>
    <w:rsid w:val="003A0B2B"/>
    <w:rsid w:val="003A10CD"/>
    <w:rsid w:val="003A111E"/>
    <w:rsid w:val="003A13F8"/>
    <w:rsid w:val="003A1518"/>
    <w:rsid w:val="003A15A4"/>
    <w:rsid w:val="003A16F3"/>
    <w:rsid w:val="003A1EEA"/>
    <w:rsid w:val="003A1EF8"/>
    <w:rsid w:val="003A2774"/>
    <w:rsid w:val="003A2FF2"/>
    <w:rsid w:val="003A3667"/>
    <w:rsid w:val="003A39F1"/>
    <w:rsid w:val="003A3A7C"/>
    <w:rsid w:val="003A3CBB"/>
    <w:rsid w:val="003A3FB0"/>
    <w:rsid w:val="003A42CF"/>
    <w:rsid w:val="003A455A"/>
    <w:rsid w:val="003A4978"/>
    <w:rsid w:val="003A4AF3"/>
    <w:rsid w:val="003A4D78"/>
    <w:rsid w:val="003A504B"/>
    <w:rsid w:val="003A51C8"/>
    <w:rsid w:val="003A51D7"/>
    <w:rsid w:val="003A53CC"/>
    <w:rsid w:val="003A54B0"/>
    <w:rsid w:val="003A57AA"/>
    <w:rsid w:val="003A5AD9"/>
    <w:rsid w:val="003A5B2B"/>
    <w:rsid w:val="003A5C46"/>
    <w:rsid w:val="003A5E85"/>
    <w:rsid w:val="003A6DE5"/>
    <w:rsid w:val="003A71A6"/>
    <w:rsid w:val="003A72B0"/>
    <w:rsid w:val="003A746A"/>
    <w:rsid w:val="003A7794"/>
    <w:rsid w:val="003A7871"/>
    <w:rsid w:val="003A78FE"/>
    <w:rsid w:val="003A7E42"/>
    <w:rsid w:val="003B0053"/>
    <w:rsid w:val="003B043B"/>
    <w:rsid w:val="003B05BE"/>
    <w:rsid w:val="003B07F8"/>
    <w:rsid w:val="003B0BAF"/>
    <w:rsid w:val="003B0C86"/>
    <w:rsid w:val="003B0EB4"/>
    <w:rsid w:val="003B12C5"/>
    <w:rsid w:val="003B151D"/>
    <w:rsid w:val="003B1A37"/>
    <w:rsid w:val="003B1BD1"/>
    <w:rsid w:val="003B1BE3"/>
    <w:rsid w:val="003B20C4"/>
    <w:rsid w:val="003B20C7"/>
    <w:rsid w:val="003B23C1"/>
    <w:rsid w:val="003B2BEE"/>
    <w:rsid w:val="003B2FB0"/>
    <w:rsid w:val="003B2FE0"/>
    <w:rsid w:val="003B30E5"/>
    <w:rsid w:val="003B3202"/>
    <w:rsid w:val="003B3242"/>
    <w:rsid w:val="003B3A1B"/>
    <w:rsid w:val="003B3EFD"/>
    <w:rsid w:val="003B41A3"/>
    <w:rsid w:val="003B4417"/>
    <w:rsid w:val="003B4441"/>
    <w:rsid w:val="003B4712"/>
    <w:rsid w:val="003B48D6"/>
    <w:rsid w:val="003B4DD2"/>
    <w:rsid w:val="003B4EA3"/>
    <w:rsid w:val="003B548D"/>
    <w:rsid w:val="003B56EF"/>
    <w:rsid w:val="003B576C"/>
    <w:rsid w:val="003B5825"/>
    <w:rsid w:val="003B58C2"/>
    <w:rsid w:val="003B59E3"/>
    <w:rsid w:val="003B5A06"/>
    <w:rsid w:val="003B5C33"/>
    <w:rsid w:val="003B5FE4"/>
    <w:rsid w:val="003B61A1"/>
    <w:rsid w:val="003B61F1"/>
    <w:rsid w:val="003B6759"/>
    <w:rsid w:val="003B6886"/>
    <w:rsid w:val="003B689D"/>
    <w:rsid w:val="003B68A6"/>
    <w:rsid w:val="003B6D0B"/>
    <w:rsid w:val="003B6EF9"/>
    <w:rsid w:val="003B70C3"/>
    <w:rsid w:val="003B7110"/>
    <w:rsid w:val="003B7642"/>
    <w:rsid w:val="003B7659"/>
    <w:rsid w:val="003B7808"/>
    <w:rsid w:val="003C0AF6"/>
    <w:rsid w:val="003C0D4D"/>
    <w:rsid w:val="003C0D5B"/>
    <w:rsid w:val="003C0E42"/>
    <w:rsid w:val="003C0FC3"/>
    <w:rsid w:val="003C0FDB"/>
    <w:rsid w:val="003C106B"/>
    <w:rsid w:val="003C194F"/>
    <w:rsid w:val="003C1A98"/>
    <w:rsid w:val="003C1B0F"/>
    <w:rsid w:val="003C1CCC"/>
    <w:rsid w:val="003C1E12"/>
    <w:rsid w:val="003C1F3C"/>
    <w:rsid w:val="003C2065"/>
    <w:rsid w:val="003C22F2"/>
    <w:rsid w:val="003C24B9"/>
    <w:rsid w:val="003C2E8F"/>
    <w:rsid w:val="003C2ED0"/>
    <w:rsid w:val="003C37CE"/>
    <w:rsid w:val="003C37FA"/>
    <w:rsid w:val="003C38A5"/>
    <w:rsid w:val="003C3A38"/>
    <w:rsid w:val="003C3B92"/>
    <w:rsid w:val="003C3CAB"/>
    <w:rsid w:val="003C422E"/>
    <w:rsid w:val="003C43E7"/>
    <w:rsid w:val="003C445B"/>
    <w:rsid w:val="003C44B1"/>
    <w:rsid w:val="003C4629"/>
    <w:rsid w:val="003C527C"/>
    <w:rsid w:val="003C553E"/>
    <w:rsid w:val="003C56CD"/>
    <w:rsid w:val="003C5730"/>
    <w:rsid w:val="003C5796"/>
    <w:rsid w:val="003C5B40"/>
    <w:rsid w:val="003C5F9C"/>
    <w:rsid w:val="003C61E7"/>
    <w:rsid w:val="003C6248"/>
    <w:rsid w:val="003C67F0"/>
    <w:rsid w:val="003C6802"/>
    <w:rsid w:val="003C6A63"/>
    <w:rsid w:val="003C6DD5"/>
    <w:rsid w:val="003C6E1F"/>
    <w:rsid w:val="003C6EFA"/>
    <w:rsid w:val="003C71DC"/>
    <w:rsid w:val="003C7230"/>
    <w:rsid w:val="003C7245"/>
    <w:rsid w:val="003C7268"/>
    <w:rsid w:val="003C751A"/>
    <w:rsid w:val="003C76CE"/>
    <w:rsid w:val="003C7837"/>
    <w:rsid w:val="003C78D6"/>
    <w:rsid w:val="003C79E6"/>
    <w:rsid w:val="003C7AB1"/>
    <w:rsid w:val="003C7B80"/>
    <w:rsid w:val="003C7C1B"/>
    <w:rsid w:val="003C7E67"/>
    <w:rsid w:val="003D01DA"/>
    <w:rsid w:val="003D0370"/>
    <w:rsid w:val="003D04C3"/>
    <w:rsid w:val="003D090F"/>
    <w:rsid w:val="003D09B8"/>
    <w:rsid w:val="003D09EB"/>
    <w:rsid w:val="003D0B71"/>
    <w:rsid w:val="003D0DCE"/>
    <w:rsid w:val="003D0DF2"/>
    <w:rsid w:val="003D0FEF"/>
    <w:rsid w:val="003D148A"/>
    <w:rsid w:val="003D17F0"/>
    <w:rsid w:val="003D1808"/>
    <w:rsid w:val="003D18C9"/>
    <w:rsid w:val="003D1A13"/>
    <w:rsid w:val="003D1AD6"/>
    <w:rsid w:val="003D1B5E"/>
    <w:rsid w:val="003D1BEA"/>
    <w:rsid w:val="003D1C81"/>
    <w:rsid w:val="003D1F78"/>
    <w:rsid w:val="003D225C"/>
    <w:rsid w:val="003D24EB"/>
    <w:rsid w:val="003D290F"/>
    <w:rsid w:val="003D2A13"/>
    <w:rsid w:val="003D2CFD"/>
    <w:rsid w:val="003D307A"/>
    <w:rsid w:val="003D3366"/>
    <w:rsid w:val="003D39F9"/>
    <w:rsid w:val="003D3A69"/>
    <w:rsid w:val="003D3A9B"/>
    <w:rsid w:val="003D3AF5"/>
    <w:rsid w:val="003D3DD2"/>
    <w:rsid w:val="003D426D"/>
    <w:rsid w:val="003D48D3"/>
    <w:rsid w:val="003D4A2B"/>
    <w:rsid w:val="003D4DE6"/>
    <w:rsid w:val="003D4E0C"/>
    <w:rsid w:val="003D5699"/>
    <w:rsid w:val="003D585A"/>
    <w:rsid w:val="003D5A42"/>
    <w:rsid w:val="003D63F8"/>
    <w:rsid w:val="003D69BD"/>
    <w:rsid w:val="003D6FCB"/>
    <w:rsid w:val="003D7428"/>
    <w:rsid w:val="003D7575"/>
    <w:rsid w:val="003D7726"/>
    <w:rsid w:val="003D772A"/>
    <w:rsid w:val="003D7874"/>
    <w:rsid w:val="003D7A21"/>
    <w:rsid w:val="003D7F3F"/>
    <w:rsid w:val="003E0357"/>
    <w:rsid w:val="003E0479"/>
    <w:rsid w:val="003E0A50"/>
    <w:rsid w:val="003E1001"/>
    <w:rsid w:val="003E15EB"/>
    <w:rsid w:val="003E16CD"/>
    <w:rsid w:val="003E17CD"/>
    <w:rsid w:val="003E1B6D"/>
    <w:rsid w:val="003E2037"/>
    <w:rsid w:val="003E2233"/>
    <w:rsid w:val="003E2478"/>
    <w:rsid w:val="003E252B"/>
    <w:rsid w:val="003E2B20"/>
    <w:rsid w:val="003E2DC1"/>
    <w:rsid w:val="003E2ED3"/>
    <w:rsid w:val="003E2F31"/>
    <w:rsid w:val="003E2FC4"/>
    <w:rsid w:val="003E3114"/>
    <w:rsid w:val="003E3294"/>
    <w:rsid w:val="003E3546"/>
    <w:rsid w:val="003E35C2"/>
    <w:rsid w:val="003E35F4"/>
    <w:rsid w:val="003E392D"/>
    <w:rsid w:val="003E3D5C"/>
    <w:rsid w:val="003E4021"/>
    <w:rsid w:val="003E4103"/>
    <w:rsid w:val="003E4302"/>
    <w:rsid w:val="003E436B"/>
    <w:rsid w:val="003E4A11"/>
    <w:rsid w:val="003E4F20"/>
    <w:rsid w:val="003E505D"/>
    <w:rsid w:val="003E50AA"/>
    <w:rsid w:val="003E547D"/>
    <w:rsid w:val="003E5494"/>
    <w:rsid w:val="003E58DE"/>
    <w:rsid w:val="003E5906"/>
    <w:rsid w:val="003E5A53"/>
    <w:rsid w:val="003E5D43"/>
    <w:rsid w:val="003E5EBD"/>
    <w:rsid w:val="003E5FE5"/>
    <w:rsid w:val="003E6292"/>
    <w:rsid w:val="003E6660"/>
    <w:rsid w:val="003E673B"/>
    <w:rsid w:val="003E673D"/>
    <w:rsid w:val="003E6B63"/>
    <w:rsid w:val="003E6B75"/>
    <w:rsid w:val="003E6C9D"/>
    <w:rsid w:val="003E7109"/>
    <w:rsid w:val="003E7646"/>
    <w:rsid w:val="003E770D"/>
    <w:rsid w:val="003E7714"/>
    <w:rsid w:val="003E77F3"/>
    <w:rsid w:val="003E7B53"/>
    <w:rsid w:val="003E7F62"/>
    <w:rsid w:val="003F01C3"/>
    <w:rsid w:val="003F022E"/>
    <w:rsid w:val="003F0371"/>
    <w:rsid w:val="003F0380"/>
    <w:rsid w:val="003F03C1"/>
    <w:rsid w:val="003F049F"/>
    <w:rsid w:val="003F0991"/>
    <w:rsid w:val="003F121B"/>
    <w:rsid w:val="003F1297"/>
    <w:rsid w:val="003F12FC"/>
    <w:rsid w:val="003F19DD"/>
    <w:rsid w:val="003F21E8"/>
    <w:rsid w:val="003F23CB"/>
    <w:rsid w:val="003F24F2"/>
    <w:rsid w:val="003F256A"/>
    <w:rsid w:val="003F28E4"/>
    <w:rsid w:val="003F2B89"/>
    <w:rsid w:val="003F2C3F"/>
    <w:rsid w:val="003F2ED3"/>
    <w:rsid w:val="003F312F"/>
    <w:rsid w:val="003F3294"/>
    <w:rsid w:val="003F330A"/>
    <w:rsid w:val="003F368D"/>
    <w:rsid w:val="003F37E5"/>
    <w:rsid w:val="003F3A5F"/>
    <w:rsid w:val="003F3C3E"/>
    <w:rsid w:val="003F3FB5"/>
    <w:rsid w:val="003F418C"/>
    <w:rsid w:val="003F4446"/>
    <w:rsid w:val="003F477B"/>
    <w:rsid w:val="003F4928"/>
    <w:rsid w:val="003F53F4"/>
    <w:rsid w:val="003F56D0"/>
    <w:rsid w:val="003F5AED"/>
    <w:rsid w:val="003F612A"/>
    <w:rsid w:val="003F6736"/>
    <w:rsid w:val="003F6E43"/>
    <w:rsid w:val="003F6EDB"/>
    <w:rsid w:val="003F6FA6"/>
    <w:rsid w:val="003F744A"/>
    <w:rsid w:val="003F79A2"/>
    <w:rsid w:val="003F7AF3"/>
    <w:rsid w:val="00400064"/>
    <w:rsid w:val="00400139"/>
    <w:rsid w:val="004003A0"/>
    <w:rsid w:val="004003A9"/>
    <w:rsid w:val="00400468"/>
    <w:rsid w:val="00400732"/>
    <w:rsid w:val="004009BD"/>
    <w:rsid w:val="004013F2"/>
    <w:rsid w:val="00401EDF"/>
    <w:rsid w:val="004020E5"/>
    <w:rsid w:val="00402433"/>
    <w:rsid w:val="004024EE"/>
    <w:rsid w:val="00402538"/>
    <w:rsid w:val="0040264F"/>
    <w:rsid w:val="00402A35"/>
    <w:rsid w:val="00402BD7"/>
    <w:rsid w:val="0040311D"/>
    <w:rsid w:val="004033DC"/>
    <w:rsid w:val="0040347C"/>
    <w:rsid w:val="00403484"/>
    <w:rsid w:val="00403531"/>
    <w:rsid w:val="00403A6A"/>
    <w:rsid w:val="00403C14"/>
    <w:rsid w:val="00403D1B"/>
    <w:rsid w:val="004040AA"/>
    <w:rsid w:val="004044E2"/>
    <w:rsid w:val="004049A5"/>
    <w:rsid w:val="00404AC6"/>
    <w:rsid w:val="00404B36"/>
    <w:rsid w:val="00404DB6"/>
    <w:rsid w:val="00404EE9"/>
    <w:rsid w:val="00404F7E"/>
    <w:rsid w:val="0040574E"/>
    <w:rsid w:val="00405B64"/>
    <w:rsid w:val="00405FBD"/>
    <w:rsid w:val="00406363"/>
    <w:rsid w:val="0040641A"/>
    <w:rsid w:val="004068C6"/>
    <w:rsid w:val="0040694B"/>
    <w:rsid w:val="00406A8D"/>
    <w:rsid w:val="00406DD5"/>
    <w:rsid w:val="00406EC4"/>
    <w:rsid w:val="0040701A"/>
    <w:rsid w:val="004071C4"/>
    <w:rsid w:val="004076AA"/>
    <w:rsid w:val="00407C17"/>
    <w:rsid w:val="00407C29"/>
    <w:rsid w:val="00407CD9"/>
    <w:rsid w:val="004101BE"/>
    <w:rsid w:val="004102A0"/>
    <w:rsid w:val="00410332"/>
    <w:rsid w:val="0041034B"/>
    <w:rsid w:val="00410701"/>
    <w:rsid w:val="0041085B"/>
    <w:rsid w:val="00410BE5"/>
    <w:rsid w:val="00410D4A"/>
    <w:rsid w:val="004114A0"/>
    <w:rsid w:val="004114EC"/>
    <w:rsid w:val="004115C9"/>
    <w:rsid w:val="00411612"/>
    <w:rsid w:val="0041174B"/>
    <w:rsid w:val="00411881"/>
    <w:rsid w:val="004118EB"/>
    <w:rsid w:val="00411C09"/>
    <w:rsid w:val="00411F51"/>
    <w:rsid w:val="00411F87"/>
    <w:rsid w:val="00411FB6"/>
    <w:rsid w:val="00412138"/>
    <w:rsid w:val="004124D3"/>
    <w:rsid w:val="00412880"/>
    <w:rsid w:val="00412BDC"/>
    <w:rsid w:val="0041319C"/>
    <w:rsid w:val="00413340"/>
    <w:rsid w:val="0041341E"/>
    <w:rsid w:val="0041393F"/>
    <w:rsid w:val="00413A1A"/>
    <w:rsid w:val="00413B74"/>
    <w:rsid w:val="00413BEA"/>
    <w:rsid w:val="00413DC3"/>
    <w:rsid w:val="004140AF"/>
    <w:rsid w:val="004140B9"/>
    <w:rsid w:val="004143E8"/>
    <w:rsid w:val="0041489E"/>
    <w:rsid w:val="004155BC"/>
    <w:rsid w:val="00415608"/>
    <w:rsid w:val="004156AB"/>
    <w:rsid w:val="00415AAE"/>
    <w:rsid w:val="00416CD6"/>
    <w:rsid w:val="00417089"/>
    <w:rsid w:val="0041710C"/>
    <w:rsid w:val="004171A9"/>
    <w:rsid w:val="00417577"/>
    <w:rsid w:val="0041775E"/>
    <w:rsid w:val="004178F2"/>
    <w:rsid w:val="00417ABB"/>
    <w:rsid w:val="00420129"/>
    <w:rsid w:val="00420493"/>
    <w:rsid w:val="0042090A"/>
    <w:rsid w:val="00420930"/>
    <w:rsid w:val="00420964"/>
    <w:rsid w:val="00420AE3"/>
    <w:rsid w:val="00420DBD"/>
    <w:rsid w:val="00421311"/>
    <w:rsid w:val="0042135A"/>
    <w:rsid w:val="004214E6"/>
    <w:rsid w:val="00421932"/>
    <w:rsid w:val="00421A83"/>
    <w:rsid w:val="00421B1C"/>
    <w:rsid w:val="00421BD7"/>
    <w:rsid w:val="00421DA4"/>
    <w:rsid w:val="00421DBC"/>
    <w:rsid w:val="00422A26"/>
    <w:rsid w:val="00422CFE"/>
    <w:rsid w:val="00422E7F"/>
    <w:rsid w:val="00423121"/>
    <w:rsid w:val="004231C2"/>
    <w:rsid w:val="0042346E"/>
    <w:rsid w:val="00423491"/>
    <w:rsid w:val="00423763"/>
    <w:rsid w:val="00423DF5"/>
    <w:rsid w:val="00424104"/>
    <w:rsid w:val="00424286"/>
    <w:rsid w:val="0042440A"/>
    <w:rsid w:val="004244CC"/>
    <w:rsid w:val="004247CC"/>
    <w:rsid w:val="00424B42"/>
    <w:rsid w:val="0042503A"/>
    <w:rsid w:val="004252D0"/>
    <w:rsid w:val="004255AE"/>
    <w:rsid w:val="00425AB5"/>
    <w:rsid w:val="00425BBC"/>
    <w:rsid w:val="00425BC6"/>
    <w:rsid w:val="00425ED0"/>
    <w:rsid w:val="00425F8E"/>
    <w:rsid w:val="00425FB9"/>
    <w:rsid w:val="004262BA"/>
    <w:rsid w:val="00426A66"/>
    <w:rsid w:val="00426B38"/>
    <w:rsid w:val="00427109"/>
    <w:rsid w:val="004271D9"/>
    <w:rsid w:val="004276F7"/>
    <w:rsid w:val="004278CF"/>
    <w:rsid w:val="00427BA1"/>
    <w:rsid w:val="00427E3C"/>
    <w:rsid w:val="00427E5A"/>
    <w:rsid w:val="004300FF"/>
    <w:rsid w:val="00430606"/>
    <w:rsid w:val="00430803"/>
    <w:rsid w:val="004309B9"/>
    <w:rsid w:val="00430C4A"/>
    <w:rsid w:val="00430D3D"/>
    <w:rsid w:val="00430FAD"/>
    <w:rsid w:val="00431206"/>
    <w:rsid w:val="00431279"/>
    <w:rsid w:val="00431295"/>
    <w:rsid w:val="0043132B"/>
    <w:rsid w:val="00431332"/>
    <w:rsid w:val="004317FE"/>
    <w:rsid w:val="00431806"/>
    <w:rsid w:val="00431927"/>
    <w:rsid w:val="00431C2F"/>
    <w:rsid w:val="00431D56"/>
    <w:rsid w:val="00431FE1"/>
    <w:rsid w:val="004325A3"/>
    <w:rsid w:val="00432675"/>
    <w:rsid w:val="004327DF"/>
    <w:rsid w:val="00432A14"/>
    <w:rsid w:val="00432A32"/>
    <w:rsid w:val="00432A9E"/>
    <w:rsid w:val="00433104"/>
    <w:rsid w:val="00433237"/>
    <w:rsid w:val="004332EA"/>
    <w:rsid w:val="004334D4"/>
    <w:rsid w:val="004337D6"/>
    <w:rsid w:val="00433968"/>
    <w:rsid w:val="004339E1"/>
    <w:rsid w:val="00433A22"/>
    <w:rsid w:val="00433BE3"/>
    <w:rsid w:val="00433E01"/>
    <w:rsid w:val="004341BE"/>
    <w:rsid w:val="00434235"/>
    <w:rsid w:val="0043433A"/>
    <w:rsid w:val="00434496"/>
    <w:rsid w:val="00434786"/>
    <w:rsid w:val="00434DEB"/>
    <w:rsid w:val="00434E83"/>
    <w:rsid w:val="00434EB5"/>
    <w:rsid w:val="0043516D"/>
    <w:rsid w:val="00435241"/>
    <w:rsid w:val="00435366"/>
    <w:rsid w:val="00435368"/>
    <w:rsid w:val="004355F7"/>
    <w:rsid w:val="00435C94"/>
    <w:rsid w:val="00435CED"/>
    <w:rsid w:val="00435F37"/>
    <w:rsid w:val="0043604E"/>
    <w:rsid w:val="00436118"/>
    <w:rsid w:val="00436615"/>
    <w:rsid w:val="004366F5"/>
    <w:rsid w:val="004378FE"/>
    <w:rsid w:val="00437A64"/>
    <w:rsid w:val="00437C66"/>
    <w:rsid w:val="00437C6C"/>
    <w:rsid w:val="00437E19"/>
    <w:rsid w:val="00440865"/>
    <w:rsid w:val="00440888"/>
    <w:rsid w:val="004408C5"/>
    <w:rsid w:val="004409E1"/>
    <w:rsid w:val="00440DCB"/>
    <w:rsid w:val="00440E8D"/>
    <w:rsid w:val="0044108E"/>
    <w:rsid w:val="00441288"/>
    <w:rsid w:val="004418AF"/>
    <w:rsid w:val="00441991"/>
    <w:rsid w:val="004422A1"/>
    <w:rsid w:val="00442582"/>
    <w:rsid w:val="004429F3"/>
    <w:rsid w:val="00442E8D"/>
    <w:rsid w:val="00442FE3"/>
    <w:rsid w:val="00443102"/>
    <w:rsid w:val="0044327C"/>
    <w:rsid w:val="00443358"/>
    <w:rsid w:val="004436AF"/>
    <w:rsid w:val="00443B94"/>
    <w:rsid w:val="00443D62"/>
    <w:rsid w:val="00444156"/>
    <w:rsid w:val="0044448A"/>
    <w:rsid w:val="00444575"/>
    <w:rsid w:val="004448B8"/>
    <w:rsid w:val="00444FF0"/>
    <w:rsid w:val="004452A0"/>
    <w:rsid w:val="004453D9"/>
    <w:rsid w:val="004456A0"/>
    <w:rsid w:val="00445853"/>
    <w:rsid w:val="00445A54"/>
    <w:rsid w:val="00445D08"/>
    <w:rsid w:val="00445D17"/>
    <w:rsid w:val="00445FFE"/>
    <w:rsid w:val="004461CC"/>
    <w:rsid w:val="004462FB"/>
    <w:rsid w:val="00446318"/>
    <w:rsid w:val="0044677A"/>
    <w:rsid w:val="00446998"/>
    <w:rsid w:val="004469F2"/>
    <w:rsid w:val="00446BD6"/>
    <w:rsid w:val="004472EF"/>
    <w:rsid w:val="00447483"/>
    <w:rsid w:val="00447CCF"/>
    <w:rsid w:val="00447F85"/>
    <w:rsid w:val="00450738"/>
    <w:rsid w:val="00450A22"/>
    <w:rsid w:val="00450A77"/>
    <w:rsid w:val="0045133D"/>
    <w:rsid w:val="00451404"/>
    <w:rsid w:val="00451528"/>
    <w:rsid w:val="00451D78"/>
    <w:rsid w:val="00452096"/>
    <w:rsid w:val="00452D1D"/>
    <w:rsid w:val="00452DA7"/>
    <w:rsid w:val="00452EFD"/>
    <w:rsid w:val="00452FD8"/>
    <w:rsid w:val="00453051"/>
    <w:rsid w:val="00453428"/>
    <w:rsid w:val="00453746"/>
    <w:rsid w:val="00453D7F"/>
    <w:rsid w:val="004540F4"/>
    <w:rsid w:val="00454126"/>
    <w:rsid w:val="00454165"/>
    <w:rsid w:val="0045437E"/>
    <w:rsid w:val="004544C9"/>
    <w:rsid w:val="004547F9"/>
    <w:rsid w:val="00454C74"/>
    <w:rsid w:val="00454F31"/>
    <w:rsid w:val="004551C7"/>
    <w:rsid w:val="0045550D"/>
    <w:rsid w:val="00455C50"/>
    <w:rsid w:val="004561BB"/>
    <w:rsid w:val="0045623F"/>
    <w:rsid w:val="00456257"/>
    <w:rsid w:val="004568E6"/>
    <w:rsid w:val="00456AA5"/>
    <w:rsid w:val="00456C94"/>
    <w:rsid w:val="00456F76"/>
    <w:rsid w:val="004573D6"/>
    <w:rsid w:val="004574BC"/>
    <w:rsid w:val="004574DC"/>
    <w:rsid w:val="00457853"/>
    <w:rsid w:val="00457C7D"/>
    <w:rsid w:val="00457E2A"/>
    <w:rsid w:val="00460C8C"/>
    <w:rsid w:val="00460D00"/>
    <w:rsid w:val="00460DC5"/>
    <w:rsid w:val="00460FC8"/>
    <w:rsid w:val="00461028"/>
    <w:rsid w:val="00461375"/>
    <w:rsid w:val="00461604"/>
    <w:rsid w:val="0046191B"/>
    <w:rsid w:val="0046217C"/>
    <w:rsid w:val="004621CF"/>
    <w:rsid w:val="004623B5"/>
    <w:rsid w:val="00462783"/>
    <w:rsid w:val="00462A0E"/>
    <w:rsid w:val="00462BFF"/>
    <w:rsid w:val="00463848"/>
    <w:rsid w:val="00463AF3"/>
    <w:rsid w:val="00463B4D"/>
    <w:rsid w:val="00463DEC"/>
    <w:rsid w:val="00464199"/>
    <w:rsid w:val="004644D7"/>
    <w:rsid w:val="00464678"/>
    <w:rsid w:val="00464736"/>
    <w:rsid w:val="004647F2"/>
    <w:rsid w:val="00464B87"/>
    <w:rsid w:val="00464BEA"/>
    <w:rsid w:val="00464C32"/>
    <w:rsid w:val="00464D4E"/>
    <w:rsid w:val="00465267"/>
    <w:rsid w:val="004653DC"/>
    <w:rsid w:val="004659D8"/>
    <w:rsid w:val="00465AEB"/>
    <w:rsid w:val="00465D61"/>
    <w:rsid w:val="00465E43"/>
    <w:rsid w:val="00466372"/>
    <w:rsid w:val="00466451"/>
    <w:rsid w:val="00466548"/>
    <w:rsid w:val="004667A0"/>
    <w:rsid w:val="00466927"/>
    <w:rsid w:val="0046699C"/>
    <w:rsid w:val="004669DB"/>
    <w:rsid w:val="00466AB6"/>
    <w:rsid w:val="00466BC2"/>
    <w:rsid w:val="00466FE4"/>
    <w:rsid w:val="00467057"/>
    <w:rsid w:val="0046736F"/>
    <w:rsid w:val="00467499"/>
    <w:rsid w:val="004675C2"/>
    <w:rsid w:val="004676D4"/>
    <w:rsid w:val="00470030"/>
    <w:rsid w:val="004702A3"/>
    <w:rsid w:val="00470A15"/>
    <w:rsid w:val="00470AFD"/>
    <w:rsid w:val="00470DE1"/>
    <w:rsid w:val="00470E16"/>
    <w:rsid w:val="0047196D"/>
    <w:rsid w:val="00471A6A"/>
    <w:rsid w:val="00471CC6"/>
    <w:rsid w:val="00471DEB"/>
    <w:rsid w:val="00471F20"/>
    <w:rsid w:val="0047222E"/>
    <w:rsid w:val="0047233E"/>
    <w:rsid w:val="00472392"/>
    <w:rsid w:val="004724B3"/>
    <w:rsid w:val="0047283E"/>
    <w:rsid w:val="0047295F"/>
    <w:rsid w:val="00472EFF"/>
    <w:rsid w:val="0047305C"/>
    <w:rsid w:val="004730AE"/>
    <w:rsid w:val="00473696"/>
    <w:rsid w:val="004737F3"/>
    <w:rsid w:val="00473B1D"/>
    <w:rsid w:val="00473CAD"/>
    <w:rsid w:val="00473EF1"/>
    <w:rsid w:val="00474216"/>
    <w:rsid w:val="00474801"/>
    <w:rsid w:val="004748F4"/>
    <w:rsid w:val="00474B7D"/>
    <w:rsid w:val="00474DF8"/>
    <w:rsid w:val="00474EB2"/>
    <w:rsid w:val="00474FC6"/>
    <w:rsid w:val="004751D6"/>
    <w:rsid w:val="004754D4"/>
    <w:rsid w:val="004754DB"/>
    <w:rsid w:val="004757E7"/>
    <w:rsid w:val="00475C33"/>
    <w:rsid w:val="00475F96"/>
    <w:rsid w:val="00476378"/>
    <w:rsid w:val="00477046"/>
    <w:rsid w:val="00477D5F"/>
    <w:rsid w:val="00477EBF"/>
    <w:rsid w:val="004801E3"/>
    <w:rsid w:val="004803C5"/>
    <w:rsid w:val="00480883"/>
    <w:rsid w:val="0048150D"/>
    <w:rsid w:val="00481645"/>
    <w:rsid w:val="004816AA"/>
    <w:rsid w:val="0048198B"/>
    <w:rsid w:val="00481F24"/>
    <w:rsid w:val="00482163"/>
    <w:rsid w:val="00482350"/>
    <w:rsid w:val="004826A0"/>
    <w:rsid w:val="00483235"/>
    <w:rsid w:val="004839A8"/>
    <w:rsid w:val="00483B36"/>
    <w:rsid w:val="00483B9F"/>
    <w:rsid w:val="00483BDD"/>
    <w:rsid w:val="00483FF2"/>
    <w:rsid w:val="0048415E"/>
    <w:rsid w:val="004841C2"/>
    <w:rsid w:val="004845A2"/>
    <w:rsid w:val="00484906"/>
    <w:rsid w:val="00484A14"/>
    <w:rsid w:val="00484ACC"/>
    <w:rsid w:val="00484DE8"/>
    <w:rsid w:val="004850DF"/>
    <w:rsid w:val="00485438"/>
    <w:rsid w:val="0048564B"/>
    <w:rsid w:val="00485974"/>
    <w:rsid w:val="00485BD0"/>
    <w:rsid w:val="00485D3C"/>
    <w:rsid w:val="00485D69"/>
    <w:rsid w:val="00485DFA"/>
    <w:rsid w:val="0048601B"/>
    <w:rsid w:val="004860CD"/>
    <w:rsid w:val="004860F1"/>
    <w:rsid w:val="004862BA"/>
    <w:rsid w:val="00486567"/>
    <w:rsid w:val="004867BD"/>
    <w:rsid w:val="00486F2C"/>
    <w:rsid w:val="00486F54"/>
    <w:rsid w:val="00487114"/>
    <w:rsid w:val="0048754D"/>
    <w:rsid w:val="0048766E"/>
    <w:rsid w:val="00487B71"/>
    <w:rsid w:val="00487DAA"/>
    <w:rsid w:val="00487DE7"/>
    <w:rsid w:val="00487E0F"/>
    <w:rsid w:val="00487F21"/>
    <w:rsid w:val="00487FD5"/>
    <w:rsid w:val="004902F4"/>
    <w:rsid w:val="00490841"/>
    <w:rsid w:val="00490A35"/>
    <w:rsid w:val="00490E36"/>
    <w:rsid w:val="00490E3D"/>
    <w:rsid w:val="0049125A"/>
    <w:rsid w:val="00491322"/>
    <w:rsid w:val="00491340"/>
    <w:rsid w:val="004914E3"/>
    <w:rsid w:val="00491648"/>
    <w:rsid w:val="00492281"/>
    <w:rsid w:val="00492747"/>
    <w:rsid w:val="00492A04"/>
    <w:rsid w:val="00492B9E"/>
    <w:rsid w:val="004931B4"/>
    <w:rsid w:val="0049335D"/>
    <w:rsid w:val="004938AB"/>
    <w:rsid w:val="004948D8"/>
    <w:rsid w:val="0049499E"/>
    <w:rsid w:val="00494C41"/>
    <w:rsid w:val="00495121"/>
    <w:rsid w:val="0049533B"/>
    <w:rsid w:val="00496175"/>
    <w:rsid w:val="0049681C"/>
    <w:rsid w:val="00496FB3"/>
    <w:rsid w:val="0049700E"/>
    <w:rsid w:val="00497021"/>
    <w:rsid w:val="00497594"/>
    <w:rsid w:val="004975E2"/>
    <w:rsid w:val="00497636"/>
    <w:rsid w:val="004976A7"/>
    <w:rsid w:val="00497715"/>
    <w:rsid w:val="00497B59"/>
    <w:rsid w:val="00497D9E"/>
    <w:rsid w:val="00497EDA"/>
    <w:rsid w:val="00497FCB"/>
    <w:rsid w:val="004A0238"/>
    <w:rsid w:val="004A0862"/>
    <w:rsid w:val="004A098E"/>
    <w:rsid w:val="004A0B8D"/>
    <w:rsid w:val="004A1010"/>
    <w:rsid w:val="004A10EF"/>
    <w:rsid w:val="004A1492"/>
    <w:rsid w:val="004A15B8"/>
    <w:rsid w:val="004A19A9"/>
    <w:rsid w:val="004A19ED"/>
    <w:rsid w:val="004A248B"/>
    <w:rsid w:val="004A2501"/>
    <w:rsid w:val="004A253F"/>
    <w:rsid w:val="004A2B85"/>
    <w:rsid w:val="004A2C23"/>
    <w:rsid w:val="004A2F90"/>
    <w:rsid w:val="004A3B96"/>
    <w:rsid w:val="004A3BAB"/>
    <w:rsid w:val="004A3BB1"/>
    <w:rsid w:val="004A3E80"/>
    <w:rsid w:val="004A4355"/>
    <w:rsid w:val="004A441B"/>
    <w:rsid w:val="004A4420"/>
    <w:rsid w:val="004A477A"/>
    <w:rsid w:val="004A5173"/>
    <w:rsid w:val="004A55C8"/>
    <w:rsid w:val="004A570D"/>
    <w:rsid w:val="004A5B16"/>
    <w:rsid w:val="004A5E3D"/>
    <w:rsid w:val="004A60A8"/>
    <w:rsid w:val="004A61F6"/>
    <w:rsid w:val="004A6322"/>
    <w:rsid w:val="004A6331"/>
    <w:rsid w:val="004A6408"/>
    <w:rsid w:val="004A6BBA"/>
    <w:rsid w:val="004A70C2"/>
    <w:rsid w:val="004A7328"/>
    <w:rsid w:val="004A7371"/>
    <w:rsid w:val="004A74F4"/>
    <w:rsid w:val="004A7564"/>
    <w:rsid w:val="004A7A8A"/>
    <w:rsid w:val="004A7AD9"/>
    <w:rsid w:val="004A7B1F"/>
    <w:rsid w:val="004B029E"/>
    <w:rsid w:val="004B05D8"/>
    <w:rsid w:val="004B06D2"/>
    <w:rsid w:val="004B0735"/>
    <w:rsid w:val="004B0798"/>
    <w:rsid w:val="004B095A"/>
    <w:rsid w:val="004B0B50"/>
    <w:rsid w:val="004B0C69"/>
    <w:rsid w:val="004B0DFB"/>
    <w:rsid w:val="004B1104"/>
    <w:rsid w:val="004B160D"/>
    <w:rsid w:val="004B1A96"/>
    <w:rsid w:val="004B1CBE"/>
    <w:rsid w:val="004B214A"/>
    <w:rsid w:val="004B21BC"/>
    <w:rsid w:val="004B2210"/>
    <w:rsid w:val="004B2376"/>
    <w:rsid w:val="004B23C1"/>
    <w:rsid w:val="004B2598"/>
    <w:rsid w:val="004B2D8D"/>
    <w:rsid w:val="004B30E2"/>
    <w:rsid w:val="004B3468"/>
    <w:rsid w:val="004B359A"/>
    <w:rsid w:val="004B38D9"/>
    <w:rsid w:val="004B3AFA"/>
    <w:rsid w:val="004B3ED3"/>
    <w:rsid w:val="004B3F51"/>
    <w:rsid w:val="004B4019"/>
    <w:rsid w:val="004B4230"/>
    <w:rsid w:val="004B43ED"/>
    <w:rsid w:val="004B4519"/>
    <w:rsid w:val="004B471E"/>
    <w:rsid w:val="004B4C8F"/>
    <w:rsid w:val="004B5167"/>
    <w:rsid w:val="004B538F"/>
    <w:rsid w:val="004B55ED"/>
    <w:rsid w:val="004B56D4"/>
    <w:rsid w:val="004B6043"/>
    <w:rsid w:val="004B6379"/>
    <w:rsid w:val="004B64E8"/>
    <w:rsid w:val="004B6562"/>
    <w:rsid w:val="004B6609"/>
    <w:rsid w:val="004B6693"/>
    <w:rsid w:val="004B6A5F"/>
    <w:rsid w:val="004B6F63"/>
    <w:rsid w:val="004B6F6C"/>
    <w:rsid w:val="004B77C6"/>
    <w:rsid w:val="004B7924"/>
    <w:rsid w:val="004B7988"/>
    <w:rsid w:val="004B7999"/>
    <w:rsid w:val="004B7FC7"/>
    <w:rsid w:val="004C0486"/>
    <w:rsid w:val="004C0C53"/>
    <w:rsid w:val="004C0D4F"/>
    <w:rsid w:val="004C0F45"/>
    <w:rsid w:val="004C10B4"/>
    <w:rsid w:val="004C12DD"/>
    <w:rsid w:val="004C18AD"/>
    <w:rsid w:val="004C194A"/>
    <w:rsid w:val="004C1A1B"/>
    <w:rsid w:val="004C1F18"/>
    <w:rsid w:val="004C2098"/>
    <w:rsid w:val="004C2390"/>
    <w:rsid w:val="004C29BA"/>
    <w:rsid w:val="004C3253"/>
    <w:rsid w:val="004C33B1"/>
    <w:rsid w:val="004C3400"/>
    <w:rsid w:val="004C3758"/>
    <w:rsid w:val="004C3BCC"/>
    <w:rsid w:val="004C45DC"/>
    <w:rsid w:val="004C4B8C"/>
    <w:rsid w:val="004C4FC2"/>
    <w:rsid w:val="004C5103"/>
    <w:rsid w:val="004C5525"/>
    <w:rsid w:val="004C579C"/>
    <w:rsid w:val="004C58DA"/>
    <w:rsid w:val="004C5907"/>
    <w:rsid w:val="004C5AB8"/>
    <w:rsid w:val="004C5BFE"/>
    <w:rsid w:val="004C5C9B"/>
    <w:rsid w:val="004C5FBF"/>
    <w:rsid w:val="004C60FA"/>
    <w:rsid w:val="004C62CC"/>
    <w:rsid w:val="004C6A31"/>
    <w:rsid w:val="004C6B28"/>
    <w:rsid w:val="004C6B94"/>
    <w:rsid w:val="004C7123"/>
    <w:rsid w:val="004C7360"/>
    <w:rsid w:val="004C7834"/>
    <w:rsid w:val="004C7B18"/>
    <w:rsid w:val="004C7C5A"/>
    <w:rsid w:val="004C7C74"/>
    <w:rsid w:val="004C7FAE"/>
    <w:rsid w:val="004D0085"/>
    <w:rsid w:val="004D009E"/>
    <w:rsid w:val="004D04CA"/>
    <w:rsid w:val="004D0630"/>
    <w:rsid w:val="004D0670"/>
    <w:rsid w:val="004D071D"/>
    <w:rsid w:val="004D0858"/>
    <w:rsid w:val="004D0B7D"/>
    <w:rsid w:val="004D0C75"/>
    <w:rsid w:val="004D1010"/>
    <w:rsid w:val="004D10E1"/>
    <w:rsid w:val="004D1351"/>
    <w:rsid w:val="004D1612"/>
    <w:rsid w:val="004D186A"/>
    <w:rsid w:val="004D1913"/>
    <w:rsid w:val="004D20B1"/>
    <w:rsid w:val="004D2114"/>
    <w:rsid w:val="004D2239"/>
    <w:rsid w:val="004D2437"/>
    <w:rsid w:val="004D2583"/>
    <w:rsid w:val="004D25A0"/>
    <w:rsid w:val="004D277C"/>
    <w:rsid w:val="004D2DD6"/>
    <w:rsid w:val="004D2F15"/>
    <w:rsid w:val="004D2FA9"/>
    <w:rsid w:val="004D2FB5"/>
    <w:rsid w:val="004D30C2"/>
    <w:rsid w:val="004D31AF"/>
    <w:rsid w:val="004D344C"/>
    <w:rsid w:val="004D354A"/>
    <w:rsid w:val="004D3A81"/>
    <w:rsid w:val="004D3ABB"/>
    <w:rsid w:val="004D3B48"/>
    <w:rsid w:val="004D3E61"/>
    <w:rsid w:val="004D3F2B"/>
    <w:rsid w:val="004D4432"/>
    <w:rsid w:val="004D46C0"/>
    <w:rsid w:val="004D4C15"/>
    <w:rsid w:val="004D4D11"/>
    <w:rsid w:val="004D5222"/>
    <w:rsid w:val="004D5842"/>
    <w:rsid w:val="004D597C"/>
    <w:rsid w:val="004D5AAA"/>
    <w:rsid w:val="004D5F36"/>
    <w:rsid w:val="004D60C9"/>
    <w:rsid w:val="004D61F6"/>
    <w:rsid w:val="004D69F8"/>
    <w:rsid w:val="004D6D5E"/>
    <w:rsid w:val="004D6DE4"/>
    <w:rsid w:val="004D750B"/>
    <w:rsid w:val="004D7601"/>
    <w:rsid w:val="004D7D69"/>
    <w:rsid w:val="004D7DF6"/>
    <w:rsid w:val="004D7FDB"/>
    <w:rsid w:val="004E000C"/>
    <w:rsid w:val="004E01BD"/>
    <w:rsid w:val="004E0240"/>
    <w:rsid w:val="004E036F"/>
    <w:rsid w:val="004E04A1"/>
    <w:rsid w:val="004E0A1F"/>
    <w:rsid w:val="004E0A36"/>
    <w:rsid w:val="004E1053"/>
    <w:rsid w:val="004E111F"/>
    <w:rsid w:val="004E1B1D"/>
    <w:rsid w:val="004E200C"/>
    <w:rsid w:val="004E21CF"/>
    <w:rsid w:val="004E2462"/>
    <w:rsid w:val="004E249D"/>
    <w:rsid w:val="004E2508"/>
    <w:rsid w:val="004E2819"/>
    <w:rsid w:val="004E28D3"/>
    <w:rsid w:val="004E28E6"/>
    <w:rsid w:val="004E2E2F"/>
    <w:rsid w:val="004E2FCA"/>
    <w:rsid w:val="004E312F"/>
    <w:rsid w:val="004E31A4"/>
    <w:rsid w:val="004E3B51"/>
    <w:rsid w:val="004E3DC9"/>
    <w:rsid w:val="004E45BE"/>
    <w:rsid w:val="004E4B1A"/>
    <w:rsid w:val="004E4EFD"/>
    <w:rsid w:val="004E52C8"/>
    <w:rsid w:val="004E5440"/>
    <w:rsid w:val="004E5648"/>
    <w:rsid w:val="004E5B0A"/>
    <w:rsid w:val="004E6359"/>
    <w:rsid w:val="004E658C"/>
    <w:rsid w:val="004E65C0"/>
    <w:rsid w:val="004E65EB"/>
    <w:rsid w:val="004E6641"/>
    <w:rsid w:val="004E666F"/>
    <w:rsid w:val="004E6955"/>
    <w:rsid w:val="004E7B0B"/>
    <w:rsid w:val="004E7C0D"/>
    <w:rsid w:val="004E7D7C"/>
    <w:rsid w:val="004F0032"/>
    <w:rsid w:val="004F12B8"/>
    <w:rsid w:val="004F1461"/>
    <w:rsid w:val="004F16E8"/>
    <w:rsid w:val="004F1A76"/>
    <w:rsid w:val="004F1DD1"/>
    <w:rsid w:val="004F1FBF"/>
    <w:rsid w:val="004F1FEA"/>
    <w:rsid w:val="004F2024"/>
    <w:rsid w:val="004F203A"/>
    <w:rsid w:val="004F2453"/>
    <w:rsid w:val="004F285B"/>
    <w:rsid w:val="004F30DA"/>
    <w:rsid w:val="004F330D"/>
    <w:rsid w:val="004F3AD3"/>
    <w:rsid w:val="004F404B"/>
    <w:rsid w:val="004F45F0"/>
    <w:rsid w:val="004F45F4"/>
    <w:rsid w:val="004F47D3"/>
    <w:rsid w:val="004F49F2"/>
    <w:rsid w:val="004F4CBF"/>
    <w:rsid w:val="004F4E63"/>
    <w:rsid w:val="004F4F17"/>
    <w:rsid w:val="004F4F67"/>
    <w:rsid w:val="004F5427"/>
    <w:rsid w:val="004F5D0E"/>
    <w:rsid w:val="004F619C"/>
    <w:rsid w:val="004F631C"/>
    <w:rsid w:val="004F6505"/>
    <w:rsid w:val="004F6BDB"/>
    <w:rsid w:val="004F6F89"/>
    <w:rsid w:val="004F6FF9"/>
    <w:rsid w:val="004F703F"/>
    <w:rsid w:val="004F7293"/>
    <w:rsid w:val="004F7484"/>
    <w:rsid w:val="004F759A"/>
    <w:rsid w:val="004F7B31"/>
    <w:rsid w:val="004F7EF5"/>
    <w:rsid w:val="005000E9"/>
    <w:rsid w:val="0050051F"/>
    <w:rsid w:val="0050067D"/>
    <w:rsid w:val="00500DE2"/>
    <w:rsid w:val="00500FBE"/>
    <w:rsid w:val="0050121A"/>
    <w:rsid w:val="00501672"/>
    <w:rsid w:val="00501AD3"/>
    <w:rsid w:val="00501B72"/>
    <w:rsid w:val="00502B2C"/>
    <w:rsid w:val="00502B7F"/>
    <w:rsid w:val="00502BBF"/>
    <w:rsid w:val="00502D2B"/>
    <w:rsid w:val="00502D80"/>
    <w:rsid w:val="00502ED0"/>
    <w:rsid w:val="005030E1"/>
    <w:rsid w:val="0050344A"/>
    <w:rsid w:val="005034EA"/>
    <w:rsid w:val="005036CF"/>
    <w:rsid w:val="0050378F"/>
    <w:rsid w:val="00503C55"/>
    <w:rsid w:val="00503C6A"/>
    <w:rsid w:val="00503D15"/>
    <w:rsid w:val="005040FB"/>
    <w:rsid w:val="005042FA"/>
    <w:rsid w:val="00504919"/>
    <w:rsid w:val="00504A3E"/>
    <w:rsid w:val="00504CB7"/>
    <w:rsid w:val="00504E32"/>
    <w:rsid w:val="00505018"/>
    <w:rsid w:val="00505400"/>
    <w:rsid w:val="0050554D"/>
    <w:rsid w:val="00505918"/>
    <w:rsid w:val="0050594A"/>
    <w:rsid w:val="00505D60"/>
    <w:rsid w:val="00505D64"/>
    <w:rsid w:val="00505FD8"/>
    <w:rsid w:val="00506448"/>
    <w:rsid w:val="005065AC"/>
    <w:rsid w:val="00506800"/>
    <w:rsid w:val="00506F18"/>
    <w:rsid w:val="005072DA"/>
    <w:rsid w:val="005075A8"/>
    <w:rsid w:val="00507C35"/>
    <w:rsid w:val="00507DFE"/>
    <w:rsid w:val="00507EC4"/>
    <w:rsid w:val="0051061A"/>
    <w:rsid w:val="00510733"/>
    <w:rsid w:val="00510A91"/>
    <w:rsid w:val="00510E33"/>
    <w:rsid w:val="0051139E"/>
    <w:rsid w:val="00511457"/>
    <w:rsid w:val="005116BD"/>
    <w:rsid w:val="005117BB"/>
    <w:rsid w:val="005121BE"/>
    <w:rsid w:val="005122A8"/>
    <w:rsid w:val="00512582"/>
    <w:rsid w:val="005127B1"/>
    <w:rsid w:val="0051292E"/>
    <w:rsid w:val="00512A46"/>
    <w:rsid w:val="00512BDA"/>
    <w:rsid w:val="00512E76"/>
    <w:rsid w:val="005133EF"/>
    <w:rsid w:val="005134E0"/>
    <w:rsid w:val="00513A34"/>
    <w:rsid w:val="00513B91"/>
    <w:rsid w:val="00513E13"/>
    <w:rsid w:val="00513E1E"/>
    <w:rsid w:val="005142DA"/>
    <w:rsid w:val="00514845"/>
    <w:rsid w:val="00514942"/>
    <w:rsid w:val="00514967"/>
    <w:rsid w:val="00514B67"/>
    <w:rsid w:val="005150F0"/>
    <w:rsid w:val="00515199"/>
    <w:rsid w:val="00515612"/>
    <w:rsid w:val="00515749"/>
    <w:rsid w:val="0051599B"/>
    <w:rsid w:val="00515E57"/>
    <w:rsid w:val="00515EA0"/>
    <w:rsid w:val="0051607D"/>
    <w:rsid w:val="0051616F"/>
    <w:rsid w:val="00516232"/>
    <w:rsid w:val="005163E6"/>
    <w:rsid w:val="005164DD"/>
    <w:rsid w:val="00516BB5"/>
    <w:rsid w:val="00516BCA"/>
    <w:rsid w:val="00516D41"/>
    <w:rsid w:val="00516EAB"/>
    <w:rsid w:val="00517278"/>
    <w:rsid w:val="005178F1"/>
    <w:rsid w:val="0051792F"/>
    <w:rsid w:val="00517982"/>
    <w:rsid w:val="00517CE9"/>
    <w:rsid w:val="00517DCD"/>
    <w:rsid w:val="00520060"/>
    <w:rsid w:val="005203F1"/>
    <w:rsid w:val="00520520"/>
    <w:rsid w:val="00520D25"/>
    <w:rsid w:val="00520EF1"/>
    <w:rsid w:val="005210A5"/>
    <w:rsid w:val="0052136F"/>
    <w:rsid w:val="00521490"/>
    <w:rsid w:val="005217BF"/>
    <w:rsid w:val="00521B8B"/>
    <w:rsid w:val="00521D19"/>
    <w:rsid w:val="00521DF2"/>
    <w:rsid w:val="0052260E"/>
    <w:rsid w:val="0052280E"/>
    <w:rsid w:val="00522814"/>
    <w:rsid w:val="00522A4E"/>
    <w:rsid w:val="00522BFF"/>
    <w:rsid w:val="005231AD"/>
    <w:rsid w:val="005231F6"/>
    <w:rsid w:val="0052344C"/>
    <w:rsid w:val="005236F6"/>
    <w:rsid w:val="0052370A"/>
    <w:rsid w:val="00523E01"/>
    <w:rsid w:val="00523F5F"/>
    <w:rsid w:val="0052461E"/>
    <w:rsid w:val="00524701"/>
    <w:rsid w:val="00524918"/>
    <w:rsid w:val="00524C4D"/>
    <w:rsid w:val="00524C9B"/>
    <w:rsid w:val="00524E26"/>
    <w:rsid w:val="00524EEC"/>
    <w:rsid w:val="005250E4"/>
    <w:rsid w:val="0052536F"/>
    <w:rsid w:val="00525DAB"/>
    <w:rsid w:val="00525E45"/>
    <w:rsid w:val="0052603E"/>
    <w:rsid w:val="00526162"/>
    <w:rsid w:val="00526459"/>
    <w:rsid w:val="00526A09"/>
    <w:rsid w:val="00526EB4"/>
    <w:rsid w:val="0052708D"/>
    <w:rsid w:val="00527181"/>
    <w:rsid w:val="00527592"/>
    <w:rsid w:val="00527A29"/>
    <w:rsid w:val="00527B60"/>
    <w:rsid w:val="00527CF9"/>
    <w:rsid w:val="005304C8"/>
    <w:rsid w:val="005308F5"/>
    <w:rsid w:val="005309EF"/>
    <w:rsid w:val="00531126"/>
    <w:rsid w:val="005311F4"/>
    <w:rsid w:val="0053124F"/>
    <w:rsid w:val="005317FE"/>
    <w:rsid w:val="00531AD4"/>
    <w:rsid w:val="00531B62"/>
    <w:rsid w:val="00531D2F"/>
    <w:rsid w:val="00531DFD"/>
    <w:rsid w:val="0053209D"/>
    <w:rsid w:val="005320F1"/>
    <w:rsid w:val="0053219C"/>
    <w:rsid w:val="0053247F"/>
    <w:rsid w:val="00532625"/>
    <w:rsid w:val="00532A22"/>
    <w:rsid w:val="00532C8F"/>
    <w:rsid w:val="00532CD7"/>
    <w:rsid w:val="005331B0"/>
    <w:rsid w:val="0053328F"/>
    <w:rsid w:val="00533295"/>
    <w:rsid w:val="00533397"/>
    <w:rsid w:val="005341DB"/>
    <w:rsid w:val="0053427E"/>
    <w:rsid w:val="00534452"/>
    <w:rsid w:val="0053470B"/>
    <w:rsid w:val="00534863"/>
    <w:rsid w:val="00534A4E"/>
    <w:rsid w:val="00534C14"/>
    <w:rsid w:val="00534C54"/>
    <w:rsid w:val="00534CD6"/>
    <w:rsid w:val="00534DDC"/>
    <w:rsid w:val="00534DE1"/>
    <w:rsid w:val="00534F4D"/>
    <w:rsid w:val="005356D3"/>
    <w:rsid w:val="005357BF"/>
    <w:rsid w:val="00535B5A"/>
    <w:rsid w:val="00536395"/>
    <w:rsid w:val="0053665D"/>
    <w:rsid w:val="005366FD"/>
    <w:rsid w:val="00536833"/>
    <w:rsid w:val="00536855"/>
    <w:rsid w:val="0053757F"/>
    <w:rsid w:val="00537592"/>
    <w:rsid w:val="00537770"/>
    <w:rsid w:val="00537A1A"/>
    <w:rsid w:val="00537D76"/>
    <w:rsid w:val="0054005C"/>
    <w:rsid w:val="00540326"/>
    <w:rsid w:val="00540379"/>
    <w:rsid w:val="00540389"/>
    <w:rsid w:val="00540854"/>
    <w:rsid w:val="005408CE"/>
    <w:rsid w:val="00540FEE"/>
    <w:rsid w:val="0054110C"/>
    <w:rsid w:val="00541176"/>
    <w:rsid w:val="0054158D"/>
    <w:rsid w:val="00541635"/>
    <w:rsid w:val="005416CB"/>
    <w:rsid w:val="005417C0"/>
    <w:rsid w:val="005419A5"/>
    <w:rsid w:val="00541A93"/>
    <w:rsid w:val="00541C01"/>
    <w:rsid w:val="00541C78"/>
    <w:rsid w:val="00541E0F"/>
    <w:rsid w:val="00542554"/>
    <w:rsid w:val="00542B81"/>
    <w:rsid w:val="00542EB9"/>
    <w:rsid w:val="00542F13"/>
    <w:rsid w:val="00542FD7"/>
    <w:rsid w:val="00543103"/>
    <w:rsid w:val="00543118"/>
    <w:rsid w:val="00543319"/>
    <w:rsid w:val="0054347F"/>
    <w:rsid w:val="0054357A"/>
    <w:rsid w:val="0054391B"/>
    <w:rsid w:val="005439B1"/>
    <w:rsid w:val="00543AD4"/>
    <w:rsid w:val="00543E77"/>
    <w:rsid w:val="005441BB"/>
    <w:rsid w:val="005441DF"/>
    <w:rsid w:val="00544325"/>
    <w:rsid w:val="00544CDE"/>
    <w:rsid w:val="00545062"/>
    <w:rsid w:val="0054551B"/>
    <w:rsid w:val="00545808"/>
    <w:rsid w:val="0054580F"/>
    <w:rsid w:val="00545847"/>
    <w:rsid w:val="005458CD"/>
    <w:rsid w:val="00545940"/>
    <w:rsid w:val="00545C5E"/>
    <w:rsid w:val="005462C9"/>
    <w:rsid w:val="00546703"/>
    <w:rsid w:val="0054694F"/>
    <w:rsid w:val="00546ACB"/>
    <w:rsid w:val="00546F37"/>
    <w:rsid w:val="0054716C"/>
    <w:rsid w:val="0054723E"/>
    <w:rsid w:val="0054788E"/>
    <w:rsid w:val="00547954"/>
    <w:rsid w:val="00547B98"/>
    <w:rsid w:val="0055000A"/>
    <w:rsid w:val="00550223"/>
    <w:rsid w:val="005502A1"/>
    <w:rsid w:val="005504CD"/>
    <w:rsid w:val="005504DC"/>
    <w:rsid w:val="005504F0"/>
    <w:rsid w:val="00550620"/>
    <w:rsid w:val="005507B0"/>
    <w:rsid w:val="00550C23"/>
    <w:rsid w:val="00550D00"/>
    <w:rsid w:val="00550E0B"/>
    <w:rsid w:val="005514C8"/>
    <w:rsid w:val="00551C7F"/>
    <w:rsid w:val="00551CD4"/>
    <w:rsid w:val="00551DEA"/>
    <w:rsid w:val="005523EA"/>
    <w:rsid w:val="0055254B"/>
    <w:rsid w:val="0055302F"/>
    <w:rsid w:val="00553078"/>
    <w:rsid w:val="005530A7"/>
    <w:rsid w:val="0055323F"/>
    <w:rsid w:val="00553534"/>
    <w:rsid w:val="00554907"/>
    <w:rsid w:val="00554986"/>
    <w:rsid w:val="00554DF7"/>
    <w:rsid w:val="00554E84"/>
    <w:rsid w:val="00554E85"/>
    <w:rsid w:val="00554EA2"/>
    <w:rsid w:val="00555286"/>
    <w:rsid w:val="0055534C"/>
    <w:rsid w:val="00555939"/>
    <w:rsid w:val="00555B53"/>
    <w:rsid w:val="00555C77"/>
    <w:rsid w:val="00556011"/>
    <w:rsid w:val="00556314"/>
    <w:rsid w:val="00556673"/>
    <w:rsid w:val="00557122"/>
    <w:rsid w:val="00557467"/>
    <w:rsid w:val="00557B86"/>
    <w:rsid w:val="00557CD2"/>
    <w:rsid w:val="00557E5A"/>
    <w:rsid w:val="00557F83"/>
    <w:rsid w:val="005600E6"/>
    <w:rsid w:val="005601CE"/>
    <w:rsid w:val="005602AE"/>
    <w:rsid w:val="0056059C"/>
    <w:rsid w:val="0056081B"/>
    <w:rsid w:val="0056086D"/>
    <w:rsid w:val="00560901"/>
    <w:rsid w:val="00560A75"/>
    <w:rsid w:val="00560C1D"/>
    <w:rsid w:val="005614FF"/>
    <w:rsid w:val="00562005"/>
    <w:rsid w:val="005622DF"/>
    <w:rsid w:val="00562596"/>
    <w:rsid w:val="00562773"/>
    <w:rsid w:val="00563E6F"/>
    <w:rsid w:val="00563EE1"/>
    <w:rsid w:val="00564007"/>
    <w:rsid w:val="005645C8"/>
    <w:rsid w:val="00564A2F"/>
    <w:rsid w:val="00564EF4"/>
    <w:rsid w:val="00564F99"/>
    <w:rsid w:val="005658F1"/>
    <w:rsid w:val="00565B5C"/>
    <w:rsid w:val="005660F6"/>
    <w:rsid w:val="005662C9"/>
    <w:rsid w:val="005667B4"/>
    <w:rsid w:val="00566C30"/>
    <w:rsid w:val="00566E20"/>
    <w:rsid w:val="00566F63"/>
    <w:rsid w:val="0056708C"/>
    <w:rsid w:val="005670C2"/>
    <w:rsid w:val="00567681"/>
    <w:rsid w:val="005676C8"/>
    <w:rsid w:val="005679A8"/>
    <w:rsid w:val="00567A21"/>
    <w:rsid w:val="00567C92"/>
    <w:rsid w:val="00567CFA"/>
    <w:rsid w:val="00567D1B"/>
    <w:rsid w:val="00570285"/>
    <w:rsid w:val="005704C5"/>
    <w:rsid w:val="00570973"/>
    <w:rsid w:val="00570BB1"/>
    <w:rsid w:val="00570C99"/>
    <w:rsid w:val="00570CFA"/>
    <w:rsid w:val="0057100D"/>
    <w:rsid w:val="00571035"/>
    <w:rsid w:val="00571586"/>
    <w:rsid w:val="00571778"/>
    <w:rsid w:val="00571809"/>
    <w:rsid w:val="00571853"/>
    <w:rsid w:val="005718CC"/>
    <w:rsid w:val="00571C68"/>
    <w:rsid w:val="00572052"/>
    <w:rsid w:val="005720A3"/>
    <w:rsid w:val="0057223B"/>
    <w:rsid w:val="0057272A"/>
    <w:rsid w:val="005727B1"/>
    <w:rsid w:val="00572A7B"/>
    <w:rsid w:val="00572AAC"/>
    <w:rsid w:val="0057312F"/>
    <w:rsid w:val="005745D2"/>
    <w:rsid w:val="005746AA"/>
    <w:rsid w:val="00574C51"/>
    <w:rsid w:val="00574DD2"/>
    <w:rsid w:val="005751F2"/>
    <w:rsid w:val="00575240"/>
    <w:rsid w:val="00575331"/>
    <w:rsid w:val="0057559A"/>
    <w:rsid w:val="00575638"/>
    <w:rsid w:val="0057595A"/>
    <w:rsid w:val="00575AE1"/>
    <w:rsid w:val="00575CA9"/>
    <w:rsid w:val="00576237"/>
    <w:rsid w:val="0057628E"/>
    <w:rsid w:val="005766E6"/>
    <w:rsid w:val="00576777"/>
    <w:rsid w:val="0057684D"/>
    <w:rsid w:val="005769E6"/>
    <w:rsid w:val="0057742C"/>
    <w:rsid w:val="005774F2"/>
    <w:rsid w:val="00577534"/>
    <w:rsid w:val="0057759A"/>
    <w:rsid w:val="0057761E"/>
    <w:rsid w:val="00577B0D"/>
    <w:rsid w:val="00577C1F"/>
    <w:rsid w:val="00577D3F"/>
    <w:rsid w:val="00577FBF"/>
    <w:rsid w:val="0058010F"/>
    <w:rsid w:val="005801E0"/>
    <w:rsid w:val="0058022E"/>
    <w:rsid w:val="0058069F"/>
    <w:rsid w:val="00580A97"/>
    <w:rsid w:val="00580AFA"/>
    <w:rsid w:val="0058123D"/>
    <w:rsid w:val="0058131E"/>
    <w:rsid w:val="00581481"/>
    <w:rsid w:val="005819BF"/>
    <w:rsid w:val="00581FDC"/>
    <w:rsid w:val="00581FF6"/>
    <w:rsid w:val="00582793"/>
    <w:rsid w:val="00582B6D"/>
    <w:rsid w:val="00583286"/>
    <w:rsid w:val="0058337F"/>
    <w:rsid w:val="005835BC"/>
    <w:rsid w:val="005836D2"/>
    <w:rsid w:val="005836F2"/>
    <w:rsid w:val="005837F2"/>
    <w:rsid w:val="00583B92"/>
    <w:rsid w:val="00583C84"/>
    <w:rsid w:val="00583F68"/>
    <w:rsid w:val="005840FD"/>
    <w:rsid w:val="005842A0"/>
    <w:rsid w:val="005843A2"/>
    <w:rsid w:val="005843FD"/>
    <w:rsid w:val="00584713"/>
    <w:rsid w:val="00584733"/>
    <w:rsid w:val="00584C34"/>
    <w:rsid w:val="005852C7"/>
    <w:rsid w:val="0058533D"/>
    <w:rsid w:val="0058538B"/>
    <w:rsid w:val="00585708"/>
    <w:rsid w:val="00585C0D"/>
    <w:rsid w:val="00585C2F"/>
    <w:rsid w:val="005860F5"/>
    <w:rsid w:val="0058665A"/>
    <w:rsid w:val="00586991"/>
    <w:rsid w:val="005869AB"/>
    <w:rsid w:val="00586C96"/>
    <w:rsid w:val="00586E54"/>
    <w:rsid w:val="00586E7F"/>
    <w:rsid w:val="00586FC0"/>
    <w:rsid w:val="005872FA"/>
    <w:rsid w:val="00587343"/>
    <w:rsid w:val="00587606"/>
    <w:rsid w:val="00587780"/>
    <w:rsid w:val="005877F6"/>
    <w:rsid w:val="00587C26"/>
    <w:rsid w:val="00587FDA"/>
    <w:rsid w:val="0059001A"/>
    <w:rsid w:val="0059023D"/>
    <w:rsid w:val="005902D1"/>
    <w:rsid w:val="005903C6"/>
    <w:rsid w:val="00590945"/>
    <w:rsid w:val="00590AD5"/>
    <w:rsid w:val="00590DCB"/>
    <w:rsid w:val="00590E5B"/>
    <w:rsid w:val="00590F64"/>
    <w:rsid w:val="00590F9D"/>
    <w:rsid w:val="0059149A"/>
    <w:rsid w:val="0059150D"/>
    <w:rsid w:val="00591652"/>
    <w:rsid w:val="00591836"/>
    <w:rsid w:val="00591964"/>
    <w:rsid w:val="00591AEB"/>
    <w:rsid w:val="00591B81"/>
    <w:rsid w:val="00591C51"/>
    <w:rsid w:val="00591F29"/>
    <w:rsid w:val="00592001"/>
    <w:rsid w:val="00592489"/>
    <w:rsid w:val="0059287C"/>
    <w:rsid w:val="00592BBB"/>
    <w:rsid w:val="00592BE5"/>
    <w:rsid w:val="00592BE7"/>
    <w:rsid w:val="00592E74"/>
    <w:rsid w:val="00592F78"/>
    <w:rsid w:val="00593013"/>
    <w:rsid w:val="0059335E"/>
    <w:rsid w:val="005933F5"/>
    <w:rsid w:val="005937BA"/>
    <w:rsid w:val="00593D9F"/>
    <w:rsid w:val="00593DDB"/>
    <w:rsid w:val="00594185"/>
    <w:rsid w:val="00594352"/>
    <w:rsid w:val="00594589"/>
    <w:rsid w:val="0059496A"/>
    <w:rsid w:val="00594ACE"/>
    <w:rsid w:val="00594C86"/>
    <w:rsid w:val="005950A5"/>
    <w:rsid w:val="00595B5D"/>
    <w:rsid w:val="00595D81"/>
    <w:rsid w:val="00595E70"/>
    <w:rsid w:val="00595EF0"/>
    <w:rsid w:val="00595FD0"/>
    <w:rsid w:val="0059619C"/>
    <w:rsid w:val="00596368"/>
    <w:rsid w:val="005968DE"/>
    <w:rsid w:val="00596EC0"/>
    <w:rsid w:val="00596EF0"/>
    <w:rsid w:val="00597349"/>
    <w:rsid w:val="0059751C"/>
    <w:rsid w:val="0059789B"/>
    <w:rsid w:val="005978A2"/>
    <w:rsid w:val="00597C60"/>
    <w:rsid w:val="00597D5A"/>
    <w:rsid w:val="00597F75"/>
    <w:rsid w:val="005A01DA"/>
    <w:rsid w:val="005A0292"/>
    <w:rsid w:val="005A0899"/>
    <w:rsid w:val="005A09F4"/>
    <w:rsid w:val="005A0D65"/>
    <w:rsid w:val="005A0EA7"/>
    <w:rsid w:val="005A0F2B"/>
    <w:rsid w:val="005A1399"/>
    <w:rsid w:val="005A1622"/>
    <w:rsid w:val="005A1949"/>
    <w:rsid w:val="005A197D"/>
    <w:rsid w:val="005A198D"/>
    <w:rsid w:val="005A1B14"/>
    <w:rsid w:val="005A1C65"/>
    <w:rsid w:val="005A2155"/>
    <w:rsid w:val="005A26CC"/>
    <w:rsid w:val="005A2972"/>
    <w:rsid w:val="005A2EB4"/>
    <w:rsid w:val="005A2F4C"/>
    <w:rsid w:val="005A339B"/>
    <w:rsid w:val="005A357B"/>
    <w:rsid w:val="005A3626"/>
    <w:rsid w:val="005A3744"/>
    <w:rsid w:val="005A38DB"/>
    <w:rsid w:val="005A3B8D"/>
    <w:rsid w:val="005A3D8A"/>
    <w:rsid w:val="005A3E2C"/>
    <w:rsid w:val="005A4694"/>
    <w:rsid w:val="005A4985"/>
    <w:rsid w:val="005A4C13"/>
    <w:rsid w:val="005A4F1D"/>
    <w:rsid w:val="005A57E0"/>
    <w:rsid w:val="005A632C"/>
    <w:rsid w:val="005A678E"/>
    <w:rsid w:val="005A6954"/>
    <w:rsid w:val="005A6FD2"/>
    <w:rsid w:val="005A7164"/>
    <w:rsid w:val="005A73B0"/>
    <w:rsid w:val="005A7618"/>
    <w:rsid w:val="005A7638"/>
    <w:rsid w:val="005A768A"/>
    <w:rsid w:val="005A77CE"/>
    <w:rsid w:val="005A784E"/>
    <w:rsid w:val="005A7CE2"/>
    <w:rsid w:val="005B0089"/>
    <w:rsid w:val="005B00D6"/>
    <w:rsid w:val="005B01A5"/>
    <w:rsid w:val="005B038A"/>
    <w:rsid w:val="005B04A1"/>
    <w:rsid w:val="005B09AE"/>
    <w:rsid w:val="005B0E34"/>
    <w:rsid w:val="005B1038"/>
    <w:rsid w:val="005B10F4"/>
    <w:rsid w:val="005B11C5"/>
    <w:rsid w:val="005B12AA"/>
    <w:rsid w:val="005B1743"/>
    <w:rsid w:val="005B1938"/>
    <w:rsid w:val="005B1998"/>
    <w:rsid w:val="005B1A4C"/>
    <w:rsid w:val="005B1CEA"/>
    <w:rsid w:val="005B1D21"/>
    <w:rsid w:val="005B1F9E"/>
    <w:rsid w:val="005B2109"/>
    <w:rsid w:val="005B2236"/>
    <w:rsid w:val="005B2598"/>
    <w:rsid w:val="005B26FD"/>
    <w:rsid w:val="005B27AE"/>
    <w:rsid w:val="005B2C3C"/>
    <w:rsid w:val="005B3198"/>
    <w:rsid w:val="005B33B0"/>
    <w:rsid w:val="005B3518"/>
    <w:rsid w:val="005B3744"/>
    <w:rsid w:val="005B3826"/>
    <w:rsid w:val="005B3855"/>
    <w:rsid w:val="005B38BF"/>
    <w:rsid w:val="005B40DD"/>
    <w:rsid w:val="005B4308"/>
    <w:rsid w:val="005B442A"/>
    <w:rsid w:val="005B4708"/>
    <w:rsid w:val="005B47C6"/>
    <w:rsid w:val="005B4815"/>
    <w:rsid w:val="005B4C17"/>
    <w:rsid w:val="005B4DD8"/>
    <w:rsid w:val="005B51A5"/>
    <w:rsid w:val="005B53D2"/>
    <w:rsid w:val="005B55BC"/>
    <w:rsid w:val="005B58E1"/>
    <w:rsid w:val="005B59E2"/>
    <w:rsid w:val="005B5D40"/>
    <w:rsid w:val="005B5DA8"/>
    <w:rsid w:val="005B5E2B"/>
    <w:rsid w:val="005B5F7B"/>
    <w:rsid w:val="005B6172"/>
    <w:rsid w:val="005B64A8"/>
    <w:rsid w:val="005B65CD"/>
    <w:rsid w:val="005B65D1"/>
    <w:rsid w:val="005B6BF9"/>
    <w:rsid w:val="005B6D6D"/>
    <w:rsid w:val="005B7350"/>
    <w:rsid w:val="005B7973"/>
    <w:rsid w:val="005C00AB"/>
    <w:rsid w:val="005C0193"/>
    <w:rsid w:val="005C01AE"/>
    <w:rsid w:val="005C0715"/>
    <w:rsid w:val="005C08B0"/>
    <w:rsid w:val="005C09A1"/>
    <w:rsid w:val="005C156C"/>
    <w:rsid w:val="005C1B6D"/>
    <w:rsid w:val="005C1D07"/>
    <w:rsid w:val="005C22F1"/>
    <w:rsid w:val="005C28BA"/>
    <w:rsid w:val="005C2CDA"/>
    <w:rsid w:val="005C2D7A"/>
    <w:rsid w:val="005C364F"/>
    <w:rsid w:val="005C387C"/>
    <w:rsid w:val="005C3DDD"/>
    <w:rsid w:val="005C4144"/>
    <w:rsid w:val="005C442C"/>
    <w:rsid w:val="005C47EB"/>
    <w:rsid w:val="005C48B7"/>
    <w:rsid w:val="005C4C11"/>
    <w:rsid w:val="005C4CEB"/>
    <w:rsid w:val="005C4D31"/>
    <w:rsid w:val="005C51BF"/>
    <w:rsid w:val="005C5469"/>
    <w:rsid w:val="005C5D1C"/>
    <w:rsid w:val="005C5EE8"/>
    <w:rsid w:val="005C5F37"/>
    <w:rsid w:val="005C61B3"/>
    <w:rsid w:val="005C6304"/>
    <w:rsid w:val="005C644A"/>
    <w:rsid w:val="005C6660"/>
    <w:rsid w:val="005C6682"/>
    <w:rsid w:val="005C6A04"/>
    <w:rsid w:val="005C722B"/>
    <w:rsid w:val="005C73F6"/>
    <w:rsid w:val="005C745B"/>
    <w:rsid w:val="005C7581"/>
    <w:rsid w:val="005C7597"/>
    <w:rsid w:val="005C7635"/>
    <w:rsid w:val="005C7654"/>
    <w:rsid w:val="005C7693"/>
    <w:rsid w:val="005C788F"/>
    <w:rsid w:val="005C7A8A"/>
    <w:rsid w:val="005C7BE7"/>
    <w:rsid w:val="005C7CEB"/>
    <w:rsid w:val="005D002B"/>
    <w:rsid w:val="005D00B0"/>
    <w:rsid w:val="005D012B"/>
    <w:rsid w:val="005D0835"/>
    <w:rsid w:val="005D0B87"/>
    <w:rsid w:val="005D0E00"/>
    <w:rsid w:val="005D14A6"/>
    <w:rsid w:val="005D1963"/>
    <w:rsid w:val="005D1F25"/>
    <w:rsid w:val="005D20FD"/>
    <w:rsid w:val="005D2341"/>
    <w:rsid w:val="005D2516"/>
    <w:rsid w:val="005D2E21"/>
    <w:rsid w:val="005D3237"/>
    <w:rsid w:val="005D353D"/>
    <w:rsid w:val="005D35F7"/>
    <w:rsid w:val="005D3634"/>
    <w:rsid w:val="005D3B61"/>
    <w:rsid w:val="005D3FA7"/>
    <w:rsid w:val="005D40E9"/>
    <w:rsid w:val="005D44C8"/>
    <w:rsid w:val="005D45BD"/>
    <w:rsid w:val="005D4973"/>
    <w:rsid w:val="005D54E3"/>
    <w:rsid w:val="005D5860"/>
    <w:rsid w:val="005D5F5C"/>
    <w:rsid w:val="005D6481"/>
    <w:rsid w:val="005D69C8"/>
    <w:rsid w:val="005D6C8B"/>
    <w:rsid w:val="005D6FA7"/>
    <w:rsid w:val="005D727B"/>
    <w:rsid w:val="005D72A6"/>
    <w:rsid w:val="005D72C5"/>
    <w:rsid w:val="005D75A3"/>
    <w:rsid w:val="005D7702"/>
    <w:rsid w:val="005D776F"/>
    <w:rsid w:val="005D795C"/>
    <w:rsid w:val="005E0749"/>
    <w:rsid w:val="005E08DE"/>
    <w:rsid w:val="005E0DB6"/>
    <w:rsid w:val="005E11E5"/>
    <w:rsid w:val="005E1473"/>
    <w:rsid w:val="005E16E5"/>
    <w:rsid w:val="005E199F"/>
    <w:rsid w:val="005E19DE"/>
    <w:rsid w:val="005E1B00"/>
    <w:rsid w:val="005E1B95"/>
    <w:rsid w:val="005E1DBC"/>
    <w:rsid w:val="005E3AFD"/>
    <w:rsid w:val="005E4009"/>
    <w:rsid w:val="005E40A9"/>
    <w:rsid w:val="005E45FB"/>
    <w:rsid w:val="005E4637"/>
    <w:rsid w:val="005E465C"/>
    <w:rsid w:val="005E490C"/>
    <w:rsid w:val="005E4961"/>
    <w:rsid w:val="005E4A51"/>
    <w:rsid w:val="005E4A77"/>
    <w:rsid w:val="005E4CD2"/>
    <w:rsid w:val="005E4D15"/>
    <w:rsid w:val="005E54CA"/>
    <w:rsid w:val="005E56DE"/>
    <w:rsid w:val="005E5B71"/>
    <w:rsid w:val="005E5FDB"/>
    <w:rsid w:val="005E609B"/>
    <w:rsid w:val="005E609F"/>
    <w:rsid w:val="005E64FE"/>
    <w:rsid w:val="005E66FF"/>
    <w:rsid w:val="005E689B"/>
    <w:rsid w:val="005E6AB8"/>
    <w:rsid w:val="005E722F"/>
    <w:rsid w:val="005E74D3"/>
    <w:rsid w:val="005E75A8"/>
    <w:rsid w:val="005E765D"/>
    <w:rsid w:val="005E7E65"/>
    <w:rsid w:val="005F06BD"/>
    <w:rsid w:val="005F08D8"/>
    <w:rsid w:val="005F09C1"/>
    <w:rsid w:val="005F0A38"/>
    <w:rsid w:val="005F0A88"/>
    <w:rsid w:val="005F0ABF"/>
    <w:rsid w:val="005F0B32"/>
    <w:rsid w:val="005F0B9F"/>
    <w:rsid w:val="005F0BE4"/>
    <w:rsid w:val="005F0C5C"/>
    <w:rsid w:val="005F0E3B"/>
    <w:rsid w:val="005F112B"/>
    <w:rsid w:val="005F147B"/>
    <w:rsid w:val="005F1482"/>
    <w:rsid w:val="005F1E9C"/>
    <w:rsid w:val="005F2261"/>
    <w:rsid w:val="005F23C9"/>
    <w:rsid w:val="005F2A56"/>
    <w:rsid w:val="005F2DA0"/>
    <w:rsid w:val="005F3152"/>
    <w:rsid w:val="005F3200"/>
    <w:rsid w:val="005F369A"/>
    <w:rsid w:val="005F36D8"/>
    <w:rsid w:val="005F3C2B"/>
    <w:rsid w:val="005F3E92"/>
    <w:rsid w:val="005F419B"/>
    <w:rsid w:val="005F4225"/>
    <w:rsid w:val="005F437C"/>
    <w:rsid w:val="005F43D4"/>
    <w:rsid w:val="005F4499"/>
    <w:rsid w:val="005F4621"/>
    <w:rsid w:val="005F4622"/>
    <w:rsid w:val="005F47B6"/>
    <w:rsid w:val="005F4878"/>
    <w:rsid w:val="005F4E0D"/>
    <w:rsid w:val="005F5364"/>
    <w:rsid w:val="005F537B"/>
    <w:rsid w:val="005F5827"/>
    <w:rsid w:val="005F5D5B"/>
    <w:rsid w:val="005F61E0"/>
    <w:rsid w:val="005F62C8"/>
    <w:rsid w:val="005F62D5"/>
    <w:rsid w:val="005F67DD"/>
    <w:rsid w:val="005F68D7"/>
    <w:rsid w:val="005F6E33"/>
    <w:rsid w:val="005F70CE"/>
    <w:rsid w:val="005F71FA"/>
    <w:rsid w:val="005F740C"/>
    <w:rsid w:val="005F7741"/>
    <w:rsid w:val="005F784A"/>
    <w:rsid w:val="005F79F9"/>
    <w:rsid w:val="005F7BFD"/>
    <w:rsid w:val="005F7C68"/>
    <w:rsid w:val="005F7C72"/>
    <w:rsid w:val="005F7DE1"/>
    <w:rsid w:val="006003F0"/>
    <w:rsid w:val="006004B4"/>
    <w:rsid w:val="006006CF"/>
    <w:rsid w:val="00600903"/>
    <w:rsid w:val="00600B1A"/>
    <w:rsid w:val="00600EDF"/>
    <w:rsid w:val="00601013"/>
    <w:rsid w:val="006010E4"/>
    <w:rsid w:val="0060111E"/>
    <w:rsid w:val="00601158"/>
    <w:rsid w:val="0060121B"/>
    <w:rsid w:val="006014CD"/>
    <w:rsid w:val="006014DD"/>
    <w:rsid w:val="0060151D"/>
    <w:rsid w:val="006017C7"/>
    <w:rsid w:val="006017FE"/>
    <w:rsid w:val="00601872"/>
    <w:rsid w:val="00601920"/>
    <w:rsid w:val="00601A3C"/>
    <w:rsid w:val="00601A7F"/>
    <w:rsid w:val="00601B28"/>
    <w:rsid w:val="00601E54"/>
    <w:rsid w:val="0060236D"/>
    <w:rsid w:val="006023D1"/>
    <w:rsid w:val="00602793"/>
    <w:rsid w:val="0060285F"/>
    <w:rsid w:val="00603673"/>
    <w:rsid w:val="006037EC"/>
    <w:rsid w:val="006038CD"/>
    <w:rsid w:val="00603BDD"/>
    <w:rsid w:val="00603C0E"/>
    <w:rsid w:val="00603F47"/>
    <w:rsid w:val="0060410E"/>
    <w:rsid w:val="006041C6"/>
    <w:rsid w:val="0060423F"/>
    <w:rsid w:val="006042D5"/>
    <w:rsid w:val="00604406"/>
    <w:rsid w:val="00604774"/>
    <w:rsid w:val="0060482B"/>
    <w:rsid w:val="00604849"/>
    <w:rsid w:val="00604A2D"/>
    <w:rsid w:val="00604B1D"/>
    <w:rsid w:val="00604B88"/>
    <w:rsid w:val="00604D6D"/>
    <w:rsid w:val="00604E37"/>
    <w:rsid w:val="00605170"/>
    <w:rsid w:val="00605235"/>
    <w:rsid w:val="006054E9"/>
    <w:rsid w:val="006055D3"/>
    <w:rsid w:val="006056C2"/>
    <w:rsid w:val="00605ACE"/>
    <w:rsid w:val="00605B7C"/>
    <w:rsid w:val="00605D1E"/>
    <w:rsid w:val="0060631D"/>
    <w:rsid w:val="006063D3"/>
    <w:rsid w:val="006065C6"/>
    <w:rsid w:val="006065DE"/>
    <w:rsid w:val="00606768"/>
    <w:rsid w:val="006067D7"/>
    <w:rsid w:val="006068E2"/>
    <w:rsid w:val="00606A80"/>
    <w:rsid w:val="00606CC6"/>
    <w:rsid w:val="00606F74"/>
    <w:rsid w:val="00607426"/>
    <w:rsid w:val="00607A52"/>
    <w:rsid w:val="00607A7D"/>
    <w:rsid w:val="00607C74"/>
    <w:rsid w:val="00607D59"/>
    <w:rsid w:val="0061024A"/>
    <w:rsid w:val="0061091D"/>
    <w:rsid w:val="00610FA0"/>
    <w:rsid w:val="006111B4"/>
    <w:rsid w:val="006112E2"/>
    <w:rsid w:val="006114EF"/>
    <w:rsid w:val="00611678"/>
    <w:rsid w:val="0061183B"/>
    <w:rsid w:val="00611E19"/>
    <w:rsid w:val="00611FC4"/>
    <w:rsid w:val="00612679"/>
    <w:rsid w:val="0061297E"/>
    <w:rsid w:val="00612A1A"/>
    <w:rsid w:val="00612DC8"/>
    <w:rsid w:val="00612DEA"/>
    <w:rsid w:val="00613604"/>
    <w:rsid w:val="006138A5"/>
    <w:rsid w:val="00613D4C"/>
    <w:rsid w:val="00613F56"/>
    <w:rsid w:val="00614119"/>
    <w:rsid w:val="006142D8"/>
    <w:rsid w:val="0061437B"/>
    <w:rsid w:val="0061438F"/>
    <w:rsid w:val="006148A8"/>
    <w:rsid w:val="0061602A"/>
    <w:rsid w:val="006160A4"/>
    <w:rsid w:val="00616129"/>
    <w:rsid w:val="006162AD"/>
    <w:rsid w:val="00616685"/>
    <w:rsid w:val="00616B1C"/>
    <w:rsid w:val="006176EC"/>
    <w:rsid w:val="00617960"/>
    <w:rsid w:val="0062005A"/>
    <w:rsid w:val="006204CF"/>
    <w:rsid w:val="0062070D"/>
    <w:rsid w:val="00620976"/>
    <w:rsid w:val="00620A75"/>
    <w:rsid w:val="00620D5B"/>
    <w:rsid w:val="00620F22"/>
    <w:rsid w:val="00621010"/>
    <w:rsid w:val="00621179"/>
    <w:rsid w:val="006211CA"/>
    <w:rsid w:val="00621449"/>
    <w:rsid w:val="0062182A"/>
    <w:rsid w:val="00621955"/>
    <w:rsid w:val="00621C29"/>
    <w:rsid w:val="00621E95"/>
    <w:rsid w:val="0062241D"/>
    <w:rsid w:val="006224B6"/>
    <w:rsid w:val="00622528"/>
    <w:rsid w:val="006225AD"/>
    <w:rsid w:val="0062285D"/>
    <w:rsid w:val="006228FC"/>
    <w:rsid w:val="006229FB"/>
    <w:rsid w:val="00622B50"/>
    <w:rsid w:val="00622BE1"/>
    <w:rsid w:val="006230F1"/>
    <w:rsid w:val="006230F5"/>
    <w:rsid w:val="00623245"/>
    <w:rsid w:val="006237CE"/>
    <w:rsid w:val="00623C89"/>
    <w:rsid w:val="00623CEA"/>
    <w:rsid w:val="00623D3E"/>
    <w:rsid w:val="00623E82"/>
    <w:rsid w:val="0062418C"/>
    <w:rsid w:val="006241DC"/>
    <w:rsid w:val="00624444"/>
    <w:rsid w:val="006247E1"/>
    <w:rsid w:val="0062498E"/>
    <w:rsid w:val="00625146"/>
    <w:rsid w:val="006252F8"/>
    <w:rsid w:val="00625307"/>
    <w:rsid w:val="006256D4"/>
    <w:rsid w:val="00625B45"/>
    <w:rsid w:val="00625E25"/>
    <w:rsid w:val="00625F81"/>
    <w:rsid w:val="00626341"/>
    <w:rsid w:val="00626627"/>
    <w:rsid w:val="00627256"/>
    <w:rsid w:val="00627798"/>
    <w:rsid w:val="00627A01"/>
    <w:rsid w:val="00627A71"/>
    <w:rsid w:val="00627CCD"/>
    <w:rsid w:val="006300E6"/>
    <w:rsid w:val="00630C50"/>
    <w:rsid w:val="00631601"/>
    <w:rsid w:val="0063193C"/>
    <w:rsid w:val="00631AAB"/>
    <w:rsid w:val="0063219B"/>
    <w:rsid w:val="006324C5"/>
    <w:rsid w:val="006328A9"/>
    <w:rsid w:val="00632AF9"/>
    <w:rsid w:val="00632BDD"/>
    <w:rsid w:val="00632F3C"/>
    <w:rsid w:val="00633266"/>
    <w:rsid w:val="006334D3"/>
    <w:rsid w:val="006337C5"/>
    <w:rsid w:val="006338F5"/>
    <w:rsid w:val="00633B2A"/>
    <w:rsid w:val="00633BF6"/>
    <w:rsid w:val="00633CE4"/>
    <w:rsid w:val="00633CF6"/>
    <w:rsid w:val="00634000"/>
    <w:rsid w:val="006345DA"/>
    <w:rsid w:val="00634B4E"/>
    <w:rsid w:val="006350B8"/>
    <w:rsid w:val="00635399"/>
    <w:rsid w:val="006354A5"/>
    <w:rsid w:val="00635536"/>
    <w:rsid w:val="00635733"/>
    <w:rsid w:val="006357C3"/>
    <w:rsid w:val="00635E21"/>
    <w:rsid w:val="00635E3C"/>
    <w:rsid w:val="006362CB"/>
    <w:rsid w:val="00636316"/>
    <w:rsid w:val="00636558"/>
    <w:rsid w:val="00636995"/>
    <w:rsid w:val="00636B76"/>
    <w:rsid w:val="00636CEA"/>
    <w:rsid w:val="00636DCA"/>
    <w:rsid w:val="0063722F"/>
    <w:rsid w:val="0063730F"/>
    <w:rsid w:val="00637405"/>
    <w:rsid w:val="006375CB"/>
    <w:rsid w:val="0063765D"/>
    <w:rsid w:val="00637730"/>
    <w:rsid w:val="0063789C"/>
    <w:rsid w:val="0063790D"/>
    <w:rsid w:val="00637A57"/>
    <w:rsid w:val="00637E0F"/>
    <w:rsid w:val="00637E7A"/>
    <w:rsid w:val="00637F0F"/>
    <w:rsid w:val="006400F8"/>
    <w:rsid w:val="006402CD"/>
    <w:rsid w:val="006402F1"/>
    <w:rsid w:val="00640AE2"/>
    <w:rsid w:val="0064117A"/>
    <w:rsid w:val="00641AE7"/>
    <w:rsid w:val="00641BD2"/>
    <w:rsid w:val="0064257F"/>
    <w:rsid w:val="006430FB"/>
    <w:rsid w:val="006434DC"/>
    <w:rsid w:val="0064372D"/>
    <w:rsid w:val="00643BAB"/>
    <w:rsid w:val="006441AB"/>
    <w:rsid w:val="0064435A"/>
    <w:rsid w:val="00644632"/>
    <w:rsid w:val="00644939"/>
    <w:rsid w:val="00644BE1"/>
    <w:rsid w:val="00644BEC"/>
    <w:rsid w:val="00644C5C"/>
    <w:rsid w:val="00644D57"/>
    <w:rsid w:val="00645038"/>
    <w:rsid w:val="0064505A"/>
    <w:rsid w:val="00645331"/>
    <w:rsid w:val="0064569E"/>
    <w:rsid w:val="00645861"/>
    <w:rsid w:val="00645D0D"/>
    <w:rsid w:val="00645D28"/>
    <w:rsid w:val="00645E53"/>
    <w:rsid w:val="006463A3"/>
    <w:rsid w:val="0064669F"/>
    <w:rsid w:val="006466FA"/>
    <w:rsid w:val="00646CC2"/>
    <w:rsid w:val="00646FA1"/>
    <w:rsid w:val="006472E7"/>
    <w:rsid w:val="00647401"/>
    <w:rsid w:val="00647BF1"/>
    <w:rsid w:val="00647E94"/>
    <w:rsid w:val="00647F2A"/>
    <w:rsid w:val="0065018B"/>
    <w:rsid w:val="006506F9"/>
    <w:rsid w:val="00650768"/>
    <w:rsid w:val="0065084F"/>
    <w:rsid w:val="0065091E"/>
    <w:rsid w:val="0065127B"/>
    <w:rsid w:val="0065131F"/>
    <w:rsid w:val="0065159B"/>
    <w:rsid w:val="00651602"/>
    <w:rsid w:val="00651B9F"/>
    <w:rsid w:val="0065234E"/>
    <w:rsid w:val="006523C8"/>
    <w:rsid w:val="006525D1"/>
    <w:rsid w:val="006527D2"/>
    <w:rsid w:val="006528A3"/>
    <w:rsid w:val="00652A29"/>
    <w:rsid w:val="00652B1C"/>
    <w:rsid w:val="00652CC9"/>
    <w:rsid w:val="00652D1E"/>
    <w:rsid w:val="00653B28"/>
    <w:rsid w:val="00653BB1"/>
    <w:rsid w:val="00653D9A"/>
    <w:rsid w:val="00653E3F"/>
    <w:rsid w:val="00653E81"/>
    <w:rsid w:val="0065436B"/>
    <w:rsid w:val="006545C1"/>
    <w:rsid w:val="0065480B"/>
    <w:rsid w:val="00654F3C"/>
    <w:rsid w:val="006550E8"/>
    <w:rsid w:val="0065523A"/>
    <w:rsid w:val="0065589B"/>
    <w:rsid w:val="00656610"/>
    <w:rsid w:val="006566ED"/>
    <w:rsid w:val="006567BB"/>
    <w:rsid w:val="0065681C"/>
    <w:rsid w:val="00656835"/>
    <w:rsid w:val="00656B86"/>
    <w:rsid w:val="00657369"/>
    <w:rsid w:val="006577A4"/>
    <w:rsid w:val="00657AA8"/>
    <w:rsid w:val="00657B16"/>
    <w:rsid w:val="00657C30"/>
    <w:rsid w:val="00657CA9"/>
    <w:rsid w:val="00657DEF"/>
    <w:rsid w:val="00657FE1"/>
    <w:rsid w:val="00660412"/>
    <w:rsid w:val="00660D37"/>
    <w:rsid w:val="00660F78"/>
    <w:rsid w:val="00661179"/>
    <w:rsid w:val="00661668"/>
    <w:rsid w:val="0066170C"/>
    <w:rsid w:val="006618CF"/>
    <w:rsid w:val="00661A28"/>
    <w:rsid w:val="00661E4B"/>
    <w:rsid w:val="006621BB"/>
    <w:rsid w:val="006621FC"/>
    <w:rsid w:val="0066222C"/>
    <w:rsid w:val="00662256"/>
    <w:rsid w:val="00662275"/>
    <w:rsid w:val="0066235D"/>
    <w:rsid w:val="0066248A"/>
    <w:rsid w:val="00662CD0"/>
    <w:rsid w:val="006630C6"/>
    <w:rsid w:val="006634B8"/>
    <w:rsid w:val="006636FF"/>
    <w:rsid w:val="006638B1"/>
    <w:rsid w:val="006638D3"/>
    <w:rsid w:val="006639F1"/>
    <w:rsid w:val="00663F6D"/>
    <w:rsid w:val="00664006"/>
    <w:rsid w:val="006645E4"/>
    <w:rsid w:val="006646EB"/>
    <w:rsid w:val="006649DD"/>
    <w:rsid w:val="00664A24"/>
    <w:rsid w:val="00664A95"/>
    <w:rsid w:val="006650B2"/>
    <w:rsid w:val="006650F2"/>
    <w:rsid w:val="0066520E"/>
    <w:rsid w:val="00665354"/>
    <w:rsid w:val="006654B1"/>
    <w:rsid w:val="006655D6"/>
    <w:rsid w:val="0066566E"/>
    <w:rsid w:val="0066594B"/>
    <w:rsid w:val="00665CF0"/>
    <w:rsid w:val="00665DA7"/>
    <w:rsid w:val="00666319"/>
    <w:rsid w:val="0066650D"/>
    <w:rsid w:val="00666B7D"/>
    <w:rsid w:val="00666C40"/>
    <w:rsid w:val="00666CF5"/>
    <w:rsid w:val="00666DA4"/>
    <w:rsid w:val="00666E8C"/>
    <w:rsid w:val="0066750D"/>
    <w:rsid w:val="00667AFE"/>
    <w:rsid w:val="00667C87"/>
    <w:rsid w:val="00667CA1"/>
    <w:rsid w:val="00670269"/>
    <w:rsid w:val="0067036C"/>
    <w:rsid w:val="00670687"/>
    <w:rsid w:val="006706AC"/>
    <w:rsid w:val="00670B25"/>
    <w:rsid w:val="00670D23"/>
    <w:rsid w:val="0067105A"/>
    <w:rsid w:val="006711E6"/>
    <w:rsid w:val="0067132D"/>
    <w:rsid w:val="00671C89"/>
    <w:rsid w:val="00671D9B"/>
    <w:rsid w:val="0067211A"/>
    <w:rsid w:val="006722BA"/>
    <w:rsid w:val="00672657"/>
    <w:rsid w:val="0067270C"/>
    <w:rsid w:val="0067272F"/>
    <w:rsid w:val="00672C2E"/>
    <w:rsid w:val="00672D1A"/>
    <w:rsid w:val="00672EF4"/>
    <w:rsid w:val="00673149"/>
    <w:rsid w:val="0067316D"/>
    <w:rsid w:val="006733B5"/>
    <w:rsid w:val="00673535"/>
    <w:rsid w:val="00673663"/>
    <w:rsid w:val="00673A5B"/>
    <w:rsid w:val="00673E75"/>
    <w:rsid w:val="006743E1"/>
    <w:rsid w:val="00674670"/>
    <w:rsid w:val="0067469F"/>
    <w:rsid w:val="00674734"/>
    <w:rsid w:val="00674D26"/>
    <w:rsid w:val="00674DB8"/>
    <w:rsid w:val="00675007"/>
    <w:rsid w:val="006753A4"/>
    <w:rsid w:val="006753C9"/>
    <w:rsid w:val="006753DA"/>
    <w:rsid w:val="006755CC"/>
    <w:rsid w:val="00675BB3"/>
    <w:rsid w:val="00675DA7"/>
    <w:rsid w:val="00676075"/>
    <w:rsid w:val="00676134"/>
    <w:rsid w:val="00676164"/>
    <w:rsid w:val="0067628C"/>
    <w:rsid w:val="00676367"/>
    <w:rsid w:val="006767DC"/>
    <w:rsid w:val="00676A31"/>
    <w:rsid w:val="00676EA7"/>
    <w:rsid w:val="00676FB8"/>
    <w:rsid w:val="00677406"/>
    <w:rsid w:val="00677DB0"/>
    <w:rsid w:val="00677F58"/>
    <w:rsid w:val="00680044"/>
    <w:rsid w:val="00680446"/>
    <w:rsid w:val="0068066A"/>
    <w:rsid w:val="0068079C"/>
    <w:rsid w:val="00680BBC"/>
    <w:rsid w:val="00680E7D"/>
    <w:rsid w:val="00681272"/>
    <w:rsid w:val="0068165A"/>
    <w:rsid w:val="00681882"/>
    <w:rsid w:val="00681CF4"/>
    <w:rsid w:val="00681D27"/>
    <w:rsid w:val="00681E39"/>
    <w:rsid w:val="00681E79"/>
    <w:rsid w:val="00681F20"/>
    <w:rsid w:val="00682492"/>
    <w:rsid w:val="00682975"/>
    <w:rsid w:val="00682B6E"/>
    <w:rsid w:val="00682B90"/>
    <w:rsid w:val="00682C4F"/>
    <w:rsid w:val="00682CA4"/>
    <w:rsid w:val="00682D0C"/>
    <w:rsid w:val="00682E6A"/>
    <w:rsid w:val="00683004"/>
    <w:rsid w:val="00683104"/>
    <w:rsid w:val="0068315B"/>
    <w:rsid w:val="00683269"/>
    <w:rsid w:val="00683537"/>
    <w:rsid w:val="0068366A"/>
    <w:rsid w:val="0068367B"/>
    <w:rsid w:val="00683966"/>
    <w:rsid w:val="00683981"/>
    <w:rsid w:val="006839BE"/>
    <w:rsid w:val="006839EA"/>
    <w:rsid w:val="00683A4A"/>
    <w:rsid w:val="00683AF9"/>
    <w:rsid w:val="00683EBD"/>
    <w:rsid w:val="00683F99"/>
    <w:rsid w:val="00684287"/>
    <w:rsid w:val="00684556"/>
    <w:rsid w:val="00684607"/>
    <w:rsid w:val="00684681"/>
    <w:rsid w:val="006848EE"/>
    <w:rsid w:val="00684C9C"/>
    <w:rsid w:val="00684F3A"/>
    <w:rsid w:val="00684F82"/>
    <w:rsid w:val="00685577"/>
    <w:rsid w:val="00685807"/>
    <w:rsid w:val="00685ED0"/>
    <w:rsid w:val="0068635A"/>
    <w:rsid w:val="006863D8"/>
    <w:rsid w:val="0068663A"/>
    <w:rsid w:val="006868A6"/>
    <w:rsid w:val="006868BC"/>
    <w:rsid w:val="00686998"/>
    <w:rsid w:val="00686F5A"/>
    <w:rsid w:val="006873E6"/>
    <w:rsid w:val="006876B7"/>
    <w:rsid w:val="0068771C"/>
    <w:rsid w:val="00687E6B"/>
    <w:rsid w:val="006900DD"/>
    <w:rsid w:val="00690143"/>
    <w:rsid w:val="00690214"/>
    <w:rsid w:val="00690285"/>
    <w:rsid w:val="006904D8"/>
    <w:rsid w:val="0069053B"/>
    <w:rsid w:val="00690615"/>
    <w:rsid w:val="00690621"/>
    <w:rsid w:val="0069087D"/>
    <w:rsid w:val="00690A9A"/>
    <w:rsid w:val="006912E0"/>
    <w:rsid w:val="00691E98"/>
    <w:rsid w:val="00691EA7"/>
    <w:rsid w:val="00692094"/>
    <w:rsid w:val="0069212D"/>
    <w:rsid w:val="00692608"/>
    <w:rsid w:val="006927C0"/>
    <w:rsid w:val="00692971"/>
    <w:rsid w:val="00692B40"/>
    <w:rsid w:val="00692B83"/>
    <w:rsid w:val="00692E65"/>
    <w:rsid w:val="006930BE"/>
    <w:rsid w:val="0069310E"/>
    <w:rsid w:val="006931EA"/>
    <w:rsid w:val="00693265"/>
    <w:rsid w:val="00693396"/>
    <w:rsid w:val="00693542"/>
    <w:rsid w:val="00693656"/>
    <w:rsid w:val="00693B35"/>
    <w:rsid w:val="00693B8F"/>
    <w:rsid w:val="00693D07"/>
    <w:rsid w:val="0069490E"/>
    <w:rsid w:val="00694A4E"/>
    <w:rsid w:val="00694E8F"/>
    <w:rsid w:val="006952B8"/>
    <w:rsid w:val="0069541A"/>
    <w:rsid w:val="0069560F"/>
    <w:rsid w:val="0069597A"/>
    <w:rsid w:val="00695C21"/>
    <w:rsid w:val="00695FDD"/>
    <w:rsid w:val="00696025"/>
    <w:rsid w:val="00696028"/>
    <w:rsid w:val="00696068"/>
    <w:rsid w:val="00696190"/>
    <w:rsid w:val="00696544"/>
    <w:rsid w:val="00696649"/>
    <w:rsid w:val="006967AE"/>
    <w:rsid w:val="0069694F"/>
    <w:rsid w:val="00696A2F"/>
    <w:rsid w:val="00696AF5"/>
    <w:rsid w:val="00696C98"/>
    <w:rsid w:val="00696CB3"/>
    <w:rsid w:val="0069734F"/>
    <w:rsid w:val="00697445"/>
    <w:rsid w:val="006975C4"/>
    <w:rsid w:val="0069769E"/>
    <w:rsid w:val="00697CB8"/>
    <w:rsid w:val="00697CF6"/>
    <w:rsid w:val="00697E45"/>
    <w:rsid w:val="006A0B46"/>
    <w:rsid w:val="006A0B5C"/>
    <w:rsid w:val="006A0C09"/>
    <w:rsid w:val="006A0D69"/>
    <w:rsid w:val="006A0EC8"/>
    <w:rsid w:val="006A1438"/>
    <w:rsid w:val="006A1449"/>
    <w:rsid w:val="006A1611"/>
    <w:rsid w:val="006A16C9"/>
    <w:rsid w:val="006A16FD"/>
    <w:rsid w:val="006A1987"/>
    <w:rsid w:val="006A1E60"/>
    <w:rsid w:val="006A1FC0"/>
    <w:rsid w:val="006A23D2"/>
    <w:rsid w:val="006A26DD"/>
    <w:rsid w:val="006A2997"/>
    <w:rsid w:val="006A2C92"/>
    <w:rsid w:val="006A30B4"/>
    <w:rsid w:val="006A33BC"/>
    <w:rsid w:val="006A3501"/>
    <w:rsid w:val="006A3836"/>
    <w:rsid w:val="006A39E1"/>
    <w:rsid w:val="006A4776"/>
    <w:rsid w:val="006A4AA3"/>
    <w:rsid w:val="006A4DE0"/>
    <w:rsid w:val="006A4E8B"/>
    <w:rsid w:val="006A4FBD"/>
    <w:rsid w:val="006A5443"/>
    <w:rsid w:val="006A56AF"/>
    <w:rsid w:val="006A5863"/>
    <w:rsid w:val="006A5F34"/>
    <w:rsid w:val="006A5F7B"/>
    <w:rsid w:val="006A6003"/>
    <w:rsid w:val="006A61A7"/>
    <w:rsid w:val="006A62CC"/>
    <w:rsid w:val="006A62F4"/>
    <w:rsid w:val="006A63ED"/>
    <w:rsid w:val="006A6857"/>
    <w:rsid w:val="006A6CAE"/>
    <w:rsid w:val="006A6F8E"/>
    <w:rsid w:val="006A7773"/>
    <w:rsid w:val="006B01F5"/>
    <w:rsid w:val="006B024B"/>
    <w:rsid w:val="006B0481"/>
    <w:rsid w:val="006B07B9"/>
    <w:rsid w:val="006B09EF"/>
    <w:rsid w:val="006B0CE7"/>
    <w:rsid w:val="006B0D45"/>
    <w:rsid w:val="006B0ED9"/>
    <w:rsid w:val="006B0EEB"/>
    <w:rsid w:val="006B1196"/>
    <w:rsid w:val="006B119E"/>
    <w:rsid w:val="006B1206"/>
    <w:rsid w:val="006B14AC"/>
    <w:rsid w:val="006B19BC"/>
    <w:rsid w:val="006B1F1D"/>
    <w:rsid w:val="006B1FB0"/>
    <w:rsid w:val="006B2085"/>
    <w:rsid w:val="006B2091"/>
    <w:rsid w:val="006B2096"/>
    <w:rsid w:val="006B2233"/>
    <w:rsid w:val="006B2284"/>
    <w:rsid w:val="006B2583"/>
    <w:rsid w:val="006B282B"/>
    <w:rsid w:val="006B2A65"/>
    <w:rsid w:val="006B2B69"/>
    <w:rsid w:val="006B2C3F"/>
    <w:rsid w:val="006B3218"/>
    <w:rsid w:val="006B3ACD"/>
    <w:rsid w:val="006B3C72"/>
    <w:rsid w:val="006B40BF"/>
    <w:rsid w:val="006B41EE"/>
    <w:rsid w:val="006B442D"/>
    <w:rsid w:val="006B449C"/>
    <w:rsid w:val="006B47AA"/>
    <w:rsid w:val="006B484C"/>
    <w:rsid w:val="006B4867"/>
    <w:rsid w:val="006B5017"/>
    <w:rsid w:val="006B510E"/>
    <w:rsid w:val="006B54A0"/>
    <w:rsid w:val="006B576A"/>
    <w:rsid w:val="006B5BC0"/>
    <w:rsid w:val="006B5DA2"/>
    <w:rsid w:val="006B5FCE"/>
    <w:rsid w:val="006B614B"/>
    <w:rsid w:val="006B628F"/>
    <w:rsid w:val="006B63DA"/>
    <w:rsid w:val="006B648E"/>
    <w:rsid w:val="006B64BB"/>
    <w:rsid w:val="006B6AFB"/>
    <w:rsid w:val="006B6D27"/>
    <w:rsid w:val="006B7644"/>
    <w:rsid w:val="006B783C"/>
    <w:rsid w:val="006B7859"/>
    <w:rsid w:val="006C0131"/>
    <w:rsid w:val="006C05A7"/>
    <w:rsid w:val="006C0771"/>
    <w:rsid w:val="006C092C"/>
    <w:rsid w:val="006C0EB0"/>
    <w:rsid w:val="006C17A8"/>
    <w:rsid w:val="006C1A92"/>
    <w:rsid w:val="006C1B56"/>
    <w:rsid w:val="006C1F6A"/>
    <w:rsid w:val="006C2271"/>
    <w:rsid w:val="006C2E36"/>
    <w:rsid w:val="006C2FF1"/>
    <w:rsid w:val="006C3001"/>
    <w:rsid w:val="006C3907"/>
    <w:rsid w:val="006C3A2C"/>
    <w:rsid w:val="006C3AA8"/>
    <w:rsid w:val="006C3F1D"/>
    <w:rsid w:val="006C44B8"/>
    <w:rsid w:val="006C4A03"/>
    <w:rsid w:val="006C4A47"/>
    <w:rsid w:val="006C4C02"/>
    <w:rsid w:val="006C4CAC"/>
    <w:rsid w:val="006C4CDF"/>
    <w:rsid w:val="006C4F43"/>
    <w:rsid w:val="006C50E3"/>
    <w:rsid w:val="006C5D92"/>
    <w:rsid w:val="006C6123"/>
    <w:rsid w:val="006C64D7"/>
    <w:rsid w:val="006C697D"/>
    <w:rsid w:val="006C6FDA"/>
    <w:rsid w:val="006C7003"/>
    <w:rsid w:val="006C70D6"/>
    <w:rsid w:val="006C717A"/>
    <w:rsid w:val="006C77CF"/>
    <w:rsid w:val="006C7B52"/>
    <w:rsid w:val="006C7D6C"/>
    <w:rsid w:val="006C7EA1"/>
    <w:rsid w:val="006D019A"/>
    <w:rsid w:val="006D0C65"/>
    <w:rsid w:val="006D0C92"/>
    <w:rsid w:val="006D0D4D"/>
    <w:rsid w:val="006D0E27"/>
    <w:rsid w:val="006D1350"/>
    <w:rsid w:val="006D229D"/>
    <w:rsid w:val="006D241B"/>
    <w:rsid w:val="006D2838"/>
    <w:rsid w:val="006D2A0D"/>
    <w:rsid w:val="006D2A68"/>
    <w:rsid w:val="006D2E52"/>
    <w:rsid w:val="006D2F10"/>
    <w:rsid w:val="006D2F3C"/>
    <w:rsid w:val="006D344C"/>
    <w:rsid w:val="006D35F6"/>
    <w:rsid w:val="006D371F"/>
    <w:rsid w:val="006D3871"/>
    <w:rsid w:val="006D3A7F"/>
    <w:rsid w:val="006D3BA1"/>
    <w:rsid w:val="006D3CC1"/>
    <w:rsid w:val="006D4101"/>
    <w:rsid w:val="006D46D3"/>
    <w:rsid w:val="006D4B13"/>
    <w:rsid w:val="006D4CA2"/>
    <w:rsid w:val="006D50AD"/>
    <w:rsid w:val="006D5170"/>
    <w:rsid w:val="006D531D"/>
    <w:rsid w:val="006D5555"/>
    <w:rsid w:val="006D578A"/>
    <w:rsid w:val="006D5A56"/>
    <w:rsid w:val="006D5A73"/>
    <w:rsid w:val="006D5C27"/>
    <w:rsid w:val="006D5D4B"/>
    <w:rsid w:val="006D5DBA"/>
    <w:rsid w:val="006D60E4"/>
    <w:rsid w:val="006D63B5"/>
    <w:rsid w:val="006D6460"/>
    <w:rsid w:val="006D6589"/>
    <w:rsid w:val="006D6A69"/>
    <w:rsid w:val="006D6AB4"/>
    <w:rsid w:val="006D731C"/>
    <w:rsid w:val="006D74E7"/>
    <w:rsid w:val="006D7523"/>
    <w:rsid w:val="006D77DE"/>
    <w:rsid w:val="006D78D9"/>
    <w:rsid w:val="006D7940"/>
    <w:rsid w:val="006D7D05"/>
    <w:rsid w:val="006E029C"/>
    <w:rsid w:val="006E0A76"/>
    <w:rsid w:val="006E0F1B"/>
    <w:rsid w:val="006E1679"/>
    <w:rsid w:val="006E173F"/>
    <w:rsid w:val="006E190E"/>
    <w:rsid w:val="006E2029"/>
    <w:rsid w:val="006E236D"/>
    <w:rsid w:val="006E2892"/>
    <w:rsid w:val="006E28C4"/>
    <w:rsid w:val="006E2A32"/>
    <w:rsid w:val="006E2BE3"/>
    <w:rsid w:val="006E2C98"/>
    <w:rsid w:val="006E2E6A"/>
    <w:rsid w:val="006E314D"/>
    <w:rsid w:val="006E319B"/>
    <w:rsid w:val="006E31E1"/>
    <w:rsid w:val="006E361A"/>
    <w:rsid w:val="006E3CFC"/>
    <w:rsid w:val="006E3D8C"/>
    <w:rsid w:val="006E3DFB"/>
    <w:rsid w:val="006E3E52"/>
    <w:rsid w:val="006E3E78"/>
    <w:rsid w:val="006E471E"/>
    <w:rsid w:val="006E479E"/>
    <w:rsid w:val="006E4C06"/>
    <w:rsid w:val="006E4C33"/>
    <w:rsid w:val="006E4E41"/>
    <w:rsid w:val="006E5147"/>
    <w:rsid w:val="006E516B"/>
    <w:rsid w:val="006E51D9"/>
    <w:rsid w:val="006E5678"/>
    <w:rsid w:val="006E5717"/>
    <w:rsid w:val="006E59E7"/>
    <w:rsid w:val="006E5A1C"/>
    <w:rsid w:val="006E5D14"/>
    <w:rsid w:val="006E5E27"/>
    <w:rsid w:val="006E5EB9"/>
    <w:rsid w:val="006E6AC8"/>
    <w:rsid w:val="006E6D35"/>
    <w:rsid w:val="006E6F99"/>
    <w:rsid w:val="006E7045"/>
    <w:rsid w:val="006E73BA"/>
    <w:rsid w:val="006E7CFC"/>
    <w:rsid w:val="006E7ED9"/>
    <w:rsid w:val="006F0256"/>
    <w:rsid w:val="006F0D95"/>
    <w:rsid w:val="006F10C1"/>
    <w:rsid w:val="006F132C"/>
    <w:rsid w:val="006F151B"/>
    <w:rsid w:val="006F1F89"/>
    <w:rsid w:val="006F2404"/>
    <w:rsid w:val="006F26D9"/>
    <w:rsid w:val="006F2C90"/>
    <w:rsid w:val="006F3185"/>
    <w:rsid w:val="006F33A3"/>
    <w:rsid w:val="006F34B5"/>
    <w:rsid w:val="006F34ED"/>
    <w:rsid w:val="006F39AE"/>
    <w:rsid w:val="006F3A60"/>
    <w:rsid w:val="006F3A62"/>
    <w:rsid w:val="006F4779"/>
    <w:rsid w:val="006F4B83"/>
    <w:rsid w:val="006F51DC"/>
    <w:rsid w:val="006F5450"/>
    <w:rsid w:val="006F5473"/>
    <w:rsid w:val="006F54AD"/>
    <w:rsid w:val="006F5562"/>
    <w:rsid w:val="006F5968"/>
    <w:rsid w:val="006F5D90"/>
    <w:rsid w:val="006F5DC5"/>
    <w:rsid w:val="006F6838"/>
    <w:rsid w:val="006F6943"/>
    <w:rsid w:val="006F6C89"/>
    <w:rsid w:val="006F6E12"/>
    <w:rsid w:val="006F7128"/>
    <w:rsid w:val="006F743A"/>
    <w:rsid w:val="006F7673"/>
    <w:rsid w:val="006F7756"/>
    <w:rsid w:val="006F79DA"/>
    <w:rsid w:val="006F7FC2"/>
    <w:rsid w:val="006F7FDD"/>
    <w:rsid w:val="0070004C"/>
    <w:rsid w:val="0070013B"/>
    <w:rsid w:val="007001C3"/>
    <w:rsid w:val="00700365"/>
    <w:rsid w:val="007004B8"/>
    <w:rsid w:val="00700761"/>
    <w:rsid w:val="007007E1"/>
    <w:rsid w:val="0070088D"/>
    <w:rsid w:val="00700DC9"/>
    <w:rsid w:val="00700E3E"/>
    <w:rsid w:val="007010E2"/>
    <w:rsid w:val="0070130F"/>
    <w:rsid w:val="00701613"/>
    <w:rsid w:val="007018BF"/>
    <w:rsid w:val="00701EE3"/>
    <w:rsid w:val="00702846"/>
    <w:rsid w:val="00702D7E"/>
    <w:rsid w:val="00703110"/>
    <w:rsid w:val="0070331F"/>
    <w:rsid w:val="00703846"/>
    <w:rsid w:val="00703D08"/>
    <w:rsid w:val="00703F3E"/>
    <w:rsid w:val="00703F57"/>
    <w:rsid w:val="007040E1"/>
    <w:rsid w:val="007043AE"/>
    <w:rsid w:val="00704440"/>
    <w:rsid w:val="007045D1"/>
    <w:rsid w:val="007045E3"/>
    <w:rsid w:val="00704B7F"/>
    <w:rsid w:val="00704C24"/>
    <w:rsid w:val="0070517C"/>
    <w:rsid w:val="0070526E"/>
    <w:rsid w:val="00705854"/>
    <w:rsid w:val="00705AA3"/>
    <w:rsid w:val="007060E7"/>
    <w:rsid w:val="00706557"/>
    <w:rsid w:val="00706615"/>
    <w:rsid w:val="00706721"/>
    <w:rsid w:val="007068A3"/>
    <w:rsid w:val="007068B8"/>
    <w:rsid w:val="0070727F"/>
    <w:rsid w:val="0070748C"/>
    <w:rsid w:val="00707D01"/>
    <w:rsid w:val="0071010F"/>
    <w:rsid w:val="00710199"/>
    <w:rsid w:val="0071025D"/>
    <w:rsid w:val="0071053B"/>
    <w:rsid w:val="00710592"/>
    <w:rsid w:val="007106D1"/>
    <w:rsid w:val="007107AC"/>
    <w:rsid w:val="00710D70"/>
    <w:rsid w:val="00710DE4"/>
    <w:rsid w:val="00710F05"/>
    <w:rsid w:val="007110D2"/>
    <w:rsid w:val="00711340"/>
    <w:rsid w:val="00711500"/>
    <w:rsid w:val="00711729"/>
    <w:rsid w:val="00711CC3"/>
    <w:rsid w:val="00711EE4"/>
    <w:rsid w:val="00712085"/>
    <w:rsid w:val="007128A5"/>
    <w:rsid w:val="007136C7"/>
    <w:rsid w:val="00713A54"/>
    <w:rsid w:val="00713ACA"/>
    <w:rsid w:val="00713AEB"/>
    <w:rsid w:val="00713B4C"/>
    <w:rsid w:val="00713C85"/>
    <w:rsid w:val="00713E45"/>
    <w:rsid w:val="00713FE7"/>
    <w:rsid w:val="00713FF0"/>
    <w:rsid w:val="00714091"/>
    <w:rsid w:val="007142A7"/>
    <w:rsid w:val="0071440D"/>
    <w:rsid w:val="007144D8"/>
    <w:rsid w:val="0071476B"/>
    <w:rsid w:val="007148B8"/>
    <w:rsid w:val="00714904"/>
    <w:rsid w:val="00714CC5"/>
    <w:rsid w:val="00714D4C"/>
    <w:rsid w:val="007153B6"/>
    <w:rsid w:val="00715ACC"/>
    <w:rsid w:val="00715F1E"/>
    <w:rsid w:val="00716162"/>
    <w:rsid w:val="007162CE"/>
    <w:rsid w:val="00716335"/>
    <w:rsid w:val="00716720"/>
    <w:rsid w:val="00716870"/>
    <w:rsid w:val="007169E8"/>
    <w:rsid w:val="00716C78"/>
    <w:rsid w:val="00716D36"/>
    <w:rsid w:val="00716DFB"/>
    <w:rsid w:val="00720139"/>
    <w:rsid w:val="00720621"/>
    <w:rsid w:val="007206E7"/>
    <w:rsid w:val="00720F2D"/>
    <w:rsid w:val="0072131B"/>
    <w:rsid w:val="00722032"/>
    <w:rsid w:val="007221A9"/>
    <w:rsid w:val="00722284"/>
    <w:rsid w:val="007222F9"/>
    <w:rsid w:val="007224C2"/>
    <w:rsid w:val="00722534"/>
    <w:rsid w:val="00722947"/>
    <w:rsid w:val="00722B6C"/>
    <w:rsid w:val="00722D4E"/>
    <w:rsid w:val="00722DA8"/>
    <w:rsid w:val="00722DE1"/>
    <w:rsid w:val="00722F18"/>
    <w:rsid w:val="007239ED"/>
    <w:rsid w:val="00724766"/>
    <w:rsid w:val="00724C72"/>
    <w:rsid w:val="00725110"/>
    <w:rsid w:val="00725146"/>
    <w:rsid w:val="0072516F"/>
    <w:rsid w:val="00725397"/>
    <w:rsid w:val="007253B5"/>
    <w:rsid w:val="00725445"/>
    <w:rsid w:val="007254BD"/>
    <w:rsid w:val="00725728"/>
    <w:rsid w:val="007257B4"/>
    <w:rsid w:val="00725EBC"/>
    <w:rsid w:val="0072600D"/>
    <w:rsid w:val="007262C1"/>
    <w:rsid w:val="0072674D"/>
    <w:rsid w:val="0072689F"/>
    <w:rsid w:val="00726E9D"/>
    <w:rsid w:val="00727BC3"/>
    <w:rsid w:val="00727EC2"/>
    <w:rsid w:val="0073021B"/>
    <w:rsid w:val="007303B2"/>
    <w:rsid w:val="0073040B"/>
    <w:rsid w:val="007307DE"/>
    <w:rsid w:val="00730ACB"/>
    <w:rsid w:val="00730F81"/>
    <w:rsid w:val="00731038"/>
    <w:rsid w:val="0073117C"/>
    <w:rsid w:val="007311D5"/>
    <w:rsid w:val="00731325"/>
    <w:rsid w:val="007313A0"/>
    <w:rsid w:val="00731619"/>
    <w:rsid w:val="00731A55"/>
    <w:rsid w:val="00731DDE"/>
    <w:rsid w:val="0073208A"/>
    <w:rsid w:val="007323AD"/>
    <w:rsid w:val="007329F6"/>
    <w:rsid w:val="00732EC0"/>
    <w:rsid w:val="0073325E"/>
    <w:rsid w:val="00733916"/>
    <w:rsid w:val="00733A57"/>
    <w:rsid w:val="00733A9C"/>
    <w:rsid w:val="00733B27"/>
    <w:rsid w:val="00733E1E"/>
    <w:rsid w:val="00733EE9"/>
    <w:rsid w:val="00734230"/>
    <w:rsid w:val="0073427D"/>
    <w:rsid w:val="007343C3"/>
    <w:rsid w:val="00734407"/>
    <w:rsid w:val="00734807"/>
    <w:rsid w:val="0073489C"/>
    <w:rsid w:val="007357E4"/>
    <w:rsid w:val="00735887"/>
    <w:rsid w:val="007358FC"/>
    <w:rsid w:val="0073591C"/>
    <w:rsid w:val="00735EB4"/>
    <w:rsid w:val="00735FD3"/>
    <w:rsid w:val="00735FD8"/>
    <w:rsid w:val="007367AF"/>
    <w:rsid w:val="00736809"/>
    <w:rsid w:val="00736C17"/>
    <w:rsid w:val="007371CA"/>
    <w:rsid w:val="007371FF"/>
    <w:rsid w:val="00737223"/>
    <w:rsid w:val="007377E1"/>
    <w:rsid w:val="00737862"/>
    <w:rsid w:val="00737A54"/>
    <w:rsid w:val="00737C12"/>
    <w:rsid w:val="00740CFD"/>
    <w:rsid w:val="00740DAE"/>
    <w:rsid w:val="00740E77"/>
    <w:rsid w:val="0074128B"/>
    <w:rsid w:val="00741885"/>
    <w:rsid w:val="00741DC0"/>
    <w:rsid w:val="00741F1E"/>
    <w:rsid w:val="007421AB"/>
    <w:rsid w:val="0074232E"/>
    <w:rsid w:val="007424CD"/>
    <w:rsid w:val="0074268E"/>
    <w:rsid w:val="007427BB"/>
    <w:rsid w:val="00742847"/>
    <w:rsid w:val="007428D3"/>
    <w:rsid w:val="00742972"/>
    <w:rsid w:val="00742C8B"/>
    <w:rsid w:val="00742EAB"/>
    <w:rsid w:val="007430C3"/>
    <w:rsid w:val="007433B3"/>
    <w:rsid w:val="0074362B"/>
    <w:rsid w:val="00743A88"/>
    <w:rsid w:val="00743ACD"/>
    <w:rsid w:val="00743DA4"/>
    <w:rsid w:val="00744AE8"/>
    <w:rsid w:val="00744D28"/>
    <w:rsid w:val="00745184"/>
    <w:rsid w:val="00745EFD"/>
    <w:rsid w:val="00746293"/>
    <w:rsid w:val="00746398"/>
    <w:rsid w:val="0074661A"/>
    <w:rsid w:val="00746654"/>
    <w:rsid w:val="007467B6"/>
    <w:rsid w:val="00746A1E"/>
    <w:rsid w:val="00746C61"/>
    <w:rsid w:val="0074719B"/>
    <w:rsid w:val="00747447"/>
    <w:rsid w:val="00747754"/>
    <w:rsid w:val="00747B2E"/>
    <w:rsid w:val="00747B9B"/>
    <w:rsid w:val="00747C92"/>
    <w:rsid w:val="00747D08"/>
    <w:rsid w:val="00747DAF"/>
    <w:rsid w:val="00747EE0"/>
    <w:rsid w:val="00750112"/>
    <w:rsid w:val="00750407"/>
    <w:rsid w:val="00750424"/>
    <w:rsid w:val="0075054B"/>
    <w:rsid w:val="0075067B"/>
    <w:rsid w:val="00750E37"/>
    <w:rsid w:val="00751168"/>
    <w:rsid w:val="00751301"/>
    <w:rsid w:val="00751342"/>
    <w:rsid w:val="00751504"/>
    <w:rsid w:val="00751787"/>
    <w:rsid w:val="00751788"/>
    <w:rsid w:val="0075191C"/>
    <w:rsid w:val="007519DE"/>
    <w:rsid w:val="00751A09"/>
    <w:rsid w:val="00751A7B"/>
    <w:rsid w:val="0075278C"/>
    <w:rsid w:val="00752875"/>
    <w:rsid w:val="00752A73"/>
    <w:rsid w:val="00752B51"/>
    <w:rsid w:val="00753160"/>
    <w:rsid w:val="0075337C"/>
    <w:rsid w:val="00753466"/>
    <w:rsid w:val="007542A9"/>
    <w:rsid w:val="00754506"/>
    <w:rsid w:val="00754A36"/>
    <w:rsid w:val="00754B42"/>
    <w:rsid w:val="00754B98"/>
    <w:rsid w:val="00754DF5"/>
    <w:rsid w:val="00754E0C"/>
    <w:rsid w:val="0075516C"/>
    <w:rsid w:val="007551BA"/>
    <w:rsid w:val="00755DEB"/>
    <w:rsid w:val="00755E7D"/>
    <w:rsid w:val="00755FA3"/>
    <w:rsid w:val="00755FF7"/>
    <w:rsid w:val="007562D1"/>
    <w:rsid w:val="00756856"/>
    <w:rsid w:val="00757222"/>
    <w:rsid w:val="00757267"/>
    <w:rsid w:val="0075758B"/>
    <w:rsid w:val="00757ABC"/>
    <w:rsid w:val="00757AD1"/>
    <w:rsid w:val="00757B28"/>
    <w:rsid w:val="00757C82"/>
    <w:rsid w:val="00757FA3"/>
    <w:rsid w:val="00760265"/>
    <w:rsid w:val="007602A0"/>
    <w:rsid w:val="00760395"/>
    <w:rsid w:val="00760476"/>
    <w:rsid w:val="00760A16"/>
    <w:rsid w:val="00760AD5"/>
    <w:rsid w:val="00760ECC"/>
    <w:rsid w:val="00761071"/>
    <w:rsid w:val="007611E2"/>
    <w:rsid w:val="0076149A"/>
    <w:rsid w:val="007618AC"/>
    <w:rsid w:val="007618E7"/>
    <w:rsid w:val="007618ED"/>
    <w:rsid w:val="00761919"/>
    <w:rsid w:val="00761E68"/>
    <w:rsid w:val="00761F34"/>
    <w:rsid w:val="00761FF4"/>
    <w:rsid w:val="00762050"/>
    <w:rsid w:val="00762426"/>
    <w:rsid w:val="00762826"/>
    <w:rsid w:val="00762C5A"/>
    <w:rsid w:val="00762CBF"/>
    <w:rsid w:val="00763034"/>
    <w:rsid w:val="0076316A"/>
    <w:rsid w:val="0076361D"/>
    <w:rsid w:val="007636C1"/>
    <w:rsid w:val="00763D12"/>
    <w:rsid w:val="00763E91"/>
    <w:rsid w:val="00764034"/>
    <w:rsid w:val="00764146"/>
    <w:rsid w:val="0076486A"/>
    <w:rsid w:val="00764E9D"/>
    <w:rsid w:val="00765359"/>
    <w:rsid w:val="007653F4"/>
    <w:rsid w:val="0076540C"/>
    <w:rsid w:val="00765AD6"/>
    <w:rsid w:val="00765C55"/>
    <w:rsid w:val="00765E98"/>
    <w:rsid w:val="00766270"/>
    <w:rsid w:val="00767026"/>
    <w:rsid w:val="00767031"/>
    <w:rsid w:val="0076758F"/>
    <w:rsid w:val="007677D8"/>
    <w:rsid w:val="00767BBC"/>
    <w:rsid w:val="00767D0F"/>
    <w:rsid w:val="00767DC1"/>
    <w:rsid w:val="00767FE5"/>
    <w:rsid w:val="00770044"/>
    <w:rsid w:val="007700B7"/>
    <w:rsid w:val="0077030C"/>
    <w:rsid w:val="00770607"/>
    <w:rsid w:val="00770A6C"/>
    <w:rsid w:val="00770E27"/>
    <w:rsid w:val="00771147"/>
    <w:rsid w:val="007712C2"/>
    <w:rsid w:val="007712D1"/>
    <w:rsid w:val="007715EA"/>
    <w:rsid w:val="00771620"/>
    <w:rsid w:val="00771774"/>
    <w:rsid w:val="00771996"/>
    <w:rsid w:val="00771FD0"/>
    <w:rsid w:val="007721C4"/>
    <w:rsid w:val="00772476"/>
    <w:rsid w:val="0077248A"/>
    <w:rsid w:val="007724D3"/>
    <w:rsid w:val="0077251A"/>
    <w:rsid w:val="0077268D"/>
    <w:rsid w:val="0077282F"/>
    <w:rsid w:val="00773457"/>
    <w:rsid w:val="00773464"/>
    <w:rsid w:val="007734E0"/>
    <w:rsid w:val="007737C5"/>
    <w:rsid w:val="00773993"/>
    <w:rsid w:val="00773F21"/>
    <w:rsid w:val="00774073"/>
    <w:rsid w:val="007742DE"/>
    <w:rsid w:val="007743B5"/>
    <w:rsid w:val="0077447B"/>
    <w:rsid w:val="0077489A"/>
    <w:rsid w:val="00774961"/>
    <w:rsid w:val="00774A5F"/>
    <w:rsid w:val="00774EF4"/>
    <w:rsid w:val="007754E2"/>
    <w:rsid w:val="00775747"/>
    <w:rsid w:val="00775C2E"/>
    <w:rsid w:val="00775C8F"/>
    <w:rsid w:val="00775CDB"/>
    <w:rsid w:val="00775D36"/>
    <w:rsid w:val="00776800"/>
    <w:rsid w:val="007769AA"/>
    <w:rsid w:val="00776A28"/>
    <w:rsid w:val="00776BFA"/>
    <w:rsid w:val="00776C85"/>
    <w:rsid w:val="00776F23"/>
    <w:rsid w:val="007773BB"/>
    <w:rsid w:val="0077748E"/>
    <w:rsid w:val="00777510"/>
    <w:rsid w:val="0077773B"/>
    <w:rsid w:val="00777983"/>
    <w:rsid w:val="007779BE"/>
    <w:rsid w:val="00777F83"/>
    <w:rsid w:val="00777F86"/>
    <w:rsid w:val="0078023D"/>
    <w:rsid w:val="007802B5"/>
    <w:rsid w:val="00780F5A"/>
    <w:rsid w:val="0078160B"/>
    <w:rsid w:val="0078164B"/>
    <w:rsid w:val="007816A1"/>
    <w:rsid w:val="00781D2B"/>
    <w:rsid w:val="00781D54"/>
    <w:rsid w:val="00781F2B"/>
    <w:rsid w:val="00782720"/>
    <w:rsid w:val="00782942"/>
    <w:rsid w:val="00782F8E"/>
    <w:rsid w:val="00783334"/>
    <w:rsid w:val="00783350"/>
    <w:rsid w:val="00783800"/>
    <w:rsid w:val="00783A00"/>
    <w:rsid w:val="00783CA2"/>
    <w:rsid w:val="00783DB7"/>
    <w:rsid w:val="00783ECC"/>
    <w:rsid w:val="00783F73"/>
    <w:rsid w:val="00784044"/>
    <w:rsid w:val="0078415A"/>
    <w:rsid w:val="007842D2"/>
    <w:rsid w:val="00784407"/>
    <w:rsid w:val="007844CB"/>
    <w:rsid w:val="007847AE"/>
    <w:rsid w:val="00784BF2"/>
    <w:rsid w:val="00785032"/>
    <w:rsid w:val="00785A49"/>
    <w:rsid w:val="00785A66"/>
    <w:rsid w:val="00785CD6"/>
    <w:rsid w:val="00785D35"/>
    <w:rsid w:val="00786127"/>
    <w:rsid w:val="007861B5"/>
    <w:rsid w:val="007864F4"/>
    <w:rsid w:val="0078657A"/>
    <w:rsid w:val="0078673E"/>
    <w:rsid w:val="00786808"/>
    <w:rsid w:val="0078704A"/>
    <w:rsid w:val="007872BE"/>
    <w:rsid w:val="00787962"/>
    <w:rsid w:val="00787AA2"/>
    <w:rsid w:val="00787CC5"/>
    <w:rsid w:val="00787E9B"/>
    <w:rsid w:val="007905FE"/>
    <w:rsid w:val="00790A4B"/>
    <w:rsid w:val="00790E9D"/>
    <w:rsid w:val="00790F97"/>
    <w:rsid w:val="0079172D"/>
    <w:rsid w:val="00791C8F"/>
    <w:rsid w:val="00791D74"/>
    <w:rsid w:val="00791EA7"/>
    <w:rsid w:val="00791FDD"/>
    <w:rsid w:val="00792706"/>
    <w:rsid w:val="00792A5A"/>
    <w:rsid w:val="00792C08"/>
    <w:rsid w:val="0079369B"/>
    <w:rsid w:val="007938AC"/>
    <w:rsid w:val="00793BC7"/>
    <w:rsid w:val="00793CBE"/>
    <w:rsid w:val="00793D65"/>
    <w:rsid w:val="00793F4E"/>
    <w:rsid w:val="007941B9"/>
    <w:rsid w:val="0079454A"/>
    <w:rsid w:val="00794724"/>
    <w:rsid w:val="007947E1"/>
    <w:rsid w:val="0079490D"/>
    <w:rsid w:val="00794EC3"/>
    <w:rsid w:val="007955D1"/>
    <w:rsid w:val="00795759"/>
    <w:rsid w:val="00795826"/>
    <w:rsid w:val="007958B1"/>
    <w:rsid w:val="007958D7"/>
    <w:rsid w:val="00795DA7"/>
    <w:rsid w:val="00795EE6"/>
    <w:rsid w:val="00795FF3"/>
    <w:rsid w:val="007960C1"/>
    <w:rsid w:val="007961FA"/>
    <w:rsid w:val="00796446"/>
    <w:rsid w:val="00796964"/>
    <w:rsid w:val="00796B53"/>
    <w:rsid w:val="00796BAC"/>
    <w:rsid w:val="00796CA6"/>
    <w:rsid w:val="00796D6B"/>
    <w:rsid w:val="00797063"/>
    <w:rsid w:val="007972C4"/>
    <w:rsid w:val="00797322"/>
    <w:rsid w:val="00797776"/>
    <w:rsid w:val="00797A1F"/>
    <w:rsid w:val="00797F8D"/>
    <w:rsid w:val="007A0235"/>
    <w:rsid w:val="007A0674"/>
    <w:rsid w:val="007A076A"/>
    <w:rsid w:val="007A096A"/>
    <w:rsid w:val="007A0AE5"/>
    <w:rsid w:val="007A105E"/>
    <w:rsid w:val="007A10FD"/>
    <w:rsid w:val="007A12A0"/>
    <w:rsid w:val="007A131E"/>
    <w:rsid w:val="007A1388"/>
    <w:rsid w:val="007A15B8"/>
    <w:rsid w:val="007A16AC"/>
    <w:rsid w:val="007A1735"/>
    <w:rsid w:val="007A1DBD"/>
    <w:rsid w:val="007A1FB4"/>
    <w:rsid w:val="007A2019"/>
    <w:rsid w:val="007A2263"/>
    <w:rsid w:val="007A26EE"/>
    <w:rsid w:val="007A2895"/>
    <w:rsid w:val="007A2B03"/>
    <w:rsid w:val="007A2B99"/>
    <w:rsid w:val="007A2D3D"/>
    <w:rsid w:val="007A2D84"/>
    <w:rsid w:val="007A2E4D"/>
    <w:rsid w:val="007A3002"/>
    <w:rsid w:val="007A320A"/>
    <w:rsid w:val="007A3793"/>
    <w:rsid w:val="007A3AAE"/>
    <w:rsid w:val="007A4678"/>
    <w:rsid w:val="007A479F"/>
    <w:rsid w:val="007A47D9"/>
    <w:rsid w:val="007A5012"/>
    <w:rsid w:val="007A5040"/>
    <w:rsid w:val="007A5052"/>
    <w:rsid w:val="007A51A1"/>
    <w:rsid w:val="007A5598"/>
    <w:rsid w:val="007A5D0F"/>
    <w:rsid w:val="007A5E02"/>
    <w:rsid w:val="007A5F67"/>
    <w:rsid w:val="007A611D"/>
    <w:rsid w:val="007A637F"/>
    <w:rsid w:val="007A6689"/>
    <w:rsid w:val="007A66B5"/>
    <w:rsid w:val="007A6835"/>
    <w:rsid w:val="007A6F9E"/>
    <w:rsid w:val="007A7173"/>
    <w:rsid w:val="007A7269"/>
    <w:rsid w:val="007A73E2"/>
    <w:rsid w:val="007A747C"/>
    <w:rsid w:val="007A75D9"/>
    <w:rsid w:val="007A7926"/>
    <w:rsid w:val="007A7A03"/>
    <w:rsid w:val="007A7B52"/>
    <w:rsid w:val="007A7C02"/>
    <w:rsid w:val="007A7E12"/>
    <w:rsid w:val="007B0366"/>
    <w:rsid w:val="007B0387"/>
    <w:rsid w:val="007B03C7"/>
    <w:rsid w:val="007B072A"/>
    <w:rsid w:val="007B07FD"/>
    <w:rsid w:val="007B0875"/>
    <w:rsid w:val="007B0924"/>
    <w:rsid w:val="007B0BA3"/>
    <w:rsid w:val="007B120C"/>
    <w:rsid w:val="007B13A6"/>
    <w:rsid w:val="007B14A7"/>
    <w:rsid w:val="007B14C4"/>
    <w:rsid w:val="007B1681"/>
    <w:rsid w:val="007B1683"/>
    <w:rsid w:val="007B17A0"/>
    <w:rsid w:val="007B1AC2"/>
    <w:rsid w:val="007B1C4A"/>
    <w:rsid w:val="007B1CFD"/>
    <w:rsid w:val="007B1D49"/>
    <w:rsid w:val="007B1FC3"/>
    <w:rsid w:val="007B215F"/>
    <w:rsid w:val="007B216E"/>
    <w:rsid w:val="007B235D"/>
    <w:rsid w:val="007B248E"/>
    <w:rsid w:val="007B2519"/>
    <w:rsid w:val="007B2B2E"/>
    <w:rsid w:val="007B3171"/>
    <w:rsid w:val="007B32AC"/>
    <w:rsid w:val="007B34E0"/>
    <w:rsid w:val="007B395C"/>
    <w:rsid w:val="007B3CED"/>
    <w:rsid w:val="007B3D22"/>
    <w:rsid w:val="007B495F"/>
    <w:rsid w:val="007B49EE"/>
    <w:rsid w:val="007B4C1C"/>
    <w:rsid w:val="007B514B"/>
    <w:rsid w:val="007B587E"/>
    <w:rsid w:val="007B6559"/>
    <w:rsid w:val="007B655B"/>
    <w:rsid w:val="007B67BC"/>
    <w:rsid w:val="007B6923"/>
    <w:rsid w:val="007B6C6C"/>
    <w:rsid w:val="007B6CA6"/>
    <w:rsid w:val="007B6DC0"/>
    <w:rsid w:val="007B6E8B"/>
    <w:rsid w:val="007B6FFE"/>
    <w:rsid w:val="007B72E6"/>
    <w:rsid w:val="007B744D"/>
    <w:rsid w:val="007B74D2"/>
    <w:rsid w:val="007B7778"/>
    <w:rsid w:val="007B794D"/>
    <w:rsid w:val="007B7DEA"/>
    <w:rsid w:val="007B7E43"/>
    <w:rsid w:val="007B7EAF"/>
    <w:rsid w:val="007C0026"/>
    <w:rsid w:val="007C01FD"/>
    <w:rsid w:val="007C0B5F"/>
    <w:rsid w:val="007C0C0D"/>
    <w:rsid w:val="007C11C2"/>
    <w:rsid w:val="007C218B"/>
    <w:rsid w:val="007C21C2"/>
    <w:rsid w:val="007C2E8B"/>
    <w:rsid w:val="007C311F"/>
    <w:rsid w:val="007C3656"/>
    <w:rsid w:val="007C3D6E"/>
    <w:rsid w:val="007C3E5A"/>
    <w:rsid w:val="007C3FAF"/>
    <w:rsid w:val="007C40B3"/>
    <w:rsid w:val="007C45F8"/>
    <w:rsid w:val="007C4B4B"/>
    <w:rsid w:val="007C4C64"/>
    <w:rsid w:val="007C5295"/>
    <w:rsid w:val="007C5C3C"/>
    <w:rsid w:val="007C5D27"/>
    <w:rsid w:val="007C622B"/>
    <w:rsid w:val="007C63C5"/>
    <w:rsid w:val="007C69F3"/>
    <w:rsid w:val="007C6BDE"/>
    <w:rsid w:val="007C6E49"/>
    <w:rsid w:val="007C727E"/>
    <w:rsid w:val="007C7828"/>
    <w:rsid w:val="007C79E1"/>
    <w:rsid w:val="007C7D26"/>
    <w:rsid w:val="007C7D4C"/>
    <w:rsid w:val="007D0148"/>
    <w:rsid w:val="007D0DAF"/>
    <w:rsid w:val="007D1260"/>
    <w:rsid w:val="007D1876"/>
    <w:rsid w:val="007D19D6"/>
    <w:rsid w:val="007D1A7C"/>
    <w:rsid w:val="007D1AD1"/>
    <w:rsid w:val="007D1CE1"/>
    <w:rsid w:val="007D23EC"/>
    <w:rsid w:val="007D24A6"/>
    <w:rsid w:val="007D2890"/>
    <w:rsid w:val="007D2A1B"/>
    <w:rsid w:val="007D2C30"/>
    <w:rsid w:val="007D2E80"/>
    <w:rsid w:val="007D3316"/>
    <w:rsid w:val="007D3624"/>
    <w:rsid w:val="007D3856"/>
    <w:rsid w:val="007D3971"/>
    <w:rsid w:val="007D3A93"/>
    <w:rsid w:val="007D3C07"/>
    <w:rsid w:val="007D3E05"/>
    <w:rsid w:val="007D4006"/>
    <w:rsid w:val="007D4013"/>
    <w:rsid w:val="007D4046"/>
    <w:rsid w:val="007D42C8"/>
    <w:rsid w:val="007D432C"/>
    <w:rsid w:val="007D44F8"/>
    <w:rsid w:val="007D4598"/>
    <w:rsid w:val="007D4657"/>
    <w:rsid w:val="007D4A16"/>
    <w:rsid w:val="007D5148"/>
    <w:rsid w:val="007D5B54"/>
    <w:rsid w:val="007D5D1D"/>
    <w:rsid w:val="007D5D7A"/>
    <w:rsid w:val="007D5F13"/>
    <w:rsid w:val="007D618C"/>
    <w:rsid w:val="007D65AE"/>
    <w:rsid w:val="007D663B"/>
    <w:rsid w:val="007D6A43"/>
    <w:rsid w:val="007D6CBF"/>
    <w:rsid w:val="007D724A"/>
    <w:rsid w:val="007D732C"/>
    <w:rsid w:val="007D77EA"/>
    <w:rsid w:val="007D7B14"/>
    <w:rsid w:val="007D7D30"/>
    <w:rsid w:val="007D7DC9"/>
    <w:rsid w:val="007D7FCA"/>
    <w:rsid w:val="007E0368"/>
    <w:rsid w:val="007E0396"/>
    <w:rsid w:val="007E07A7"/>
    <w:rsid w:val="007E110E"/>
    <w:rsid w:val="007E143F"/>
    <w:rsid w:val="007E145F"/>
    <w:rsid w:val="007E162F"/>
    <w:rsid w:val="007E180B"/>
    <w:rsid w:val="007E1AEC"/>
    <w:rsid w:val="007E1ED2"/>
    <w:rsid w:val="007E1FA7"/>
    <w:rsid w:val="007E24FC"/>
    <w:rsid w:val="007E258F"/>
    <w:rsid w:val="007E2C82"/>
    <w:rsid w:val="007E31B4"/>
    <w:rsid w:val="007E3599"/>
    <w:rsid w:val="007E3600"/>
    <w:rsid w:val="007E373D"/>
    <w:rsid w:val="007E3869"/>
    <w:rsid w:val="007E39EC"/>
    <w:rsid w:val="007E4123"/>
    <w:rsid w:val="007E4490"/>
    <w:rsid w:val="007E4968"/>
    <w:rsid w:val="007E4FCA"/>
    <w:rsid w:val="007E53B5"/>
    <w:rsid w:val="007E564C"/>
    <w:rsid w:val="007E5817"/>
    <w:rsid w:val="007E5858"/>
    <w:rsid w:val="007E587D"/>
    <w:rsid w:val="007E5DBF"/>
    <w:rsid w:val="007E5FA1"/>
    <w:rsid w:val="007E6067"/>
    <w:rsid w:val="007E6993"/>
    <w:rsid w:val="007E6A45"/>
    <w:rsid w:val="007E6A81"/>
    <w:rsid w:val="007E6B1B"/>
    <w:rsid w:val="007E6E85"/>
    <w:rsid w:val="007E6F5F"/>
    <w:rsid w:val="007E7090"/>
    <w:rsid w:val="007E73A0"/>
    <w:rsid w:val="007E73F3"/>
    <w:rsid w:val="007E7463"/>
    <w:rsid w:val="007E7538"/>
    <w:rsid w:val="007E766D"/>
    <w:rsid w:val="007E76E5"/>
    <w:rsid w:val="007E7706"/>
    <w:rsid w:val="007E7880"/>
    <w:rsid w:val="007E7972"/>
    <w:rsid w:val="007E7A62"/>
    <w:rsid w:val="007F0511"/>
    <w:rsid w:val="007F0A0C"/>
    <w:rsid w:val="007F0D2B"/>
    <w:rsid w:val="007F0E3F"/>
    <w:rsid w:val="007F1507"/>
    <w:rsid w:val="007F170F"/>
    <w:rsid w:val="007F19ED"/>
    <w:rsid w:val="007F22F4"/>
    <w:rsid w:val="007F25B0"/>
    <w:rsid w:val="007F26F9"/>
    <w:rsid w:val="007F284E"/>
    <w:rsid w:val="007F2BC7"/>
    <w:rsid w:val="007F3A6C"/>
    <w:rsid w:val="007F3CBB"/>
    <w:rsid w:val="007F3E38"/>
    <w:rsid w:val="007F3F31"/>
    <w:rsid w:val="007F3F53"/>
    <w:rsid w:val="007F3F6D"/>
    <w:rsid w:val="007F4353"/>
    <w:rsid w:val="007F4878"/>
    <w:rsid w:val="007F4CF8"/>
    <w:rsid w:val="007F4D24"/>
    <w:rsid w:val="007F4FEC"/>
    <w:rsid w:val="007F4FF2"/>
    <w:rsid w:val="007F54B3"/>
    <w:rsid w:val="007F5744"/>
    <w:rsid w:val="007F5A24"/>
    <w:rsid w:val="007F5CB1"/>
    <w:rsid w:val="007F5D1E"/>
    <w:rsid w:val="007F5F75"/>
    <w:rsid w:val="007F6128"/>
    <w:rsid w:val="007F62E1"/>
    <w:rsid w:val="007F63D7"/>
    <w:rsid w:val="007F7318"/>
    <w:rsid w:val="007F737E"/>
    <w:rsid w:val="007F759A"/>
    <w:rsid w:val="007F794B"/>
    <w:rsid w:val="00800B42"/>
    <w:rsid w:val="00800B72"/>
    <w:rsid w:val="00801168"/>
    <w:rsid w:val="00801494"/>
    <w:rsid w:val="0080186F"/>
    <w:rsid w:val="00801A35"/>
    <w:rsid w:val="00801C90"/>
    <w:rsid w:val="0080228A"/>
    <w:rsid w:val="008022E9"/>
    <w:rsid w:val="00802438"/>
    <w:rsid w:val="008026F8"/>
    <w:rsid w:val="00802825"/>
    <w:rsid w:val="0080321F"/>
    <w:rsid w:val="008032B2"/>
    <w:rsid w:val="00803711"/>
    <w:rsid w:val="00803E39"/>
    <w:rsid w:val="00803E46"/>
    <w:rsid w:val="008041DA"/>
    <w:rsid w:val="0080448D"/>
    <w:rsid w:val="008045D4"/>
    <w:rsid w:val="00804910"/>
    <w:rsid w:val="008049B5"/>
    <w:rsid w:val="00804CDA"/>
    <w:rsid w:val="00805112"/>
    <w:rsid w:val="008057F6"/>
    <w:rsid w:val="008058AE"/>
    <w:rsid w:val="00805A36"/>
    <w:rsid w:val="00805BB4"/>
    <w:rsid w:val="00805BE4"/>
    <w:rsid w:val="00805BFA"/>
    <w:rsid w:val="00805F6A"/>
    <w:rsid w:val="0080634F"/>
    <w:rsid w:val="00806464"/>
    <w:rsid w:val="0080690B"/>
    <w:rsid w:val="00806CBA"/>
    <w:rsid w:val="00806D79"/>
    <w:rsid w:val="00806DB6"/>
    <w:rsid w:val="00806E25"/>
    <w:rsid w:val="00806EEA"/>
    <w:rsid w:val="00806F8A"/>
    <w:rsid w:val="00806FE2"/>
    <w:rsid w:val="008070E6"/>
    <w:rsid w:val="00807B2C"/>
    <w:rsid w:val="00807FAF"/>
    <w:rsid w:val="008100DF"/>
    <w:rsid w:val="008106DA"/>
    <w:rsid w:val="0081081E"/>
    <w:rsid w:val="00810BA3"/>
    <w:rsid w:val="00810CB9"/>
    <w:rsid w:val="00810DCA"/>
    <w:rsid w:val="00810EE7"/>
    <w:rsid w:val="0081156B"/>
    <w:rsid w:val="0081156D"/>
    <w:rsid w:val="0081181A"/>
    <w:rsid w:val="00811C84"/>
    <w:rsid w:val="00811FC5"/>
    <w:rsid w:val="00812022"/>
    <w:rsid w:val="008127B8"/>
    <w:rsid w:val="00812946"/>
    <w:rsid w:val="008129B3"/>
    <w:rsid w:val="00812D53"/>
    <w:rsid w:val="00813027"/>
    <w:rsid w:val="008131B1"/>
    <w:rsid w:val="00813215"/>
    <w:rsid w:val="00813CBB"/>
    <w:rsid w:val="00813D34"/>
    <w:rsid w:val="00813DE5"/>
    <w:rsid w:val="00813E69"/>
    <w:rsid w:val="00813FF6"/>
    <w:rsid w:val="00814315"/>
    <w:rsid w:val="008146C8"/>
    <w:rsid w:val="00814881"/>
    <w:rsid w:val="00814AE1"/>
    <w:rsid w:val="00815413"/>
    <w:rsid w:val="00815664"/>
    <w:rsid w:val="00815AE2"/>
    <w:rsid w:val="00815C21"/>
    <w:rsid w:val="00815C2D"/>
    <w:rsid w:val="008164EC"/>
    <w:rsid w:val="00816818"/>
    <w:rsid w:val="008168C2"/>
    <w:rsid w:val="00816A96"/>
    <w:rsid w:val="00816C17"/>
    <w:rsid w:val="008170CD"/>
    <w:rsid w:val="008173D7"/>
    <w:rsid w:val="00817654"/>
    <w:rsid w:val="00817997"/>
    <w:rsid w:val="008179BC"/>
    <w:rsid w:val="00817D26"/>
    <w:rsid w:val="00817D3C"/>
    <w:rsid w:val="00817FC3"/>
    <w:rsid w:val="0082055E"/>
    <w:rsid w:val="00820623"/>
    <w:rsid w:val="00820C54"/>
    <w:rsid w:val="00821032"/>
    <w:rsid w:val="008213AE"/>
    <w:rsid w:val="008214B6"/>
    <w:rsid w:val="0082169B"/>
    <w:rsid w:val="0082180B"/>
    <w:rsid w:val="00821AC4"/>
    <w:rsid w:val="00821D6B"/>
    <w:rsid w:val="00821D96"/>
    <w:rsid w:val="008223D8"/>
    <w:rsid w:val="0082254D"/>
    <w:rsid w:val="00822851"/>
    <w:rsid w:val="008228C9"/>
    <w:rsid w:val="00822EF4"/>
    <w:rsid w:val="00823006"/>
    <w:rsid w:val="0082308E"/>
    <w:rsid w:val="008236CD"/>
    <w:rsid w:val="00823755"/>
    <w:rsid w:val="00823C5A"/>
    <w:rsid w:val="00823C92"/>
    <w:rsid w:val="008240E0"/>
    <w:rsid w:val="00824231"/>
    <w:rsid w:val="008242C2"/>
    <w:rsid w:val="008242DD"/>
    <w:rsid w:val="008244F9"/>
    <w:rsid w:val="00824620"/>
    <w:rsid w:val="00824852"/>
    <w:rsid w:val="00824AF6"/>
    <w:rsid w:val="00824B0E"/>
    <w:rsid w:val="008251CF"/>
    <w:rsid w:val="0082549A"/>
    <w:rsid w:val="00825667"/>
    <w:rsid w:val="008256CD"/>
    <w:rsid w:val="0082587B"/>
    <w:rsid w:val="008258F8"/>
    <w:rsid w:val="008259B3"/>
    <w:rsid w:val="00825A0A"/>
    <w:rsid w:val="00825CB5"/>
    <w:rsid w:val="00825E09"/>
    <w:rsid w:val="00825EBB"/>
    <w:rsid w:val="008262FB"/>
    <w:rsid w:val="0082645D"/>
    <w:rsid w:val="00826462"/>
    <w:rsid w:val="0082662D"/>
    <w:rsid w:val="008266D5"/>
    <w:rsid w:val="0082684A"/>
    <w:rsid w:val="00826C11"/>
    <w:rsid w:val="00826C8C"/>
    <w:rsid w:val="00826DCF"/>
    <w:rsid w:val="00826F3F"/>
    <w:rsid w:val="008270EF"/>
    <w:rsid w:val="0082739B"/>
    <w:rsid w:val="0082771F"/>
    <w:rsid w:val="008279DB"/>
    <w:rsid w:val="0083004D"/>
    <w:rsid w:val="0083037A"/>
    <w:rsid w:val="008305B4"/>
    <w:rsid w:val="00830AA2"/>
    <w:rsid w:val="00830FBB"/>
    <w:rsid w:val="00830FDA"/>
    <w:rsid w:val="00831814"/>
    <w:rsid w:val="00831C99"/>
    <w:rsid w:val="00831CC6"/>
    <w:rsid w:val="00831D59"/>
    <w:rsid w:val="00832054"/>
    <w:rsid w:val="00832079"/>
    <w:rsid w:val="00832ACD"/>
    <w:rsid w:val="00832D92"/>
    <w:rsid w:val="00832E72"/>
    <w:rsid w:val="00832ECC"/>
    <w:rsid w:val="00832FCF"/>
    <w:rsid w:val="008333A3"/>
    <w:rsid w:val="008333E8"/>
    <w:rsid w:val="0083358D"/>
    <w:rsid w:val="008335D9"/>
    <w:rsid w:val="0083361B"/>
    <w:rsid w:val="00833815"/>
    <w:rsid w:val="00833AF1"/>
    <w:rsid w:val="00833B46"/>
    <w:rsid w:val="00833F1B"/>
    <w:rsid w:val="00833F44"/>
    <w:rsid w:val="008340D5"/>
    <w:rsid w:val="0083427A"/>
    <w:rsid w:val="00834BA4"/>
    <w:rsid w:val="00834CE6"/>
    <w:rsid w:val="00834E52"/>
    <w:rsid w:val="00835310"/>
    <w:rsid w:val="0083543B"/>
    <w:rsid w:val="00835739"/>
    <w:rsid w:val="008357EB"/>
    <w:rsid w:val="00836203"/>
    <w:rsid w:val="00836272"/>
    <w:rsid w:val="008362F1"/>
    <w:rsid w:val="008363C6"/>
    <w:rsid w:val="008368CC"/>
    <w:rsid w:val="00836C9B"/>
    <w:rsid w:val="008370F8"/>
    <w:rsid w:val="0083722C"/>
    <w:rsid w:val="008372D3"/>
    <w:rsid w:val="008372FE"/>
    <w:rsid w:val="008374CA"/>
    <w:rsid w:val="0083778B"/>
    <w:rsid w:val="008378C8"/>
    <w:rsid w:val="00837A76"/>
    <w:rsid w:val="00837ED4"/>
    <w:rsid w:val="00840065"/>
    <w:rsid w:val="00840564"/>
    <w:rsid w:val="008415F6"/>
    <w:rsid w:val="00841A88"/>
    <w:rsid w:val="00841C4F"/>
    <w:rsid w:val="00841D87"/>
    <w:rsid w:val="00841FC8"/>
    <w:rsid w:val="0084228B"/>
    <w:rsid w:val="0084235E"/>
    <w:rsid w:val="008425C7"/>
    <w:rsid w:val="008425F9"/>
    <w:rsid w:val="00842655"/>
    <w:rsid w:val="00842759"/>
    <w:rsid w:val="00842CF6"/>
    <w:rsid w:val="008434AD"/>
    <w:rsid w:val="0084350E"/>
    <w:rsid w:val="00843A2D"/>
    <w:rsid w:val="00844A3A"/>
    <w:rsid w:val="00844EFE"/>
    <w:rsid w:val="008452E8"/>
    <w:rsid w:val="00845D24"/>
    <w:rsid w:val="00846031"/>
    <w:rsid w:val="00846059"/>
    <w:rsid w:val="00846072"/>
    <w:rsid w:val="00846144"/>
    <w:rsid w:val="008461C7"/>
    <w:rsid w:val="00846853"/>
    <w:rsid w:val="008469C3"/>
    <w:rsid w:val="008472AC"/>
    <w:rsid w:val="008476DD"/>
    <w:rsid w:val="008477BC"/>
    <w:rsid w:val="008477C0"/>
    <w:rsid w:val="00847C09"/>
    <w:rsid w:val="00847EA8"/>
    <w:rsid w:val="0085009D"/>
    <w:rsid w:val="00850115"/>
    <w:rsid w:val="00850134"/>
    <w:rsid w:val="008501EF"/>
    <w:rsid w:val="008503D1"/>
    <w:rsid w:val="00850753"/>
    <w:rsid w:val="00850BAF"/>
    <w:rsid w:val="00850C36"/>
    <w:rsid w:val="00850CF7"/>
    <w:rsid w:val="00850D7C"/>
    <w:rsid w:val="00850EAB"/>
    <w:rsid w:val="0085119E"/>
    <w:rsid w:val="008511C2"/>
    <w:rsid w:val="00851340"/>
    <w:rsid w:val="00851534"/>
    <w:rsid w:val="00851B8D"/>
    <w:rsid w:val="00851BCF"/>
    <w:rsid w:val="00851E5D"/>
    <w:rsid w:val="008520E3"/>
    <w:rsid w:val="008521AD"/>
    <w:rsid w:val="008522C4"/>
    <w:rsid w:val="0085278E"/>
    <w:rsid w:val="008527DF"/>
    <w:rsid w:val="008528B1"/>
    <w:rsid w:val="0085333C"/>
    <w:rsid w:val="008537E6"/>
    <w:rsid w:val="00853F8B"/>
    <w:rsid w:val="00853FE8"/>
    <w:rsid w:val="008541D4"/>
    <w:rsid w:val="008546A6"/>
    <w:rsid w:val="008546B0"/>
    <w:rsid w:val="00854D25"/>
    <w:rsid w:val="00854DBA"/>
    <w:rsid w:val="008552B5"/>
    <w:rsid w:val="008553ED"/>
    <w:rsid w:val="0085545F"/>
    <w:rsid w:val="00855675"/>
    <w:rsid w:val="008557EB"/>
    <w:rsid w:val="008559B1"/>
    <w:rsid w:val="00855F51"/>
    <w:rsid w:val="0085626B"/>
    <w:rsid w:val="008566D8"/>
    <w:rsid w:val="0085683B"/>
    <w:rsid w:val="008568B7"/>
    <w:rsid w:val="00856AA9"/>
    <w:rsid w:val="00856E59"/>
    <w:rsid w:val="008570FB"/>
    <w:rsid w:val="00857D94"/>
    <w:rsid w:val="008601FF"/>
    <w:rsid w:val="00860300"/>
    <w:rsid w:val="00860652"/>
    <w:rsid w:val="0086098E"/>
    <w:rsid w:val="00860B57"/>
    <w:rsid w:val="008610FB"/>
    <w:rsid w:val="00861587"/>
    <w:rsid w:val="00861AC2"/>
    <w:rsid w:val="00861B31"/>
    <w:rsid w:val="008620C5"/>
    <w:rsid w:val="00862176"/>
    <w:rsid w:val="0086236A"/>
    <w:rsid w:val="00862CE9"/>
    <w:rsid w:val="00862FEA"/>
    <w:rsid w:val="0086303E"/>
    <w:rsid w:val="008632DB"/>
    <w:rsid w:val="00863591"/>
    <w:rsid w:val="00863675"/>
    <w:rsid w:val="008639B3"/>
    <w:rsid w:val="00864372"/>
    <w:rsid w:val="00864D09"/>
    <w:rsid w:val="00864EB2"/>
    <w:rsid w:val="0086558F"/>
    <w:rsid w:val="0086568D"/>
    <w:rsid w:val="00865ABF"/>
    <w:rsid w:val="00865C6A"/>
    <w:rsid w:val="00865EF3"/>
    <w:rsid w:val="0086634A"/>
    <w:rsid w:val="008666FE"/>
    <w:rsid w:val="00866BA8"/>
    <w:rsid w:val="00866C42"/>
    <w:rsid w:val="00866CA8"/>
    <w:rsid w:val="00867488"/>
    <w:rsid w:val="00867588"/>
    <w:rsid w:val="008675CF"/>
    <w:rsid w:val="008676EA"/>
    <w:rsid w:val="00867A87"/>
    <w:rsid w:val="00867B47"/>
    <w:rsid w:val="00867C5E"/>
    <w:rsid w:val="008700D0"/>
    <w:rsid w:val="008701A0"/>
    <w:rsid w:val="00870217"/>
    <w:rsid w:val="008702E6"/>
    <w:rsid w:val="00870560"/>
    <w:rsid w:val="00870665"/>
    <w:rsid w:val="008707E1"/>
    <w:rsid w:val="00870A47"/>
    <w:rsid w:val="00870EFD"/>
    <w:rsid w:val="00871563"/>
    <w:rsid w:val="00871887"/>
    <w:rsid w:val="00871C3E"/>
    <w:rsid w:val="00871C78"/>
    <w:rsid w:val="00872388"/>
    <w:rsid w:val="008726E1"/>
    <w:rsid w:val="008727C6"/>
    <w:rsid w:val="00872C46"/>
    <w:rsid w:val="00872DE7"/>
    <w:rsid w:val="008730F0"/>
    <w:rsid w:val="008734F6"/>
    <w:rsid w:val="00873608"/>
    <w:rsid w:val="00873701"/>
    <w:rsid w:val="00873D4C"/>
    <w:rsid w:val="00873DAA"/>
    <w:rsid w:val="00873E16"/>
    <w:rsid w:val="0087407C"/>
    <w:rsid w:val="00874417"/>
    <w:rsid w:val="008746B6"/>
    <w:rsid w:val="008746D1"/>
    <w:rsid w:val="0087477C"/>
    <w:rsid w:val="008747A8"/>
    <w:rsid w:val="00874C13"/>
    <w:rsid w:val="00875055"/>
    <w:rsid w:val="00875221"/>
    <w:rsid w:val="0087537D"/>
    <w:rsid w:val="008753C1"/>
    <w:rsid w:val="008756C5"/>
    <w:rsid w:val="00875EF7"/>
    <w:rsid w:val="0087624C"/>
    <w:rsid w:val="0087663E"/>
    <w:rsid w:val="0087674D"/>
    <w:rsid w:val="00876A1A"/>
    <w:rsid w:val="00876A97"/>
    <w:rsid w:val="00876C48"/>
    <w:rsid w:val="008773B0"/>
    <w:rsid w:val="00877758"/>
    <w:rsid w:val="008777E1"/>
    <w:rsid w:val="00880183"/>
    <w:rsid w:val="00880234"/>
    <w:rsid w:val="00880300"/>
    <w:rsid w:val="008803B8"/>
    <w:rsid w:val="00880442"/>
    <w:rsid w:val="00880501"/>
    <w:rsid w:val="00880743"/>
    <w:rsid w:val="00880A17"/>
    <w:rsid w:val="00880B30"/>
    <w:rsid w:val="00880B4F"/>
    <w:rsid w:val="00880D46"/>
    <w:rsid w:val="00880F15"/>
    <w:rsid w:val="00880FC0"/>
    <w:rsid w:val="0088132C"/>
    <w:rsid w:val="00881CAF"/>
    <w:rsid w:val="00881D9D"/>
    <w:rsid w:val="00881EF8"/>
    <w:rsid w:val="00882017"/>
    <w:rsid w:val="0088224C"/>
    <w:rsid w:val="0088229F"/>
    <w:rsid w:val="008822FC"/>
    <w:rsid w:val="00882475"/>
    <w:rsid w:val="00882B2F"/>
    <w:rsid w:val="00882D6F"/>
    <w:rsid w:val="00882ED8"/>
    <w:rsid w:val="00883315"/>
    <w:rsid w:val="0088347E"/>
    <w:rsid w:val="00883612"/>
    <w:rsid w:val="00883938"/>
    <w:rsid w:val="00883C55"/>
    <w:rsid w:val="00883D2F"/>
    <w:rsid w:val="00883D6D"/>
    <w:rsid w:val="00883D86"/>
    <w:rsid w:val="00884025"/>
    <w:rsid w:val="00884105"/>
    <w:rsid w:val="00884A6F"/>
    <w:rsid w:val="00884CDE"/>
    <w:rsid w:val="00884CED"/>
    <w:rsid w:val="0088525D"/>
    <w:rsid w:val="0088560C"/>
    <w:rsid w:val="008856C7"/>
    <w:rsid w:val="00885CAE"/>
    <w:rsid w:val="00885E8F"/>
    <w:rsid w:val="00885FA1"/>
    <w:rsid w:val="0088624F"/>
    <w:rsid w:val="008863A0"/>
    <w:rsid w:val="008867B3"/>
    <w:rsid w:val="00886822"/>
    <w:rsid w:val="00886D19"/>
    <w:rsid w:val="008872C6"/>
    <w:rsid w:val="0088766A"/>
    <w:rsid w:val="00887A03"/>
    <w:rsid w:val="00887BC0"/>
    <w:rsid w:val="00887DE9"/>
    <w:rsid w:val="00887DF1"/>
    <w:rsid w:val="00887EF4"/>
    <w:rsid w:val="0089021A"/>
    <w:rsid w:val="00890459"/>
    <w:rsid w:val="008905D6"/>
    <w:rsid w:val="008908AE"/>
    <w:rsid w:val="00890BEA"/>
    <w:rsid w:val="0089113E"/>
    <w:rsid w:val="0089148A"/>
    <w:rsid w:val="00891A20"/>
    <w:rsid w:val="00891D4B"/>
    <w:rsid w:val="00891DD5"/>
    <w:rsid w:val="008920CC"/>
    <w:rsid w:val="0089287E"/>
    <w:rsid w:val="008929AA"/>
    <w:rsid w:val="00892A7A"/>
    <w:rsid w:val="00892B48"/>
    <w:rsid w:val="00892B7A"/>
    <w:rsid w:val="0089320E"/>
    <w:rsid w:val="0089334F"/>
    <w:rsid w:val="00893781"/>
    <w:rsid w:val="00893A79"/>
    <w:rsid w:val="0089401E"/>
    <w:rsid w:val="008943DB"/>
    <w:rsid w:val="008943F2"/>
    <w:rsid w:val="00894425"/>
    <w:rsid w:val="0089448B"/>
    <w:rsid w:val="008944BC"/>
    <w:rsid w:val="00894B6C"/>
    <w:rsid w:val="00894C1F"/>
    <w:rsid w:val="00894D7C"/>
    <w:rsid w:val="00894DDD"/>
    <w:rsid w:val="00895143"/>
    <w:rsid w:val="008952BB"/>
    <w:rsid w:val="008952DB"/>
    <w:rsid w:val="00895347"/>
    <w:rsid w:val="00895BC5"/>
    <w:rsid w:val="00895CCA"/>
    <w:rsid w:val="00895D1B"/>
    <w:rsid w:val="00895EDC"/>
    <w:rsid w:val="00896235"/>
    <w:rsid w:val="00896449"/>
    <w:rsid w:val="00896622"/>
    <w:rsid w:val="00896933"/>
    <w:rsid w:val="0089693B"/>
    <w:rsid w:val="00896F30"/>
    <w:rsid w:val="00897682"/>
    <w:rsid w:val="00897D4A"/>
    <w:rsid w:val="008A0024"/>
    <w:rsid w:val="008A021D"/>
    <w:rsid w:val="008A03E9"/>
    <w:rsid w:val="008A0A7C"/>
    <w:rsid w:val="008A0B6D"/>
    <w:rsid w:val="008A1128"/>
    <w:rsid w:val="008A128B"/>
    <w:rsid w:val="008A13F7"/>
    <w:rsid w:val="008A150E"/>
    <w:rsid w:val="008A1EA5"/>
    <w:rsid w:val="008A20B3"/>
    <w:rsid w:val="008A226A"/>
    <w:rsid w:val="008A2673"/>
    <w:rsid w:val="008A2700"/>
    <w:rsid w:val="008A27D5"/>
    <w:rsid w:val="008A2FC8"/>
    <w:rsid w:val="008A32CD"/>
    <w:rsid w:val="008A34DF"/>
    <w:rsid w:val="008A35B7"/>
    <w:rsid w:val="008A3805"/>
    <w:rsid w:val="008A3989"/>
    <w:rsid w:val="008A3999"/>
    <w:rsid w:val="008A3A49"/>
    <w:rsid w:val="008A3BA0"/>
    <w:rsid w:val="008A3C99"/>
    <w:rsid w:val="008A45B9"/>
    <w:rsid w:val="008A4A12"/>
    <w:rsid w:val="008A4B86"/>
    <w:rsid w:val="008A5037"/>
    <w:rsid w:val="008A51B4"/>
    <w:rsid w:val="008A5288"/>
    <w:rsid w:val="008A553F"/>
    <w:rsid w:val="008A586C"/>
    <w:rsid w:val="008A5AB4"/>
    <w:rsid w:val="008A5B1A"/>
    <w:rsid w:val="008A5BAB"/>
    <w:rsid w:val="008A5C4E"/>
    <w:rsid w:val="008A5CDB"/>
    <w:rsid w:val="008A5D9E"/>
    <w:rsid w:val="008A600B"/>
    <w:rsid w:val="008A6024"/>
    <w:rsid w:val="008A602F"/>
    <w:rsid w:val="008A6252"/>
    <w:rsid w:val="008A6255"/>
    <w:rsid w:val="008A6552"/>
    <w:rsid w:val="008A6558"/>
    <w:rsid w:val="008A67CF"/>
    <w:rsid w:val="008A6953"/>
    <w:rsid w:val="008A6C17"/>
    <w:rsid w:val="008A74F5"/>
    <w:rsid w:val="008A7D3F"/>
    <w:rsid w:val="008A7DB9"/>
    <w:rsid w:val="008A7F7A"/>
    <w:rsid w:val="008B01AA"/>
    <w:rsid w:val="008B08F6"/>
    <w:rsid w:val="008B0994"/>
    <w:rsid w:val="008B13D2"/>
    <w:rsid w:val="008B16AE"/>
    <w:rsid w:val="008B188E"/>
    <w:rsid w:val="008B1AA2"/>
    <w:rsid w:val="008B1AE1"/>
    <w:rsid w:val="008B2198"/>
    <w:rsid w:val="008B225F"/>
    <w:rsid w:val="008B2297"/>
    <w:rsid w:val="008B23F4"/>
    <w:rsid w:val="008B250E"/>
    <w:rsid w:val="008B259B"/>
    <w:rsid w:val="008B2612"/>
    <w:rsid w:val="008B27AD"/>
    <w:rsid w:val="008B287E"/>
    <w:rsid w:val="008B28B3"/>
    <w:rsid w:val="008B2AFE"/>
    <w:rsid w:val="008B2E8D"/>
    <w:rsid w:val="008B3117"/>
    <w:rsid w:val="008B3275"/>
    <w:rsid w:val="008B366D"/>
    <w:rsid w:val="008B37A6"/>
    <w:rsid w:val="008B3812"/>
    <w:rsid w:val="008B38E4"/>
    <w:rsid w:val="008B3C1A"/>
    <w:rsid w:val="008B4290"/>
    <w:rsid w:val="008B43BC"/>
    <w:rsid w:val="008B4539"/>
    <w:rsid w:val="008B4B0C"/>
    <w:rsid w:val="008B4C3B"/>
    <w:rsid w:val="008B4CC0"/>
    <w:rsid w:val="008B4D63"/>
    <w:rsid w:val="008B5000"/>
    <w:rsid w:val="008B506D"/>
    <w:rsid w:val="008B587A"/>
    <w:rsid w:val="008B5981"/>
    <w:rsid w:val="008B5EC1"/>
    <w:rsid w:val="008B5ECE"/>
    <w:rsid w:val="008B5FF1"/>
    <w:rsid w:val="008B60A2"/>
    <w:rsid w:val="008B67F0"/>
    <w:rsid w:val="008B69BF"/>
    <w:rsid w:val="008B69D5"/>
    <w:rsid w:val="008B6B6C"/>
    <w:rsid w:val="008B71F5"/>
    <w:rsid w:val="008B730C"/>
    <w:rsid w:val="008B74C1"/>
    <w:rsid w:val="008B77CA"/>
    <w:rsid w:val="008B7E0B"/>
    <w:rsid w:val="008C041A"/>
    <w:rsid w:val="008C0497"/>
    <w:rsid w:val="008C052F"/>
    <w:rsid w:val="008C0B55"/>
    <w:rsid w:val="008C0C60"/>
    <w:rsid w:val="008C0EC8"/>
    <w:rsid w:val="008C100F"/>
    <w:rsid w:val="008C117E"/>
    <w:rsid w:val="008C16F9"/>
    <w:rsid w:val="008C17F4"/>
    <w:rsid w:val="008C1943"/>
    <w:rsid w:val="008C19D0"/>
    <w:rsid w:val="008C2098"/>
    <w:rsid w:val="008C218E"/>
    <w:rsid w:val="008C21ED"/>
    <w:rsid w:val="008C23DA"/>
    <w:rsid w:val="008C24A3"/>
    <w:rsid w:val="008C2E63"/>
    <w:rsid w:val="008C300C"/>
    <w:rsid w:val="008C328C"/>
    <w:rsid w:val="008C344C"/>
    <w:rsid w:val="008C36A9"/>
    <w:rsid w:val="008C39AD"/>
    <w:rsid w:val="008C42F2"/>
    <w:rsid w:val="008C43C1"/>
    <w:rsid w:val="008C4815"/>
    <w:rsid w:val="008C4A08"/>
    <w:rsid w:val="008C4FE5"/>
    <w:rsid w:val="008C521C"/>
    <w:rsid w:val="008C52D0"/>
    <w:rsid w:val="008C53A0"/>
    <w:rsid w:val="008C56E5"/>
    <w:rsid w:val="008C5C0D"/>
    <w:rsid w:val="008C5C2F"/>
    <w:rsid w:val="008C5C78"/>
    <w:rsid w:val="008C6278"/>
    <w:rsid w:val="008C64C0"/>
    <w:rsid w:val="008C654B"/>
    <w:rsid w:val="008C6671"/>
    <w:rsid w:val="008C69A6"/>
    <w:rsid w:val="008C6BBC"/>
    <w:rsid w:val="008C6ECC"/>
    <w:rsid w:val="008C7024"/>
    <w:rsid w:val="008C75CF"/>
    <w:rsid w:val="008C776C"/>
    <w:rsid w:val="008C7926"/>
    <w:rsid w:val="008C795D"/>
    <w:rsid w:val="008C79D3"/>
    <w:rsid w:val="008C7D38"/>
    <w:rsid w:val="008C7E72"/>
    <w:rsid w:val="008D04E4"/>
    <w:rsid w:val="008D06E2"/>
    <w:rsid w:val="008D0737"/>
    <w:rsid w:val="008D0862"/>
    <w:rsid w:val="008D087B"/>
    <w:rsid w:val="008D1396"/>
    <w:rsid w:val="008D1657"/>
    <w:rsid w:val="008D16BF"/>
    <w:rsid w:val="008D1718"/>
    <w:rsid w:val="008D17DE"/>
    <w:rsid w:val="008D1D4E"/>
    <w:rsid w:val="008D218B"/>
    <w:rsid w:val="008D239C"/>
    <w:rsid w:val="008D23C0"/>
    <w:rsid w:val="008D2419"/>
    <w:rsid w:val="008D2485"/>
    <w:rsid w:val="008D2912"/>
    <w:rsid w:val="008D2C69"/>
    <w:rsid w:val="008D2CB0"/>
    <w:rsid w:val="008D2FAA"/>
    <w:rsid w:val="008D2FF3"/>
    <w:rsid w:val="008D3327"/>
    <w:rsid w:val="008D33F9"/>
    <w:rsid w:val="008D3734"/>
    <w:rsid w:val="008D3BC4"/>
    <w:rsid w:val="008D3E6B"/>
    <w:rsid w:val="008D40E4"/>
    <w:rsid w:val="008D45CF"/>
    <w:rsid w:val="008D4A8C"/>
    <w:rsid w:val="008D4ADA"/>
    <w:rsid w:val="008D4C80"/>
    <w:rsid w:val="008D4D47"/>
    <w:rsid w:val="008D4DD7"/>
    <w:rsid w:val="008D5291"/>
    <w:rsid w:val="008D5321"/>
    <w:rsid w:val="008D56C0"/>
    <w:rsid w:val="008D57E1"/>
    <w:rsid w:val="008D58A7"/>
    <w:rsid w:val="008D58F8"/>
    <w:rsid w:val="008D5B84"/>
    <w:rsid w:val="008D5CAB"/>
    <w:rsid w:val="008D5DBB"/>
    <w:rsid w:val="008D5FD8"/>
    <w:rsid w:val="008D6445"/>
    <w:rsid w:val="008D651C"/>
    <w:rsid w:val="008D65AA"/>
    <w:rsid w:val="008D683B"/>
    <w:rsid w:val="008D6885"/>
    <w:rsid w:val="008D6934"/>
    <w:rsid w:val="008D6E09"/>
    <w:rsid w:val="008D6ECD"/>
    <w:rsid w:val="008D715C"/>
    <w:rsid w:val="008D7259"/>
    <w:rsid w:val="008D755D"/>
    <w:rsid w:val="008D7898"/>
    <w:rsid w:val="008D7C17"/>
    <w:rsid w:val="008D7E2D"/>
    <w:rsid w:val="008D7F51"/>
    <w:rsid w:val="008E047C"/>
    <w:rsid w:val="008E076E"/>
    <w:rsid w:val="008E0B96"/>
    <w:rsid w:val="008E0E0B"/>
    <w:rsid w:val="008E0FD4"/>
    <w:rsid w:val="008E1C88"/>
    <w:rsid w:val="008E211A"/>
    <w:rsid w:val="008E2121"/>
    <w:rsid w:val="008E22DE"/>
    <w:rsid w:val="008E262D"/>
    <w:rsid w:val="008E2AE9"/>
    <w:rsid w:val="008E2E6A"/>
    <w:rsid w:val="008E3007"/>
    <w:rsid w:val="008E31DF"/>
    <w:rsid w:val="008E374D"/>
    <w:rsid w:val="008E3A46"/>
    <w:rsid w:val="008E3A71"/>
    <w:rsid w:val="008E3CED"/>
    <w:rsid w:val="008E3E0C"/>
    <w:rsid w:val="008E414B"/>
    <w:rsid w:val="008E41F0"/>
    <w:rsid w:val="008E446A"/>
    <w:rsid w:val="008E4906"/>
    <w:rsid w:val="008E4C04"/>
    <w:rsid w:val="008E4C8A"/>
    <w:rsid w:val="008E4CB3"/>
    <w:rsid w:val="008E4CB7"/>
    <w:rsid w:val="008E5472"/>
    <w:rsid w:val="008E5794"/>
    <w:rsid w:val="008E58A1"/>
    <w:rsid w:val="008E5AB9"/>
    <w:rsid w:val="008E5DE3"/>
    <w:rsid w:val="008E6116"/>
    <w:rsid w:val="008E64F4"/>
    <w:rsid w:val="008E679D"/>
    <w:rsid w:val="008E70D6"/>
    <w:rsid w:val="008E70DF"/>
    <w:rsid w:val="008E71A4"/>
    <w:rsid w:val="008E7433"/>
    <w:rsid w:val="008F02EE"/>
    <w:rsid w:val="008F037A"/>
    <w:rsid w:val="008F0657"/>
    <w:rsid w:val="008F0876"/>
    <w:rsid w:val="008F0A01"/>
    <w:rsid w:val="008F0C02"/>
    <w:rsid w:val="008F104F"/>
    <w:rsid w:val="008F133C"/>
    <w:rsid w:val="008F18A4"/>
    <w:rsid w:val="008F1A2E"/>
    <w:rsid w:val="008F223A"/>
    <w:rsid w:val="008F227A"/>
    <w:rsid w:val="008F2319"/>
    <w:rsid w:val="008F240D"/>
    <w:rsid w:val="008F2453"/>
    <w:rsid w:val="008F24C3"/>
    <w:rsid w:val="008F2556"/>
    <w:rsid w:val="008F27FA"/>
    <w:rsid w:val="008F287D"/>
    <w:rsid w:val="008F2A20"/>
    <w:rsid w:val="008F2D6A"/>
    <w:rsid w:val="008F3330"/>
    <w:rsid w:val="008F364D"/>
    <w:rsid w:val="008F3668"/>
    <w:rsid w:val="008F370E"/>
    <w:rsid w:val="008F3839"/>
    <w:rsid w:val="008F3851"/>
    <w:rsid w:val="008F3871"/>
    <w:rsid w:val="008F3876"/>
    <w:rsid w:val="008F3C46"/>
    <w:rsid w:val="008F3F5D"/>
    <w:rsid w:val="008F410D"/>
    <w:rsid w:val="008F4295"/>
    <w:rsid w:val="008F43D0"/>
    <w:rsid w:val="008F46D7"/>
    <w:rsid w:val="008F4750"/>
    <w:rsid w:val="008F4F23"/>
    <w:rsid w:val="008F502E"/>
    <w:rsid w:val="008F51BF"/>
    <w:rsid w:val="008F52D5"/>
    <w:rsid w:val="008F56DE"/>
    <w:rsid w:val="008F5997"/>
    <w:rsid w:val="008F5A61"/>
    <w:rsid w:val="008F5A8C"/>
    <w:rsid w:val="008F5FF2"/>
    <w:rsid w:val="008F60C5"/>
    <w:rsid w:val="008F66DE"/>
    <w:rsid w:val="008F68C4"/>
    <w:rsid w:val="008F6928"/>
    <w:rsid w:val="008F6BED"/>
    <w:rsid w:val="008F6CA6"/>
    <w:rsid w:val="008F6EBA"/>
    <w:rsid w:val="008F700B"/>
    <w:rsid w:val="008F731E"/>
    <w:rsid w:val="008F732F"/>
    <w:rsid w:val="008F7850"/>
    <w:rsid w:val="008F79E0"/>
    <w:rsid w:val="008F7F35"/>
    <w:rsid w:val="0090018C"/>
    <w:rsid w:val="00900408"/>
    <w:rsid w:val="0090095D"/>
    <w:rsid w:val="00900B54"/>
    <w:rsid w:val="00900BCD"/>
    <w:rsid w:val="00900E7E"/>
    <w:rsid w:val="00900F72"/>
    <w:rsid w:val="00900FD6"/>
    <w:rsid w:val="0090110F"/>
    <w:rsid w:val="0090116C"/>
    <w:rsid w:val="009012B3"/>
    <w:rsid w:val="0090158B"/>
    <w:rsid w:val="00901811"/>
    <w:rsid w:val="0090193D"/>
    <w:rsid w:val="0090202E"/>
    <w:rsid w:val="0090222A"/>
    <w:rsid w:val="00902329"/>
    <w:rsid w:val="00902429"/>
    <w:rsid w:val="009025F5"/>
    <w:rsid w:val="00902705"/>
    <w:rsid w:val="00902721"/>
    <w:rsid w:val="00902756"/>
    <w:rsid w:val="00902AA7"/>
    <w:rsid w:val="00902C4C"/>
    <w:rsid w:val="00902E2C"/>
    <w:rsid w:val="00902EA2"/>
    <w:rsid w:val="009030C8"/>
    <w:rsid w:val="00903266"/>
    <w:rsid w:val="00903774"/>
    <w:rsid w:val="00903BFD"/>
    <w:rsid w:val="00903C83"/>
    <w:rsid w:val="00903C8D"/>
    <w:rsid w:val="00903CEE"/>
    <w:rsid w:val="0090434B"/>
    <w:rsid w:val="009044CB"/>
    <w:rsid w:val="00904525"/>
    <w:rsid w:val="009045D6"/>
    <w:rsid w:val="009047D9"/>
    <w:rsid w:val="0090497C"/>
    <w:rsid w:val="00904A82"/>
    <w:rsid w:val="00904B99"/>
    <w:rsid w:val="0090518E"/>
    <w:rsid w:val="009052C5"/>
    <w:rsid w:val="00905605"/>
    <w:rsid w:val="00905B60"/>
    <w:rsid w:val="00905CC5"/>
    <w:rsid w:val="00905D55"/>
    <w:rsid w:val="009062A3"/>
    <w:rsid w:val="009062C7"/>
    <w:rsid w:val="009065BB"/>
    <w:rsid w:val="0090667B"/>
    <w:rsid w:val="0090670E"/>
    <w:rsid w:val="009068E8"/>
    <w:rsid w:val="00906D30"/>
    <w:rsid w:val="0090716A"/>
    <w:rsid w:val="009074AC"/>
    <w:rsid w:val="00907D2B"/>
    <w:rsid w:val="00907E21"/>
    <w:rsid w:val="00907F5A"/>
    <w:rsid w:val="00910327"/>
    <w:rsid w:val="00910448"/>
    <w:rsid w:val="00910772"/>
    <w:rsid w:val="00910799"/>
    <w:rsid w:val="00910A8D"/>
    <w:rsid w:val="00910BE5"/>
    <w:rsid w:val="00910FBA"/>
    <w:rsid w:val="009110E8"/>
    <w:rsid w:val="00911471"/>
    <w:rsid w:val="0091185F"/>
    <w:rsid w:val="0091198C"/>
    <w:rsid w:val="00911A3F"/>
    <w:rsid w:val="00911D53"/>
    <w:rsid w:val="0091212B"/>
    <w:rsid w:val="009122D7"/>
    <w:rsid w:val="00912BA1"/>
    <w:rsid w:val="0091346A"/>
    <w:rsid w:val="00913628"/>
    <w:rsid w:val="0091367F"/>
    <w:rsid w:val="00913902"/>
    <w:rsid w:val="009139C8"/>
    <w:rsid w:val="00913C31"/>
    <w:rsid w:val="00913ECF"/>
    <w:rsid w:val="00913EDA"/>
    <w:rsid w:val="0091413F"/>
    <w:rsid w:val="00914395"/>
    <w:rsid w:val="009144EF"/>
    <w:rsid w:val="00914758"/>
    <w:rsid w:val="0091482E"/>
    <w:rsid w:val="00914888"/>
    <w:rsid w:val="00914A30"/>
    <w:rsid w:val="00914DEE"/>
    <w:rsid w:val="00915022"/>
    <w:rsid w:val="00915024"/>
    <w:rsid w:val="0091532C"/>
    <w:rsid w:val="009156CD"/>
    <w:rsid w:val="0091585A"/>
    <w:rsid w:val="00915C6C"/>
    <w:rsid w:val="00915CAE"/>
    <w:rsid w:val="00915CBD"/>
    <w:rsid w:val="009165B0"/>
    <w:rsid w:val="00916829"/>
    <w:rsid w:val="00916AD3"/>
    <w:rsid w:val="00916BC8"/>
    <w:rsid w:val="00916C57"/>
    <w:rsid w:val="00916CAB"/>
    <w:rsid w:val="00916E5E"/>
    <w:rsid w:val="009171A2"/>
    <w:rsid w:val="009171E0"/>
    <w:rsid w:val="00917318"/>
    <w:rsid w:val="009177DC"/>
    <w:rsid w:val="00917B0B"/>
    <w:rsid w:val="009209AB"/>
    <w:rsid w:val="009209B5"/>
    <w:rsid w:val="009209FC"/>
    <w:rsid w:val="00920A3B"/>
    <w:rsid w:val="00920D3C"/>
    <w:rsid w:val="00920DF8"/>
    <w:rsid w:val="00921D72"/>
    <w:rsid w:val="00921EC3"/>
    <w:rsid w:val="0092211E"/>
    <w:rsid w:val="009221B2"/>
    <w:rsid w:val="00922425"/>
    <w:rsid w:val="009227EF"/>
    <w:rsid w:val="00922A6B"/>
    <w:rsid w:val="00922EAF"/>
    <w:rsid w:val="0092305B"/>
    <w:rsid w:val="009231B1"/>
    <w:rsid w:val="00923A48"/>
    <w:rsid w:val="00923F37"/>
    <w:rsid w:val="0092455D"/>
    <w:rsid w:val="00924633"/>
    <w:rsid w:val="00924C75"/>
    <w:rsid w:val="00924CE0"/>
    <w:rsid w:val="00924DDE"/>
    <w:rsid w:val="009250BE"/>
    <w:rsid w:val="00925327"/>
    <w:rsid w:val="0092595F"/>
    <w:rsid w:val="009259C8"/>
    <w:rsid w:val="00925CC7"/>
    <w:rsid w:val="00925D60"/>
    <w:rsid w:val="00925EC9"/>
    <w:rsid w:val="00925EF3"/>
    <w:rsid w:val="00926736"/>
    <w:rsid w:val="00926797"/>
    <w:rsid w:val="009267B2"/>
    <w:rsid w:val="009267FB"/>
    <w:rsid w:val="00926944"/>
    <w:rsid w:val="0092697E"/>
    <w:rsid w:val="00926C4F"/>
    <w:rsid w:val="00927275"/>
    <w:rsid w:val="009275D9"/>
    <w:rsid w:val="00927600"/>
    <w:rsid w:val="009276C4"/>
    <w:rsid w:val="00927BAA"/>
    <w:rsid w:val="00927CF5"/>
    <w:rsid w:val="00927D74"/>
    <w:rsid w:val="00927D82"/>
    <w:rsid w:val="00927DC5"/>
    <w:rsid w:val="00927FF7"/>
    <w:rsid w:val="0093023C"/>
    <w:rsid w:val="00930985"/>
    <w:rsid w:val="00930DB2"/>
    <w:rsid w:val="00931190"/>
    <w:rsid w:val="009313ED"/>
    <w:rsid w:val="009318FA"/>
    <w:rsid w:val="009319C0"/>
    <w:rsid w:val="00931B21"/>
    <w:rsid w:val="00931F64"/>
    <w:rsid w:val="0093208A"/>
    <w:rsid w:val="009321A3"/>
    <w:rsid w:val="009322FC"/>
    <w:rsid w:val="009325F6"/>
    <w:rsid w:val="009328A9"/>
    <w:rsid w:val="009328B1"/>
    <w:rsid w:val="00932A8E"/>
    <w:rsid w:val="00932BB1"/>
    <w:rsid w:val="00932BD3"/>
    <w:rsid w:val="00932D49"/>
    <w:rsid w:val="00932EF6"/>
    <w:rsid w:val="00933137"/>
    <w:rsid w:val="0093322A"/>
    <w:rsid w:val="009332ED"/>
    <w:rsid w:val="00933E23"/>
    <w:rsid w:val="00934327"/>
    <w:rsid w:val="009346AC"/>
    <w:rsid w:val="00934C13"/>
    <w:rsid w:val="00934C97"/>
    <w:rsid w:val="0093522E"/>
    <w:rsid w:val="00935665"/>
    <w:rsid w:val="009357B6"/>
    <w:rsid w:val="00935A57"/>
    <w:rsid w:val="00935E5A"/>
    <w:rsid w:val="00935ECC"/>
    <w:rsid w:val="00935EEC"/>
    <w:rsid w:val="00936564"/>
    <w:rsid w:val="009368D9"/>
    <w:rsid w:val="0093690F"/>
    <w:rsid w:val="00936B2E"/>
    <w:rsid w:val="00937460"/>
    <w:rsid w:val="00937D1D"/>
    <w:rsid w:val="00937F8F"/>
    <w:rsid w:val="009402B3"/>
    <w:rsid w:val="00940536"/>
    <w:rsid w:val="009405D8"/>
    <w:rsid w:val="009407F2"/>
    <w:rsid w:val="009408F9"/>
    <w:rsid w:val="00940F0C"/>
    <w:rsid w:val="00941007"/>
    <w:rsid w:val="009410D2"/>
    <w:rsid w:val="00941188"/>
    <w:rsid w:val="00941388"/>
    <w:rsid w:val="009413CD"/>
    <w:rsid w:val="009415D5"/>
    <w:rsid w:val="009416C0"/>
    <w:rsid w:val="00942328"/>
    <w:rsid w:val="00942593"/>
    <w:rsid w:val="00942B7A"/>
    <w:rsid w:val="00942CB9"/>
    <w:rsid w:val="009430A2"/>
    <w:rsid w:val="009433B7"/>
    <w:rsid w:val="00943491"/>
    <w:rsid w:val="00943750"/>
    <w:rsid w:val="009437FD"/>
    <w:rsid w:val="00943832"/>
    <w:rsid w:val="0094395A"/>
    <w:rsid w:val="009439C5"/>
    <w:rsid w:val="00943B8C"/>
    <w:rsid w:val="00944140"/>
    <w:rsid w:val="0094449E"/>
    <w:rsid w:val="009448E6"/>
    <w:rsid w:val="00944CA2"/>
    <w:rsid w:val="009451B2"/>
    <w:rsid w:val="00945382"/>
    <w:rsid w:val="00945887"/>
    <w:rsid w:val="00946947"/>
    <w:rsid w:val="00946A26"/>
    <w:rsid w:val="00946C68"/>
    <w:rsid w:val="00946DB3"/>
    <w:rsid w:val="00946F60"/>
    <w:rsid w:val="009473E7"/>
    <w:rsid w:val="0094742F"/>
    <w:rsid w:val="0094763F"/>
    <w:rsid w:val="00947C7B"/>
    <w:rsid w:val="00947F91"/>
    <w:rsid w:val="00950034"/>
    <w:rsid w:val="009501B1"/>
    <w:rsid w:val="009501EC"/>
    <w:rsid w:val="00950347"/>
    <w:rsid w:val="00950478"/>
    <w:rsid w:val="00950620"/>
    <w:rsid w:val="009506BA"/>
    <w:rsid w:val="009509C6"/>
    <w:rsid w:val="00950E04"/>
    <w:rsid w:val="009510F5"/>
    <w:rsid w:val="009511EF"/>
    <w:rsid w:val="00951627"/>
    <w:rsid w:val="009518EC"/>
    <w:rsid w:val="0095195A"/>
    <w:rsid w:val="00951DF5"/>
    <w:rsid w:val="0095233E"/>
    <w:rsid w:val="009523F7"/>
    <w:rsid w:val="009531B6"/>
    <w:rsid w:val="0095323C"/>
    <w:rsid w:val="00953355"/>
    <w:rsid w:val="00953489"/>
    <w:rsid w:val="00953503"/>
    <w:rsid w:val="009536F0"/>
    <w:rsid w:val="00953785"/>
    <w:rsid w:val="00953795"/>
    <w:rsid w:val="00953E73"/>
    <w:rsid w:val="0095419B"/>
    <w:rsid w:val="009545B2"/>
    <w:rsid w:val="0095472B"/>
    <w:rsid w:val="0095485C"/>
    <w:rsid w:val="00954874"/>
    <w:rsid w:val="00954899"/>
    <w:rsid w:val="00954C5C"/>
    <w:rsid w:val="00954D05"/>
    <w:rsid w:val="00954DB3"/>
    <w:rsid w:val="00954E09"/>
    <w:rsid w:val="009552A6"/>
    <w:rsid w:val="0095544D"/>
    <w:rsid w:val="009554D1"/>
    <w:rsid w:val="009556E1"/>
    <w:rsid w:val="00955CB3"/>
    <w:rsid w:val="00955EE6"/>
    <w:rsid w:val="0095663B"/>
    <w:rsid w:val="00956D53"/>
    <w:rsid w:val="0095711E"/>
    <w:rsid w:val="0095718A"/>
    <w:rsid w:val="00957383"/>
    <w:rsid w:val="00957485"/>
    <w:rsid w:val="009574D0"/>
    <w:rsid w:val="0095754B"/>
    <w:rsid w:val="00957A9D"/>
    <w:rsid w:val="00957AE4"/>
    <w:rsid w:val="00957BBA"/>
    <w:rsid w:val="00957D31"/>
    <w:rsid w:val="00957F1C"/>
    <w:rsid w:val="00957F37"/>
    <w:rsid w:val="0096001F"/>
    <w:rsid w:val="0096017F"/>
    <w:rsid w:val="0096031F"/>
    <w:rsid w:val="00960367"/>
    <w:rsid w:val="009603A3"/>
    <w:rsid w:val="0096085B"/>
    <w:rsid w:val="00960C7A"/>
    <w:rsid w:val="00960D48"/>
    <w:rsid w:val="00961362"/>
    <w:rsid w:val="00961590"/>
    <w:rsid w:val="00961619"/>
    <w:rsid w:val="0096172C"/>
    <w:rsid w:val="00961AEF"/>
    <w:rsid w:val="00961DD0"/>
    <w:rsid w:val="00961DD8"/>
    <w:rsid w:val="0096224B"/>
    <w:rsid w:val="00962AE5"/>
    <w:rsid w:val="00962E5B"/>
    <w:rsid w:val="009634C2"/>
    <w:rsid w:val="0096352C"/>
    <w:rsid w:val="00963AFB"/>
    <w:rsid w:val="00963CCA"/>
    <w:rsid w:val="00963D41"/>
    <w:rsid w:val="0096407D"/>
    <w:rsid w:val="00964879"/>
    <w:rsid w:val="00964A6C"/>
    <w:rsid w:val="00964B9B"/>
    <w:rsid w:val="00964F28"/>
    <w:rsid w:val="0096522A"/>
    <w:rsid w:val="00965426"/>
    <w:rsid w:val="0096563E"/>
    <w:rsid w:val="00965952"/>
    <w:rsid w:val="009659FA"/>
    <w:rsid w:val="00965B24"/>
    <w:rsid w:val="00965BCC"/>
    <w:rsid w:val="009664CB"/>
    <w:rsid w:val="0096670E"/>
    <w:rsid w:val="009668B8"/>
    <w:rsid w:val="0096693C"/>
    <w:rsid w:val="00966AE9"/>
    <w:rsid w:val="00966B68"/>
    <w:rsid w:val="00966B8F"/>
    <w:rsid w:val="00966CAF"/>
    <w:rsid w:val="00966DFB"/>
    <w:rsid w:val="009675B4"/>
    <w:rsid w:val="009675DC"/>
    <w:rsid w:val="00967764"/>
    <w:rsid w:val="00967A15"/>
    <w:rsid w:val="00967C32"/>
    <w:rsid w:val="00967CA1"/>
    <w:rsid w:val="00967FA5"/>
    <w:rsid w:val="00967FD9"/>
    <w:rsid w:val="009702E9"/>
    <w:rsid w:val="009703B8"/>
    <w:rsid w:val="0097048C"/>
    <w:rsid w:val="00970A5B"/>
    <w:rsid w:val="00970CA9"/>
    <w:rsid w:val="00970D03"/>
    <w:rsid w:val="00970F8D"/>
    <w:rsid w:val="009710CE"/>
    <w:rsid w:val="0097125D"/>
    <w:rsid w:val="00971428"/>
    <w:rsid w:val="009714FB"/>
    <w:rsid w:val="00971742"/>
    <w:rsid w:val="00971A95"/>
    <w:rsid w:val="009723C2"/>
    <w:rsid w:val="009723FC"/>
    <w:rsid w:val="00972590"/>
    <w:rsid w:val="0097274E"/>
    <w:rsid w:val="009729C8"/>
    <w:rsid w:val="00972BD0"/>
    <w:rsid w:val="00972BD2"/>
    <w:rsid w:val="00972CCC"/>
    <w:rsid w:val="00972EEC"/>
    <w:rsid w:val="0097340F"/>
    <w:rsid w:val="0097351A"/>
    <w:rsid w:val="009738D0"/>
    <w:rsid w:val="00973A60"/>
    <w:rsid w:val="00973DFB"/>
    <w:rsid w:val="00973F02"/>
    <w:rsid w:val="00973F34"/>
    <w:rsid w:val="00974055"/>
    <w:rsid w:val="00974207"/>
    <w:rsid w:val="009745CF"/>
    <w:rsid w:val="009747E2"/>
    <w:rsid w:val="00974BC1"/>
    <w:rsid w:val="00974BF4"/>
    <w:rsid w:val="00974EFF"/>
    <w:rsid w:val="00975195"/>
    <w:rsid w:val="0097574F"/>
    <w:rsid w:val="009757E0"/>
    <w:rsid w:val="009758D4"/>
    <w:rsid w:val="0097594E"/>
    <w:rsid w:val="00975A22"/>
    <w:rsid w:val="00975F43"/>
    <w:rsid w:val="009761B5"/>
    <w:rsid w:val="00976313"/>
    <w:rsid w:val="00976336"/>
    <w:rsid w:val="00976481"/>
    <w:rsid w:val="0097651F"/>
    <w:rsid w:val="00976958"/>
    <w:rsid w:val="00976CBF"/>
    <w:rsid w:val="00976CE7"/>
    <w:rsid w:val="00976D55"/>
    <w:rsid w:val="009776D9"/>
    <w:rsid w:val="00977EAD"/>
    <w:rsid w:val="009801F8"/>
    <w:rsid w:val="00980298"/>
    <w:rsid w:val="009805F0"/>
    <w:rsid w:val="00980937"/>
    <w:rsid w:val="00980A3E"/>
    <w:rsid w:val="009810B3"/>
    <w:rsid w:val="0098119F"/>
    <w:rsid w:val="009812A8"/>
    <w:rsid w:val="009817A0"/>
    <w:rsid w:val="00981DB6"/>
    <w:rsid w:val="00981EAE"/>
    <w:rsid w:val="00981EEB"/>
    <w:rsid w:val="0098204A"/>
    <w:rsid w:val="009821DB"/>
    <w:rsid w:val="00982276"/>
    <w:rsid w:val="00982366"/>
    <w:rsid w:val="009823AB"/>
    <w:rsid w:val="00982C18"/>
    <w:rsid w:val="00982C8E"/>
    <w:rsid w:val="00982E9E"/>
    <w:rsid w:val="00982F15"/>
    <w:rsid w:val="00982FF6"/>
    <w:rsid w:val="0098383D"/>
    <w:rsid w:val="00983870"/>
    <w:rsid w:val="009838BE"/>
    <w:rsid w:val="00983BF4"/>
    <w:rsid w:val="00983CCA"/>
    <w:rsid w:val="00983E6F"/>
    <w:rsid w:val="00984127"/>
    <w:rsid w:val="00984538"/>
    <w:rsid w:val="00984A43"/>
    <w:rsid w:val="00984D28"/>
    <w:rsid w:val="00984F78"/>
    <w:rsid w:val="00984FC7"/>
    <w:rsid w:val="009853ED"/>
    <w:rsid w:val="00985AFF"/>
    <w:rsid w:val="00985BFD"/>
    <w:rsid w:val="00986374"/>
    <w:rsid w:val="00986432"/>
    <w:rsid w:val="0098651F"/>
    <w:rsid w:val="009867FC"/>
    <w:rsid w:val="00986BAA"/>
    <w:rsid w:val="00986D74"/>
    <w:rsid w:val="00987F12"/>
    <w:rsid w:val="00990103"/>
    <w:rsid w:val="009901B8"/>
    <w:rsid w:val="00990535"/>
    <w:rsid w:val="0099058E"/>
    <w:rsid w:val="009905BB"/>
    <w:rsid w:val="00990640"/>
    <w:rsid w:val="00990972"/>
    <w:rsid w:val="00990D95"/>
    <w:rsid w:val="00990DB6"/>
    <w:rsid w:val="00990E0E"/>
    <w:rsid w:val="00990EAB"/>
    <w:rsid w:val="0099104E"/>
    <w:rsid w:val="00991175"/>
    <w:rsid w:val="00991464"/>
    <w:rsid w:val="0099174A"/>
    <w:rsid w:val="009917F9"/>
    <w:rsid w:val="00991828"/>
    <w:rsid w:val="00991869"/>
    <w:rsid w:val="00991886"/>
    <w:rsid w:val="00991A15"/>
    <w:rsid w:val="00991B2C"/>
    <w:rsid w:val="009921FE"/>
    <w:rsid w:val="00992251"/>
    <w:rsid w:val="009924C6"/>
    <w:rsid w:val="009927AD"/>
    <w:rsid w:val="00992986"/>
    <w:rsid w:val="00992A4B"/>
    <w:rsid w:val="00992A90"/>
    <w:rsid w:val="00992AE7"/>
    <w:rsid w:val="00992B0F"/>
    <w:rsid w:val="00992B85"/>
    <w:rsid w:val="00992FB4"/>
    <w:rsid w:val="00992FF3"/>
    <w:rsid w:val="0099315F"/>
    <w:rsid w:val="009931AA"/>
    <w:rsid w:val="009933C6"/>
    <w:rsid w:val="0099345B"/>
    <w:rsid w:val="009934F1"/>
    <w:rsid w:val="0099366A"/>
    <w:rsid w:val="00993D42"/>
    <w:rsid w:val="0099401C"/>
    <w:rsid w:val="0099446A"/>
    <w:rsid w:val="00994C5D"/>
    <w:rsid w:val="00994C88"/>
    <w:rsid w:val="00994F9B"/>
    <w:rsid w:val="009953BC"/>
    <w:rsid w:val="00995825"/>
    <w:rsid w:val="00995865"/>
    <w:rsid w:val="00995A4E"/>
    <w:rsid w:val="00995A81"/>
    <w:rsid w:val="00995C9A"/>
    <w:rsid w:val="0099622D"/>
    <w:rsid w:val="00996370"/>
    <w:rsid w:val="009964BE"/>
    <w:rsid w:val="009964ED"/>
    <w:rsid w:val="00996615"/>
    <w:rsid w:val="0099666B"/>
    <w:rsid w:val="009966C2"/>
    <w:rsid w:val="00996A3F"/>
    <w:rsid w:val="00996B4D"/>
    <w:rsid w:val="00996C67"/>
    <w:rsid w:val="00996D59"/>
    <w:rsid w:val="00996F04"/>
    <w:rsid w:val="00996F6E"/>
    <w:rsid w:val="00996F99"/>
    <w:rsid w:val="00996FDA"/>
    <w:rsid w:val="00997061"/>
    <w:rsid w:val="00997597"/>
    <w:rsid w:val="009975CB"/>
    <w:rsid w:val="00997871"/>
    <w:rsid w:val="00997CBE"/>
    <w:rsid w:val="009A021C"/>
    <w:rsid w:val="009A0301"/>
    <w:rsid w:val="009A0449"/>
    <w:rsid w:val="009A0786"/>
    <w:rsid w:val="009A08D5"/>
    <w:rsid w:val="009A08E9"/>
    <w:rsid w:val="009A0A88"/>
    <w:rsid w:val="009A0ACB"/>
    <w:rsid w:val="009A0EE5"/>
    <w:rsid w:val="009A10D6"/>
    <w:rsid w:val="009A1283"/>
    <w:rsid w:val="009A1360"/>
    <w:rsid w:val="009A1391"/>
    <w:rsid w:val="009A175A"/>
    <w:rsid w:val="009A1852"/>
    <w:rsid w:val="009A1B03"/>
    <w:rsid w:val="009A1B67"/>
    <w:rsid w:val="009A1B6E"/>
    <w:rsid w:val="009A1D27"/>
    <w:rsid w:val="009A1F6F"/>
    <w:rsid w:val="009A20B8"/>
    <w:rsid w:val="009A20F2"/>
    <w:rsid w:val="009A210A"/>
    <w:rsid w:val="009A21AE"/>
    <w:rsid w:val="009A28B2"/>
    <w:rsid w:val="009A2B60"/>
    <w:rsid w:val="009A31EF"/>
    <w:rsid w:val="009A4076"/>
    <w:rsid w:val="009A4D09"/>
    <w:rsid w:val="009A4D5C"/>
    <w:rsid w:val="009A5103"/>
    <w:rsid w:val="009A52E5"/>
    <w:rsid w:val="009A53A0"/>
    <w:rsid w:val="009A5682"/>
    <w:rsid w:val="009A572E"/>
    <w:rsid w:val="009A597A"/>
    <w:rsid w:val="009A5AD0"/>
    <w:rsid w:val="009A5BC4"/>
    <w:rsid w:val="009A665A"/>
    <w:rsid w:val="009A6924"/>
    <w:rsid w:val="009A7239"/>
    <w:rsid w:val="009A72D1"/>
    <w:rsid w:val="009A73A9"/>
    <w:rsid w:val="009A7B73"/>
    <w:rsid w:val="009A7CF9"/>
    <w:rsid w:val="009B03D4"/>
    <w:rsid w:val="009B0546"/>
    <w:rsid w:val="009B08DC"/>
    <w:rsid w:val="009B0AB4"/>
    <w:rsid w:val="009B0AFF"/>
    <w:rsid w:val="009B0F46"/>
    <w:rsid w:val="009B11B7"/>
    <w:rsid w:val="009B13AA"/>
    <w:rsid w:val="009B14B5"/>
    <w:rsid w:val="009B15FF"/>
    <w:rsid w:val="009B1646"/>
    <w:rsid w:val="009B1AFF"/>
    <w:rsid w:val="009B23A1"/>
    <w:rsid w:val="009B247B"/>
    <w:rsid w:val="009B253D"/>
    <w:rsid w:val="009B25FD"/>
    <w:rsid w:val="009B28EB"/>
    <w:rsid w:val="009B3350"/>
    <w:rsid w:val="009B34D5"/>
    <w:rsid w:val="009B36E5"/>
    <w:rsid w:val="009B3714"/>
    <w:rsid w:val="009B372E"/>
    <w:rsid w:val="009B3CF0"/>
    <w:rsid w:val="009B3EB2"/>
    <w:rsid w:val="009B4366"/>
    <w:rsid w:val="009B4540"/>
    <w:rsid w:val="009B4674"/>
    <w:rsid w:val="009B4743"/>
    <w:rsid w:val="009B4974"/>
    <w:rsid w:val="009B4A12"/>
    <w:rsid w:val="009B4BCE"/>
    <w:rsid w:val="009B4CE3"/>
    <w:rsid w:val="009B4D3F"/>
    <w:rsid w:val="009B4D44"/>
    <w:rsid w:val="009B4D83"/>
    <w:rsid w:val="009B4F47"/>
    <w:rsid w:val="009B4FB3"/>
    <w:rsid w:val="009B530E"/>
    <w:rsid w:val="009B5322"/>
    <w:rsid w:val="009B54FD"/>
    <w:rsid w:val="009B5784"/>
    <w:rsid w:val="009B57A5"/>
    <w:rsid w:val="009B5BA4"/>
    <w:rsid w:val="009B5D20"/>
    <w:rsid w:val="009B6274"/>
    <w:rsid w:val="009B6306"/>
    <w:rsid w:val="009B6323"/>
    <w:rsid w:val="009B6327"/>
    <w:rsid w:val="009B6453"/>
    <w:rsid w:val="009B691C"/>
    <w:rsid w:val="009B6CD0"/>
    <w:rsid w:val="009B7165"/>
    <w:rsid w:val="009B75AD"/>
    <w:rsid w:val="009B75C1"/>
    <w:rsid w:val="009B75CF"/>
    <w:rsid w:val="009B7632"/>
    <w:rsid w:val="009B7978"/>
    <w:rsid w:val="009C0159"/>
    <w:rsid w:val="009C01E4"/>
    <w:rsid w:val="009C07EC"/>
    <w:rsid w:val="009C08C2"/>
    <w:rsid w:val="009C09D5"/>
    <w:rsid w:val="009C0A58"/>
    <w:rsid w:val="009C0A7E"/>
    <w:rsid w:val="009C0A99"/>
    <w:rsid w:val="009C0B2E"/>
    <w:rsid w:val="009C12E9"/>
    <w:rsid w:val="009C1435"/>
    <w:rsid w:val="009C1496"/>
    <w:rsid w:val="009C1637"/>
    <w:rsid w:val="009C1697"/>
    <w:rsid w:val="009C17BF"/>
    <w:rsid w:val="009C183E"/>
    <w:rsid w:val="009C1DBE"/>
    <w:rsid w:val="009C1E96"/>
    <w:rsid w:val="009C1FCC"/>
    <w:rsid w:val="009C27EC"/>
    <w:rsid w:val="009C3384"/>
    <w:rsid w:val="009C3CD3"/>
    <w:rsid w:val="009C3CF5"/>
    <w:rsid w:val="009C3D22"/>
    <w:rsid w:val="009C3DE0"/>
    <w:rsid w:val="009C467A"/>
    <w:rsid w:val="009C4840"/>
    <w:rsid w:val="009C4BF9"/>
    <w:rsid w:val="009C52A2"/>
    <w:rsid w:val="009C52A3"/>
    <w:rsid w:val="009C55AE"/>
    <w:rsid w:val="009C56D0"/>
    <w:rsid w:val="009C57E0"/>
    <w:rsid w:val="009C5EEF"/>
    <w:rsid w:val="009C603B"/>
    <w:rsid w:val="009C65EB"/>
    <w:rsid w:val="009C67CB"/>
    <w:rsid w:val="009C6DE8"/>
    <w:rsid w:val="009C71AF"/>
    <w:rsid w:val="009C7716"/>
    <w:rsid w:val="009C78D5"/>
    <w:rsid w:val="009C7943"/>
    <w:rsid w:val="009D0088"/>
    <w:rsid w:val="009D047A"/>
    <w:rsid w:val="009D0650"/>
    <w:rsid w:val="009D08DA"/>
    <w:rsid w:val="009D11E5"/>
    <w:rsid w:val="009D13E1"/>
    <w:rsid w:val="009D15FB"/>
    <w:rsid w:val="009D19E6"/>
    <w:rsid w:val="009D1D14"/>
    <w:rsid w:val="009D1F71"/>
    <w:rsid w:val="009D2287"/>
    <w:rsid w:val="009D2468"/>
    <w:rsid w:val="009D2824"/>
    <w:rsid w:val="009D2BCD"/>
    <w:rsid w:val="009D2C09"/>
    <w:rsid w:val="009D30AE"/>
    <w:rsid w:val="009D30DC"/>
    <w:rsid w:val="009D31AA"/>
    <w:rsid w:val="009D38A9"/>
    <w:rsid w:val="009D3971"/>
    <w:rsid w:val="009D3A04"/>
    <w:rsid w:val="009D3D77"/>
    <w:rsid w:val="009D3D8A"/>
    <w:rsid w:val="009D3DC5"/>
    <w:rsid w:val="009D3E08"/>
    <w:rsid w:val="009D41A3"/>
    <w:rsid w:val="009D454E"/>
    <w:rsid w:val="009D4A98"/>
    <w:rsid w:val="009D4B51"/>
    <w:rsid w:val="009D5051"/>
    <w:rsid w:val="009D5268"/>
    <w:rsid w:val="009D5734"/>
    <w:rsid w:val="009D5839"/>
    <w:rsid w:val="009D5D03"/>
    <w:rsid w:val="009D5DBA"/>
    <w:rsid w:val="009D5EE1"/>
    <w:rsid w:val="009D604E"/>
    <w:rsid w:val="009D6130"/>
    <w:rsid w:val="009D636E"/>
    <w:rsid w:val="009D64AB"/>
    <w:rsid w:val="009D6528"/>
    <w:rsid w:val="009D6533"/>
    <w:rsid w:val="009D6612"/>
    <w:rsid w:val="009D68BF"/>
    <w:rsid w:val="009D6FCC"/>
    <w:rsid w:val="009D7120"/>
    <w:rsid w:val="009D77E9"/>
    <w:rsid w:val="009D781A"/>
    <w:rsid w:val="009D7C92"/>
    <w:rsid w:val="009D7D46"/>
    <w:rsid w:val="009E000B"/>
    <w:rsid w:val="009E0063"/>
    <w:rsid w:val="009E0D10"/>
    <w:rsid w:val="009E0EAB"/>
    <w:rsid w:val="009E141E"/>
    <w:rsid w:val="009E1A27"/>
    <w:rsid w:val="009E1CA4"/>
    <w:rsid w:val="009E1D7F"/>
    <w:rsid w:val="009E2512"/>
    <w:rsid w:val="009E280F"/>
    <w:rsid w:val="009E2B0D"/>
    <w:rsid w:val="009E2C45"/>
    <w:rsid w:val="009E2E04"/>
    <w:rsid w:val="009E2ECF"/>
    <w:rsid w:val="009E2FEA"/>
    <w:rsid w:val="009E3E84"/>
    <w:rsid w:val="009E3FCE"/>
    <w:rsid w:val="009E42C5"/>
    <w:rsid w:val="009E43C4"/>
    <w:rsid w:val="009E4444"/>
    <w:rsid w:val="009E459E"/>
    <w:rsid w:val="009E45C7"/>
    <w:rsid w:val="009E485A"/>
    <w:rsid w:val="009E4C24"/>
    <w:rsid w:val="009E5364"/>
    <w:rsid w:val="009E53D4"/>
    <w:rsid w:val="009E5602"/>
    <w:rsid w:val="009E5BE5"/>
    <w:rsid w:val="009E5BF4"/>
    <w:rsid w:val="009E6531"/>
    <w:rsid w:val="009E6667"/>
    <w:rsid w:val="009E70FB"/>
    <w:rsid w:val="009E7433"/>
    <w:rsid w:val="009E7871"/>
    <w:rsid w:val="009E792E"/>
    <w:rsid w:val="009F00CE"/>
    <w:rsid w:val="009F05BF"/>
    <w:rsid w:val="009F0943"/>
    <w:rsid w:val="009F0D94"/>
    <w:rsid w:val="009F0E63"/>
    <w:rsid w:val="009F0F44"/>
    <w:rsid w:val="009F0FCE"/>
    <w:rsid w:val="009F1299"/>
    <w:rsid w:val="009F16B7"/>
    <w:rsid w:val="009F1940"/>
    <w:rsid w:val="009F1A27"/>
    <w:rsid w:val="009F1CD7"/>
    <w:rsid w:val="009F1DA8"/>
    <w:rsid w:val="009F1F3B"/>
    <w:rsid w:val="009F2109"/>
    <w:rsid w:val="009F2292"/>
    <w:rsid w:val="009F2BAC"/>
    <w:rsid w:val="009F2C10"/>
    <w:rsid w:val="009F3177"/>
    <w:rsid w:val="009F3977"/>
    <w:rsid w:val="009F399D"/>
    <w:rsid w:val="009F3B69"/>
    <w:rsid w:val="009F3F35"/>
    <w:rsid w:val="009F3FDD"/>
    <w:rsid w:val="009F430D"/>
    <w:rsid w:val="009F4343"/>
    <w:rsid w:val="009F45CB"/>
    <w:rsid w:val="009F4788"/>
    <w:rsid w:val="009F4914"/>
    <w:rsid w:val="009F4CA5"/>
    <w:rsid w:val="009F4CAC"/>
    <w:rsid w:val="009F4FE9"/>
    <w:rsid w:val="009F5440"/>
    <w:rsid w:val="009F57DA"/>
    <w:rsid w:val="009F5CF8"/>
    <w:rsid w:val="009F5D45"/>
    <w:rsid w:val="009F5DE1"/>
    <w:rsid w:val="009F5EDA"/>
    <w:rsid w:val="009F61DB"/>
    <w:rsid w:val="009F6360"/>
    <w:rsid w:val="009F6B2E"/>
    <w:rsid w:val="009F6B30"/>
    <w:rsid w:val="009F7528"/>
    <w:rsid w:val="009F77DD"/>
    <w:rsid w:val="00A001B6"/>
    <w:rsid w:val="00A004AA"/>
    <w:rsid w:val="00A005E7"/>
    <w:rsid w:val="00A0060A"/>
    <w:rsid w:val="00A006E8"/>
    <w:rsid w:val="00A0074E"/>
    <w:rsid w:val="00A00844"/>
    <w:rsid w:val="00A00E2A"/>
    <w:rsid w:val="00A014F4"/>
    <w:rsid w:val="00A0161C"/>
    <w:rsid w:val="00A017FC"/>
    <w:rsid w:val="00A0182F"/>
    <w:rsid w:val="00A01F85"/>
    <w:rsid w:val="00A02109"/>
    <w:rsid w:val="00A027C9"/>
    <w:rsid w:val="00A02941"/>
    <w:rsid w:val="00A02ABD"/>
    <w:rsid w:val="00A02BBE"/>
    <w:rsid w:val="00A02D21"/>
    <w:rsid w:val="00A0301F"/>
    <w:rsid w:val="00A03158"/>
    <w:rsid w:val="00A032B3"/>
    <w:rsid w:val="00A03664"/>
    <w:rsid w:val="00A036FB"/>
    <w:rsid w:val="00A03730"/>
    <w:rsid w:val="00A0387E"/>
    <w:rsid w:val="00A0397C"/>
    <w:rsid w:val="00A042FF"/>
    <w:rsid w:val="00A048F6"/>
    <w:rsid w:val="00A04EBD"/>
    <w:rsid w:val="00A0532C"/>
    <w:rsid w:val="00A05387"/>
    <w:rsid w:val="00A057A8"/>
    <w:rsid w:val="00A057F8"/>
    <w:rsid w:val="00A0583F"/>
    <w:rsid w:val="00A058F6"/>
    <w:rsid w:val="00A05A11"/>
    <w:rsid w:val="00A05B82"/>
    <w:rsid w:val="00A05C86"/>
    <w:rsid w:val="00A05EA5"/>
    <w:rsid w:val="00A05F8C"/>
    <w:rsid w:val="00A0624A"/>
    <w:rsid w:val="00A06260"/>
    <w:rsid w:val="00A06939"/>
    <w:rsid w:val="00A06A4D"/>
    <w:rsid w:val="00A06B88"/>
    <w:rsid w:val="00A06BBD"/>
    <w:rsid w:val="00A06F86"/>
    <w:rsid w:val="00A072E3"/>
    <w:rsid w:val="00A079F5"/>
    <w:rsid w:val="00A07A48"/>
    <w:rsid w:val="00A07BB2"/>
    <w:rsid w:val="00A07D5F"/>
    <w:rsid w:val="00A07E5B"/>
    <w:rsid w:val="00A07EA5"/>
    <w:rsid w:val="00A07FA0"/>
    <w:rsid w:val="00A1010B"/>
    <w:rsid w:val="00A10194"/>
    <w:rsid w:val="00A106A7"/>
    <w:rsid w:val="00A10C40"/>
    <w:rsid w:val="00A10D63"/>
    <w:rsid w:val="00A10E83"/>
    <w:rsid w:val="00A10F93"/>
    <w:rsid w:val="00A10FD0"/>
    <w:rsid w:val="00A1106D"/>
    <w:rsid w:val="00A11140"/>
    <w:rsid w:val="00A1130B"/>
    <w:rsid w:val="00A119E3"/>
    <w:rsid w:val="00A11AC4"/>
    <w:rsid w:val="00A11D9C"/>
    <w:rsid w:val="00A11DAA"/>
    <w:rsid w:val="00A11DFB"/>
    <w:rsid w:val="00A1230D"/>
    <w:rsid w:val="00A12867"/>
    <w:rsid w:val="00A12960"/>
    <w:rsid w:val="00A12A03"/>
    <w:rsid w:val="00A12A86"/>
    <w:rsid w:val="00A12A96"/>
    <w:rsid w:val="00A12B2B"/>
    <w:rsid w:val="00A12BF7"/>
    <w:rsid w:val="00A12C74"/>
    <w:rsid w:val="00A12C79"/>
    <w:rsid w:val="00A13C29"/>
    <w:rsid w:val="00A13DBB"/>
    <w:rsid w:val="00A1429B"/>
    <w:rsid w:val="00A14AC3"/>
    <w:rsid w:val="00A14C29"/>
    <w:rsid w:val="00A14DE2"/>
    <w:rsid w:val="00A152ED"/>
    <w:rsid w:val="00A15333"/>
    <w:rsid w:val="00A15756"/>
    <w:rsid w:val="00A15FC5"/>
    <w:rsid w:val="00A16C81"/>
    <w:rsid w:val="00A16CDB"/>
    <w:rsid w:val="00A16CF7"/>
    <w:rsid w:val="00A170A8"/>
    <w:rsid w:val="00A17168"/>
    <w:rsid w:val="00A17233"/>
    <w:rsid w:val="00A1725B"/>
    <w:rsid w:val="00A17323"/>
    <w:rsid w:val="00A17377"/>
    <w:rsid w:val="00A1746E"/>
    <w:rsid w:val="00A177F4"/>
    <w:rsid w:val="00A17CAB"/>
    <w:rsid w:val="00A17DD8"/>
    <w:rsid w:val="00A20FD2"/>
    <w:rsid w:val="00A2100A"/>
    <w:rsid w:val="00A213AD"/>
    <w:rsid w:val="00A21406"/>
    <w:rsid w:val="00A21904"/>
    <w:rsid w:val="00A21A00"/>
    <w:rsid w:val="00A21B94"/>
    <w:rsid w:val="00A21C8A"/>
    <w:rsid w:val="00A21CCB"/>
    <w:rsid w:val="00A21E8D"/>
    <w:rsid w:val="00A224BD"/>
    <w:rsid w:val="00A22629"/>
    <w:rsid w:val="00A226DE"/>
    <w:rsid w:val="00A22942"/>
    <w:rsid w:val="00A229B2"/>
    <w:rsid w:val="00A22B09"/>
    <w:rsid w:val="00A22BC5"/>
    <w:rsid w:val="00A23262"/>
    <w:rsid w:val="00A23919"/>
    <w:rsid w:val="00A23958"/>
    <w:rsid w:val="00A239D3"/>
    <w:rsid w:val="00A23D39"/>
    <w:rsid w:val="00A23F30"/>
    <w:rsid w:val="00A2452C"/>
    <w:rsid w:val="00A246D9"/>
    <w:rsid w:val="00A24707"/>
    <w:rsid w:val="00A24E12"/>
    <w:rsid w:val="00A250CC"/>
    <w:rsid w:val="00A2515A"/>
    <w:rsid w:val="00A25393"/>
    <w:rsid w:val="00A256A4"/>
    <w:rsid w:val="00A2585C"/>
    <w:rsid w:val="00A25A7C"/>
    <w:rsid w:val="00A25B93"/>
    <w:rsid w:val="00A25F9B"/>
    <w:rsid w:val="00A26153"/>
    <w:rsid w:val="00A26173"/>
    <w:rsid w:val="00A263C3"/>
    <w:rsid w:val="00A26466"/>
    <w:rsid w:val="00A2654E"/>
    <w:rsid w:val="00A26CD6"/>
    <w:rsid w:val="00A26E30"/>
    <w:rsid w:val="00A27107"/>
    <w:rsid w:val="00A272FB"/>
    <w:rsid w:val="00A274D7"/>
    <w:rsid w:val="00A27687"/>
    <w:rsid w:val="00A30303"/>
    <w:rsid w:val="00A30841"/>
    <w:rsid w:val="00A30E31"/>
    <w:rsid w:val="00A30E51"/>
    <w:rsid w:val="00A3100B"/>
    <w:rsid w:val="00A3101A"/>
    <w:rsid w:val="00A3162E"/>
    <w:rsid w:val="00A3170A"/>
    <w:rsid w:val="00A3171A"/>
    <w:rsid w:val="00A31B24"/>
    <w:rsid w:val="00A31DD8"/>
    <w:rsid w:val="00A31F81"/>
    <w:rsid w:val="00A32315"/>
    <w:rsid w:val="00A328C4"/>
    <w:rsid w:val="00A32C40"/>
    <w:rsid w:val="00A32D44"/>
    <w:rsid w:val="00A32E63"/>
    <w:rsid w:val="00A32EBB"/>
    <w:rsid w:val="00A331BF"/>
    <w:rsid w:val="00A3329B"/>
    <w:rsid w:val="00A33603"/>
    <w:rsid w:val="00A33970"/>
    <w:rsid w:val="00A33A38"/>
    <w:rsid w:val="00A33C8E"/>
    <w:rsid w:val="00A344FF"/>
    <w:rsid w:val="00A34AB7"/>
    <w:rsid w:val="00A34CCB"/>
    <w:rsid w:val="00A35000"/>
    <w:rsid w:val="00A3519F"/>
    <w:rsid w:val="00A352EF"/>
    <w:rsid w:val="00A35811"/>
    <w:rsid w:val="00A35815"/>
    <w:rsid w:val="00A358D4"/>
    <w:rsid w:val="00A36215"/>
    <w:rsid w:val="00A3626D"/>
    <w:rsid w:val="00A36E6B"/>
    <w:rsid w:val="00A37298"/>
    <w:rsid w:val="00A373B1"/>
    <w:rsid w:val="00A373B7"/>
    <w:rsid w:val="00A37818"/>
    <w:rsid w:val="00A378E7"/>
    <w:rsid w:val="00A401FB"/>
    <w:rsid w:val="00A4044C"/>
    <w:rsid w:val="00A41357"/>
    <w:rsid w:val="00A41398"/>
    <w:rsid w:val="00A415A1"/>
    <w:rsid w:val="00A41753"/>
    <w:rsid w:val="00A41D1D"/>
    <w:rsid w:val="00A41F90"/>
    <w:rsid w:val="00A4239A"/>
    <w:rsid w:val="00A4252D"/>
    <w:rsid w:val="00A427DE"/>
    <w:rsid w:val="00A42942"/>
    <w:rsid w:val="00A42949"/>
    <w:rsid w:val="00A432A1"/>
    <w:rsid w:val="00A43435"/>
    <w:rsid w:val="00A4345C"/>
    <w:rsid w:val="00A43549"/>
    <w:rsid w:val="00A4361E"/>
    <w:rsid w:val="00A438CC"/>
    <w:rsid w:val="00A439AD"/>
    <w:rsid w:val="00A43A93"/>
    <w:rsid w:val="00A43C3E"/>
    <w:rsid w:val="00A43E3F"/>
    <w:rsid w:val="00A43E87"/>
    <w:rsid w:val="00A43FFF"/>
    <w:rsid w:val="00A4407C"/>
    <w:rsid w:val="00A4418C"/>
    <w:rsid w:val="00A444C4"/>
    <w:rsid w:val="00A44535"/>
    <w:rsid w:val="00A44552"/>
    <w:rsid w:val="00A449E7"/>
    <w:rsid w:val="00A45257"/>
    <w:rsid w:val="00A45325"/>
    <w:rsid w:val="00A4543D"/>
    <w:rsid w:val="00A4552C"/>
    <w:rsid w:val="00A45552"/>
    <w:rsid w:val="00A455E1"/>
    <w:rsid w:val="00A456D7"/>
    <w:rsid w:val="00A4591C"/>
    <w:rsid w:val="00A45983"/>
    <w:rsid w:val="00A459B1"/>
    <w:rsid w:val="00A45FC8"/>
    <w:rsid w:val="00A46483"/>
    <w:rsid w:val="00A464EF"/>
    <w:rsid w:val="00A469E4"/>
    <w:rsid w:val="00A46A65"/>
    <w:rsid w:val="00A473CE"/>
    <w:rsid w:val="00A4761D"/>
    <w:rsid w:val="00A479E8"/>
    <w:rsid w:val="00A50659"/>
    <w:rsid w:val="00A506EF"/>
    <w:rsid w:val="00A506F7"/>
    <w:rsid w:val="00A50BBD"/>
    <w:rsid w:val="00A5119F"/>
    <w:rsid w:val="00A519A4"/>
    <w:rsid w:val="00A519BC"/>
    <w:rsid w:val="00A524A7"/>
    <w:rsid w:val="00A527CB"/>
    <w:rsid w:val="00A52816"/>
    <w:rsid w:val="00A528A2"/>
    <w:rsid w:val="00A52CFB"/>
    <w:rsid w:val="00A533B5"/>
    <w:rsid w:val="00A53800"/>
    <w:rsid w:val="00A538D1"/>
    <w:rsid w:val="00A53CDA"/>
    <w:rsid w:val="00A54662"/>
    <w:rsid w:val="00A546AC"/>
    <w:rsid w:val="00A5475B"/>
    <w:rsid w:val="00A54A92"/>
    <w:rsid w:val="00A54BA2"/>
    <w:rsid w:val="00A54EF0"/>
    <w:rsid w:val="00A5551B"/>
    <w:rsid w:val="00A55765"/>
    <w:rsid w:val="00A55792"/>
    <w:rsid w:val="00A557E9"/>
    <w:rsid w:val="00A559DD"/>
    <w:rsid w:val="00A55DFF"/>
    <w:rsid w:val="00A55E4E"/>
    <w:rsid w:val="00A56648"/>
    <w:rsid w:val="00A56D3B"/>
    <w:rsid w:val="00A570AD"/>
    <w:rsid w:val="00A571C8"/>
    <w:rsid w:val="00A572E0"/>
    <w:rsid w:val="00A578D5"/>
    <w:rsid w:val="00A57B2B"/>
    <w:rsid w:val="00A57DCD"/>
    <w:rsid w:val="00A57FB3"/>
    <w:rsid w:val="00A57FE6"/>
    <w:rsid w:val="00A60322"/>
    <w:rsid w:val="00A6054E"/>
    <w:rsid w:val="00A6062D"/>
    <w:rsid w:val="00A60B42"/>
    <w:rsid w:val="00A6115D"/>
    <w:rsid w:val="00A6128B"/>
    <w:rsid w:val="00A61452"/>
    <w:rsid w:val="00A6167A"/>
    <w:rsid w:val="00A619DB"/>
    <w:rsid w:val="00A61C3A"/>
    <w:rsid w:val="00A61DC1"/>
    <w:rsid w:val="00A61EE9"/>
    <w:rsid w:val="00A620CC"/>
    <w:rsid w:val="00A627B9"/>
    <w:rsid w:val="00A62AB6"/>
    <w:rsid w:val="00A62B27"/>
    <w:rsid w:val="00A62EF4"/>
    <w:rsid w:val="00A6327E"/>
    <w:rsid w:val="00A63285"/>
    <w:rsid w:val="00A6384C"/>
    <w:rsid w:val="00A63BBC"/>
    <w:rsid w:val="00A63E35"/>
    <w:rsid w:val="00A6414C"/>
    <w:rsid w:val="00A64393"/>
    <w:rsid w:val="00A6443B"/>
    <w:rsid w:val="00A64646"/>
    <w:rsid w:val="00A6474F"/>
    <w:rsid w:val="00A64B4D"/>
    <w:rsid w:val="00A64D20"/>
    <w:rsid w:val="00A64D50"/>
    <w:rsid w:val="00A651C8"/>
    <w:rsid w:val="00A655F5"/>
    <w:rsid w:val="00A65926"/>
    <w:rsid w:val="00A659ED"/>
    <w:rsid w:val="00A65CE7"/>
    <w:rsid w:val="00A65E1E"/>
    <w:rsid w:val="00A663A7"/>
    <w:rsid w:val="00A664AB"/>
    <w:rsid w:val="00A66716"/>
    <w:rsid w:val="00A66E35"/>
    <w:rsid w:val="00A66ED0"/>
    <w:rsid w:val="00A66FE8"/>
    <w:rsid w:val="00A671AF"/>
    <w:rsid w:val="00A67625"/>
    <w:rsid w:val="00A67772"/>
    <w:rsid w:val="00A677B0"/>
    <w:rsid w:val="00A67D7C"/>
    <w:rsid w:val="00A70266"/>
    <w:rsid w:val="00A70331"/>
    <w:rsid w:val="00A70442"/>
    <w:rsid w:val="00A7047E"/>
    <w:rsid w:val="00A70488"/>
    <w:rsid w:val="00A706BE"/>
    <w:rsid w:val="00A70C2A"/>
    <w:rsid w:val="00A70E2B"/>
    <w:rsid w:val="00A70F2F"/>
    <w:rsid w:val="00A710DE"/>
    <w:rsid w:val="00A71354"/>
    <w:rsid w:val="00A715D3"/>
    <w:rsid w:val="00A7171F"/>
    <w:rsid w:val="00A718CA"/>
    <w:rsid w:val="00A71AF5"/>
    <w:rsid w:val="00A7210E"/>
    <w:rsid w:val="00A723BA"/>
    <w:rsid w:val="00A72506"/>
    <w:rsid w:val="00A72619"/>
    <w:rsid w:val="00A726A9"/>
    <w:rsid w:val="00A72774"/>
    <w:rsid w:val="00A72821"/>
    <w:rsid w:val="00A729A8"/>
    <w:rsid w:val="00A729E0"/>
    <w:rsid w:val="00A72B68"/>
    <w:rsid w:val="00A72BB8"/>
    <w:rsid w:val="00A73391"/>
    <w:rsid w:val="00A734A6"/>
    <w:rsid w:val="00A73562"/>
    <w:rsid w:val="00A736C4"/>
    <w:rsid w:val="00A737AB"/>
    <w:rsid w:val="00A73E1E"/>
    <w:rsid w:val="00A740B9"/>
    <w:rsid w:val="00A74BBF"/>
    <w:rsid w:val="00A75021"/>
    <w:rsid w:val="00A75091"/>
    <w:rsid w:val="00A752FC"/>
    <w:rsid w:val="00A7554D"/>
    <w:rsid w:val="00A75751"/>
    <w:rsid w:val="00A75A2B"/>
    <w:rsid w:val="00A75F83"/>
    <w:rsid w:val="00A76572"/>
    <w:rsid w:val="00A7672F"/>
    <w:rsid w:val="00A76A55"/>
    <w:rsid w:val="00A76AA4"/>
    <w:rsid w:val="00A76C4C"/>
    <w:rsid w:val="00A76CFA"/>
    <w:rsid w:val="00A76DEF"/>
    <w:rsid w:val="00A76FA4"/>
    <w:rsid w:val="00A77079"/>
    <w:rsid w:val="00A77A4F"/>
    <w:rsid w:val="00A802AF"/>
    <w:rsid w:val="00A80546"/>
    <w:rsid w:val="00A806F1"/>
    <w:rsid w:val="00A8083E"/>
    <w:rsid w:val="00A80B5B"/>
    <w:rsid w:val="00A80E8F"/>
    <w:rsid w:val="00A80ECA"/>
    <w:rsid w:val="00A81391"/>
    <w:rsid w:val="00A816B4"/>
    <w:rsid w:val="00A816D0"/>
    <w:rsid w:val="00A8184E"/>
    <w:rsid w:val="00A818B4"/>
    <w:rsid w:val="00A81912"/>
    <w:rsid w:val="00A81ADC"/>
    <w:rsid w:val="00A81D0B"/>
    <w:rsid w:val="00A81DE2"/>
    <w:rsid w:val="00A82014"/>
    <w:rsid w:val="00A82286"/>
    <w:rsid w:val="00A82334"/>
    <w:rsid w:val="00A823C7"/>
    <w:rsid w:val="00A8243A"/>
    <w:rsid w:val="00A824BC"/>
    <w:rsid w:val="00A8265D"/>
    <w:rsid w:val="00A82A13"/>
    <w:rsid w:val="00A82FD5"/>
    <w:rsid w:val="00A832CE"/>
    <w:rsid w:val="00A832F5"/>
    <w:rsid w:val="00A8333E"/>
    <w:rsid w:val="00A8381C"/>
    <w:rsid w:val="00A83933"/>
    <w:rsid w:val="00A83D03"/>
    <w:rsid w:val="00A84532"/>
    <w:rsid w:val="00A84810"/>
    <w:rsid w:val="00A84BE8"/>
    <w:rsid w:val="00A852F0"/>
    <w:rsid w:val="00A85744"/>
    <w:rsid w:val="00A85A2A"/>
    <w:rsid w:val="00A85B37"/>
    <w:rsid w:val="00A85D87"/>
    <w:rsid w:val="00A861F2"/>
    <w:rsid w:val="00A8625A"/>
    <w:rsid w:val="00A863C1"/>
    <w:rsid w:val="00A86465"/>
    <w:rsid w:val="00A86995"/>
    <w:rsid w:val="00A86C39"/>
    <w:rsid w:val="00A86E21"/>
    <w:rsid w:val="00A86F4B"/>
    <w:rsid w:val="00A87329"/>
    <w:rsid w:val="00A87827"/>
    <w:rsid w:val="00A87C3B"/>
    <w:rsid w:val="00A90355"/>
    <w:rsid w:val="00A9035F"/>
    <w:rsid w:val="00A906B3"/>
    <w:rsid w:val="00A909CA"/>
    <w:rsid w:val="00A90AB5"/>
    <w:rsid w:val="00A90B88"/>
    <w:rsid w:val="00A90C9E"/>
    <w:rsid w:val="00A90E1D"/>
    <w:rsid w:val="00A910B4"/>
    <w:rsid w:val="00A9118B"/>
    <w:rsid w:val="00A9169F"/>
    <w:rsid w:val="00A91787"/>
    <w:rsid w:val="00A9186F"/>
    <w:rsid w:val="00A91B99"/>
    <w:rsid w:val="00A91C50"/>
    <w:rsid w:val="00A91E60"/>
    <w:rsid w:val="00A922B6"/>
    <w:rsid w:val="00A92592"/>
    <w:rsid w:val="00A9280A"/>
    <w:rsid w:val="00A92943"/>
    <w:rsid w:val="00A92B6D"/>
    <w:rsid w:val="00A92CB6"/>
    <w:rsid w:val="00A92E57"/>
    <w:rsid w:val="00A92F1E"/>
    <w:rsid w:val="00A92F22"/>
    <w:rsid w:val="00A93383"/>
    <w:rsid w:val="00A936EB"/>
    <w:rsid w:val="00A93898"/>
    <w:rsid w:val="00A93D0E"/>
    <w:rsid w:val="00A93D92"/>
    <w:rsid w:val="00A94224"/>
    <w:rsid w:val="00A943B1"/>
    <w:rsid w:val="00A9458D"/>
    <w:rsid w:val="00A94982"/>
    <w:rsid w:val="00A94B39"/>
    <w:rsid w:val="00A951C6"/>
    <w:rsid w:val="00A951DD"/>
    <w:rsid w:val="00A958B3"/>
    <w:rsid w:val="00A95B99"/>
    <w:rsid w:val="00A95BFB"/>
    <w:rsid w:val="00A961BA"/>
    <w:rsid w:val="00A9627A"/>
    <w:rsid w:val="00A965DF"/>
    <w:rsid w:val="00A9667E"/>
    <w:rsid w:val="00A966F0"/>
    <w:rsid w:val="00A967EE"/>
    <w:rsid w:val="00A9691C"/>
    <w:rsid w:val="00A96DB2"/>
    <w:rsid w:val="00A96E70"/>
    <w:rsid w:val="00A96F82"/>
    <w:rsid w:val="00A9759A"/>
    <w:rsid w:val="00A975A7"/>
    <w:rsid w:val="00A97718"/>
    <w:rsid w:val="00A97863"/>
    <w:rsid w:val="00A97C6A"/>
    <w:rsid w:val="00AA013D"/>
    <w:rsid w:val="00AA0214"/>
    <w:rsid w:val="00AA0A15"/>
    <w:rsid w:val="00AA0B33"/>
    <w:rsid w:val="00AA0D6B"/>
    <w:rsid w:val="00AA181F"/>
    <w:rsid w:val="00AA1BA8"/>
    <w:rsid w:val="00AA1E94"/>
    <w:rsid w:val="00AA23D2"/>
    <w:rsid w:val="00AA2517"/>
    <w:rsid w:val="00AA261B"/>
    <w:rsid w:val="00AA26AA"/>
    <w:rsid w:val="00AA2C86"/>
    <w:rsid w:val="00AA2CE5"/>
    <w:rsid w:val="00AA2CF7"/>
    <w:rsid w:val="00AA31B1"/>
    <w:rsid w:val="00AA3398"/>
    <w:rsid w:val="00AA3480"/>
    <w:rsid w:val="00AA3591"/>
    <w:rsid w:val="00AA36A8"/>
    <w:rsid w:val="00AA371D"/>
    <w:rsid w:val="00AA386E"/>
    <w:rsid w:val="00AA39E0"/>
    <w:rsid w:val="00AA3C40"/>
    <w:rsid w:val="00AA3C86"/>
    <w:rsid w:val="00AA4105"/>
    <w:rsid w:val="00AA41F3"/>
    <w:rsid w:val="00AA43F4"/>
    <w:rsid w:val="00AA445F"/>
    <w:rsid w:val="00AA4485"/>
    <w:rsid w:val="00AA44FB"/>
    <w:rsid w:val="00AA46A1"/>
    <w:rsid w:val="00AA4BB2"/>
    <w:rsid w:val="00AA4EAF"/>
    <w:rsid w:val="00AA5046"/>
    <w:rsid w:val="00AA5994"/>
    <w:rsid w:val="00AA5A21"/>
    <w:rsid w:val="00AA5A27"/>
    <w:rsid w:val="00AA5A7E"/>
    <w:rsid w:val="00AA5A87"/>
    <w:rsid w:val="00AA5F78"/>
    <w:rsid w:val="00AA600F"/>
    <w:rsid w:val="00AA639D"/>
    <w:rsid w:val="00AA653D"/>
    <w:rsid w:val="00AA66AE"/>
    <w:rsid w:val="00AA678B"/>
    <w:rsid w:val="00AA6A3E"/>
    <w:rsid w:val="00AA6AB3"/>
    <w:rsid w:val="00AA6C65"/>
    <w:rsid w:val="00AA6DAF"/>
    <w:rsid w:val="00AA6FF5"/>
    <w:rsid w:val="00AA706F"/>
    <w:rsid w:val="00AA7179"/>
    <w:rsid w:val="00AA7441"/>
    <w:rsid w:val="00AA79E2"/>
    <w:rsid w:val="00AA7B90"/>
    <w:rsid w:val="00AA7CBA"/>
    <w:rsid w:val="00AA7CD3"/>
    <w:rsid w:val="00AB06E4"/>
    <w:rsid w:val="00AB0FBC"/>
    <w:rsid w:val="00AB121E"/>
    <w:rsid w:val="00AB149E"/>
    <w:rsid w:val="00AB167F"/>
    <w:rsid w:val="00AB18C8"/>
    <w:rsid w:val="00AB18E2"/>
    <w:rsid w:val="00AB192D"/>
    <w:rsid w:val="00AB198B"/>
    <w:rsid w:val="00AB1A8A"/>
    <w:rsid w:val="00AB1CF1"/>
    <w:rsid w:val="00AB1D6D"/>
    <w:rsid w:val="00AB2055"/>
    <w:rsid w:val="00AB263F"/>
    <w:rsid w:val="00AB29DF"/>
    <w:rsid w:val="00AB2A5C"/>
    <w:rsid w:val="00AB2F3F"/>
    <w:rsid w:val="00AB2F9D"/>
    <w:rsid w:val="00AB3103"/>
    <w:rsid w:val="00AB3197"/>
    <w:rsid w:val="00AB3985"/>
    <w:rsid w:val="00AB3B88"/>
    <w:rsid w:val="00AB40D7"/>
    <w:rsid w:val="00AB44C0"/>
    <w:rsid w:val="00AB45C1"/>
    <w:rsid w:val="00AB47C0"/>
    <w:rsid w:val="00AB4877"/>
    <w:rsid w:val="00AB49E6"/>
    <w:rsid w:val="00AB4B43"/>
    <w:rsid w:val="00AB4BAE"/>
    <w:rsid w:val="00AB4F76"/>
    <w:rsid w:val="00AB50E4"/>
    <w:rsid w:val="00AB51F3"/>
    <w:rsid w:val="00AB545C"/>
    <w:rsid w:val="00AB5B48"/>
    <w:rsid w:val="00AB5C0E"/>
    <w:rsid w:val="00AB61AA"/>
    <w:rsid w:val="00AB678F"/>
    <w:rsid w:val="00AB67C1"/>
    <w:rsid w:val="00AB69DE"/>
    <w:rsid w:val="00AB6C75"/>
    <w:rsid w:val="00AB6CDB"/>
    <w:rsid w:val="00AB6D33"/>
    <w:rsid w:val="00AB704B"/>
    <w:rsid w:val="00AB7109"/>
    <w:rsid w:val="00AB7319"/>
    <w:rsid w:val="00AB77E6"/>
    <w:rsid w:val="00AB7950"/>
    <w:rsid w:val="00AB7DB3"/>
    <w:rsid w:val="00AC01E2"/>
    <w:rsid w:val="00AC045F"/>
    <w:rsid w:val="00AC0543"/>
    <w:rsid w:val="00AC0726"/>
    <w:rsid w:val="00AC07E8"/>
    <w:rsid w:val="00AC0C56"/>
    <w:rsid w:val="00AC120E"/>
    <w:rsid w:val="00AC13D5"/>
    <w:rsid w:val="00AC17E6"/>
    <w:rsid w:val="00AC1E63"/>
    <w:rsid w:val="00AC1E9D"/>
    <w:rsid w:val="00AC21A8"/>
    <w:rsid w:val="00AC2298"/>
    <w:rsid w:val="00AC2543"/>
    <w:rsid w:val="00AC2918"/>
    <w:rsid w:val="00AC297C"/>
    <w:rsid w:val="00AC2A66"/>
    <w:rsid w:val="00AC2C68"/>
    <w:rsid w:val="00AC2C9A"/>
    <w:rsid w:val="00AC2F88"/>
    <w:rsid w:val="00AC30FF"/>
    <w:rsid w:val="00AC322F"/>
    <w:rsid w:val="00AC34DD"/>
    <w:rsid w:val="00AC3509"/>
    <w:rsid w:val="00AC351F"/>
    <w:rsid w:val="00AC36BF"/>
    <w:rsid w:val="00AC38D3"/>
    <w:rsid w:val="00AC3B2F"/>
    <w:rsid w:val="00AC3FEE"/>
    <w:rsid w:val="00AC43AB"/>
    <w:rsid w:val="00AC43F4"/>
    <w:rsid w:val="00AC442C"/>
    <w:rsid w:val="00AC49D3"/>
    <w:rsid w:val="00AC4B80"/>
    <w:rsid w:val="00AC4BFA"/>
    <w:rsid w:val="00AC4D51"/>
    <w:rsid w:val="00AC500F"/>
    <w:rsid w:val="00AC556A"/>
    <w:rsid w:val="00AC55BB"/>
    <w:rsid w:val="00AC5AF2"/>
    <w:rsid w:val="00AC5C33"/>
    <w:rsid w:val="00AC5CE7"/>
    <w:rsid w:val="00AC5DD8"/>
    <w:rsid w:val="00AC5F07"/>
    <w:rsid w:val="00AC61D8"/>
    <w:rsid w:val="00AC6251"/>
    <w:rsid w:val="00AC6756"/>
    <w:rsid w:val="00AC6947"/>
    <w:rsid w:val="00AC6B41"/>
    <w:rsid w:val="00AC7327"/>
    <w:rsid w:val="00AD000A"/>
    <w:rsid w:val="00AD0014"/>
    <w:rsid w:val="00AD00A9"/>
    <w:rsid w:val="00AD00C6"/>
    <w:rsid w:val="00AD018C"/>
    <w:rsid w:val="00AD032D"/>
    <w:rsid w:val="00AD0668"/>
    <w:rsid w:val="00AD08C8"/>
    <w:rsid w:val="00AD0DA6"/>
    <w:rsid w:val="00AD0E72"/>
    <w:rsid w:val="00AD1475"/>
    <w:rsid w:val="00AD153A"/>
    <w:rsid w:val="00AD1570"/>
    <w:rsid w:val="00AD1658"/>
    <w:rsid w:val="00AD19A5"/>
    <w:rsid w:val="00AD1C2A"/>
    <w:rsid w:val="00AD21A2"/>
    <w:rsid w:val="00AD259F"/>
    <w:rsid w:val="00AD2F51"/>
    <w:rsid w:val="00AD32A9"/>
    <w:rsid w:val="00AD3483"/>
    <w:rsid w:val="00AD3493"/>
    <w:rsid w:val="00AD36FD"/>
    <w:rsid w:val="00AD370B"/>
    <w:rsid w:val="00AD3CB0"/>
    <w:rsid w:val="00AD3D98"/>
    <w:rsid w:val="00AD3F6F"/>
    <w:rsid w:val="00AD3FC3"/>
    <w:rsid w:val="00AD400F"/>
    <w:rsid w:val="00AD40DA"/>
    <w:rsid w:val="00AD45C1"/>
    <w:rsid w:val="00AD4814"/>
    <w:rsid w:val="00AD5340"/>
    <w:rsid w:val="00AD5677"/>
    <w:rsid w:val="00AD5741"/>
    <w:rsid w:val="00AD597E"/>
    <w:rsid w:val="00AD5B4D"/>
    <w:rsid w:val="00AD5C25"/>
    <w:rsid w:val="00AD647E"/>
    <w:rsid w:val="00AD6633"/>
    <w:rsid w:val="00AD6A19"/>
    <w:rsid w:val="00AD6AA6"/>
    <w:rsid w:val="00AD6E8A"/>
    <w:rsid w:val="00AD728C"/>
    <w:rsid w:val="00AD75BF"/>
    <w:rsid w:val="00AD75DF"/>
    <w:rsid w:val="00AD7E47"/>
    <w:rsid w:val="00AE013D"/>
    <w:rsid w:val="00AE06F7"/>
    <w:rsid w:val="00AE07FB"/>
    <w:rsid w:val="00AE096E"/>
    <w:rsid w:val="00AE0B6A"/>
    <w:rsid w:val="00AE0E0E"/>
    <w:rsid w:val="00AE11E4"/>
    <w:rsid w:val="00AE1D4C"/>
    <w:rsid w:val="00AE20AE"/>
    <w:rsid w:val="00AE21A1"/>
    <w:rsid w:val="00AE2257"/>
    <w:rsid w:val="00AE229C"/>
    <w:rsid w:val="00AE23EC"/>
    <w:rsid w:val="00AE250A"/>
    <w:rsid w:val="00AE2526"/>
    <w:rsid w:val="00AE285F"/>
    <w:rsid w:val="00AE28E9"/>
    <w:rsid w:val="00AE290D"/>
    <w:rsid w:val="00AE2910"/>
    <w:rsid w:val="00AE29C5"/>
    <w:rsid w:val="00AE2DF6"/>
    <w:rsid w:val="00AE3441"/>
    <w:rsid w:val="00AE3A36"/>
    <w:rsid w:val="00AE3B22"/>
    <w:rsid w:val="00AE3CCE"/>
    <w:rsid w:val="00AE3D3D"/>
    <w:rsid w:val="00AE3F86"/>
    <w:rsid w:val="00AE40E5"/>
    <w:rsid w:val="00AE4118"/>
    <w:rsid w:val="00AE448E"/>
    <w:rsid w:val="00AE4658"/>
    <w:rsid w:val="00AE471B"/>
    <w:rsid w:val="00AE53AF"/>
    <w:rsid w:val="00AE53BA"/>
    <w:rsid w:val="00AE53CD"/>
    <w:rsid w:val="00AE5484"/>
    <w:rsid w:val="00AE5592"/>
    <w:rsid w:val="00AE5AFA"/>
    <w:rsid w:val="00AE6246"/>
    <w:rsid w:val="00AE62DB"/>
    <w:rsid w:val="00AE66C6"/>
    <w:rsid w:val="00AE6802"/>
    <w:rsid w:val="00AE6892"/>
    <w:rsid w:val="00AE6B10"/>
    <w:rsid w:val="00AE6CA0"/>
    <w:rsid w:val="00AE6CD8"/>
    <w:rsid w:val="00AE714D"/>
    <w:rsid w:val="00AE732D"/>
    <w:rsid w:val="00AE73A7"/>
    <w:rsid w:val="00AE74A1"/>
    <w:rsid w:val="00AE769E"/>
    <w:rsid w:val="00AF0016"/>
    <w:rsid w:val="00AF00A4"/>
    <w:rsid w:val="00AF054D"/>
    <w:rsid w:val="00AF056F"/>
    <w:rsid w:val="00AF07E7"/>
    <w:rsid w:val="00AF0E22"/>
    <w:rsid w:val="00AF0EA6"/>
    <w:rsid w:val="00AF12D9"/>
    <w:rsid w:val="00AF169A"/>
    <w:rsid w:val="00AF1A7D"/>
    <w:rsid w:val="00AF1BA2"/>
    <w:rsid w:val="00AF1EF8"/>
    <w:rsid w:val="00AF209F"/>
    <w:rsid w:val="00AF2596"/>
    <w:rsid w:val="00AF29E0"/>
    <w:rsid w:val="00AF2D2A"/>
    <w:rsid w:val="00AF3670"/>
    <w:rsid w:val="00AF3C12"/>
    <w:rsid w:val="00AF4155"/>
    <w:rsid w:val="00AF44E0"/>
    <w:rsid w:val="00AF4A10"/>
    <w:rsid w:val="00AF4DD4"/>
    <w:rsid w:val="00AF5083"/>
    <w:rsid w:val="00AF51FA"/>
    <w:rsid w:val="00AF549B"/>
    <w:rsid w:val="00AF54BE"/>
    <w:rsid w:val="00AF592E"/>
    <w:rsid w:val="00AF5A8A"/>
    <w:rsid w:val="00AF5B8A"/>
    <w:rsid w:val="00AF5B98"/>
    <w:rsid w:val="00AF5BAD"/>
    <w:rsid w:val="00AF6028"/>
    <w:rsid w:val="00AF60B2"/>
    <w:rsid w:val="00AF6391"/>
    <w:rsid w:val="00AF63B2"/>
    <w:rsid w:val="00AF6F55"/>
    <w:rsid w:val="00AF7152"/>
    <w:rsid w:val="00AF7175"/>
    <w:rsid w:val="00AF7943"/>
    <w:rsid w:val="00B0035E"/>
    <w:rsid w:val="00B00541"/>
    <w:rsid w:val="00B0098F"/>
    <w:rsid w:val="00B00BC4"/>
    <w:rsid w:val="00B00C16"/>
    <w:rsid w:val="00B00F70"/>
    <w:rsid w:val="00B00FEB"/>
    <w:rsid w:val="00B01314"/>
    <w:rsid w:val="00B013CD"/>
    <w:rsid w:val="00B0159D"/>
    <w:rsid w:val="00B01D4A"/>
    <w:rsid w:val="00B023C0"/>
    <w:rsid w:val="00B02DC3"/>
    <w:rsid w:val="00B02F7C"/>
    <w:rsid w:val="00B03190"/>
    <w:rsid w:val="00B0331D"/>
    <w:rsid w:val="00B03470"/>
    <w:rsid w:val="00B03712"/>
    <w:rsid w:val="00B03A2C"/>
    <w:rsid w:val="00B03CB7"/>
    <w:rsid w:val="00B03CDD"/>
    <w:rsid w:val="00B056B1"/>
    <w:rsid w:val="00B056C3"/>
    <w:rsid w:val="00B058B1"/>
    <w:rsid w:val="00B05BA3"/>
    <w:rsid w:val="00B05BCB"/>
    <w:rsid w:val="00B05D5F"/>
    <w:rsid w:val="00B062E7"/>
    <w:rsid w:val="00B06302"/>
    <w:rsid w:val="00B0668B"/>
    <w:rsid w:val="00B06700"/>
    <w:rsid w:val="00B06BBD"/>
    <w:rsid w:val="00B06FED"/>
    <w:rsid w:val="00B07472"/>
    <w:rsid w:val="00B077B3"/>
    <w:rsid w:val="00B0781B"/>
    <w:rsid w:val="00B07C79"/>
    <w:rsid w:val="00B07E94"/>
    <w:rsid w:val="00B10376"/>
    <w:rsid w:val="00B1047A"/>
    <w:rsid w:val="00B1053B"/>
    <w:rsid w:val="00B1091E"/>
    <w:rsid w:val="00B10AD4"/>
    <w:rsid w:val="00B10B28"/>
    <w:rsid w:val="00B10E27"/>
    <w:rsid w:val="00B10F07"/>
    <w:rsid w:val="00B11237"/>
    <w:rsid w:val="00B112A5"/>
    <w:rsid w:val="00B1142D"/>
    <w:rsid w:val="00B11533"/>
    <w:rsid w:val="00B11699"/>
    <w:rsid w:val="00B116F7"/>
    <w:rsid w:val="00B120D2"/>
    <w:rsid w:val="00B122D6"/>
    <w:rsid w:val="00B125F8"/>
    <w:rsid w:val="00B1260A"/>
    <w:rsid w:val="00B12630"/>
    <w:rsid w:val="00B1271C"/>
    <w:rsid w:val="00B12A76"/>
    <w:rsid w:val="00B12D21"/>
    <w:rsid w:val="00B12D41"/>
    <w:rsid w:val="00B12D6A"/>
    <w:rsid w:val="00B12DF1"/>
    <w:rsid w:val="00B13168"/>
    <w:rsid w:val="00B135E8"/>
    <w:rsid w:val="00B1363A"/>
    <w:rsid w:val="00B136C0"/>
    <w:rsid w:val="00B13C7D"/>
    <w:rsid w:val="00B13CBA"/>
    <w:rsid w:val="00B13D3B"/>
    <w:rsid w:val="00B13F59"/>
    <w:rsid w:val="00B140AF"/>
    <w:rsid w:val="00B1469B"/>
    <w:rsid w:val="00B14747"/>
    <w:rsid w:val="00B14833"/>
    <w:rsid w:val="00B14D48"/>
    <w:rsid w:val="00B14FEA"/>
    <w:rsid w:val="00B1543F"/>
    <w:rsid w:val="00B1564D"/>
    <w:rsid w:val="00B157A0"/>
    <w:rsid w:val="00B15954"/>
    <w:rsid w:val="00B15C69"/>
    <w:rsid w:val="00B15C75"/>
    <w:rsid w:val="00B15F9D"/>
    <w:rsid w:val="00B16184"/>
    <w:rsid w:val="00B165CC"/>
    <w:rsid w:val="00B16AC0"/>
    <w:rsid w:val="00B16B6C"/>
    <w:rsid w:val="00B17164"/>
    <w:rsid w:val="00B1735E"/>
    <w:rsid w:val="00B17474"/>
    <w:rsid w:val="00B17E31"/>
    <w:rsid w:val="00B17E40"/>
    <w:rsid w:val="00B17EA6"/>
    <w:rsid w:val="00B17FC4"/>
    <w:rsid w:val="00B20061"/>
    <w:rsid w:val="00B20104"/>
    <w:rsid w:val="00B20286"/>
    <w:rsid w:val="00B20519"/>
    <w:rsid w:val="00B2082C"/>
    <w:rsid w:val="00B20F15"/>
    <w:rsid w:val="00B21587"/>
    <w:rsid w:val="00B218D6"/>
    <w:rsid w:val="00B219CA"/>
    <w:rsid w:val="00B21A2E"/>
    <w:rsid w:val="00B21A30"/>
    <w:rsid w:val="00B21AD3"/>
    <w:rsid w:val="00B21BAF"/>
    <w:rsid w:val="00B22097"/>
    <w:rsid w:val="00B221C7"/>
    <w:rsid w:val="00B229EA"/>
    <w:rsid w:val="00B231BF"/>
    <w:rsid w:val="00B23323"/>
    <w:rsid w:val="00B237D9"/>
    <w:rsid w:val="00B23928"/>
    <w:rsid w:val="00B23E7B"/>
    <w:rsid w:val="00B24179"/>
    <w:rsid w:val="00B242AD"/>
    <w:rsid w:val="00B24873"/>
    <w:rsid w:val="00B249CE"/>
    <w:rsid w:val="00B24F39"/>
    <w:rsid w:val="00B24F94"/>
    <w:rsid w:val="00B24FE5"/>
    <w:rsid w:val="00B25593"/>
    <w:rsid w:val="00B2574C"/>
    <w:rsid w:val="00B2589A"/>
    <w:rsid w:val="00B265AB"/>
    <w:rsid w:val="00B266FA"/>
    <w:rsid w:val="00B268C3"/>
    <w:rsid w:val="00B27014"/>
    <w:rsid w:val="00B2757E"/>
    <w:rsid w:val="00B27657"/>
    <w:rsid w:val="00B2780E"/>
    <w:rsid w:val="00B27B0C"/>
    <w:rsid w:val="00B27BC4"/>
    <w:rsid w:val="00B27C76"/>
    <w:rsid w:val="00B27D2E"/>
    <w:rsid w:val="00B300E1"/>
    <w:rsid w:val="00B304B6"/>
    <w:rsid w:val="00B30F13"/>
    <w:rsid w:val="00B30F84"/>
    <w:rsid w:val="00B3135C"/>
    <w:rsid w:val="00B3146D"/>
    <w:rsid w:val="00B31583"/>
    <w:rsid w:val="00B31878"/>
    <w:rsid w:val="00B319EE"/>
    <w:rsid w:val="00B31AE2"/>
    <w:rsid w:val="00B3252C"/>
    <w:rsid w:val="00B32B56"/>
    <w:rsid w:val="00B32B95"/>
    <w:rsid w:val="00B32CE8"/>
    <w:rsid w:val="00B32E42"/>
    <w:rsid w:val="00B32E9E"/>
    <w:rsid w:val="00B33070"/>
    <w:rsid w:val="00B33362"/>
    <w:rsid w:val="00B33442"/>
    <w:rsid w:val="00B335C1"/>
    <w:rsid w:val="00B33839"/>
    <w:rsid w:val="00B33C98"/>
    <w:rsid w:val="00B33E19"/>
    <w:rsid w:val="00B33F19"/>
    <w:rsid w:val="00B34043"/>
    <w:rsid w:val="00B340A9"/>
    <w:rsid w:val="00B341F9"/>
    <w:rsid w:val="00B34392"/>
    <w:rsid w:val="00B3462F"/>
    <w:rsid w:val="00B35026"/>
    <w:rsid w:val="00B35066"/>
    <w:rsid w:val="00B352E4"/>
    <w:rsid w:val="00B3537F"/>
    <w:rsid w:val="00B359E2"/>
    <w:rsid w:val="00B359E3"/>
    <w:rsid w:val="00B35A41"/>
    <w:rsid w:val="00B364F9"/>
    <w:rsid w:val="00B3655F"/>
    <w:rsid w:val="00B36CA1"/>
    <w:rsid w:val="00B376BD"/>
    <w:rsid w:val="00B376CC"/>
    <w:rsid w:val="00B37705"/>
    <w:rsid w:val="00B377B2"/>
    <w:rsid w:val="00B401BF"/>
    <w:rsid w:val="00B40653"/>
    <w:rsid w:val="00B40877"/>
    <w:rsid w:val="00B40D9E"/>
    <w:rsid w:val="00B40FA2"/>
    <w:rsid w:val="00B41186"/>
    <w:rsid w:val="00B41521"/>
    <w:rsid w:val="00B4156D"/>
    <w:rsid w:val="00B41836"/>
    <w:rsid w:val="00B4196B"/>
    <w:rsid w:val="00B419A7"/>
    <w:rsid w:val="00B41A76"/>
    <w:rsid w:val="00B4225F"/>
    <w:rsid w:val="00B422FD"/>
    <w:rsid w:val="00B42367"/>
    <w:rsid w:val="00B424D9"/>
    <w:rsid w:val="00B426FA"/>
    <w:rsid w:val="00B42B4E"/>
    <w:rsid w:val="00B42C37"/>
    <w:rsid w:val="00B42E93"/>
    <w:rsid w:val="00B42FB0"/>
    <w:rsid w:val="00B435FB"/>
    <w:rsid w:val="00B436E0"/>
    <w:rsid w:val="00B438DE"/>
    <w:rsid w:val="00B43FCC"/>
    <w:rsid w:val="00B441C0"/>
    <w:rsid w:val="00B442EC"/>
    <w:rsid w:val="00B4440A"/>
    <w:rsid w:val="00B444E4"/>
    <w:rsid w:val="00B44A0B"/>
    <w:rsid w:val="00B44A33"/>
    <w:rsid w:val="00B45145"/>
    <w:rsid w:val="00B4549B"/>
    <w:rsid w:val="00B454D2"/>
    <w:rsid w:val="00B455A4"/>
    <w:rsid w:val="00B45C5C"/>
    <w:rsid w:val="00B45E5F"/>
    <w:rsid w:val="00B46005"/>
    <w:rsid w:val="00B46319"/>
    <w:rsid w:val="00B464B9"/>
    <w:rsid w:val="00B4680C"/>
    <w:rsid w:val="00B4683B"/>
    <w:rsid w:val="00B46E13"/>
    <w:rsid w:val="00B46E9C"/>
    <w:rsid w:val="00B46EC0"/>
    <w:rsid w:val="00B47293"/>
    <w:rsid w:val="00B472B6"/>
    <w:rsid w:val="00B474AE"/>
    <w:rsid w:val="00B47538"/>
    <w:rsid w:val="00B47542"/>
    <w:rsid w:val="00B476A7"/>
    <w:rsid w:val="00B47722"/>
    <w:rsid w:val="00B478F2"/>
    <w:rsid w:val="00B47C4A"/>
    <w:rsid w:val="00B47E04"/>
    <w:rsid w:val="00B47E2C"/>
    <w:rsid w:val="00B501F4"/>
    <w:rsid w:val="00B5033E"/>
    <w:rsid w:val="00B50459"/>
    <w:rsid w:val="00B504CC"/>
    <w:rsid w:val="00B505B2"/>
    <w:rsid w:val="00B50705"/>
    <w:rsid w:val="00B5086C"/>
    <w:rsid w:val="00B50B68"/>
    <w:rsid w:val="00B50D75"/>
    <w:rsid w:val="00B51210"/>
    <w:rsid w:val="00B51299"/>
    <w:rsid w:val="00B516AA"/>
    <w:rsid w:val="00B517A5"/>
    <w:rsid w:val="00B5190A"/>
    <w:rsid w:val="00B519A7"/>
    <w:rsid w:val="00B51ACC"/>
    <w:rsid w:val="00B51AEA"/>
    <w:rsid w:val="00B51C7C"/>
    <w:rsid w:val="00B51C7D"/>
    <w:rsid w:val="00B51E27"/>
    <w:rsid w:val="00B5259A"/>
    <w:rsid w:val="00B52780"/>
    <w:rsid w:val="00B52985"/>
    <w:rsid w:val="00B529DC"/>
    <w:rsid w:val="00B52C57"/>
    <w:rsid w:val="00B52D50"/>
    <w:rsid w:val="00B52EB0"/>
    <w:rsid w:val="00B52ED7"/>
    <w:rsid w:val="00B531CB"/>
    <w:rsid w:val="00B53740"/>
    <w:rsid w:val="00B53979"/>
    <w:rsid w:val="00B539C8"/>
    <w:rsid w:val="00B539D0"/>
    <w:rsid w:val="00B53A7A"/>
    <w:rsid w:val="00B53E57"/>
    <w:rsid w:val="00B53E9E"/>
    <w:rsid w:val="00B541C4"/>
    <w:rsid w:val="00B54518"/>
    <w:rsid w:val="00B54C48"/>
    <w:rsid w:val="00B54D46"/>
    <w:rsid w:val="00B54F18"/>
    <w:rsid w:val="00B55240"/>
    <w:rsid w:val="00B5586F"/>
    <w:rsid w:val="00B55A41"/>
    <w:rsid w:val="00B55F88"/>
    <w:rsid w:val="00B56056"/>
    <w:rsid w:val="00B56076"/>
    <w:rsid w:val="00B563F8"/>
    <w:rsid w:val="00B565EF"/>
    <w:rsid w:val="00B5672A"/>
    <w:rsid w:val="00B567E5"/>
    <w:rsid w:val="00B5716B"/>
    <w:rsid w:val="00B57319"/>
    <w:rsid w:val="00B57BE7"/>
    <w:rsid w:val="00B57F2E"/>
    <w:rsid w:val="00B57F72"/>
    <w:rsid w:val="00B57FB0"/>
    <w:rsid w:val="00B6017D"/>
    <w:rsid w:val="00B606C4"/>
    <w:rsid w:val="00B60980"/>
    <w:rsid w:val="00B6098C"/>
    <w:rsid w:val="00B60B1D"/>
    <w:rsid w:val="00B6117F"/>
    <w:rsid w:val="00B61335"/>
    <w:rsid w:val="00B613FC"/>
    <w:rsid w:val="00B61755"/>
    <w:rsid w:val="00B6183D"/>
    <w:rsid w:val="00B618CE"/>
    <w:rsid w:val="00B61C04"/>
    <w:rsid w:val="00B61C83"/>
    <w:rsid w:val="00B61CFE"/>
    <w:rsid w:val="00B61DE3"/>
    <w:rsid w:val="00B61DEA"/>
    <w:rsid w:val="00B62043"/>
    <w:rsid w:val="00B622B8"/>
    <w:rsid w:val="00B6271D"/>
    <w:rsid w:val="00B62A43"/>
    <w:rsid w:val="00B62E32"/>
    <w:rsid w:val="00B6300A"/>
    <w:rsid w:val="00B63349"/>
    <w:rsid w:val="00B633DD"/>
    <w:rsid w:val="00B633E7"/>
    <w:rsid w:val="00B63418"/>
    <w:rsid w:val="00B63C02"/>
    <w:rsid w:val="00B63D73"/>
    <w:rsid w:val="00B64365"/>
    <w:rsid w:val="00B643A3"/>
    <w:rsid w:val="00B6440C"/>
    <w:rsid w:val="00B64BD2"/>
    <w:rsid w:val="00B64F0D"/>
    <w:rsid w:val="00B64FFF"/>
    <w:rsid w:val="00B6512D"/>
    <w:rsid w:val="00B6518A"/>
    <w:rsid w:val="00B652CE"/>
    <w:rsid w:val="00B654BC"/>
    <w:rsid w:val="00B6551C"/>
    <w:rsid w:val="00B6570B"/>
    <w:rsid w:val="00B65752"/>
    <w:rsid w:val="00B658E9"/>
    <w:rsid w:val="00B659D1"/>
    <w:rsid w:val="00B65B4C"/>
    <w:rsid w:val="00B65C09"/>
    <w:rsid w:val="00B65ECE"/>
    <w:rsid w:val="00B65F26"/>
    <w:rsid w:val="00B664FC"/>
    <w:rsid w:val="00B6656A"/>
    <w:rsid w:val="00B6663B"/>
    <w:rsid w:val="00B666D3"/>
    <w:rsid w:val="00B668B6"/>
    <w:rsid w:val="00B66C54"/>
    <w:rsid w:val="00B66D94"/>
    <w:rsid w:val="00B66E99"/>
    <w:rsid w:val="00B670A0"/>
    <w:rsid w:val="00B6716F"/>
    <w:rsid w:val="00B67236"/>
    <w:rsid w:val="00B674BC"/>
    <w:rsid w:val="00B67556"/>
    <w:rsid w:val="00B67579"/>
    <w:rsid w:val="00B675D7"/>
    <w:rsid w:val="00B675E0"/>
    <w:rsid w:val="00B6764E"/>
    <w:rsid w:val="00B6767B"/>
    <w:rsid w:val="00B67689"/>
    <w:rsid w:val="00B67737"/>
    <w:rsid w:val="00B677CE"/>
    <w:rsid w:val="00B677E0"/>
    <w:rsid w:val="00B67B38"/>
    <w:rsid w:val="00B67C84"/>
    <w:rsid w:val="00B67D06"/>
    <w:rsid w:val="00B67D48"/>
    <w:rsid w:val="00B70762"/>
    <w:rsid w:val="00B70FBF"/>
    <w:rsid w:val="00B71981"/>
    <w:rsid w:val="00B71A70"/>
    <w:rsid w:val="00B71DCB"/>
    <w:rsid w:val="00B71E4B"/>
    <w:rsid w:val="00B71F6B"/>
    <w:rsid w:val="00B71FFB"/>
    <w:rsid w:val="00B721B0"/>
    <w:rsid w:val="00B72521"/>
    <w:rsid w:val="00B72584"/>
    <w:rsid w:val="00B72691"/>
    <w:rsid w:val="00B7284D"/>
    <w:rsid w:val="00B72B68"/>
    <w:rsid w:val="00B72BE4"/>
    <w:rsid w:val="00B732C4"/>
    <w:rsid w:val="00B733D3"/>
    <w:rsid w:val="00B734B4"/>
    <w:rsid w:val="00B73858"/>
    <w:rsid w:val="00B73D8B"/>
    <w:rsid w:val="00B73FFF"/>
    <w:rsid w:val="00B74108"/>
    <w:rsid w:val="00B74369"/>
    <w:rsid w:val="00B746C3"/>
    <w:rsid w:val="00B74754"/>
    <w:rsid w:val="00B74905"/>
    <w:rsid w:val="00B7496D"/>
    <w:rsid w:val="00B74AE5"/>
    <w:rsid w:val="00B74B69"/>
    <w:rsid w:val="00B750F1"/>
    <w:rsid w:val="00B75107"/>
    <w:rsid w:val="00B75128"/>
    <w:rsid w:val="00B755CB"/>
    <w:rsid w:val="00B75E86"/>
    <w:rsid w:val="00B76237"/>
    <w:rsid w:val="00B764CD"/>
    <w:rsid w:val="00B7676C"/>
    <w:rsid w:val="00B76E53"/>
    <w:rsid w:val="00B771C4"/>
    <w:rsid w:val="00B776FE"/>
    <w:rsid w:val="00B778F8"/>
    <w:rsid w:val="00B779EA"/>
    <w:rsid w:val="00B77C6C"/>
    <w:rsid w:val="00B77D7A"/>
    <w:rsid w:val="00B77F05"/>
    <w:rsid w:val="00B77FDD"/>
    <w:rsid w:val="00B803AB"/>
    <w:rsid w:val="00B80500"/>
    <w:rsid w:val="00B80F99"/>
    <w:rsid w:val="00B81026"/>
    <w:rsid w:val="00B8106C"/>
    <w:rsid w:val="00B81312"/>
    <w:rsid w:val="00B816AE"/>
    <w:rsid w:val="00B817D7"/>
    <w:rsid w:val="00B81927"/>
    <w:rsid w:val="00B826DB"/>
    <w:rsid w:val="00B8275B"/>
    <w:rsid w:val="00B82795"/>
    <w:rsid w:val="00B82863"/>
    <w:rsid w:val="00B82A1B"/>
    <w:rsid w:val="00B82AEF"/>
    <w:rsid w:val="00B83230"/>
    <w:rsid w:val="00B832B2"/>
    <w:rsid w:val="00B832B7"/>
    <w:rsid w:val="00B833B2"/>
    <w:rsid w:val="00B83570"/>
    <w:rsid w:val="00B83CC4"/>
    <w:rsid w:val="00B83D9A"/>
    <w:rsid w:val="00B83DEC"/>
    <w:rsid w:val="00B83ED6"/>
    <w:rsid w:val="00B84202"/>
    <w:rsid w:val="00B8459F"/>
    <w:rsid w:val="00B84A13"/>
    <w:rsid w:val="00B8556E"/>
    <w:rsid w:val="00B85712"/>
    <w:rsid w:val="00B85733"/>
    <w:rsid w:val="00B85E56"/>
    <w:rsid w:val="00B8605A"/>
    <w:rsid w:val="00B865CB"/>
    <w:rsid w:val="00B86802"/>
    <w:rsid w:val="00B868F2"/>
    <w:rsid w:val="00B86A73"/>
    <w:rsid w:val="00B86CF6"/>
    <w:rsid w:val="00B86EDE"/>
    <w:rsid w:val="00B87088"/>
    <w:rsid w:val="00B87209"/>
    <w:rsid w:val="00B87323"/>
    <w:rsid w:val="00B87396"/>
    <w:rsid w:val="00B8747B"/>
    <w:rsid w:val="00B90082"/>
    <w:rsid w:val="00B90941"/>
    <w:rsid w:val="00B90DC4"/>
    <w:rsid w:val="00B90DFF"/>
    <w:rsid w:val="00B90F01"/>
    <w:rsid w:val="00B91011"/>
    <w:rsid w:val="00B91025"/>
    <w:rsid w:val="00B91269"/>
    <w:rsid w:val="00B91886"/>
    <w:rsid w:val="00B918C8"/>
    <w:rsid w:val="00B92C19"/>
    <w:rsid w:val="00B92F13"/>
    <w:rsid w:val="00B935EA"/>
    <w:rsid w:val="00B935EE"/>
    <w:rsid w:val="00B93726"/>
    <w:rsid w:val="00B93733"/>
    <w:rsid w:val="00B93788"/>
    <w:rsid w:val="00B9379B"/>
    <w:rsid w:val="00B938E3"/>
    <w:rsid w:val="00B93EF1"/>
    <w:rsid w:val="00B941E4"/>
    <w:rsid w:val="00B94268"/>
    <w:rsid w:val="00B94297"/>
    <w:rsid w:val="00B94421"/>
    <w:rsid w:val="00B94A5F"/>
    <w:rsid w:val="00B94C6E"/>
    <w:rsid w:val="00B94D8C"/>
    <w:rsid w:val="00B94E16"/>
    <w:rsid w:val="00B94EB8"/>
    <w:rsid w:val="00B94F84"/>
    <w:rsid w:val="00B95012"/>
    <w:rsid w:val="00B9594A"/>
    <w:rsid w:val="00B95CC4"/>
    <w:rsid w:val="00B95D8E"/>
    <w:rsid w:val="00B9688B"/>
    <w:rsid w:val="00B9698D"/>
    <w:rsid w:val="00B96AE9"/>
    <w:rsid w:val="00B96EA7"/>
    <w:rsid w:val="00B96EC9"/>
    <w:rsid w:val="00B9708E"/>
    <w:rsid w:val="00B970EE"/>
    <w:rsid w:val="00B977CE"/>
    <w:rsid w:val="00B97851"/>
    <w:rsid w:val="00B97936"/>
    <w:rsid w:val="00B97A20"/>
    <w:rsid w:val="00B97A57"/>
    <w:rsid w:val="00B97B50"/>
    <w:rsid w:val="00B97C87"/>
    <w:rsid w:val="00B97E34"/>
    <w:rsid w:val="00BA04A6"/>
    <w:rsid w:val="00BA0B9F"/>
    <w:rsid w:val="00BA0D98"/>
    <w:rsid w:val="00BA0DF9"/>
    <w:rsid w:val="00BA11D8"/>
    <w:rsid w:val="00BA159A"/>
    <w:rsid w:val="00BA1706"/>
    <w:rsid w:val="00BA1923"/>
    <w:rsid w:val="00BA1EDF"/>
    <w:rsid w:val="00BA1F65"/>
    <w:rsid w:val="00BA2177"/>
    <w:rsid w:val="00BA26B7"/>
    <w:rsid w:val="00BA2E0E"/>
    <w:rsid w:val="00BA2FCD"/>
    <w:rsid w:val="00BA30BB"/>
    <w:rsid w:val="00BA3446"/>
    <w:rsid w:val="00BA36A1"/>
    <w:rsid w:val="00BA36EE"/>
    <w:rsid w:val="00BA3BBB"/>
    <w:rsid w:val="00BA3E0C"/>
    <w:rsid w:val="00BA3EB3"/>
    <w:rsid w:val="00BA40C4"/>
    <w:rsid w:val="00BA4161"/>
    <w:rsid w:val="00BA41B0"/>
    <w:rsid w:val="00BA41B6"/>
    <w:rsid w:val="00BA4318"/>
    <w:rsid w:val="00BA4355"/>
    <w:rsid w:val="00BA43CD"/>
    <w:rsid w:val="00BA44C5"/>
    <w:rsid w:val="00BA46AC"/>
    <w:rsid w:val="00BA48E2"/>
    <w:rsid w:val="00BA49D7"/>
    <w:rsid w:val="00BA4CB4"/>
    <w:rsid w:val="00BA5162"/>
    <w:rsid w:val="00BA5689"/>
    <w:rsid w:val="00BA58F2"/>
    <w:rsid w:val="00BA5995"/>
    <w:rsid w:val="00BA5BA9"/>
    <w:rsid w:val="00BA5D55"/>
    <w:rsid w:val="00BA63D1"/>
    <w:rsid w:val="00BA64EC"/>
    <w:rsid w:val="00BA6A71"/>
    <w:rsid w:val="00BA6A80"/>
    <w:rsid w:val="00BA6CE8"/>
    <w:rsid w:val="00BA7305"/>
    <w:rsid w:val="00BA73EC"/>
    <w:rsid w:val="00BA7464"/>
    <w:rsid w:val="00BA7556"/>
    <w:rsid w:val="00BA7B6D"/>
    <w:rsid w:val="00BA7C80"/>
    <w:rsid w:val="00BA7F9F"/>
    <w:rsid w:val="00BB0AE1"/>
    <w:rsid w:val="00BB0C41"/>
    <w:rsid w:val="00BB0CC2"/>
    <w:rsid w:val="00BB0D6F"/>
    <w:rsid w:val="00BB10DB"/>
    <w:rsid w:val="00BB11A4"/>
    <w:rsid w:val="00BB14DA"/>
    <w:rsid w:val="00BB1797"/>
    <w:rsid w:val="00BB17F1"/>
    <w:rsid w:val="00BB1847"/>
    <w:rsid w:val="00BB22D2"/>
    <w:rsid w:val="00BB2AD4"/>
    <w:rsid w:val="00BB2B3C"/>
    <w:rsid w:val="00BB30E2"/>
    <w:rsid w:val="00BB342B"/>
    <w:rsid w:val="00BB34A0"/>
    <w:rsid w:val="00BB3EE6"/>
    <w:rsid w:val="00BB41B7"/>
    <w:rsid w:val="00BB42F2"/>
    <w:rsid w:val="00BB468B"/>
    <w:rsid w:val="00BB47FA"/>
    <w:rsid w:val="00BB4B5D"/>
    <w:rsid w:val="00BB5240"/>
    <w:rsid w:val="00BB53DC"/>
    <w:rsid w:val="00BB55CD"/>
    <w:rsid w:val="00BB56DA"/>
    <w:rsid w:val="00BB57E3"/>
    <w:rsid w:val="00BB5B9E"/>
    <w:rsid w:val="00BB5C00"/>
    <w:rsid w:val="00BB5CF5"/>
    <w:rsid w:val="00BB632A"/>
    <w:rsid w:val="00BB6732"/>
    <w:rsid w:val="00BB6B82"/>
    <w:rsid w:val="00BB7801"/>
    <w:rsid w:val="00BB792C"/>
    <w:rsid w:val="00BB7982"/>
    <w:rsid w:val="00BB7A4C"/>
    <w:rsid w:val="00BB7AE8"/>
    <w:rsid w:val="00BB7D3B"/>
    <w:rsid w:val="00BC03BD"/>
    <w:rsid w:val="00BC0860"/>
    <w:rsid w:val="00BC0A00"/>
    <w:rsid w:val="00BC0A0B"/>
    <w:rsid w:val="00BC0FD2"/>
    <w:rsid w:val="00BC1761"/>
    <w:rsid w:val="00BC191F"/>
    <w:rsid w:val="00BC1921"/>
    <w:rsid w:val="00BC1B1D"/>
    <w:rsid w:val="00BC1C75"/>
    <w:rsid w:val="00BC24EC"/>
    <w:rsid w:val="00BC2CFE"/>
    <w:rsid w:val="00BC2DBD"/>
    <w:rsid w:val="00BC3161"/>
    <w:rsid w:val="00BC3C43"/>
    <w:rsid w:val="00BC4218"/>
    <w:rsid w:val="00BC42D2"/>
    <w:rsid w:val="00BC4343"/>
    <w:rsid w:val="00BC4596"/>
    <w:rsid w:val="00BC4F5B"/>
    <w:rsid w:val="00BC4F95"/>
    <w:rsid w:val="00BC5008"/>
    <w:rsid w:val="00BC50BF"/>
    <w:rsid w:val="00BC51D6"/>
    <w:rsid w:val="00BC53EC"/>
    <w:rsid w:val="00BC5502"/>
    <w:rsid w:val="00BC5667"/>
    <w:rsid w:val="00BC5942"/>
    <w:rsid w:val="00BC599A"/>
    <w:rsid w:val="00BC59D0"/>
    <w:rsid w:val="00BC59ED"/>
    <w:rsid w:val="00BC5A83"/>
    <w:rsid w:val="00BC5BB1"/>
    <w:rsid w:val="00BC5C4E"/>
    <w:rsid w:val="00BC5E37"/>
    <w:rsid w:val="00BC5F4E"/>
    <w:rsid w:val="00BC6072"/>
    <w:rsid w:val="00BC62DF"/>
    <w:rsid w:val="00BC6918"/>
    <w:rsid w:val="00BC6C94"/>
    <w:rsid w:val="00BC6D54"/>
    <w:rsid w:val="00BC6D65"/>
    <w:rsid w:val="00BC75D3"/>
    <w:rsid w:val="00BC79F1"/>
    <w:rsid w:val="00BC7B99"/>
    <w:rsid w:val="00BC7CA9"/>
    <w:rsid w:val="00BD08FB"/>
    <w:rsid w:val="00BD0B7A"/>
    <w:rsid w:val="00BD0B92"/>
    <w:rsid w:val="00BD0F4B"/>
    <w:rsid w:val="00BD0FCC"/>
    <w:rsid w:val="00BD1540"/>
    <w:rsid w:val="00BD18B1"/>
    <w:rsid w:val="00BD19CA"/>
    <w:rsid w:val="00BD1A6D"/>
    <w:rsid w:val="00BD1AD3"/>
    <w:rsid w:val="00BD1C89"/>
    <w:rsid w:val="00BD1DD0"/>
    <w:rsid w:val="00BD28C5"/>
    <w:rsid w:val="00BD2D5F"/>
    <w:rsid w:val="00BD3176"/>
    <w:rsid w:val="00BD3186"/>
    <w:rsid w:val="00BD3350"/>
    <w:rsid w:val="00BD3900"/>
    <w:rsid w:val="00BD4018"/>
    <w:rsid w:val="00BD4123"/>
    <w:rsid w:val="00BD4133"/>
    <w:rsid w:val="00BD4222"/>
    <w:rsid w:val="00BD4411"/>
    <w:rsid w:val="00BD4501"/>
    <w:rsid w:val="00BD45C7"/>
    <w:rsid w:val="00BD4777"/>
    <w:rsid w:val="00BD497B"/>
    <w:rsid w:val="00BD4CC8"/>
    <w:rsid w:val="00BD4E2E"/>
    <w:rsid w:val="00BD4E2F"/>
    <w:rsid w:val="00BD51FC"/>
    <w:rsid w:val="00BD5239"/>
    <w:rsid w:val="00BD53CE"/>
    <w:rsid w:val="00BD5DF0"/>
    <w:rsid w:val="00BD5FAD"/>
    <w:rsid w:val="00BD6020"/>
    <w:rsid w:val="00BD63CD"/>
    <w:rsid w:val="00BD6628"/>
    <w:rsid w:val="00BD678F"/>
    <w:rsid w:val="00BD6814"/>
    <w:rsid w:val="00BD6BFA"/>
    <w:rsid w:val="00BD6FD6"/>
    <w:rsid w:val="00BD74C3"/>
    <w:rsid w:val="00BD751E"/>
    <w:rsid w:val="00BD75D8"/>
    <w:rsid w:val="00BD763D"/>
    <w:rsid w:val="00BD7741"/>
    <w:rsid w:val="00BD7ACF"/>
    <w:rsid w:val="00BD7B12"/>
    <w:rsid w:val="00BD7C04"/>
    <w:rsid w:val="00BE01D3"/>
    <w:rsid w:val="00BE01FC"/>
    <w:rsid w:val="00BE0376"/>
    <w:rsid w:val="00BE049A"/>
    <w:rsid w:val="00BE0810"/>
    <w:rsid w:val="00BE0C69"/>
    <w:rsid w:val="00BE0E1F"/>
    <w:rsid w:val="00BE108C"/>
    <w:rsid w:val="00BE10C2"/>
    <w:rsid w:val="00BE10EA"/>
    <w:rsid w:val="00BE112E"/>
    <w:rsid w:val="00BE133C"/>
    <w:rsid w:val="00BE2611"/>
    <w:rsid w:val="00BE26BC"/>
    <w:rsid w:val="00BE27E0"/>
    <w:rsid w:val="00BE2823"/>
    <w:rsid w:val="00BE2BF5"/>
    <w:rsid w:val="00BE2ED8"/>
    <w:rsid w:val="00BE2FA2"/>
    <w:rsid w:val="00BE303D"/>
    <w:rsid w:val="00BE3999"/>
    <w:rsid w:val="00BE414A"/>
    <w:rsid w:val="00BE43D6"/>
    <w:rsid w:val="00BE46B7"/>
    <w:rsid w:val="00BE4FBE"/>
    <w:rsid w:val="00BE5232"/>
    <w:rsid w:val="00BE54AE"/>
    <w:rsid w:val="00BE5502"/>
    <w:rsid w:val="00BE5535"/>
    <w:rsid w:val="00BE5A05"/>
    <w:rsid w:val="00BE5B8A"/>
    <w:rsid w:val="00BE5BB3"/>
    <w:rsid w:val="00BE5E2F"/>
    <w:rsid w:val="00BE600B"/>
    <w:rsid w:val="00BE676A"/>
    <w:rsid w:val="00BE6AB3"/>
    <w:rsid w:val="00BE6D17"/>
    <w:rsid w:val="00BE73A5"/>
    <w:rsid w:val="00BE782A"/>
    <w:rsid w:val="00BE7C64"/>
    <w:rsid w:val="00BF02AE"/>
    <w:rsid w:val="00BF0526"/>
    <w:rsid w:val="00BF0DAD"/>
    <w:rsid w:val="00BF0E3C"/>
    <w:rsid w:val="00BF0EBA"/>
    <w:rsid w:val="00BF110C"/>
    <w:rsid w:val="00BF1141"/>
    <w:rsid w:val="00BF124F"/>
    <w:rsid w:val="00BF12CD"/>
    <w:rsid w:val="00BF138C"/>
    <w:rsid w:val="00BF1468"/>
    <w:rsid w:val="00BF152F"/>
    <w:rsid w:val="00BF1861"/>
    <w:rsid w:val="00BF1867"/>
    <w:rsid w:val="00BF1905"/>
    <w:rsid w:val="00BF1CB1"/>
    <w:rsid w:val="00BF23A3"/>
    <w:rsid w:val="00BF2704"/>
    <w:rsid w:val="00BF28FC"/>
    <w:rsid w:val="00BF2D2A"/>
    <w:rsid w:val="00BF2DC7"/>
    <w:rsid w:val="00BF35A6"/>
    <w:rsid w:val="00BF35D5"/>
    <w:rsid w:val="00BF4015"/>
    <w:rsid w:val="00BF44BA"/>
    <w:rsid w:val="00BF4588"/>
    <w:rsid w:val="00BF45DA"/>
    <w:rsid w:val="00BF499E"/>
    <w:rsid w:val="00BF4E84"/>
    <w:rsid w:val="00BF5399"/>
    <w:rsid w:val="00BF5415"/>
    <w:rsid w:val="00BF54D0"/>
    <w:rsid w:val="00BF5652"/>
    <w:rsid w:val="00BF5965"/>
    <w:rsid w:val="00BF5C6F"/>
    <w:rsid w:val="00BF5D5C"/>
    <w:rsid w:val="00BF5FD5"/>
    <w:rsid w:val="00BF6638"/>
    <w:rsid w:val="00BF6E66"/>
    <w:rsid w:val="00BF7294"/>
    <w:rsid w:val="00BF7808"/>
    <w:rsid w:val="00BF78ED"/>
    <w:rsid w:val="00BF7C10"/>
    <w:rsid w:val="00BF7C69"/>
    <w:rsid w:val="00C0016E"/>
    <w:rsid w:val="00C002A7"/>
    <w:rsid w:val="00C00B82"/>
    <w:rsid w:val="00C0105C"/>
    <w:rsid w:val="00C0117D"/>
    <w:rsid w:val="00C01418"/>
    <w:rsid w:val="00C01AC9"/>
    <w:rsid w:val="00C01BC5"/>
    <w:rsid w:val="00C01CB7"/>
    <w:rsid w:val="00C01DAA"/>
    <w:rsid w:val="00C02117"/>
    <w:rsid w:val="00C02401"/>
    <w:rsid w:val="00C024A4"/>
    <w:rsid w:val="00C02C76"/>
    <w:rsid w:val="00C032D5"/>
    <w:rsid w:val="00C035C3"/>
    <w:rsid w:val="00C03731"/>
    <w:rsid w:val="00C04064"/>
    <w:rsid w:val="00C041C9"/>
    <w:rsid w:val="00C0462F"/>
    <w:rsid w:val="00C04CD8"/>
    <w:rsid w:val="00C05088"/>
    <w:rsid w:val="00C0543A"/>
    <w:rsid w:val="00C0600F"/>
    <w:rsid w:val="00C064D3"/>
    <w:rsid w:val="00C067A5"/>
    <w:rsid w:val="00C0697F"/>
    <w:rsid w:val="00C06A10"/>
    <w:rsid w:val="00C06AA6"/>
    <w:rsid w:val="00C07034"/>
    <w:rsid w:val="00C07062"/>
    <w:rsid w:val="00C070C5"/>
    <w:rsid w:val="00C072E3"/>
    <w:rsid w:val="00C0736D"/>
    <w:rsid w:val="00C076F7"/>
    <w:rsid w:val="00C07879"/>
    <w:rsid w:val="00C078EA"/>
    <w:rsid w:val="00C07B11"/>
    <w:rsid w:val="00C07BE6"/>
    <w:rsid w:val="00C10141"/>
    <w:rsid w:val="00C1016A"/>
    <w:rsid w:val="00C1024D"/>
    <w:rsid w:val="00C1038D"/>
    <w:rsid w:val="00C10BEF"/>
    <w:rsid w:val="00C10C95"/>
    <w:rsid w:val="00C10F84"/>
    <w:rsid w:val="00C113CE"/>
    <w:rsid w:val="00C118B5"/>
    <w:rsid w:val="00C119AF"/>
    <w:rsid w:val="00C11B65"/>
    <w:rsid w:val="00C11C48"/>
    <w:rsid w:val="00C11C55"/>
    <w:rsid w:val="00C11EA0"/>
    <w:rsid w:val="00C11EAD"/>
    <w:rsid w:val="00C11EDC"/>
    <w:rsid w:val="00C121BF"/>
    <w:rsid w:val="00C12553"/>
    <w:rsid w:val="00C1260A"/>
    <w:rsid w:val="00C12858"/>
    <w:rsid w:val="00C12AFB"/>
    <w:rsid w:val="00C12FE9"/>
    <w:rsid w:val="00C1301A"/>
    <w:rsid w:val="00C13545"/>
    <w:rsid w:val="00C1362B"/>
    <w:rsid w:val="00C138FC"/>
    <w:rsid w:val="00C1392B"/>
    <w:rsid w:val="00C13F0B"/>
    <w:rsid w:val="00C13FCA"/>
    <w:rsid w:val="00C140A9"/>
    <w:rsid w:val="00C140FF"/>
    <w:rsid w:val="00C15028"/>
    <w:rsid w:val="00C15076"/>
    <w:rsid w:val="00C150C8"/>
    <w:rsid w:val="00C15170"/>
    <w:rsid w:val="00C152EB"/>
    <w:rsid w:val="00C1566D"/>
    <w:rsid w:val="00C1582B"/>
    <w:rsid w:val="00C15E01"/>
    <w:rsid w:val="00C15E3E"/>
    <w:rsid w:val="00C15EAE"/>
    <w:rsid w:val="00C164CD"/>
    <w:rsid w:val="00C16555"/>
    <w:rsid w:val="00C16843"/>
    <w:rsid w:val="00C16CFB"/>
    <w:rsid w:val="00C16E3E"/>
    <w:rsid w:val="00C16F34"/>
    <w:rsid w:val="00C16FF6"/>
    <w:rsid w:val="00C1757E"/>
    <w:rsid w:val="00C179B9"/>
    <w:rsid w:val="00C17F32"/>
    <w:rsid w:val="00C17FC9"/>
    <w:rsid w:val="00C2026F"/>
    <w:rsid w:val="00C2054F"/>
    <w:rsid w:val="00C206F1"/>
    <w:rsid w:val="00C20AD9"/>
    <w:rsid w:val="00C20B90"/>
    <w:rsid w:val="00C20C56"/>
    <w:rsid w:val="00C20F88"/>
    <w:rsid w:val="00C2100C"/>
    <w:rsid w:val="00C21073"/>
    <w:rsid w:val="00C21079"/>
    <w:rsid w:val="00C21189"/>
    <w:rsid w:val="00C2133F"/>
    <w:rsid w:val="00C219D9"/>
    <w:rsid w:val="00C219E1"/>
    <w:rsid w:val="00C21BC2"/>
    <w:rsid w:val="00C21DD2"/>
    <w:rsid w:val="00C220AC"/>
    <w:rsid w:val="00C22385"/>
    <w:rsid w:val="00C223D4"/>
    <w:rsid w:val="00C22655"/>
    <w:rsid w:val="00C2265D"/>
    <w:rsid w:val="00C22881"/>
    <w:rsid w:val="00C2288C"/>
    <w:rsid w:val="00C22902"/>
    <w:rsid w:val="00C22E1E"/>
    <w:rsid w:val="00C234E4"/>
    <w:rsid w:val="00C23A24"/>
    <w:rsid w:val="00C23B6B"/>
    <w:rsid w:val="00C23C37"/>
    <w:rsid w:val="00C23E36"/>
    <w:rsid w:val="00C24471"/>
    <w:rsid w:val="00C246A6"/>
    <w:rsid w:val="00C24AC9"/>
    <w:rsid w:val="00C24B4C"/>
    <w:rsid w:val="00C24B9E"/>
    <w:rsid w:val="00C25495"/>
    <w:rsid w:val="00C25899"/>
    <w:rsid w:val="00C25905"/>
    <w:rsid w:val="00C25D69"/>
    <w:rsid w:val="00C25EC5"/>
    <w:rsid w:val="00C2612C"/>
    <w:rsid w:val="00C26141"/>
    <w:rsid w:val="00C262C8"/>
    <w:rsid w:val="00C26446"/>
    <w:rsid w:val="00C26899"/>
    <w:rsid w:val="00C268BC"/>
    <w:rsid w:val="00C26B6F"/>
    <w:rsid w:val="00C26CE5"/>
    <w:rsid w:val="00C26E8C"/>
    <w:rsid w:val="00C27040"/>
    <w:rsid w:val="00C2740E"/>
    <w:rsid w:val="00C2744C"/>
    <w:rsid w:val="00C274B8"/>
    <w:rsid w:val="00C278BB"/>
    <w:rsid w:val="00C2795A"/>
    <w:rsid w:val="00C27AE4"/>
    <w:rsid w:val="00C27B20"/>
    <w:rsid w:val="00C27BDE"/>
    <w:rsid w:val="00C27D86"/>
    <w:rsid w:val="00C302CD"/>
    <w:rsid w:val="00C3031F"/>
    <w:rsid w:val="00C3043D"/>
    <w:rsid w:val="00C307F2"/>
    <w:rsid w:val="00C30B27"/>
    <w:rsid w:val="00C30B84"/>
    <w:rsid w:val="00C30DED"/>
    <w:rsid w:val="00C311DF"/>
    <w:rsid w:val="00C311E3"/>
    <w:rsid w:val="00C31651"/>
    <w:rsid w:val="00C31885"/>
    <w:rsid w:val="00C3208A"/>
    <w:rsid w:val="00C323FB"/>
    <w:rsid w:val="00C328E7"/>
    <w:rsid w:val="00C32949"/>
    <w:rsid w:val="00C32B22"/>
    <w:rsid w:val="00C32E70"/>
    <w:rsid w:val="00C3324F"/>
    <w:rsid w:val="00C335BA"/>
    <w:rsid w:val="00C33878"/>
    <w:rsid w:val="00C33E97"/>
    <w:rsid w:val="00C34305"/>
    <w:rsid w:val="00C3447B"/>
    <w:rsid w:val="00C3455A"/>
    <w:rsid w:val="00C34765"/>
    <w:rsid w:val="00C34785"/>
    <w:rsid w:val="00C3492C"/>
    <w:rsid w:val="00C34991"/>
    <w:rsid w:val="00C349E3"/>
    <w:rsid w:val="00C34B78"/>
    <w:rsid w:val="00C34E32"/>
    <w:rsid w:val="00C35230"/>
    <w:rsid w:val="00C36425"/>
    <w:rsid w:val="00C365FD"/>
    <w:rsid w:val="00C3668D"/>
    <w:rsid w:val="00C36B6B"/>
    <w:rsid w:val="00C36F0F"/>
    <w:rsid w:val="00C3703A"/>
    <w:rsid w:val="00C37436"/>
    <w:rsid w:val="00C374DC"/>
    <w:rsid w:val="00C375A6"/>
    <w:rsid w:val="00C37D75"/>
    <w:rsid w:val="00C37DF9"/>
    <w:rsid w:val="00C37E55"/>
    <w:rsid w:val="00C37F5E"/>
    <w:rsid w:val="00C37F96"/>
    <w:rsid w:val="00C37FD6"/>
    <w:rsid w:val="00C4038C"/>
    <w:rsid w:val="00C40B6B"/>
    <w:rsid w:val="00C40BBB"/>
    <w:rsid w:val="00C40D35"/>
    <w:rsid w:val="00C41270"/>
    <w:rsid w:val="00C41429"/>
    <w:rsid w:val="00C42196"/>
    <w:rsid w:val="00C4232C"/>
    <w:rsid w:val="00C42419"/>
    <w:rsid w:val="00C424F7"/>
    <w:rsid w:val="00C4254A"/>
    <w:rsid w:val="00C4256B"/>
    <w:rsid w:val="00C42CCF"/>
    <w:rsid w:val="00C43263"/>
    <w:rsid w:val="00C433AF"/>
    <w:rsid w:val="00C4348D"/>
    <w:rsid w:val="00C434AD"/>
    <w:rsid w:val="00C43586"/>
    <w:rsid w:val="00C438F1"/>
    <w:rsid w:val="00C43957"/>
    <w:rsid w:val="00C44551"/>
    <w:rsid w:val="00C44596"/>
    <w:rsid w:val="00C44B3B"/>
    <w:rsid w:val="00C44CF3"/>
    <w:rsid w:val="00C44DCB"/>
    <w:rsid w:val="00C44FB2"/>
    <w:rsid w:val="00C4506D"/>
    <w:rsid w:val="00C451EC"/>
    <w:rsid w:val="00C45902"/>
    <w:rsid w:val="00C45A48"/>
    <w:rsid w:val="00C45BAE"/>
    <w:rsid w:val="00C45D88"/>
    <w:rsid w:val="00C46190"/>
    <w:rsid w:val="00C4639F"/>
    <w:rsid w:val="00C465B8"/>
    <w:rsid w:val="00C46708"/>
    <w:rsid w:val="00C46B58"/>
    <w:rsid w:val="00C46DAA"/>
    <w:rsid w:val="00C4722F"/>
    <w:rsid w:val="00C47439"/>
    <w:rsid w:val="00C475C6"/>
    <w:rsid w:val="00C4764C"/>
    <w:rsid w:val="00C476BE"/>
    <w:rsid w:val="00C504FC"/>
    <w:rsid w:val="00C5096B"/>
    <w:rsid w:val="00C50C8E"/>
    <w:rsid w:val="00C50E96"/>
    <w:rsid w:val="00C50FFF"/>
    <w:rsid w:val="00C511C6"/>
    <w:rsid w:val="00C51504"/>
    <w:rsid w:val="00C51587"/>
    <w:rsid w:val="00C5183D"/>
    <w:rsid w:val="00C51867"/>
    <w:rsid w:val="00C51AA9"/>
    <w:rsid w:val="00C51F0E"/>
    <w:rsid w:val="00C52141"/>
    <w:rsid w:val="00C522BA"/>
    <w:rsid w:val="00C52563"/>
    <w:rsid w:val="00C525C3"/>
    <w:rsid w:val="00C527CB"/>
    <w:rsid w:val="00C527EB"/>
    <w:rsid w:val="00C5293A"/>
    <w:rsid w:val="00C52AC8"/>
    <w:rsid w:val="00C531ED"/>
    <w:rsid w:val="00C53208"/>
    <w:rsid w:val="00C53843"/>
    <w:rsid w:val="00C53AD2"/>
    <w:rsid w:val="00C53D48"/>
    <w:rsid w:val="00C53DBB"/>
    <w:rsid w:val="00C53F35"/>
    <w:rsid w:val="00C54608"/>
    <w:rsid w:val="00C5476B"/>
    <w:rsid w:val="00C54BB2"/>
    <w:rsid w:val="00C55561"/>
    <w:rsid w:val="00C5585C"/>
    <w:rsid w:val="00C56504"/>
    <w:rsid w:val="00C56955"/>
    <w:rsid w:val="00C56A39"/>
    <w:rsid w:val="00C56D79"/>
    <w:rsid w:val="00C56DC1"/>
    <w:rsid w:val="00C57408"/>
    <w:rsid w:val="00C57B68"/>
    <w:rsid w:val="00C57B9B"/>
    <w:rsid w:val="00C57BCF"/>
    <w:rsid w:val="00C600E0"/>
    <w:rsid w:val="00C601B0"/>
    <w:rsid w:val="00C60531"/>
    <w:rsid w:val="00C6076C"/>
    <w:rsid w:val="00C60924"/>
    <w:rsid w:val="00C60B44"/>
    <w:rsid w:val="00C6118B"/>
    <w:rsid w:val="00C611CB"/>
    <w:rsid w:val="00C6132B"/>
    <w:rsid w:val="00C61341"/>
    <w:rsid w:val="00C6147E"/>
    <w:rsid w:val="00C61758"/>
    <w:rsid w:val="00C61B5D"/>
    <w:rsid w:val="00C61CFA"/>
    <w:rsid w:val="00C61D4D"/>
    <w:rsid w:val="00C61F47"/>
    <w:rsid w:val="00C62390"/>
    <w:rsid w:val="00C623DF"/>
    <w:rsid w:val="00C62A43"/>
    <w:rsid w:val="00C62B23"/>
    <w:rsid w:val="00C62D5D"/>
    <w:rsid w:val="00C62E74"/>
    <w:rsid w:val="00C630A9"/>
    <w:rsid w:val="00C63522"/>
    <w:rsid w:val="00C635EB"/>
    <w:rsid w:val="00C63B8F"/>
    <w:rsid w:val="00C63C21"/>
    <w:rsid w:val="00C63DAE"/>
    <w:rsid w:val="00C6408D"/>
    <w:rsid w:val="00C640F5"/>
    <w:rsid w:val="00C642E7"/>
    <w:rsid w:val="00C643E4"/>
    <w:rsid w:val="00C644B2"/>
    <w:rsid w:val="00C64E46"/>
    <w:rsid w:val="00C6534B"/>
    <w:rsid w:val="00C65625"/>
    <w:rsid w:val="00C65822"/>
    <w:rsid w:val="00C65919"/>
    <w:rsid w:val="00C65F0A"/>
    <w:rsid w:val="00C66264"/>
    <w:rsid w:val="00C6634F"/>
    <w:rsid w:val="00C66638"/>
    <w:rsid w:val="00C6667C"/>
    <w:rsid w:val="00C666F3"/>
    <w:rsid w:val="00C669CE"/>
    <w:rsid w:val="00C66BD6"/>
    <w:rsid w:val="00C66C90"/>
    <w:rsid w:val="00C66CE9"/>
    <w:rsid w:val="00C66D08"/>
    <w:rsid w:val="00C66FD9"/>
    <w:rsid w:val="00C67230"/>
    <w:rsid w:val="00C67615"/>
    <w:rsid w:val="00C676D0"/>
    <w:rsid w:val="00C6779E"/>
    <w:rsid w:val="00C677AC"/>
    <w:rsid w:val="00C67956"/>
    <w:rsid w:val="00C67C45"/>
    <w:rsid w:val="00C7000A"/>
    <w:rsid w:val="00C700D9"/>
    <w:rsid w:val="00C7033C"/>
    <w:rsid w:val="00C70412"/>
    <w:rsid w:val="00C709C6"/>
    <w:rsid w:val="00C70C2E"/>
    <w:rsid w:val="00C70C71"/>
    <w:rsid w:val="00C71049"/>
    <w:rsid w:val="00C715AA"/>
    <w:rsid w:val="00C719F6"/>
    <w:rsid w:val="00C71AD0"/>
    <w:rsid w:val="00C71FD4"/>
    <w:rsid w:val="00C72155"/>
    <w:rsid w:val="00C7223E"/>
    <w:rsid w:val="00C72368"/>
    <w:rsid w:val="00C724AC"/>
    <w:rsid w:val="00C72572"/>
    <w:rsid w:val="00C726C7"/>
    <w:rsid w:val="00C72894"/>
    <w:rsid w:val="00C72A62"/>
    <w:rsid w:val="00C72D0E"/>
    <w:rsid w:val="00C73369"/>
    <w:rsid w:val="00C733EC"/>
    <w:rsid w:val="00C7383D"/>
    <w:rsid w:val="00C73BD8"/>
    <w:rsid w:val="00C74002"/>
    <w:rsid w:val="00C740E9"/>
    <w:rsid w:val="00C7414A"/>
    <w:rsid w:val="00C742C5"/>
    <w:rsid w:val="00C74521"/>
    <w:rsid w:val="00C745C7"/>
    <w:rsid w:val="00C746E7"/>
    <w:rsid w:val="00C748A5"/>
    <w:rsid w:val="00C74A28"/>
    <w:rsid w:val="00C74DC2"/>
    <w:rsid w:val="00C74E00"/>
    <w:rsid w:val="00C74F27"/>
    <w:rsid w:val="00C74F3E"/>
    <w:rsid w:val="00C75055"/>
    <w:rsid w:val="00C75171"/>
    <w:rsid w:val="00C751D1"/>
    <w:rsid w:val="00C75714"/>
    <w:rsid w:val="00C75CFF"/>
    <w:rsid w:val="00C762BC"/>
    <w:rsid w:val="00C762BE"/>
    <w:rsid w:val="00C7663A"/>
    <w:rsid w:val="00C7678C"/>
    <w:rsid w:val="00C76A44"/>
    <w:rsid w:val="00C76BCC"/>
    <w:rsid w:val="00C773D8"/>
    <w:rsid w:val="00C77456"/>
    <w:rsid w:val="00C77869"/>
    <w:rsid w:val="00C77AC4"/>
    <w:rsid w:val="00C77CEC"/>
    <w:rsid w:val="00C80015"/>
    <w:rsid w:val="00C804F9"/>
    <w:rsid w:val="00C80F95"/>
    <w:rsid w:val="00C81133"/>
    <w:rsid w:val="00C8122E"/>
    <w:rsid w:val="00C8138B"/>
    <w:rsid w:val="00C814A0"/>
    <w:rsid w:val="00C816B3"/>
    <w:rsid w:val="00C8186E"/>
    <w:rsid w:val="00C81F6F"/>
    <w:rsid w:val="00C82751"/>
    <w:rsid w:val="00C829B7"/>
    <w:rsid w:val="00C82C87"/>
    <w:rsid w:val="00C82DA9"/>
    <w:rsid w:val="00C82EBB"/>
    <w:rsid w:val="00C82ECC"/>
    <w:rsid w:val="00C8329F"/>
    <w:rsid w:val="00C834B4"/>
    <w:rsid w:val="00C8356A"/>
    <w:rsid w:val="00C8427C"/>
    <w:rsid w:val="00C8446A"/>
    <w:rsid w:val="00C8478D"/>
    <w:rsid w:val="00C84834"/>
    <w:rsid w:val="00C84BF5"/>
    <w:rsid w:val="00C84E2D"/>
    <w:rsid w:val="00C84F49"/>
    <w:rsid w:val="00C84FE0"/>
    <w:rsid w:val="00C857EE"/>
    <w:rsid w:val="00C85B50"/>
    <w:rsid w:val="00C85E29"/>
    <w:rsid w:val="00C86308"/>
    <w:rsid w:val="00C86361"/>
    <w:rsid w:val="00C86531"/>
    <w:rsid w:val="00C8656A"/>
    <w:rsid w:val="00C86BF0"/>
    <w:rsid w:val="00C86E9A"/>
    <w:rsid w:val="00C870BB"/>
    <w:rsid w:val="00C872DA"/>
    <w:rsid w:val="00C8750B"/>
    <w:rsid w:val="00C87535"/>
    <w:rsid w:val="00C87630"/>
    <w:rsid w:val="00C87A52"/>
    <w:rsid w:val="00C87B1A"/>
    <w:rsid w:val="00C87F48"/>
    <w:rsid w:val="00C904CA"/>
    <w:rsid w:val="00C90B02"/>
    <w:rsid w:val="00C90C1A"/>
    <w:rsid w:val="00C90FEF"/>
    <w:rsid w:val="00C91685"/>
    <w:rsid w:val="00C91698"/>
    <w:rsid w:val="00C91904"/>
    <w:rsid w:val="00C91A08"/>
    <w:rsid w:val="00C91C1E"/>
    <w:rsid w:val="00C91C9C"/>
    <w:rsid w:val="00C91D61"/>
    <w:rsid w:val="00C91EA3"/>
    <w:rsid w:val="00C92008"/>
    <w:rsid w:val="00C92094"/>
    <w:rsid w:val="00C920AF"/>
    <w:rsid w:val="00C92727"/>
    <w:rsid w:val="00C92829"/>
    <w:rsid w:val="00C92892"/>
    <w:rsid w:val="00C92909"/>
    <w:rsid w:val="00C92A07"/>
    <w:rsid w:val="00C92A59"/>
    <w:rsid w:val="00C92B07"/>
    <w:rsid w:val="00C93202"/>
    <w:rsid w:val="00C93352"/>
    <w:rsid w:val="00C93871"/>
    <w:rsid w:val="00C93921"/>
    <w:rsid w:val="00C9395B"/>
    <w:rsid w:val="00C939E0"/>
    <w:rsid w:val="00C93AB3"/>
    <w:rsid w:val="00C93C36"/>
    <w:rsid w:val="00C94110"/>
    <w:rsid w:val="00C94456"/>
    <w:rsid w:val="00C94E94"/>
    <w:rsid w:val="00C95207"/>
    <w:rsid w:val="00C95358"/>
    <w:rsid w:val="00C953F1"/>
    <w:rsid w:val="00C954C8"/>
    <w:rsid w:val="00C95599"/>
    <w:rsid w:val="00C958EA"/>
    <w:rsid w:val="00C95B7F"/>
    <w:rsid w:val="00C95CA7"/>
    <w:rsid w:val="00C95E61"/>
    <w:rsid w:val="00C95EF5"/>
    <w:rsid w:val="00C960E2"/>
    <w:rsid w:val="00C96561"/>
    <w:rsid w:val="00C96974"/>
    <w:rsid w:val="00C969BC"/>
    <w:rsid w:val="00C96B95"/>
    <w:rsid w:val="00C96C00"/>
    <w:rsid w:val="00C96D4B"/>
    <w:rsid w:val="00C96E55"/>
    <w:rsid w:val="00C96E84"/>
    <w:rsid w:val="00C96ECC"/>
    <w:rsid w:val="00C9716C"/>
    <w:rsid w:val="00C97A66"/>
    <w:rsid w:val="00C97E90"/>
    <w:rsid w:val="00C97F24"/>
    <w:rsid w:val="00CA0067"/>
    <w:rsid w:val="00CA0536"/>
    <w:rsid w:val="00CA0B17"/>
    <w:rsid w:val="00CA0C36"/>
    <w:rsid w:val="00CA0C5D"/>
    <w:rsid w:val="00CA0E0F"/>
    <w:rsid w:val="00CA101D"/>
    <w:rsid w:val="00CA13C5"/>
    <w:rsid w:val="00CA1784"/>
    <w:rsid w:val="00CA1965"/>
    <w:rsid w:val="00CA199E"/>
    <w:rsid w:val="00CA19DC"/>
    <w:rsid w:val="00CA1C43"/>
    <w:rsid w:val="00CA1CB9"/>
    <w:rsid w:val="00CA1E0E"/>
    <w:rsid w:val="00CA235F"/>
    <w:rsid w:val="00CA287F"/>
    <w:rsid w:val="00CA2919"/>
    <w:rsid w:val="00CA2BA2"/>
    <w:rsid w:val="00CA2BB9"/>
    <w:rsid w:val="00CA2C2A"/>
    <w:rsid w:val="00CA2E36"/>
    <w:rsid w:val="00CA2F34"/>
    <w:rsid w:val="00CA3455"/>
    <w:rsid w:val="00CA34D3"/>
    <w:rsid w:val="00CA383F"/>
    <w:rsid w:val="00CA415F"/>
    <w:rsid w:val="00CA41AD"/>
    <w:rsid w:val="00CA42ED"/>
    <w:rsid w:val="00CA4545"/>
    <w:rsid w:val="00CA4994"/>
    <w:rsid w:val="00CA49C9"/>
    <w:rsid w:val="00CA4BAE"/>
    <w:rsid w:val="00CA5291"/>
    <w:rsid w:val="00CA5476"/>
    <w:rsid w:val="00CA55F0"/>
    <w:rsid w:val="00CA5A8C"/>
    <w:rsid w:val="00CA5CE2"/>
    <w:rsid w:val="00CA5D28"/>
    <w:rsid w:val="00CA5E61"/>
    <w:rsid w:val="00CA5F76"/>
    <w:rsid w:val="00CA6056"/>
    <w:rsid w:val="00CA623A"/>
    <w:rsid w:val="00CA648C"/>
    <w:rsid w:val="00CA6912"/>
    <w:rsid w:val="00CA6A7B"/>
    <w:rsid w:val="00CA6A80"/>
    <w:rsid w:val="00CA6E3B"/>
    <w:rsid w:val="00CA6F98"/>
    <w:rsid w:val="00CA6FD1"/>
    <w:rsid w:val="00CA7721"/>
    <w:rsid w:val="00CA7A12"/>
    <w:rsid w:val="00CA7CDE"/>
    <w:rsid w:val="00CB005F"/>
    <w:rsid w:val="00CB0278"/>
    <w:rsid w:val="00CB027F"/>
    <w:rsid w:val="00CB0425"/>
    <w:rsid w:val="00CB0A65"/>
    <w:rsid w:val="00CB0C8A"/>
    <w:rsid w:val="00CB174E"/>
    <w:rsid w:val="00CB1756"/>
    <w:rsid w:val="00CB188D"/>
    <w:rsid w:val="00CB1F58"/>
    <w:rsid w:val="00CB23E6"/>
    <w:rsid w:val="00CB2432"/>
    <w:rsid w:val="00CB28C8"/>
    <w:rsid w:val="00CB2E06"/>
    <w:rsid w:val="00CB2E15"/>
    <w:rsid w:val="00CB3007"/>
    <w:rsid w:val="00CB32B7"/>
    <w:rsid w:val="00CB32E7"/>
    <w:rsid w:val="00CB3432"/>
    <w:rsid w:val="00CB375C"/>
    <w:rsid w:val="00CB3F7F"/>
    <w:rsid w:val="00CB4173"/>
    <w:rsid w:val="00CB4416"/>
    <w:rsid w:val="00CB45AC"/>
    <w:rsid w:val="00CB486C"/>
    <w:rsid w:val="00CB4A44"/>
    <w:rsid w:val="00CB4A74"/>
    <w:rsid w:val="00CB4E00"/>
    <w:rsid w:val="00CB4EED"/>
    <w:rsid w:val="00CB4FE7"/>
    <w:rsid w:val="00CB5020"/>
    <w:rsid w:val="00CB5142"/>
    <w:rsid w:val="00CB51ED"/>
    <w:rsid w:val="00CB5535"/>
    <w:rsid w:val="00CB5B2A"/>
    <w:rsid w:val="00CB5D17"/>
    <w:rsid w:val="00CB5E67"/>
    <w:rsid w:val="00CB5F40"/>
    <w:rsid w:val="00CB6762"/>
    <w:rsid w:val="00CB69FA"/>
    <w:rsid w:val="00CB6D17"/>
    <w:rsid w:val="00CB74AC"/>
    <w:rsid w:val="00CB7641"/>
    <w:rsid w:val="00CB7A1F"/>
    <w:rsid w:val="00CB7D34"/>
    <w:rsid w:val="00CB7D7B"/>
    <w:rsid w:val="00CB7EE0"/>
    <w:rsid w:val="00CC050F"/>
    <w:rsid w:val="00CC0742"/>
    <w:rsid w:val="00CC0764"/>
    <w:rsid w:val="00CC0ACD"/>
    <w:rsid w:val="00CC0FDB"/>
    <w:rsid w:val="00CC1D64"/>
    <w:rsid w:val="00CC1F07"/>
    <w:rsid w:val="00CC2069"/>
    <w:rsid w:val="00CC22EC"/>
    <w:rsid w:val="00CC2467"/>
    <w:rsid w:val="00CC2545"/>
    <w:rsid w:val="00CC2553"/>
    <w:rsid w:val="00CC25F0"/>
    <w:rsid w:val="00CC25F1"/>
    <w:rsid w:val="00CC2631"/>
    <w:rsid w:val="00CC2663"/>
    <w:rsid w:val="00CC2786"/>
    <w:rsid w:val="00CC2936"/>
    <w:rsid w:val="00CC2A63"/>
    <w:rsid w:val="00CC2F9C"/>
    <w:rsid w:val="00CC31BA"/>
    <w:rsid w:val="00CC32C6"/>
    <w:rsid w:val="00CC3561"/>
    <w:rsid w:val="00CC38D2"/>
    <w:rsid w:val="00CC42E3"/>
    <w:rsid w:val="00CC43FF"/>
    <w:rsid w:val="00CC4681"/>
    <w:rsid w:val="00CC47A3"/>
    <w:rsid w:val="00CC48C8"/>
    <w:rsid w:val="00CC49A6"/>
    <w:rsid w:val="00CC4C14"/>
    <w:rsid w:val="00CC4C91"/>
    <w:rsid w:val="00CC4FCF"/>
    <w:rsid w:val="00CC5005"/>
    <w:rsid w:val="00CC517B"/>
    <w:rsid w:val="00CC53FD"/>
    <w:rsid w:val="00CC5561"/>
    <w:rsid w:val="00CC59A1"/>
    <w:rsid w:val="00CC5C12"/>
    <w:rsid w:val="00CC5F5C"/>
    <w:rsid w:val="00CC5FCD"/>
    <w:rsid w:val="00CC634E"/>
    <w:rsid w:val="00CC6BDE"/>
    <w:rsid w:val="00CC7170"/>
    <w:rsid w:val="00CC7173"/>
    <w:rsid w:val="00CC7199"/>
    <w:rsid w:val="00CC720B"/>
    <w:rsid w:val="00CC73FF"/>
    <w:rsid w:val="00CC77EC"/>
    <w:rsid w:val="00CC789B"/>
    <w:rsid w:val="00CC7A47"/>
    <w:rsid w:val="00CC7E11"/>
    <w:rsid w:val="00CD0261"/>
    <w:rsid w:val="00CD0A21"/>
    <w:rsid w:val="00CD0D3B"/>
    <w:rsid w:val="00CD0ED5"/>
    <w:rsid w:val="00CD11BD"/>
    <w:rsid w:val="00CD127B"/>
    <w:rsid w:val="00CD16F3"/>
    <w:rsid w:val="00CD1EC7"/>
    <w:rsid w:val="00CD2079"/>
    <w:rsid w:val="00CD24E8"/>
    <w:rsid w:val="00CD26F8"/>
    <w:rsid w:val="00CD2763"/>
    <w:rsid w:val="00CD28A5"/>
    <w:rsid w:val="00CD2CF1"/>
    <w:rsid w:val="00CD2E57"/>
    <w:rsid w:val="00CD32A0"/>
    <w:rsid w:val="00CD3368"/>
    <w:rsid w:val="00CD3566"/>
    <w:rsid w:val="00CD363C"/>
    <w:rsid w:val="00CD46EF"/>
    <w:rsid w:val="00CD4785"/>
    <w:rsid w:val="00CD479B"/>
    <w:rsid w:val="00CD481A"/>
    <w:rsid w:val="00CD49CB"/>
    <w:rsid w:val="00CD4B1D"/>
    <w:rsid w:val="00CD4B30"/>
    <w:rsid w:val="00CD4C9F"/>
    <w:rsid w:val="00CD4EEB"/>
    <w:rsid w:val="00CD4EEF"/>
    <w:rsid w:val="00CD536F"/>
    <w:rsid w:val="00CD5BC3"/>
    <w:rsid w:val="00CD5FF3"/>
    <w:rsid w:val="00CD60A1"/>
    <w:rsid w:val="00CD616D"/>
    <w:rsid w:val="00CD62E5"/>
    <w:rsid w:val="00CD6453"/>
    <w:rsid w:val="00CD69FA"/>
    <w:rsid w:val="00CD6B92"/>
    <w:rsid w:val="00CD6DAD"/>
    <w:rsid w:val="00CD6E07"/>
    <w:rsid w:val="00CD6EA5"/>
    <w:rsid w:val="00CD72EB"/>
    <w:rsid w:val="00CD77B0"/>
    <w:rsid w:val="00CD79FE"/>
    <w:rsid w:val="00CD7BDE"/>
    <w:rsid w:val="00CD7E36"/>
    <w:rsid w:val="00CE021E"/>
    <w:rsid w:val="00CE0258"/>
    <w:rsid w:val="00CE0B4E"/>
    <w:rsid w:val="00CE13F2"/>
    <w:rsid w:val="00CE183C"/>
    <w:rsid w:val="00CE1CFC"/>
    <w:rsid w:val="00CE211E"/>
    <w:rsid w:val="00CE227B"/>
    <w:rsid w:val="00CE27A3"/>
    <w:rsid w:val="00CE32F9"/>
    <w:rsid w:val="00CE3952"/>
    <w:rsid w:val="00CE3BED"/>
    <w:rsid w:val="00CE432B"/>
    <w:rsid w:val="00CE44A6"/>
    <w:rsid w:val="00CE462C"/>
    <w:rsid w:val="00CE47CD"/>
    <w:rsid w:val="00CE4EA6"/>
    <w:rsid w:val="00CE4FE9"/>
    <w:rsid w:val="00CE54FF"/>
    <w:rsid w:val="00CE55BE"/>
    <w:rsid w:val="00CE5BED"/>
    <w:rsid w:val="00CE6341"/>
    <w:rsid w:val="00CE659D"/>
    <w:rsid w:val="00CE7323"/>
    <w:rsid w:val="00CE77E2"/>
    <w:rsid w:val="00CE7AA7"/>
    <w:rsid w:val="00CE7AE4"/>
    <w:rsid w:val="00CE7CC9"/>
    <w:rsid w:val="00CE7E5F"/>
    <w:rsid w:val="00CF03D4"/>
    <w:rsid w:val="00CF0465"/>
    <w:rsid w:val="00CF07E1"/>
    <w:rsid w:val="00CF099E"/>
    <w:rsid w:val="00CF0A97"/>
    <w:rsid w:val="00CF127C"/>
    <w:rsid w:val="00CF1A0B"/>
    <w:rsid w:val="00CF1DB5"/>
    <w:rsid w:val="00CF1DE3"/>
    <w:rsid w:val="00CF2292"/>
    <w:rsid w:val="00CF231D"/>
    <w:rsid w:val="00CF239E"/>
    <w:rsid w:val="00CF2405"/>
    <w:rsid w:val="00CF2419"/>
    <w:rsid w:val="00CF2710"/>
    <w:rsid w:val="00CF2B15"/>
    <w:rsid w:val="00CF2FFA"/>
    <w:rsid w:val="00CF3379"/>
    <w:rsid w:val="00CF3665"/>
    <w:rsid w:val="00CF3896"/>
    <w:rsid w:val="00CF3D81"/>
    <w:rsid w:val="00CF3E51"/>
    <w:rsid w:val="00CF3EDB"/>
    <w:rsid w:val="00CF3FFB"/>
    <w:rsid w:val="00CF407B"/>
    <w:rsid w:val="00CF4449"/>
    <w:rsid w:val="00CF448B"/>
    <w:rsid w:val="00CF4501"/>
    <w:rsid w:val="00CF4967"/>
    <w:rsid w:val="00CF4A6F"/>
    <w:rsid w:val="00CF4BDB"/>
    <w:rsid w:val="00CF53A5"/>
    <w:rsid w:val="00CF5832"/>
    <w:rsid w:val="00CF5896"/>
    <w:rsid w:val="00CF5D6B"/>
    <w:rsid w:val="00CF5F11"/>
    <w:rsid w:val="00CF60CB"/>
    <w:rsid w:val="00CF62ED"/>
    <w:rsid w:val="00CF65DA"/>
    <w:rsid w:val="00CF68D7"/>
    <w:rsid w:val="00CF6960"/>
    <w:rsid w:val="00CF69BB"/>
    <w:rsid w:val="00CF6D1C"/>
    <w:rsid w:val="00CF713F"/>
    <w:rsid w:val="00CF7909"/>
    <w:rsid w:val="00CF7910"/>
    <w:rsid w:val="00D00421"/>
    <w:rsid w:val="00D00936"/>
    <w:rsid w:val="00D00C31"/>
    <w:rsid w:val="00D00DF4"/>
    <w:rsid w:val="00D00E59"/>
    <w:rsid w:val="00D010FB"/>
    <w:rsid w:val="00D01415"/>
    <w:rsid w:val="00D0174E"/>
    <w:rsid w:val="00D019E2"/>
    <w:rsid w:val="00D01E75"/>
    <w:rsid w:val="00D022DB"/>
    <w:rsid w:val="00D02456"/>
    <w:rsid w:val="00D0260B"/>
    <w:rsid w:val="00D0265A"/>
    <w:rsid w:val="00D026CC"/>
    <w:rsid w:val="00D028FE"/>
    <w:rsid w:val="00D029FE"/>
    <w:rsid w:val="00D02B42"/>
    <w:rsid w:val="00D02BEF"/>
    <w:rsid w:val="00D02DD6"/>
    <w:rsid w:val="00D02DE8"/>
    <w:rsid w:val="00D033B4"/>
    <w:rsid w:val="00D036CE"/>
    <w:rsid w:val="00D03858"/>
    <w:rsid w:val="00D038CC"/>
    <w:rsid w:val="00D038CE"/>
    <w:rsid w:val="00D03992"/>
    <w:rsid w:val="00D03B7F"/>
    <w:rsid w:val="00D03F38"/>
    <w:rsid w:val="00D0428E"/>
    <w:rsid w:val="00D04825"/>
    <w:rsid w:val="00D04A00"/>
    <w:rsid w:val="00D04AB4"/>
    <w:rsid w:val="00D04C70"/>
    <w:rsid w:val="00D04D1A"/>
    <w:rsid w:val="00D04D2F"/>
    <w:rsid w:val="00D04F4D"/>
    <w:rsid w:val="00D050EA"/>
    <w:rsid w:val="00D05163"/>
    <w:rsid w:val="00D0518F"/>
    <w:rsid w:val="00D054DC"/>
    <w:rsid w:val="00D05707"/>
    <w:rsid w:val="00D059ED"/>
    <w:rsid w:val="00D05B5D"/>
    <w:rsid w:val="00D060A1"/>
    <w:rsid w:val="00D0654B"/>
    <w:rsid w:val="00D06606"/>
    <w:rsid w:val="00D06898"/>
    <w:rsid w:val="00D0696E"/>
    <w:rsid w:val="00D06D98"/>
    <w:rsid w:val="00D06E38"/>
    <w:rsid w:val="00D073C3"/>
    <w:rsid w:val="00D07D17"/>
    <w:rsid w:val="00D10439"/>
    <w:rsid w:val="00D1050C"/>
    <w:rsid w:val="00D10705"/>
    <w:rsid w:val="00D10A9D"/>
    <w:rsid w:val="00D10B22"/>
    <w:rsid w:val="00D10C1A"/>
    <w:rsid w:val="00D10CDF"/>
    <w:rsid w:val="00D10D31"/>
    <w:rsid w:val="00D10FD5"/>
    <w:rsid w:val="00D1147A"/>
    <w:rsid w:val="00D11633"/>
    <w:rsid w:val="00D11A95"/>
    <w:rsid w:val="00D1219E"/>
    <w:rsid w:val="00D12348"/>
    <w:rsid w:val="00D1243C"/>
    <w:rsid w:val="00D12904"/>
    <w:rsid w:val="00D12BC3"/>
    <w:rsid w:val="00D12CA3"/>
    <w:rsid w:val="00D12DDC"/>
    <w:rsid w:val="00D12F8D"/>
    <w:rsid w:val="00D12FD9"/>
    <w:rsid w:val="00D13A62"/>
    <w:rsid w:val="00D13BC0"/>
    <w:rsid w:val="00D13CE2"/>
    <w:rsid w:val="00D13E1B"/>
    <w:rsid w:val="00D1415C"/>
    <w:rsid w:val="00D1443A"/>
    <w:rsid w:val="00D1447B"/>
    <w:rsid w:val="00D1480F"/>
    <w:rsid w:val="00D14957"/>
    <w:rsid w:val="00D14B1C"/>
    <w:rsid w:val="00D14FF3"/>
    <w:rsid w:val="00D1513B"/>
    <w:rsid w:val="00D15616"/>
    <w:rsid w:val="00D157EA"/>
    <w:rsid w:val="00D15854"/>
    <w:rsid w:val="00D15F23"/>
    <w:rsid w:val="00D160CB"/>
    <w:rsid w:val="00D16383"/>
    <w:rsid w:val="00D164D4"/>
    <w:rsid w:val="00D165C3"/>
    <w:rsid w:val="00D16BCE"/>
    <w:rsid w:val="00D17512"/>
    <w:rsid w:val="00D17EA1"/>
    <w:rsid w:val="00D202F7"/>
    <w:rsid w:val="00D20693"/>
    <w:rsid w:val="00D206A0"/>
    <w:rsid w:val="00D2081C"/>
    <w:rsid w:val="00D20CF7"/>
    <w:rsid w:val="00D21118"/>
    <w:rsid w:val="00D21120"/>
    <w:rsid w:val="00D212CA"/>
    <w:rsid w:val="00D214CC"/>
    <w:rsid w:val="00D220E5"/>
    <w:rsid w:val="00D22425"/>
    <w:rsid w:val="00D22B3A"/>
    <w:rsid w:val="00D22C54"/>
    <w:rsid w:val="00D22C5E"/>
    <w:rsid w:val="00D23205"/>
    <w:rsid w:val="00D23A28"/>
    <w:rsid w:val="00D23E6D"/>
    <w:rsid w:val="00D23E9E"/>
    <w:rsid w:val="00D241E3"/>
    <w:rsid w:val="00D24297"/>
    <w:rsid w:val="00D2438E"/>
    <w:rsid w:val="00D243A6"/>
    <w:rsid w:val="00D2449D"/>
    <w:rsid w:val="00D24687"/>
    <w:rsid w:val="00D24A23"/>
    <w:rsid w:val="00D24B78"/>
    <w:rsid w:val="00D24C7B"/>
    <w:rsid w:val="00D24CB1"/>
    <w:rsid w:val="00D24E1B"/>
    <w:rsid w:val="00D25735"/>
    <w:rsid w:val="00D25B10"/>
    <w:rsid w:val="00D25B44"/>
    <w:rsid w:val="00D26074"/>
    <w:rsid w:val="00D26169"/>
    <w:rsid w:val="00D26904"/>
    <w:rsid w:val="00D26CFA"/>
    <w:rsid w:val="00D26D7C"/>
    <w:rsid w:val="00D273EE"/>
    <w:rsid w:val="00D274A8"/>
    <w:rsid w:val="00D27651"/>
    <w:rsid w:val="00D27AD2"/>
    <w:rsid w:val="00D27FCA"/>
    <w:rsid w:val="00D3016D"/>
    <w:rsid w:val="00D3041C"/>
    <w:rsid w:val="00D307C3"/>
    <w:rsid w:val="00D3085C"/>
    <w:rsid w:val="00D30B16"/>
    <w:rsid w:val="00D30D6B"/>
    <w:rsid w:val="00D30DCE"/>
    <w:rsid w:val="00D30EC8"/>
    <w:rsid w:val="00D30F62"/>
    <w:rsid w:val="00D31008"/>
    <w:rsid w:val="00D31206"/>
    <w:rsid w:val="00D3176D"/>
    <w:rsid w:val="00D317F4"/>
    <w:rsid w:val="00D318D6"/>
    <w:rsid w:val="00D31AC2"/>
    <w:rsid w:val="00D31ED9"/>
    <w:rsid w:val="00D320E2"/>
    <w:rsid w:val="00D329A0"/>
    <w:rsid w:val="00D32E83"/>
    <w:rsid w:val="00D32E93"/>
    <w:rsid w:val="00D33096"/>
    <w:rsid w:val="00D3312B"/>
    <w:rsid w:val="00D33161"/>
    <w:rsid w:val="00D33573"/>
    <w:rsid w:val="00D33600"/>
    <w:rsid w:val="00D337EA"/>
    <w:rsid w:val="00D339A5"/>
    <w:rsid w:val="00D33BEB"/>
    <w:rsid w:val="00D33D61"/>
    <w:rsid w:val="00D33F4A"/>
    <w:rsid w:val="00D348C1"/>
    <w:rsid w:val="00D348DD"/>
    <w:rsid w:val="00D349DE"/>
    <w:rsid w:val="00D34C27"/>
    <w:rsid w:val="00D35321"/>
    <w:rsid w:val="00D35472"/>
    <w:rsid w:val="00D360F2"/>
    <w:rsid w:val="00D363FF"/>
    <w:rsid w:val="00D364C3"/>
    <w:rsid w:val="00D370A7"/>
    <w:rsid w:val="00D37182"/>
    <w:rsid w:val="00D37229"/>
    <w:rsid w:val="00D374B4"/>
    <w:rsid w:val="00D37E79"/>
    <w:rsid w:val="00D37E8D"/>
    <w:rsid w:val="00D400EA"/>
    <w:rsid w:val="00D4043C"/>
    <w:rsid w:val="00D4089A"/>
    <w:rsid w:val="00D415DF"/>
    <w:rsid w:val="00D41861"/>
    <w:rsid w:val="00D418B8"/>
    <w:rsid w:val="00D41A13"/>
    <w:rsid w:val="00D41A8D"/>
    <w:rsid w:val="00D41B56"/>
    <w:rsid w:val="00D4275A"/>
    <w:rsid w:val="00D43081"/>
    <w:rsid w:val="00D43745"/>
    <w:rsid w:val="00D43A29"/>
    <w:rsid w:val="00D44109"/>
    <w:rsid w:val="00D442AF"/>
    <w:rsid w:val="00D442B9"/>
    <w:rsid w:val="00D447DC"/>
    <w:rsid w:val="00D4494A"/>
    <w:rsid w:val="00D44A77"/>
    <w:rsid w:val="00D44F60"/>
    <w:rsid w:val="00D450AB"/>
    <w:rsid w:val="00D45199"/>
    <w:rsid w:val="00D451CC"/>
    <w:rsid w:val="00D451CE"/>
    <w:rsid w:val="00D452DB"/>
    <w:rsid w:val="00D45332"/>
    <w:rsid w:val="00D45550"/>
    <w:rsid w:val="00D460E2"/>
    <w:rsid w:val="00D4613F"/>
    <w:rsid w:val="00D4632E"/>
    <w:rsid w:val="00D464ED"/>
    <w:rsid w:val="00D46925"/>
    <w:rsid w:val="00D469DC"/>
    <w:rsid w:val="00D47238"/>
    <w:rsid w:val="00D474AA"/>
    <w:rsid w:val="00D475D0"/>
    <w:rsid w:val="00D47FB6"/>
    <w:rsid w:val="00D503FF"/>
    <w:rsid w:val="00D5045C"/>
    <w:rsid w:val="00D504EE"/>
    <w:rsid w:val="00D50618"/>
    <w:rsid w:val="00D5067C"/>
    <w:rsid w:val="00D506BC"/>
    <w:rsid w:val="00D50731"/>
    <w:rsid w:val="00D5075E"/>
    <w:rsid w:val="00D507E3"/>
    <w:rsid w:val="00D5089B"/>
    <w:rsid w:val="00D50F90"/>
    <w:rsid w:val="00D513AD"/>
    <w:rsid w:val="00D51D44"/>
    <w:rsid w:val="00D51DD0"/>
    <w:rsid w:val="00D51EBA"/>
    <w:rsid w:val="00D51F42"/>
    <w:rsid w:val="00D5249D"/>
    <w:rsid w:val="00D524AD"/>
    <w:rsid w:val="00D5269D"/>
    <w:rsid w:val="00D5278B"/>
    <w:rsid w:val="00D5281B"/>
    <w:rsid w:val="00D52EDA"/>
    <w:rsid w:val="00D53269"/>
    <w:rsid w:val="00D532FC"/>
    <w:rsid w:val="00D53446"/>
    <w:rsid w:val="00D53582"/>
    <w:rsid w:val="00D5364F"/>
    <w:rsid w:val="00D53755"/>
    <w:rsid w:val="00D537B6"/>
    <w:rsid w:val="00D5384A"/>
    <w:rsid w:val="00D53C33"/>
    <w:rsid w:val="00D53D17"/>
    <w:rsid w:val="00D53EC3"/>
    <w:rsid w:val="00D53FDC"/>
    <w:rsid w:val="00D54352"/>
    <w:rsid w:val="00D5487C"/>
    <w:rsid w:val="00D5492C"/>
    <w:rsid w:val="00D549F2"/>
    <w:rsid w:val="00D54B26"/>
    <w:rsid w:val="00D54B90"/>
    <w:rsid w:val="00D5502A"/>
    <w:rsid w:val="00D55211"/>
    <w:rsid w:val="00D55706"/>
    <w:rsid w:val="00D557ED"/>
    <w:rsid w:val="00D55A57"/>
    <w:rsid w:val="00D55F6F"/>
    <w:rsid w:val="00D5617E"/>
    <w:rsid w:val="00D562D2"/>
    <w:rsid w:val="00D562EA"/>
    <w:rsid w:val="00D563EF"/>
    <w:rsid w:val="00D5654C"/>
    <w:rsid w:val="00D56647"/>
    <w:rsid w:val="00D5669F"/>
    <w:rsid w:val="00D56D40"/>
    <w:rsid w:val="00D5715B"/>
    <w:rsid w:val="00D57502"/>
    <w:rsid w:val="00D576EA"/>
    <w:rsid w:val="00D5783B"/>
    <w:rsid w:val="00D57EE6"/>
    <w:rsid w:val="00D57F04"/>
    <w:rsid w:val="00D57F42"/>
    <w:rsid w:val="00D57FE5"/>
    <w:rsid w:val="00D60537"/>
    <w:rsid w:val="00D60744"/>
    <w:rsid w:val="00D6081F"/>
    <w:rsid w:val="00D608FC"/>
    <w:rsid w:val="00D60A47"/>
    <w:rsid w:val="00D611F2"/>
    <w:rsid w:val="00D614FC"/>
    <w:rsid w:val="00D618CE"/>
    <w:rsid w:val="00D6225F"/>
    <w:rsid w:val="00D62C11"/>
    <w:rsid w:val="00D62E0A"/>
    <w:rsid w:val="00D62E53"/>
    <w:rsid w:val="00D62F01"/>
    <w:rsid w:val="00D62F33"/>
    <w:rsid w:val="00D63033"/>
    <w:rsid w:val="00D63069"/>
    <w:rsid w:val="00D630B6"/>
    <w:rsid w:val="00D63350"/>
    <w:rsid w:val="00D634AB"/>
    <w:rsid w:val="00D63FB3"/>
    <w:rsid w:val="00D647F3"/>
    <w:rsid w:val="00D6487A"/>
    <w:rsid w:val="00D64A8E"/>
    <w:rsid w:val="00D64AAC"/>
    <w:rsid w:val="00D64AF3"/>
    <w:rsid w:val="00D64BA4"/>
    <w:rsid w:val="00D64C1C"/>
    <w:rsid w:val="00D64DF9"/>
    <w:rsid w:val="00D64E07"/>
    <w:rsid w:val="00D6518C"/>
    <w:rsid w:val="00D6537D"/>
    <w:rsid w:val="00D654FB"/>
    <w:rsid w:val="00D65686"/>
    <w:rsid w:val="00D656C1"/>
    <w:rsid w:val="00D65838"/>
    <w:rsid w:val="00D6587F"/>
    <w:rsid w:val="00D658E6"/>
    <w:rsid w:val="00D659EB"/>
    <w:rsid w:val="00D65BE8"/>
    <w:rsid w:val="00D65C5C"/>
    <w:rsid w:val="00D65E45"/>
    <w:rsid w:val="00D6610F"/>
    <w:rsid w:val="00D663AB"/>
    <w:rsid w:val="00D66D62"/>
    <w:rsid w:val="00D66FA7"/>
    <w:rsid w:val="00D67123"/>
    <w:rsid w:val="00D671C6"/>
    <w:rsid w:val="00D678E2"/>
    <w:rsid w:val="00D67A15"/>
    <w:rsid w:val="00D67A1D"/>
    <w:rsid w:val="00D67A5E"/>
    <w:rsid w:val="00D70204"/>
    <w:rsid w:val="00D70D5E"/>
    <w:rsid w:val="00D71179"/>
    <w:rsid w:val="00D71A35"/>
    <w:rsid w:val="00D71AF4"/>
    <w:rsid w:val="00D71BC0"/>
    <w:rsid w:val="00D71DA3"/>
    <w:rsid w:val="00D724DB"/>
    <w:rsid w:val="00D72ADE"/>
    <w:rsid w:val="00D72BF0"/>
    <w:rsid w:val="00D73323"/>
    <w:rsid w:val="00D73576"/>
    <w:rsid w:val="00D73588"/>
    <w:rsid w:val="00D737BC"/>
    <w:rsid w:val="00D73A43"/>
    <w:rsid w:val="00D73B4F"/>
    <w:rsid w:val="00D742F1"/>
    <w:rsid w:val="00D744FB"/>
    <w:rsid w:val="00D747D7"/>
    <w:rsid w:val="00D74B39"/>
    <w:rsid w:val="00D74E17"/>
    <w:rsid w:val="00D74E2E"/>
    <w:rsid w:val="00D74F64"/>
    <w:rsid w:val="00D74F8D"/>
    <w:rsid w:val="00D75275"/>
    <w:rsid w:val="00D7557E"/>
    <w:rsid w:val="00D75B7C"/>
    <w:rsid w:val="00D75EFE"/>
    <w:rsid w:val="00D760BE"/>
    <w:rsid w:val="00D762E1"/>
    <w:rsid w:val="00D76493"/>
    <w:rsid w:val="00D76839"/>
    <w:rsid w:val="00D76B78"/>
    <w:rsid w:val="00D76EF0"/>
    <w:rsid w:val="00D76F7D"/>
    <w:rsid w:val="00D771FD"/>
    <w:rsid w:val="00D778EA"/>
    <w:rsid w:val="00D77932"/>
    <w:rsid w:val="00D77DFD"/>
    <w:rsid w:val="00D77E5F"/>
    <w:rsid w:val="00D77E92"/>
    <w:rsid w:val="00D77ED7"/>
    <w:rsid w:val="00D80023"/>
    <w:rsid w:val="00D802EB"/>
    <w:rsid w:val="00D80307"/>
    <w:rsid w:val="00D805D4"/>
    <w:rsid w:val="00D80C0C"/>
    <w:rsid w:val="00D80CE1"/>
    <w:rsid w:val="00D80F13"/>
    <w:rsid w:val="00D81259"/>
    <w:rsid w:val="00D81275"/>
    <w:rsid w:val="00D81483"/>
    <w:rsid w:val="00D819A1"/>
    <w:rsid w:val="00D81D7D"/>
    <w:rsid w:val="00D81FA6"/>
    <w:rsid w:val="00D822DF"/>
    <w:rsid w:val="00D825DC"/>
    <w:rsid w:val="00D82745"/>
    <w:rsid w:val="00D82EAB"/>
    <w:rsid w:val="00D830B8"/>
    <w:rsid w:val="00D83268"/>
    <w:rsid w:val="00D833DB"/>
    <w:rsid w:val="00D83611"/>
    <w:rsid w:val="00D837AA"/>
    <w:rsid w:val="00D837FE"/>
    <w:rsid w:val="00D83C19"/>
    <w:rsid w:val="00D83C31"/>
    <w:rsid w:val="00D83DDE"/>
    <w:rsid w:val="00D83EA9"/>
    <w:rsid w:val="00D84398"/>
    <w:rsid w:val="00D845AD"/>
    <w:rsid w:val="00D8461B"/>
    <w:rsid w:val="00D84673"/>
    <w:rsid w:val="00D84884"/>
    <w:rsid w:val="00D848B7"/>
    <w:rsid w:val="00D849A8"/>
    <w:rsid w:val="00D84A32"/>
    <w:rsid w:val="00D84AAA"/>
    <w:rsid w:val="00D84B5A"/>
    <w:rsid w:val="00D84B7F"/>
    <w:rsid w:val="00D84C53"/>
    <w:rsid w:val="00D84ED1"/>
    <w:rsid w:val="00D85134"/>
    <w:rsid w:val="00D85272"/>
    <w:rsid w:val="00D852DB"/>
    <w:rsid w:val="00D85416"/>
    <w:rsid w:val="00D85584"/>
    <w:rsid w:val="00D857A6"/>
    <w:rsid w:val="00D8596F"/>
    <w:rsid w:val="00D85F76"/>
    <w:rsid w:val="00D86149"/>
    <w:rsid w:val="00D8631C"/>
    <w:rsid w:val="00D864DC"/>
    <w:rsid w:val="00D86C2F"/>
    <w:rsid w:val="00D86F8D"/>
    <w:rsid w:val="00D8706E"/>
    <w:rsid w:val="00D871EA"/>
    <w:rsid w:val="00D8787E"/>
    <w:rsid w:val="00D87AE9"/>
    <w:rsid w:val="00D87DAC"/>
    <w:rsid w:val="00D87F32"/>
    <w:rsid w:val="00D90558"/>
    <w:rsid w:val="00D9060F"/>
    <w:rsid w:val="00D909E1"/>
    <w:rsid w:val="00D90D86"/>
    <w:rsid w:val="00D9107D"/>
    <w:rsid w:val="00D915AD"/>
    <w:rsid w:val="00D915D2"/>
    <w:rsid w:val="00D918B3"/>
    <w:rsid w:val="00D91BD5"/>
    <w:rsid w:val="00D91DA1"/>
    <w:rsid w:val="00D922F5"/>
    <w:rsid w:val="00D92449"/>
    <w:rsid w:val="00D92465"/>
    <w:rsid w:val="00D92870"/>
    <w:rsid w:val="00D92AA4"/>
    <w:rsid w:val="00D92CE0"/>
    <w:rsid w:val="00D92ED7"/>
    <w:rsid w:val="00D92F33"/>
    <w:rsid w:val="00D932A0"/>
    <w:rsid w:val="00D935C6"/>
    <w:rsid w:val="00D9389C"/>
    <w:rsid w:val="00D93A14"/>
    <w:rsid w:val="00D93C28"/>
    <w:rsid w:val="00D94409"/>
    <w:rsid w:val="00D94804"/>
    <w:rsid w:val="00D94835"/>
    <w:rsid w:val="00D94A27"/>
    <w:rsid w:val="00D94FBA"/>
    <w:rsid w:val="00D95197"/>
    <w:rsid w:val="00D95250"/>
    <w:rsid w:val="00D952DE"/>
    <w:rsid w:val="00D954EF"/>
    <w:rsid w:val="00D959B6"/>
    <w:rsid w:val="00D95EA2"/>
    <w:rsid w:val="00D963A1"/>
    <w:rsid w:val="00D96518"/>
    <w:rsid w:val="00D96A4F"/>
    <w:rsid w:val="00D96BE4"/>
    <w:rsid w:val="00D96CDE"/>
    <w:rsid w:val="00D96DD4"/>
    <w:rsid w:val="00D96E28"/>
    <w:rsid w:val="00D97325"/>
    <w:rsid w:val="00D97576"/>
    <w:rsid w:val="00D976DF"/>
    <w:rsid w:val="00D978DC"/>
    <w:rsid w:val="00D97D4C"/>
    <w:rsid w:val="00D97E4D"/>
    <w:rsid w:val="00DA00F5"/>
    <w:rsid w:val="00DA07EE"/>
    <w:rsid w:val="00DA0EE2"/>
    <w:rsid w:val="00DA1617"/>
    <w:rsid w:val="00DA165B"/>
    <w:rsid w:val="00DA1760"/>
    <w:rsid w:val="00DA17A8"/>
    <w:rsid w:val="00DA184C"/>
    <w:rsid w:val="00DA194D"/>
    <w:rsid w:val="00DA1C91"/>
    <w:rsid w:val="00DA1CE8"/>
    <w:rsid w:val="00DA1D47"/>
    <w:rsid w:val="00DA1E30"/>
    <w:rsid w:val="00DA2266"/>
    <w:rsid w:val="00DA2291"/>
    <w:rsid w:val="00DA22B5"/>
    <w:rsid w:val="00DA2648"/>
    <w:rsid w:val="00DA294B"/>
    <w:rsid w:val="00DA2B42"/>
    <w:rsid w:val="00DA2CC8"/>
    <w:rsid w:val="00DA2DE3"/>
    <w:rsid w:val="00DA3195"/>
    <w:rsid w:val="00DA3265"/>
    <w:rsid w:val="00DA32AD"/>
    <w:rsid w:val="00DA336D"/>
    <w:rsid w:val="00DA377A"/>
    <w:rsid w:val="00DA396D"/>
    <w:rsid w:val="00DA39D0"/>
    <w:rsid w:val="00DA3AB0"/>
    <w:rsid w:val="00DA44BA"/>
    <w:rsid w:val="00DA470D"/>
    <w:rsid w:val="00DA4CD2"/>
    <w:rsid w:val="00DA4D5D"/>
    <w:rsid w:val="00DA51BA"/>
    <w:rsid w:val="00DA5286"/>
    <w:rsid w:val="00DA5A6A"/>
    <w:rsid w:val="00DA5C6A"/>
    <w:rsid w:val="00DA5E7D"/>
    <w:rsid w:val="00DA5FCE"/>
    <w:rsid w:val="00DA6100"/>
    <w:rsid w:val="00DA6200"/>
    <w:rsid w:val="00DA68E8"/>
    <w:rsid w:val="00DA692F"/>
    <w:rsid w:val="00DA6A99"/>
    <w:rsid w:val="00DA70B8"/>
    <w:rsid w:val="00DA7291"/>
    <w:rsid w:val="00DA73DE"/>
    <w:rsid w:val="00DA757B"/>
    <w:rsid w:val="00DA7F4C"/>
    <w:rsid w:val="00DA7FC3"/>
    <w:rsid w:val="00DB0013"/>
    <w:rsid w:val="00DB012E"/>
    <w:rsid w:val="00DB022F"/>
    <w:rsid w:val="00DB03C5"/>
    <w:rsid w:val="00DB04FD"/>
    <w:rsid w:val="00DB05FA"/>
    <w:rsid w:val="00DB13D2"/>
    <w:rsid w:val="00DB14D0"/>
    <w:rsid w:val="00DB1B55"/>
    <w:rsid w:val="00DB203C"/>
    <w:rsid w:val="00DB2347"/>
    <w:rsid w:val="00DB23FA"/>
    <w:rsid w:val="00DB266C"/>
    <w:rsid w:val="00DB2989"/>
    <w:rsid w:val="00DB2C2C"/>
    <w:rsid w:val="00DB2C67"/>
    <w:rsid w:val="00DB30AE"/>
    <w:rsid w:val="00DB3464"/>
    <w:rsid w:val="00DB3690"/>
    <w:rsid w:val="00DB36BC"/>
    <w:rsid w:val="00DB39B5"/>
    <w:rsid w:val="00DB3AEF"/>
    <w:rsid w:val="00DB3BB2"/>
    <w:rsid w:val="00DB3CC6"/>
    <w:rsid w:val="00DB41F7"/>
    <w:rsid w:val="00DB4AFB"/>
    <w:rsid w:val="00DB551A"/>
    <w:rsid w:val="00DB574E"/>
    <w:rsid w:val="00DB5C7F"/>
    <w:rsid w:val="00DB5F03"/>
    <w:rsid w:val="00DB61D3"/>
    <w:rsid w:val="00DB62E3"/>
    <w:rsid w:val="00DB68F9"/>
    <w:rsid w:val="00DB696B"/>
    <w:rsid w:val="00DB6B86"/>
    <w:rsid w:val="00DB71EE"/>
    <w:rsid w:val="00DB7273"/>
    <w:rsid w:val="00DB7464"/>
    <w:rsid w:val="00DB7594"/>
    <w:rsid w:val="00DB783D"/>
    <w:rsid w:val="00DB7BDD"/>
    <w:rsid w:val="00DB7D4D"/>
    <w:rsid w:val="00DC0345"/>
    <w:rsid w:val="00DC077F"/>
    <w:rsid w:val="00DC08D8"/>
    <w:rsid w:val="00DC0A1A"/>
    <w:rsid w:val="00DC0A1F"/>
    <w:rsid w:val="00DC0C92"/>
    <w:rsid w:val="00DC0EDC"/>
    <w:rsid w:val="00DC0F8E"/>
    <w:rsid w:val="00DC0FE3"/>
    <w:rsid w:val="00DC1272"/>
    <w:rsid w:val="00DC1451"/>
    <w:rsid w:val="00DC19E3"/>
    <w:rsid w:val="00DC1AB1"/>
    <w:rsid w:val="00DC1AC5"/>
    <w:rsid w:val="00DC22C6"/>
    <w:rsid w:val="00DC2715"/>
    <w:rsid w:val="00DC2870"/>
    <w:rsid w:val="00DC2A36"/>
    <w:rsid w:val="00DC2B68"/>
    <w:rsid w:val="00DC30A5"/>
    <w:rsid w:val="00DC3336"/>
    <w:rsid w:val="00DC3451"/>
    <w:rsid w:val="00DC3964"/>
    <w:rsid w:val="00DC3D01"/>
    <w:rsid w:val="00DC3D34"/>
    <w:rsid w:val="00DC3F74"/>
    <w:rsid w:val="00DC43CE"/>
    <w:rsid w:val="00DC445C"/>
    <w:rsid w:val="00DC466B"/>
    <w:rsid w:val="00DC497F"/>
    <w:rsid w:val="00DC4BEF"/>
    <w:rsid w:val="00DC4F72"/>
    <w:rsid w:val="00DC4FD4"/>
    <w:rsid w:val="00DC50E1"/>
    <w:rsid w:val="00DC51EF"/>
    <w:rsid w:val="00DC526B"/>
    <w:rsid w:val="00DC53D2"/>
    <w:rsid w:val="00DC5560"/>
    <w:rsid w:val="00DC5888"/>
    <w:rsid w:val="00DC5992"/>
    <w:rsid w:val="00DC5D8D"/>
    <w:rsid w:val="00DC6063"/>
    <w:rsid w:val="00DC6232"/>
    <w:rsid w:val="00DC6C5E"/>
    <w:rsid w:val="00DC71D1"/>
    <w:rsid w:val="00DC7208"/>
    <w:rsid w:val="00DC728F"/>
    <w:rsid w:val="00DC7304"/>
    <w:rsid w:val="00DC73BF"/>
    <w:rsid w:val="00DC7436"/>
    <w:rsid w:val="00DC74C8"/>
    <w:rsid w:val="00DC74FA"/>
    <w:rsid w:val="00DC779C"/>
    <w:rsid w:val="00DC795A"/>
    <w:rsid w:val="00DC7EFD"/>
    <w:rsid w:val="00DD00E0"/>
    <w:rsid w:val="00DD0494"/>
    <w:rsid w:val="00DD07A2"/>
    <w:rsid w:val="00DD0A4C"/>
    <w:rsid w:val="00DD0AAE"/>
    <w:rsid w:val="00DD0BB7"/>
    <w:rsid w:val="00DD0EFA"/>
    <w:rsid w:val="00DD0FB6"/>
    <w:rsid w:val="00DD159D"/>
    <w:rsid w:val="00DD17DA"/>
    <w:rsid w:val="00DD1B1F"/>
    <w:rsid w:val="00DD1B3D"/>
    <w:rsid w:val="00DD1B99"/>
    <w:rsid w:val="00DD1C77"/>
    <w:rsid w:val="00DD1FAA"/>
    <w:rsid w:val="00DD211F"/>
    <w:rsid w:val="00DD22AB"/>
    <w:rsid w:val="00DD25D1"/>
    <w:rsid w:val="00DD2ED2"/>
    <w:rsid w:val="00DD31B3"/>
    <w:rsid w:val="00DD34EA"/>
    <w:rsid w:val="00DD37E9"/>
    <w:rsid w:val="00DD3960"/>
    <w:rsid w:val="00DD3C12"/>
    <w:rsid w:val="00DD3DC5"/>
    <w:rsid w:val="00DD4454"/>
    <w:rsid w:val="00DD44D0"/>
    <w:rsid w:val="00DD4715"/>
    <w:rsid w:val="00DD48F0"/>
    <w:rsid w:val="00DD4BE5"/>
    <w:rsid w:val="00DD4CE5"/>
    <w:rsid w:val="00DD560F"/>
    <w:rsid w:val="00DD566F"/>
    <w:rsid w:val="00DD57B1"/>
    <w:rsid w:val="00DD57C2"/>
    <w:rsid w:val="00DD5B9E"/>
    <w:rsid w:val="00DD5BC8"/>
    <w:rsid w:val="00DD5D6E"/>
    <w:rsid w:val="00DD610C"/>
    <w:rsid w:val="00DD6368"/>
    <w:rsid w:val="00DD662F"/>
    <w:rsid w:val="00DD66E9"/>
    <w:rsid w:val="00DD6AD9"/>
    <w:rsid w:val="00DD6FAA"/>
    <w:rsid w:val="00DD7389"/>
    <w:rsid w:val="00DD7550"/>
    <w:rsid w:val="00DD77D7"/>
    <w:rsid w:val="00DD7FD0"/>
    <w:rsid w:val="00DE01D1"/>
    <w:rsid w:val="00DE0207"/>
    <w:rsid w:val="00DE04B5"/>
    <w:rsid w:val="00DE0565"/>
    <w:rsid w:val="00DE0942"/>
    <w:rsid w:val="00DE0A1F"/>
    <w:rsid w:val="00DE0E5E"/>
    <w:rsid w:val="00DE0E89"/>
    <w:rsid w:val="00DE1360"/>
    <w:rsid w:val="00DE153E"/>
    <w:rsid w:val="00DE1837"/>
    <w:rsid w:val="00DE1E2E"/>
    <w:rsid w:val="00DE1F37"/>
    <w:rsid w:val="00DE227E"/>
    <w:rsid w:val="00DE2319"/>
    <w:rsid w:val="00DE354C"/>
    <w:rsid w:val="00DE3635"/>
    <w:rsid w:val="00DE36C3"/>
    <w:rsid w:val="00DE376F"/>
    <w:rsid w:val="00DE3948"/>
    <w:rsid w:val="00DE39B0"/>
    <w:rsid w:val="00DE3ECA"/>
    <w:rsid w:val="00DE3F6A"/>
    <w:rsid w:val="00DE44E6"/>
    <w:rsid w:val="00DE45F5"/>
    <w:rsid w:val="00DE4A19"/>
    <w:rsid w:val="00DE4AAF"/>
    <w:rsid w:val="00DE4C1A"/>
    <w:rsid w:val="00DE4ECA"/>
    <w:rsid w:val="00DE511A"/>
    <w:rsid w:val="00DE559E"/>
    <w:rsid w:val="00DE592C"/>
    <w:rsid w:val="00DE5C2E"/>
    <w:rsid w:val="00DE5E0A"/>
    <w:rsid w:val="00DE613B"/>
    <w:rsid w:val="00DE62FE"/>
    <w:rsid w:val="00DE6957"/>
    <w:rsid w:val="00DE6AE1"/>
    <w:rsid w:val="00DE6D66"/>
    <w:rsid w:val="00DE7180"/>
    <w:rsid w:val="00DE71DB"/>
    <w:rsid w:val="00DE72EA"/>
    <w:rsid w:val="00DE75FD"/>
    <w:rsid w:val="00DE7B92"/>
    <w:rsid w:val="00DE7DEF"/>
    <w:rsid w:val="00DE7EFB"/>
    <w:rsid w:val="00DE7EFF"/>
    <w:rsid w:val="00DF006A"/>
    <w:rsid w:val="00DF01F1"/>
    <w:rsid w:val="00DF0341"/>
    <w:rsid w:val="00DF0437"/>
    <w:rsid w:val="00DF0514"/>
    <w:rsid w:val="00DF0896"/>
    <w:rsid w:val="00DF0C34"/>
    <w:rsid w:val="00DF0DC0"/>
    <w:rsid w:val="00DF0E01"/>
    <w:rsid w:val="00DF10DB"/>
    <w:rsid w:val="00DF1677"/>
    <w:rsid w:val="00DF1BAB"/>
    <w:rsid w:val="00DF1CBE"/>
    <w:rsid w:val="00DF1D54"/>
    <w:rsid w:val="00DF216E"/>
    <w:rsid w:val="00DF21BD"/>
    <w:rsid w:val="00DF23DD"/>
    <w:rsid w:val="00DF2AE3"/>
    <w:rsid w:val="00DF33DC"/>
    <w:rsid w:val="00DF3BE6"/>
    <w:rsid w:val="00DF3CE6"/>
    <w:rsid w:val="00DF4328"/>
    <w:rsid w:val="00DF4EBC"/>
    <w:rsid w:val="00DF5151"/>
    <w:rsid w:val="00DF51A8"/>
    <w:rsid w:val="00DF527C"/>
    <w:rsid w:val="00DF5698"/>
    <w:rsid w:val="00DF5751"/>
    <w:rsid w:val="00DF5A30"/>
    <w:rsid w:val="00DF6197"/>
    <w:rsid w:val="00DF6651"/>
    <w:rsid w:val="00DF66B3"/>
    <w:rsid w:val="00DF6C57"/>
    <w:rsid w:val="00DF6CBC"/>
    <w:rsid w:val="00DF7334"/>
    <w:rsid w:val="00DF751F"/>
    <w:rsid w:val="00DF7571"/>
    <w:rsid w:val="00DF7AB6"/>
    <w:rsid w:val="00DF7D7C"/>
    <w:rsid w:val="00DF7DB1"/>
    <w:rsid w:val="00DF7EB8"/>
    <w:rsid w:val="00DF7EFF"/>
    <w:rsid w:val="00DF7F69"/>
    <w:rsid w:val="00E000D8"/>
    <w:rsid w:val="00E005F9"/>
    <w:rsid w:val="00E00763"/>
    <w:rsid w:val="00E00E4A"/>
    <w:rsid w:val="00E01172"/>
    <w:rsid w:val="00E0117B"/>
    <w:rsid w:val="00E014D2"/>
    <w:rsid w:val="00E0173E"/>
    <w:rsid w:val="00E01936"/>
    <w:rsid w:val="00E01969"/>
    <w:rsid w:val="00E01E27"/>
    <w:rsid w:val="00E01FAA"/>
    <w:rsid w:val="00E02BCC"/>
    <w:rsid w:val="00E03265"/>
    <w:rsid w:val="00E039EA"/>
    <w:rsid w:val="00E03C69"/>
    <w:rsid w:val="00E03E87"/>
    <w:rsid w:val="00E04007"/>
    <w:rsid w:val="00E042DE"/>
    <w:rsid w:val="00E04640"/>
    <w:rsid w:val="00E046D4"/>
    <w:rsid w:val="00E0491E"/>
    <w:rsid w:val="00E04C74"/>
    <w:rsid w:val="00E04CB4"/>
    <w:rsid w:val="00E04FC1"/>
    <w:rsid w:val="00E051AF"/>
    <w:rsid w:val="00E0525C"/>
    <w:rsid w:val="00E05390"/>
    <w:rsid w:val="00E05A7A"/>
    <w:rsid w:val="00E05B13"/>
    <w:rsid w:val="00E05C95"/>
    <w:rsid w:val="00E05CBC"/>
    <w:rsid w:val="00E0627F"/>
    <w:rsid w:val="00E064A2"/>
    <w:rsid w:val="00E069E3"/>
    <w:rsid w:val="00E06A96"/>
    <w:rsid w:val="00E0700F"/>
    <w:rsid w:val="00E07493"/>
    <w:rsid w:val="00E07536"/>
    <w:rsid w:val="00E07E54"/>
    <w:rsid w:val="00E100D0"/>
    <w:rsid w:val="00E1021D"/>
    <w:rsid w:val="00E10602"/>
    <w:rsid w:val="00E10ABF"/>
    <w:rsid w:val="00E10B0E"/>
    <w:rsid w:val="00E10C2F"/>
    <w:rsid w:val="00E111FE"/>
    <w:rsid w:val="00E1174A"/>
    <w:rsid w:val="00E11C70"/>
    <w:rsid w:val="00E11D33"/>
    <w:rsid w:val="00E12332"/>
    <w:rsid w:val="00E12907"/>
    <w:rsid w:val="00E12A65"/>
    <w:rsid w:val="00E133EB"/>
    <w:rsid w:val="00E13678"/>
    <w:rsid w:val="00E13BD2"/>
    <w:rsid w:val="00E13DD4"/>
    <w:rsid w:val="00E1402E"/>
    <w:rsid w:val="00E1420B"/>
    <w:rsid w:val="00E142B5"/>
    <w:rsid w:val="00E14B6B"/>
    <w:rsid w:val="00E14F92"/>
    <w:rsid w:val="00E1522D"/>
    <w:rsid w:val="00E15587"/>
    <w:rsid w:val="00E1562F"/>
    <w:rsid w:val="00E157EA"/>
    <w:rsid w:val="00E15DEF"/>
    <w:rsid w:val="00E15E7D"/>
    <w:rsid w:val="00E1668E"/>
    <w:rsid w:val="00E16703"/>
    <w:rsid w:val="00E16890"/>
    <w:rsid w:val="00E16918"/>
    <w:rsid w:val="00E16BC8"/>
    <w:rsid w:val="00E170BF"/>
    <w:rsid w:val="00E1725D"/>
    <w:rsid w:val="00E1725F"/>
    <w:rsid w:val="00E17499"/>
    <w:rsid w:val="00E174A1"/>
    <w:rsid w:val="00E174CF"/>
    <w:rsid w:val="00E176F0"/>
    <w:rsid w:val="00E1783D"/>
    <w:rsid w:val="00E178AB"/>
    <w:rsid w:val="00E179DA"/>
    <w:rsid w:val="00E17A47"/>
    <w:rsid w:val="00E17BB5"/>
    <w:rsid w:val="00E20068"/>
    <w:rsid w:val="00E204E9"/>
    <w:rsid w:val="00E20503"/>
    <w:rsid w:val="00E20558"/>
    <w:rsid w:val="00E208C2"/>
    <w:rsid w:val="00E20A27"/>
    <w:rsid w:val="00E21001"/>
    <w:rsid w:val="00E2117B"/>
    <w:rsid w:val="00E21380"/>
    <w:rsid w:val="00E2141B"/>
    <w:rsid w:val="00E21703"/>
    <w:rsid w:val="00E219D4"/>
    <w:rsid w:val="00E21EC8"/>
    <w:rsid w:val="00E21FCA"/>
    <w:rsid w:val="00E2200B"/>
    <w:rsid w:val="00E224B5"/>
    <w:rsid w:val="00E22BED"/>
    <w:rsid w:val="00E22FAE"/>
    <w:rsid w:val="00E230F5"/>
    <w:rsid w:val="00E23478"/>
    <w:rsid w:val="00E234AF"/>
    <w:rsid w:val="00E235C4"/>
    <w:rsid w:val="00E2369B"/>
    <w:rsid w:val="00E237DF"/>
    <w:rsid w:val="00E23833"/>
    <w:rsid w:val="00E23B70"/>
    <w:rsid w:val="00E23D98"/>
    <w:rsid w:val="00E24007"/>
    <w:rsid w:val="00E24105"/>
    <w:rsid w:val="00E24170"/>
    <w:rsid w:val="00E241B1"/>
    <w:rsid w:val="00E2423D"/>
    <w:rsid w:val="00E24600"/>
    <w:rsid w:val="00E24BF4"/>
    <w:rsid w:val="00E24CD6"/>
    <w:rsid w:val="00E2525D"/>
    <w:rsid w:val="00E25953"/>
    <w:rsid w:val="00E25C96"/>
    <w:rsid w:val="00E25F0E"/>
    <w:rsid w:val="00E2626B"/>
    <w:rsid w:val="00E265B6"/>
    <w:rsid w:val="00E265F1"/>
    <w:rsid w:val="00E2672A"/>
    <w:rsid w:val="00E267CA"/>
    <w:rsid w:val="00E269B7"/>
    <w:rsid w:val="00E26AC1"/>
    <w:rsid w:val="00E26C1E"/>
    <w:rsid w:val="00E26D21"/>
    <w:rsid w:val="00E26E4E"/>
    <w:rsid w:val="00E273CE"/>
    <w:rsid w:val="00E2747B"/>
    <w:rsid w:val="00E2760F"/>
    <w:rsid w:val="00E27714"/>
    <w:rsid w:val="00E277A5"/>
    <w:rsid w:val="00E27895"/>
    <w:rsid w:val="00E278AC"/>
    <w:rsid w:val="00E27A45"/>
    <w:rsid w:val="00E30081"/>
    <w:rsid w:val="00E30244"/>
    <w:rsid w:val="00E30439"/>
    <w:rsid w:val="00E30965"/>
    <w:rsid w:val="00E30A3B"/>
    <w:rsid w:val="00E30A44"/>
    <w:rsid w:val="00E30B11"/>
    <w:rsid w:val="00E30B2A"/>
    <w:rsid w:val="00E30B2E"/>
    <w:rsid w:val="00E311E1"/>
    <w:rsid w:val="00E312E8"/>
    <w:rsid w:val="00E31B13"/>
    <w:rsid w:val="00E31D03"/>
    <w:rsid w:val="00E31FD0"/>
    <w:rsid w:val="00E3204F"/>
    <w:rsid w:val="00E32363"/>
    <w:rsid w:val="00E3247A"/>
    <w:rsid w:val="00E324BC"/>
    <w:rsid w:val="00E3266B"/>
    <w:rsid w:val="00E32B26"/>
    <w:rsid w:val="00E32B50"/>
    <w:rsid w:val="00E32CB4"/>
    <w:rsid w:val="00E32D2D"/>
    <w:rsid w:val="00E3338E"/>
    <w:rsid w:val="00E333FB"/>
    <w:rsid w:val="00E33854"/>
    <w:rsid w:val="00E339D3"/>
    <w:rsid w:val="00E34173"/>
    <w:rsid w:val="00E3419F"/>
    <w:rsid w:val="00E341A7"/>
    <w:rsid w:val="00E3421E"/>
    <w:rsid w:val="00E346C4"/>
    <w:rsid w:val="00E3478E"/>
    <w:rsid w:val="00E352F8"/>
    <w:rsid w:val="00E35922"/>
    <w:rsid w:val="00E35A3F"/>
    <w:rsid w:val="00E35D62"/>
    <w:rsid w:val="00E35DA5"/>
    <w:rsid w:val="00E35E88"/>
    <w:rsid w:val="00E35F12"/>
    <w:rsid w:val="00E367BD"/>
    <w:rsid w:val="00E368A7"/>
    <w:rsid w:val="00E36EB5"/>
    <w:rsid w:val="00E372C9"/>
    <w:rsid w:val="00E37352"/>
    <w:rsid w:val="00E37509"/>
    <w:rsid w:val="00E376E5"/>
    <w:rsid w:val="00E37906"/>
    <w:rsid w:val="00E37959"/>
    <w:rsid w:val="00E400B3"/>
    <w:rsid w:val="00E403CB"/>
    <w:rsid w:val="00E40807"/>
    <w:rsid w:val="00E40F8B"/>
    <w:rsid w:val="00E41018"/>
    <w:rsid w:val="00E41239"/>
    <w:rsid w:val="00E413BF"/>
    <w:rsid w:val="00E41634"/>
    <w:rsid w:val="00E416E6"/>
    <w:rsid w:val="00E423A5"/>
    <w:rsid w:val="00E423B3"/>
    <w:rsid w:val="00E4250B"/>
    <w:rsid w:val="00E42B08"/>
    <w:rsid w:val="00E42DB6"/>
    <w:rsid w:val="00E43152"/>
    <w:rsid w:val="00E4341B"/>
    <w:rsid w:val="00E436D5"/>
    <w:rsid w:val="00E43780"/>
    <w:rsid w:val="00E43818"/>
    <w:rsid w:val="00E4382C"/>
    <w:rsid w:val="00E438AD"/>
    <w:rsid w:val="00E439B8"/>
    <w:rsid w:val="00E44410"/>
    <w:rsid w:val="00E444BB"/>
    <w:rsid w:val="00E4457D"/>
    <w:rsid w:val="00E44C8D"/>
    <w:rsid w:val="00E44CB7"/>
    <w:rsid w:val="00E45130"/>
    <w:rsid w:val="00E451F8"/>
    <w:rsid w:val="00E452D1"/>
    <w:rsid w:val="00E45370"/>
    <w:rsid w:val="00E45545"/>
    <w:rsid w:val="00E4554F"/>
    <w:rsid w:val="00E455AB"/>
    <w:rsid w:val="00E45668"/>
    <w:rsid w:val="00E45679"/>
    <w:rsid w:val="00E4598B"/>
    <w:rsid w:val="00E45B5F"/>
    <w:rsid w:val="00E45CB2"/>
    <w:rsid w:val="00E45FE7"/>
    <w:rsid w:val="00E46402"/>
    <w:rsid w:val="00E4646A"/>
    <w:rsid w:val="00E46490"/>
    <w:rsid w:val="00E46755"/>
    <w:rsid w:val="00E4691C"/>
    <w:rsid w:val="00E470FD"/>
    <w:rsid w:val="00E47199"/>
    <w:rsid w:val="00E4780F"/>
    <w:rsid w:val="00E47CF2"/>
    <w:rsid w:val="00E50219"/>
    <w:rsid w:val="00E5028F"/>
    <w:rsid w:val="00E50FFF"/>
    <w:rsid w:val="00E51379"/>
    <w:rsid w:val="00E515FB"/>
    <w:rsid w:val="00E51B8B"/>
    <w:rsid w:val="00E51D85"/>
    <w:rsid w:val="00E51F1D"/>
    <w:rsid w:val="00E520F2"/>
    <w:rsid w:val="00E52384"/>
    <w:rsid w:val="00E5254C"/>
    <w:rsid w:val="00E530A9"/>
    <w:rsid w:val="00E53753"/>
    <w:rsid w:val="00E53A22"/>
    <w:rsid w:val="00E53AAB"/>
    <w:rsid w:val="00E53BF2"/>
    <w:rsid w:val="00E53D1E"/>
    <w:rsid w:val="00E54189"/>
    <w:rsid w:val="00E54427"/>
    <w:rsid w:val="00E5446A"/>
    <w:rsid w:val="00E5491B"/>
    <w:rsid w:val="00E549AB"/>
    <w:rsid w:val="00E54B30"/>
    <w:rsid w:val="00E54D67"/>
    <w:rsid w:val="00E54E14"/>
    <w:rsid w:val="00E5519D"/>
    <w:rsid w:val="00E554E8"/>
    <w:rsid w:val="00E5592D"/>
    <w:rsid w:val="00E55986"/>
    <w:rsid w:val="00E55990"/>
    <w:rsid w:val="00E560A8"/>
    <w:rsid w:val="00E56181"/>
    <w:rsid w:val="00E568F1"/>
    <w:rsid w:val="00E56A25"/>
    <w:rsid w:val="00E56A72"/>
    <w:rsid w:val="00E56C87"/>
    <w:rsid w:val="00E56F39"/>
    <w:rsid w:val="00E5767C"/>
    <w:rsid w:val="00E576B2"/>
    <w:rsid w:val="00E579E3"/>
    <w:rsid w:val="00E57AFF"/>
    <w:rsid w:val="00E57C17"/>
    <w:rsid w:val="00E57FED"/>
    <w:rsid w:val="00E60507"/>
    <w:rsid w:val="00E6079B"/>
    <w:rsid w:val="00E60962"/>
    <w:rsid w:val="00E609B1"/>
    <w:rsid w:val="00E60F22"/>
    <w:rsid w:val="00E614C4"/>
    <w:rsid w:val="00E615F8"/>
    <w:rsid w:val="00E61697"/>
    <w:rsid w:val="00E616ED"/>
    <w:rsid w:val="00E6183E"/>
    <w:rsid w:val="00E619E1"/>
    <w:rsid w:val="00E61C35"/>
    <w:rsid w:val="00E61DA5"/>
    <w:rsid w:val="00E61EC1"/>
    <w:rsid w:val="00E6232D"/>
    <w:rsid w:val="00E62784"/>
    <w:rsid w:val="00E627F8"/>
    <w:rsid w:val="00E62874"/>
    <w:rsid w:val="00E628BB"/>
    <w:rsid w:val="00E628D9"/>
    <w:rsid w:val="00E62C85"/>
    <w:rsid w:val="00E62F7D"/>
    <w:rsid w:val="00E62FDD"/>
    <w:rsid w:val="00E632B6"/>
    <w:rsid w:val="00E6337E"/>
    <w:rsid w:val="00E6345D"/>
    <w:rsid w:val="00E636E1"/>
    <w:rsid w:val="00E63B44"/>
    <w:rsid w:val="00E63C25"/>
    <w:rsid w:val="00E63CF3"/>
    <w:rsid w:val="00E64322"/>
    <w:rsid w:val="00E64B01"/>
    <w:rsid w:val="00E64B8A"/>
    <w:rsid w:val="00E64D0B"/>
    <w:rsid w:val="00E64F66"/>
    <w:rsid w:val="00E650ED"/>
    <w:rsid w:val="00E651F6"/>
    <w:rsid w:val="00E65B4C"/>
    <w:rsid w:val="00E65FF7"/>
    <w:rsid w:val="00E663E6"/>
    <w:rsid w:val="00E66EBF"/>
    <w:rsid w:val="00E66ED5"/>
    <w:rsid w:val="00E67029"/>
    <w:rsid w:val="00E671E1"/>
    <w:rsid w:val="00E674DA"/>
    <w:rsid w:val="00E67744"/>
    <w:rsid w:val="00E6795F"/>
    <w:rsid w:val="00E67968"/>
    <w:rsid w:val="00E67B05"/>
    <w:rsid w:val="00E67BC7"/>
    <w:rsid w:val="00E701A3"/>
    <w:rsid w:val="00E7029A"/>
    <w:rsid w:val="00E70682"/>
    <w:rsid w:val="00E70821"/>
    <w:rsid w:val="00E7082F"/>
    <w:rsid w:val="00E70AD8"/>
    <w:rsid w:val="00E70D4D"/>
    <w:rsid w:val="00E7156D"/>
    <w:rsid w:val="00E71B30"/>
    <w:rsid w:val="00E71BB4"/>
    <w:rsid w:val="00E7203A"/>
    <w:rsid w:val="00E7209C"/>
    <w:rsid w:val="00E72258"/>
    <w:rsid w:val="00E72CD3"/>
    <w:rsid w:val="00E72F27"/>
    <w:rsid w:val="00E73784"/>
    <w:rsid w:val="00E73854"/>
    <w:rsid w:val="00E738D1"/>
    <w:rsid w:val="00E73AF2"/>
    <w:rsid w:val="00E73C6C"/>
    <w:rsid w:val="00E7430D"/>
    <w:rsid w:val="00E743F9"/>
    <w:rsid w:val="00E7440D"/>
    <w:rsid w:val="00E745CA"/>
    <w:rsid w:val="00E74765"/>
    <w:rsid w:val="00E74A15"/>
    <w:rsid w:val="00E74C51"/>
    <w:rsid w:val="00E74EA0"/>
    <w:rsid w:val="00E74EA2"/>
    <w:rsid w:val="00E74FD6"/>
    <w:rsid w:val="00E753FD"/>
    <w:rsid w:val="00E759DF"/>
    <w:rsid w:val="00E75D55"/>
    <w:rsid w:val="00E75D76"/>
    <w:rsid w:val="00E760C1"/>
    <w:rsid w:val="00E76259"/>
    <w:rsid w:val="00E763BB"/>
    <w:rsid w:val="00E76462"/>
    <w:rsid w:val="00E76634"/>
    <w:rsid w:val="00E766E2"/>
    <w:rsid w:val="00E769DF"/>
    <w:rsid w:val="00E76A65"/>
    <w:rsid w:val="00E76AA0"/>
    <w:rsid w:val="00E76CFE"/>
    <w:rsid w:val="00E76D66"/>
    <w:rsid w:val="00E76E85"/>
    <w:rsid w:val="00E77469"/>
    <w:rsid w:val="00E77749"/>
    <w:rsid w:val="00E7779B"/>
    <w:rsid w:val="00E77A6E"/>
    <w:rsid w:val="00E77B69"/>
    <w:rsid w:val="00E77DF6"/>
    <w:rsid w:val="00E800CC"/>
    <w:rsid w:val="00E801A0"/>
    <w:rsid w:val="00E801FA"/>
    <w:rsid w:val="00E802CC"/>
    <w:rsid w:val="00E80469"/>
    <w:rsid w:val="00E8077E"/>
    <w:rsid w:val="00E80B03"/>
    <w:rsid w:val="00E80B66"/>
    <w:rsid w:val="00E80CF7"/>
    <w:rsid w:val="00E80F56"/>
    <w:rsid w:val="00E81508"/>
    <w:rsid w:val="00E81976"/>
    <w:rsid w:val="00E819C0"/>
    <w:rsid w:val="00E8215D"/>
    <w:rsid w:val="00E8241B"/>
    <w:rsid w:val="00E82754"/>
    <w:rsid w:val="00E82E4A"/>
    <w:rsid w:val="00E83249"/>
    <w:rsid w:val="00E835ED"/>
    <w:rsid w:val="00E83717"/>
    <w:rsid w:val="00E839CE"/>
    <w:rsid w:val="00E839DF"/>
    <w:rsid w:val="00E83BB1"/>
    <w:rsid w:val="00E83D0A"/>
    <w:rsid w:val="00E84005"/>
    <w:rsid w:val="00E842AF"/>
    <w:rsid w:val="00E84547"/>
    <w:rsid w:val="00E84CB1"/>
    <w:rsid w:val="00E84DF4"/>
    <w:rsid w:val="00E850FF"/>
    <w:rsid w:val="00E85326"/>
    <w:rsid w:val="00E856CA"/>
    <w:rsid w:val="00E858CC"/>
    <w:rsid w:val="00E85E15"/>
    <w:rsid w:val="00E85EBE"/>
    <w:rsid w:val="00E86143"/>
    <w:rsid w:val="00E86172"/>
    <w:rsid w:val="00E861DF"/>
    <w:rsid w:val="00E865D8"/>
    <w:rsid w:val="00E86748"/>
    <w:rsid w:val="00E86811"/>
    <w:rsid w:val="00E868FD"/>
    <w:rsid w:val="00E869D3"/>
    <w:rsid w:val="00E86A83"/>
    <w:rsid w:val="00E86A89"/>
    <w:rsid w:val="00E86B1F"/>
    <w:rsid w:val="00E86FDF"/>
    <w:rsid w:val="00E873D3"/>
    <w:rsid w:val="00E87481"/>
    <w:rsid w:val="00E87864"/>
    <w:rsid w:val="00E87918"/>
    <w:rsid w:val="00E87C6F"/>
    <w:rsid w:val="00E87DE8"/>
    <w:rsid w:val="00E90006"/>
    <w:rsid w:val="00E9009F"/>
    <w:rsid w:val="00E901C4"/>
    <w:rsid w:val="00E9067B"/>
    <w:rsid w:val="00E907AB"/>
    <w:rsid w:val="00E90CF8"/>
    <w:rsid w:val="00E90E45"/>
    <w:rsid w:val="00E9109B"/>
    <w:rsid w:val="00E9118B"/>
    <w:rsid w:val="00E91C48"/>
    <w:rsid w:val="00E91CCB"/>
    <w:rsid w:val="00E9216B"/>
    <w:rsid w:val="00E92475"/>
    <w:rsid w:val="00E92970"/>
    <w:rsid w:val="00E92AA3"/>
    <w:rsid w:val="00E92BEB"/>
    <w:rsid w:val="00E92CD2"/>
    <w:rsid w:val="00E92D44"/>
    <w:rsid w:val="00E92FD2"/>
    <w:rsid w:val="00E93998"/>
    <w:rsid w:val="00E9399E"/>
    <w:rsid w:val="00E939BE"/>
    <w:rsid w:val="00E93FE6"/>
    <w:rsid w:val="00E9490C"/>
    <w:rsid w:val="00E94D7F"/>
    <w:rsid w:val="00E9583C"/>
    <w:rsid w:val="00E95B9B"/>
    <w:rsid w:val="00E95C0F"/>
    <w:rsid w:val="00E95D02"/>
    <w:rsid w:val="00E95ED4"/>
    <w:rsid w:val="00E95F4B"/>
    <w:rsid w:val="00E95FA2"/>
    <w:rsid w:val="00E961C7"/>
    <w:rsid w:val="00E9643F"/>
    <w:rsid w:val="00E964F3"/>
    <w:rsid w:val="00E9697B"/>
    <w:rsid w:val="00E96AB3"/>
    <w:rsid w:val="00E96E6F"/>
    <w:rsid w:val="00E96F1D"/>
    <w:rsid w:val="00E96F21"/>
    <w:rsid w:val="00E97138"/>
    <w:rsid w:val="00E9720D"/>
    <w:rsid w:val="00E97265"/>
    <w:rsid w:val="00E9770F"/>
    <w:rsid w:val="00E97B1A"/>
    <w:rsid w:val="00E97D77"/>
    <w:rsid w:val="00E97E98"/>
    <w:rsid w:val="00EA0156"/>
    <w:rsid w:val="00EA050C"/>
    <w:rsid w:val="00EA06A0"/>
    <w:rsid w:val="00EA0829"/>
    <w:rsid w:val="00EA0915"/>
    <w:rsid w:val="00EA0A22"/>
    <w:rsid w:val="00EA0D83"/>
    <w:rsid w:val="00EA12BC"/>
    <w:rsid w:val="00EA12D0"/>
    <w:rsid w:val="00EA1324"/>
    <w:rsid w:val="00EA13CD"/>
    <w:rsid w:val="00EA1A1D"/>
    <w:rsid w:val="00EA1A5E"/>
    <w:rsid w:val="00EA1D30"/>
    <w:rsid w:val="00EA2050"/>
    <w:rsid w:val="00EA2205"/>
    <w:rsid w:val="00EA228A"/>
    <w:rsid w:val="00EA25A0"/>
    <w:rsid w:val="00EA25B9"/>
    <w:rsid w:val="00EA25FA"/>
    <w:rsid w:val="00EA2931"/>
    <w:rsid w:val="00EA2B4C"/>
    <w:rsid w:val="00EA2BE0"/>
    <w:rsid w:val="00EA2E52"/>
    <w:rsid w:val="00EA3692"/>
    <w:rsid w:val="00EA3C51"/>
    <w:rsid w:val="00EA40FF"/>
    <w:rsid w:val="00EA4344"/>
    <w:rsid w:val="00EA46FD"/>
    <w:rsid w:val="00EA4921"/>
    <w:rsid w:val="00EA4B75"/>
    <w:rsid w:val="00EA5536"/>
    <w:rsid w:val="00EA55D4"/>
    <w:rsid w:val="00EA57F4"/>
    <w:rsid w:val="00EA5A14"/>
    <w:rsid w:val="00EA5B43"/>
    <w:rsid w:val="00EA5BEA"/>
    <w:rsid w:val="00EA6844"/>
    <w:rsid w:val="00EA6B6F"/>
    <w:rsid w:val="00EA6C4A"/>
    <w:rsid w:val="00EA6E83"/>
    <w:rsid w:val="00EA71A5"/>
    <w:rsid w:val="00EA71C7"/>
    <w:rsid w:val="00EA737B"/>
    <w:rsid w:val="00EA7486"/>
    <w:rsid w:val="00EA784B"/>
    <w:rsid w:val="00EA7918"/>
    <w:rsid w:val="00EA7E37"/>
    <w:rsid w:val="00EB0C7A"/>
    <w:rsid w:val="00EB1032"/>
    <w:rsid w:val="00EB11C4"/>
    <w:rsid w:val="00EB1396"/>
    <w:rsid w:val="00EB188C"/>
    <w:rsid w:val="00EB19C9"/>
    <w:rsid w:val="00EB1C22"/>
    <w:rsid w:val="00EB1CF0"/>
    <w:rsid w:val="00EB2442"/>
    <w:rsid w:val="00EB2502"/>
    <w:rsid w:val="00EB2D2B"/>
    <w:rsid w:val="00EB30F5"/>
    <w:rsid w:val="00EB3307"/>
    <w:rsid w:val="00EB3829"/>
    <w:rsid w:val="00EB3835"/>
    <w:rsid w:val="00EB38E7"/>
    <w:rsid w:val="00EB392A"/>
    <w:rsid w:val="00EB3C4B"/>
    <w:rsid w:val="00EB3DAA"/>
    <w:rsid w:val="00EB429D"/>
    <w:rsid w:val="00EB430D"/>
    <w:rsid w:val="00EB43C6"/>
    <w:rsid w:val="00EB45F5"/>
    <w:rsid w:val="00EB46CD"/>
    <w:rsid w:val="00EB4B05"/>
    <w:rsid w:val="00EB4CB9"/>
    <w:rsid w:val="00EB4D16"/>
    <w:rsid w:val="00EB4F67"/>
    <w:rsid w:val="00EB5521"/>
    <w:rsid w:val="00EB5961"/>
    <w:rsid w:val="00EB5B30"/>
    <w:rsid w:val="00EB5C40"/>
    <w:rsid w:val="00EB5DA1"/>
    <w:rsid w:val="00EB6014"/>
    <w:rsid w:val="00EB6587"/>
    <w:rsid w:val="00EB6801"/>
    <w:rsid w:val="00EB6802"/>
    <w:rsid w:val="00EB6B10"/>
    <w:rsid w:val="00EB6E56"/>
    <w:rsid w:val="00EB71FF"/>
    <w:rsid w:val="00EB7246"/>
    <w:rsid w:val="00EB7458"/>
    <w:rsid w:val="00EB7A04"/>
    <w:rsid w:val="00EB7AF1"/>
    <w:rsid w:val="00EB7C39"/>
    <w:rsid w:val="00EB7C7A"/>
    <w:rsid w:val="00EC06B0"/>
    <w:rsid w:val="00EC0B94"/>
    <w:rsid w:val="00EC0CEB"/>
    <w:rsid w:val="00EC0D47"/>
    <w:rsid w:val="00EC0F9E"/>
    <w:rsid w:val="00EC106B"/>
    <w:rsid w:val="00EC1747"/>
    <w:rsid w:val="00EC1755"/>
    <w:rsid w:val="00EC1A5D"/>
    <w:rsid w:val="00EC1F24"/>
    <w:rsid w:val="00EC2159"/>
    <w:rsid w:val="00EC24C6"/>
    <w:rsid w:val="00EC25C3"/>
    <w:rsid w:val="00EC2A6E"/>
    <w:rsid w:val="00EC2ABF"/>
    <w:rsid w:val="00EC2CFA"/>
    <w:rsid w:val="00EC2D92"/>
    <w:rsid w:val="00EC3138"/>
    <w:rsid w:val="00EC3329"/>
    <w:rsid w:val="00EC38B9"/>
    <w:rsid w:val="00EC3B7A"/>
    <w:rsid w:val="00EC3BAD"/>
    <w:rsid w:val="00EC3D6A"/>
    <w:rsid w:val="00EC4469"/>
    <w:rsid w:val="00EC44B6"/>
    <w:rsid w:val="00EC457C"/>
    <w:rsid w:val="00EC45BD"/>
    <w:rsid w:val="00EC4872"/>
    <w:rsid w:val="00EC48F4"/>
    <w:rsid w:val="00EC4931"/>
    <w:rsid w:val="00EC4A61"/>
    <w:rsid w:val="00EC4CAE"/>
    <w:rsid w:val="00EC4D59"/>
    <w:rsid w:val="00EC4F40"/>
    <w:rsid w:val="00EC5921"/>
    <w:rsid w:val="00EC6278"/>
    <w:rsid w:val="00EC699F"/>
    <w:rsid w:val="00EC6C56"/>
    <w:rsid w:val="00EC6C98"/>
    <w:rsid w:val="00EC6D0B"/>
    <w:rsid w:val="00EC6DD7"/>
    <w:rsid w:val="00EC6FEA"/>
    <w:rsid w:val="00EC7103"/>
    <w:rsid w:val="00EC7D40"/>
    <w:rsid w:val="00EC7EC1"/>
    <w:rsid w:val="00ED00A0"/>
    <w:rsid w:val="00ED0114"/>
    <w:rsid w:val="00ED04FD"/>
    <w:rsid w:val="00ED0B20"/>
    <w:rsid w:val="00ED0C62"/>
    <w:rsid w:val="00ED0C69"/>
    <w:rsid w:val="00ED1439"/>
    <w:rsid w:val="00ED15D9"/>
    <w:rsid w:val="00ED1A4F"/>
    <w:rsid w:val="00ED1ED2"/>
    <w:rsid w:val="00ED205D"/>
    <w:rsid w:val="00ED207B"/>
    <w:rsid w:val="00ED25ED"/>
    <w:rsid w:val="00ED3017"/>
    <w:rsid w:val="00ED3129"/>
    <w:rsid w:val="00ED3376"/>
    <w:rsid w:val="00ED3548"/>
    <w:rsid w:val="00ED3AB0"/>
    <w:rsid w:val="00ED3C4D"/>
    <w:rsid w:val="00ED4186"/>
    <w:rsid w:val="00ED424A"/>
    <w:rsid w:val="00ED446D"/>
    <w:rsid w:val="00ED49B4"/>
    <w:rsid w:val="00ED4B59"/>
    <w:rsid w:val="00ED4FD2"/>
    <w:rsid w:val="00ED5151"/>
    <w:rsid w:val="00ED51D1"/>
    <w:rsid w:val="00ED53DC"/>
    <w:rsid w:val="00ED56C7"/>
    <w:rsid w:val="00ED5746"/>
    <w:rsid w:val="00ED5A11"/>
    <w:rsid w:val="00ED5B25"/>
    <w:rsid w:val="00ED5C0A"/>
    <w:rsid w:val="00ED5E19"/>
    <w:rsid w:val="00ED656A"/>
    <w:rsid w:val="00ED692A"/>
    <w:rsid w:val="00ED6A65"/>
    <w:rsid w:val="00ED6AA4"/>
    <w:rsid w:val="00ED6D1A"/>
    <w:rsid w:val="00ED7356"/>
    <w:rsid w:val="00ED767C"/>
    <w:rsid w:val="00ED7692"/>
    <w:rsid w:val="00ED7B4B"/>
    <w:rsid w:val="00ED7C61"/>
    <w:rsid w:val="00ED7DC6"/>
    <w:rsid w:val="00ED7FE7"/>
    <w:rsid w:val="00EE0645"/>
    <w:rsid w:val="00EE06E4"/>
    <w:rsid w:val="00EE089F"/>
    <w:rsid w:val="00EE137A"/>
    <w:rsid w:val="00EE1EEF"/>
    <w:rsid w:val="00EE22F7"/>
    <w:rsid w:val="00EE2523"/>
    <w:rsid w:val="00EE26B7"/>
    <w:rsid w:val="00EE28AF"/>
    <w:rsid w:val="00EE2E54"/>
    <w:rsid w:val="00EE31BA"/>
    <w:rsid w:val="00EE32B7"/>
    <w:rsid w:val="00EE3583"/>
    <w:rsid w:val="00EE368E"/>
    <w:rsid w:val="00EE3CC1"/>
    <w:rsid w:val="00EE3ECF"/>
    <w:rsid w:val="00EE422C"/>
    <w:rsid w:val="00EE42B7"/>
    <w:rsid w:val="00EE46F2"/>
    <w:rsid w:val="00EE48DE"/>
    <w:rsid w:val="00EE52BF"/>
    <w:rsid w:val="00EE52F3"/>
    <w:rsid w:val="00EE57A0"/>
    <w:rsid w:val="00EE5810"/>
    <w:rsid w:val="00EE5A1B"/>
    <w:rsid w:val="00EE5BA4"/>
    <w:rsid w:val="00EE5C2E"/>
    <w:rsid w:val="00EE5F13"/>
    <w:rsid w:val="00EE60D1"/>
    <w:rsid w:val="00EE60D9"/>
    <w:rsid w:val="00EE62E9"/>
    <w:rsid w:val="00EE6405"/>
    <w:rsid w:val="00EE6606"/>
    <w:rsid w:val="00EE6708"/>
    <w:rsid w:val="00EE68DE"/>
    <w:rsid w:val="00EE6A63"/>
    <w:rsid w:val="00EE6AA2"/>
    <w:rsid w:val="00EE7027"/>
    <w:rsid w:val="00EE70C1"/>
    <w:rsid w:val="00EE7209"/>
    <w:rsid w:val="00EE72FF"/>
    <w:rsid w:val="00EE7627"/>
    <w:rsid w:val="00EE79E1"/>
    <w:rsid w:val="00EE7A15"/>
    <w:rsid w:val="00EE7D74"/>
    <w:rsid w:val="00EE7DF2"/>
    <w:rsid w:val="00EE7E60"/>
    <w:rsid w:val="00EF00F9"/>
    <w:rsid w:val="00EF0413"/>
    <w:rsid w:val="00EF059B"/>
    <w:rsid w:val="00EF05D9"/>
    <w:rsid w:val="00EF079E"/>
    <w:rsid w:val="00EF089B"/>
    <w:rsid w:val="00EF108E"/>
    <w:rsid w:val="00EF1712"/>
    <w:rsid w:val="00EF1766"/>
    <w:rsid w:val="00EF17C0"/>
    <w:rsid w:val="00EF19D0"/>
    <w:rsid w:val="00EF1A48"/>
    <w:rsid w:val="00EF1C1C"/>
    <w:rsid w:val="00EF2447"/>
    <w:rsid w:val="00EF2537"/>
    <w:rsid w:val="00EF2C72"/>
    <w:rsid w:val="00EF2E7B"/>
    <w:rsid w:val="00EF31C8"/>
    <w:rsid w:val="00EF3714"/>
    <w:rsid w:val="00EF38AE"/>
    <w:rsid w:val="00EF3B7B"/>
    <w:rsid w:val="00EF4283"/>
    <w:rsid w:val="00EF4399"/>
    <w:rsid w:val="00EF4A99"/>
    <w:rsid w:val="00EF4A9F"/>
    <w:rsid w:val="00EF4AB6"/>
    <w:rsid w:val="00EF4E22"/>
    <w:rsid w:val="00EF5145"/>
    <w:rsid w:val="00EF5177"/>
    <w:rsid w:val="00EF53E2"/>
    <w:rsid w:val="00EF5539"/>
    <w:rsid w:val="00EF5617"/>
    <w:rsid w:val="00EF5A24"/>
    <w:rsid w:val="00EF6196"/>
    <w:rsid w:val="00EF61AA"/>
    <w:rsid w:val="00EF61BE"/>
    <w:rsid w:val="00EF63BA"/>
    <w:rsid w:val="00EF6649"/>
    <w:rsid w:val="00EF668E"/>
    <w:rsid w:val="00EF6864"/>
    <w:rsid w:val="00EF6909"/>
    <w:rsid w:val="00EF6AB8"/>
    <w:rsid w:val="00EF6C3F"/>
    <w:rsid w:val="00EF70D1"/>
    <w:rsid w:val="00EF7100"/>
    <w:rsid w:val="00EF716C"/>
    <w:rsid w:val="00EF738C"/>
    <w:rsid w:val="00EF7668"/>
    <w:rsid w:val="00EF7992"/>
    <w:rsid w:val="00EF7BF2"/>
    <w:rsid w:val="00EF7C80"/>
    <w:rsid w:val="00EF7E40"/>
    <w:rsid w:val="00EF7F0E"/>
    <w:rsid w:val="00F0034E"/>
    <w:rsid w:val="00F00585"/>
    <w:rsid w:val="00F00932"/>
    <w:rsid w:val="00F00A76"/>
    <w:rsid w:val="00F00AB3"/>
    <w:rsid w:val="00F00BAA"/>
    <w:rsid w:val="00F013C8"/>
    <w:rsid w:val="00F01426"/>
    <w:rsid w:val="00F0146F"/>
    <w:rsid w:val="00F01580"/>
    <w:rsid w:val="00F016B6"/>
    <w:rsid w:val="00F0185A"/>
    <w:rsid w:val="00F01866"/>
    <w:rsid w:val="00F019C5"/>
    <w:rsid w:val="00F01D9C"/>
    <w:rsid w:val="00F01F26"/>
    <w:rsid w:val="00F01FDD"/>
    <w:rsid w:val="00F02332"/>
    <w:rsid w:val="00F0236E"/>
    <w:rsid w:val="00F0250C"/>
    <w:rsid w:val="00F02612"/>
    <w:rsid w:val="00F03332"/>
    <w:rsid w:val="00F033FA"/>
    <w:rsid w:val="00F03B53"/>
    <w:rsid w:val="00F03CA3"/>
    <w:rsid w:val="00F03E40"/>
    <w:rsid w:val="00F04E1B"/>
    <w:rsid w:val="00F052D6"/>
    <w:rsid w:val="00F0546C"/>
    <w:rsid w:val="00F05527"/>
    <w:rsid w:val="00F05DF6"/>
    <w:rsid w:val="00F05E4B"/>
    <w:rsid w:val="00F060BB"/>
    <w:rsid w:val="00F061F5"/>
    <w:rsid w:val="00F0637C"/>
    <w:rsid w:val="00F065ED"/>
    <w:rsid w:val="00F06710"/>
    <w:rsid w:val="00F06965"/>
    <w:rsid w:val="00F06AF3"/>
    <w:rsid w:val="00F06B5A"/>
    <w:rsid w:val="00F06B7B"/>
    <w:rsid w:val="00F0702F"/>
    <w:rsid w:val="00F07448"/>
    <w:rsid w:val="00F0772A"/>
    <w:rsid w:val="00F077D1"/>
    <w:rsid w:val="00F07952"/>
    <w:rsid w:val="00F07B60"/>
    <w:rsid w:val="00F07DB5"/>
    <w:rsid w:val="00F07E58"/>
    <w:rsid w:val="00F10CE6"/>
    <w:rsid w:val="00F10FD7"/>
    <w:rsid w:val="00F11157"/>
    <w:rsid w:val="00F11164"/>
    <w:rsid w:val="00F114D6"/>
    <w:rsid w:val="00F119DA"/>
    <w:rsid w:val="00F11ABC"/>
    <w:rsid w:val="00F11F74"/>
    <w:rsid w:val="00F122A9"/>
    <w:rsid w:val="00F128CB"/>
    <w:rsid w:val="00F12C3A"/>
    <w:rsid w:val="00F1318E"/>
    <w:rsid w:val="00F138D2"/>
    <w:rsid w:val="00F13939"/>
    <w:rsid w:val="00F13A5E"/>
    <w:rsid w:val="00F13E6F"/>
    <w:rsid w:val="00F14270"/>
    <w:rsid w:val="00F14970"/>
    <w:rsid w:val="00F14A72"/>
    <w:rsid w:val="00F14CAE"/>
    <w:rsid w:val="00F14EDE"/>
    <w:rsid w:val="00F14F6A"/>
    <w:rsid w:val="00F14FEE"/>
    <w:rsid w:val="00F15246"/>
    <w:rsid w:val="00F1524E"/>
    <w:rsid w:val="00F152AD"/>
    <w:rsid w:val="00F1544B"/>
    <w:rsid w:val="00F155F3"/>
    <w:rsid w:val="00F156C6"/>
    <w:rsid w:val="00F15789"/>
    <w:rsid w:val="00F1593B"/>
    <w:rsid w:val="00F159A2"/>
    <w:rsid w:val="00F160B1"/>
    <w:rsid w:val="00F16186"/>
    <w:rsid w:val="00F162B7"/>
    <w:rsid w:val="00F16317"/>
    <w:rsid w:val="00F163EB"/>
    <w:rsid w:val="00F1651D"/>
    <w:rsid w:val="00F16BF1"/>
    <w:rsid w:val="00F16CAA"/>
    <w:rsid w:val="00F16D29"/>
    <w:rsid w:val="00F16FA0"/>
    <w:rsid w:val="00F17331"/>
    <w:rsid w:val="00F173A9"/>
    <w:rsid w:val="00F17523"/>
    <w:rsid w:val="00F1763E"/>
    <w:rsid w:val="00F17748"/>
    <w:rsid w:val="00F17955"/>
    <w:rsid w:val="00F17AF3"/>
    <w:rsid w:val="00F17F7B"/>
    <w:rsid w:val="00F20462"/>
    <w:rsid w:val="00F20493"/>
    <w:rsid w:val="00F20991"/>
    <w:rsid w:val="00F209E3"/>
    <w:rsid w:val="00F20A2B"/>
    <w:rsid w:val="00F20A88"/>
    <w:rsid w:val="00F21436"/>
    <w:rsid w:val="00F21D3E"/>
    <w:rsid w:val="00F223D6"/>
    <w:rsid w:val="00F22F29"/>
    <w:rsid w:val="00F23132"/>
    <w:rsid w:val="00F2319F"/>
    <w:rsid w:val="00F231BC"/>
    <w:rsid w:val="00F23208"/>
    <w:rsid w:val="00F2375D"/>
    <w:rsid w:val="00F23F41"/>
    <w:rsid w:val="00F24939"/>
    <w:rsid w:val="00F249CF"/>
    <w:rsid w:val="00F24C88"/>
    <w:rsid w:val="00F24CA3"/>
    <w:rsid w:val="00F24D58"/>
    <w:rsid w:val="00F25183"/>
    <w:rsid w:val="00F2651C"/>
    <w:rsid w:val="00F26553"/>
    <w:rsid w:val="00F265B2"/>
    <w:rsid w:val="00F269C9"/>
    <w:rsid w:val="00F26A8F"/>
    <w:rsid w:val="00F26CB1"/>
    <w:rsid w:val="00F26E7A"/>
    <w:rsid w:val="00F27227"/>
    <w:rsid w:val="00F2738E"/>
    <w:rsid w:val="00F27445"/>
    <w:rsid w:val="00F27601"/>
    <w:rsid w:val="00F278B8"/>
    <w:rsid w:val="00F27A71"/>
    <w:rsid w:val="00F27D6F"/>
    <w:rsid w:val="00F27E74"/>
    <w:rsid w:val="00F304B9"/>
    <w:rsid w:val="00F3075F"/>
    <w:rsid w:val="00F30D94"/>
    <w:rsid w:val="00F30E4A"/>
    <w:rsid w:val="00F3105B"/>
    <w:rsid w:val="00F3134A"/>
    <w:rsid w:val="00F3196F"/>
    <w:rsid w:val="00F31DE2"/>
    <w:rsid w:val="00F32920"/>
    <w:rsid w:val="00F329EC"/>
    <w:rsid w:val="00F32BD2"/>
    <w:rsid w:val="00F32D7D"/>
    <w:rsid w:val="00F334B6"/>
    <w:rsid w:val="00F3377B"/>
    <w:rsid w:val="00F338BE"/>
    <w:rsid w:val="00F338C7"/>
    <w:rsid w:val="00F33933"/>
    <w:rsid w:val="00F34218"/>
    <w:rsid w:val="00F3421D"/>
    <w:rsid w:val="00F34493"/>
    <w:rsid w:val="00F3467A"/>
    <w:rsid w:val="00F34886"/>
    <w:rsid w:val="00F34A25"/>
    <w:rsid w:val="00F34A58"/>
    <w:rsid w:val="00F34AC9"/>
    <w:rsid w:val="00F34BD4"/>
    <w:rsid w:val="00F34FE1"/>
    <w:rsid w:val="00F3512F"/>
    <w:rsid w:val="00F3544D"/>
    <w:rsid w:val="00F35702"/>
    <w:rsid w:val="00F35707"/>
    <w:rsid w:val="00F35804"/>
    <w:rsid w:val="00F35A53"/>
    <w:rsid w:val="00F36046"/>
    <w:rsid w:val="00F36242"/>
    <w:rsid w:val="00F36706"/>
    <w:rsid w:val="00F36726"/>
    <w:rsid w:val="00F36746"/>
    <w:rsid w:val="00F36E57"/>
    <w:rsid w:val="00F3711B"/>
    <w:rsid w:val="00F37128"/>
    <w:rsid w:val="00F37199"/>
    <w:rsid w:val="00F3733C"/>
    <w:rsid w:val="00F376FC"/>
    <w:rsid w:val="00F37703"/>
    <w:rsid w:val="00F377C9"/>
    <w:rsid w:val="00F37CF7"/>
    <w:rsid w:val="00F37F7F"/>
    <w:rsid w:val="00F40D7B"/>
    <w:rsid w:val="00F40F0D"/>
    <w:rsid w:val="00F411A3"/>
    <w:rsid w:val="00F4138C"/>
    <w:rsid w:val="00F41403"/>
    <w:rsid w:val="00F416E7"/>
    <w:rsid w:val="00F41936"/>
    <w:rsid w:val="00F42466"/>
    <w:rsid w:val="00F426F1"/>
    <w:rsid w:val="00F435D2"/>
    <w:rsid w:val="00F44939"/>
    <w:rsid w:val="00F44CD2"/>
    <w:rsid w:val="00F44E6B"/>
    <w:rsid w:val="00F44E86"/>
    <w:rsid w:val="00F451DD"/>
    <w:rsid w:val="00F451E4"/>
    <w:rsid w:val="00F457E2"/>
    <w:rsid w:val="00F467E9"/>
    <w:rsid w:val="00F46D25"/>
    <w:rsid w:val="00F46E4E"/>
    <w:rsid w:val="00F473FC"/>
    <w:rsid w:val="00F47456"/>
    <w:rsid w:val="00F47799"/>
    <w:rsid w:val="00F477B0"/>
    <w:rsid w:val="00F47D43"/>
    <w:rsid w:val="00F5039F"/>
    <w:rsid w:val="00F503FE"/>
    <w:rsid w:val="00F505B5"/>
    <w:rsid w:val="00F50904"/>
    <w:rsid w:val="00F50A3E"/>
    <w:rsid w:val="00F50BB5"/>
    <w:rsid w:val="00F50EB8"/>
    <w:rsid w:val="00F50F29"/>
    <w:rsid w:val="00F51253"/>
    <w:rsid w:val="00F51353"/>
    <w:rsid w:val="00F51611"/>
    <w:rsid w:val="00F527B6"/>
    <w:rsid w:val="00F52B29"/>
    <w:rsid w:val="00F52B5F"/>
    <w:rsid w:val="00F52E46"/>
    <w:rsid w:val="00F52F4D"/>
    <w:rsid w:val="00F53663"/>
    <w:rsid w:val="00F53CAE"/>
    <w:rsid w:val="00F552CD"/>
    <w:rsid w:val="00F553DA"/>
    <w:rsid w:val="00F5568A"/>
    <w:rsid w:val="00F5612D"/>
    <w:rsid w:val="00F5632F"/>
    <w:rsid w:val="00F56388"/>
    <w:rsid w:val="00F5646F"/>
    <w:rsid w:val="00F566FF"/>
    <w:rsid w:val="00F56B10"/>
    <w:rsid w:val="00F56C9C"/>
    <w:rsid w:val="00F57008"/>
    <w:rsid w:val="00F57102"/>
    <w:rsid w:val="00F571A7"/>
    <w:rsid w:val="00F571D3"/>
    <w:rsid w:val="00F57242"/>
    <w:rsid w:val="00F57459"/>
    <w:rsid w:val="00F575B4"/>
    <w:rsid w:val="00F576D9"/>
    <w:rsid w:val="00F57A35"/>
    <w:rsid w:val="00F57B5F"/>
    <w:rsid w:val="00F57B63"/>
    <w:rsid w:val="00F6064D"/>
    <w:rsid w:val="00F60D33"/>
    <w:rsid w:val="00F60DE5"/>
    <w:rsid w:val="00F60FFE"/>
    <w:rsid w:val="00F61021"/>
    <w:rsid w:val="00F611A3"/>
    <w:rsid w:val="00F611C1"/>
    <w:rsid w:val="00F614D6"/>
    <w:rsid w:val="00F614E0"/>
    <w:rsid w:val="00F61C52"/>
    <w:rsid w:val="00F61E0E"/>
    <w:rsid w:val="00F61FBC"/>
    <w:rsid w:val="00F628B2"/>
    <w:rsid w:val="00F62DEB"/>
    <w:rsid w:val="00F62EEB"/>
    <w:rsid w:val="00F633AC"/>
    <w:rsid w:val="00F6345A"/>
    <w:rsid w:val="00F6387B"/>
    <w:rsid w:val="00F63EAE"/>
    <w:rsid w:val="00F64187"/>
    <w:rsid w:val="00F64866"/>
    <w:rsid w:val="00F649D5"/>
    <w:rsid w:val="00F64A5D"/>
    <w:rsid w:val="00F64AB8"/>
    <w:rsid w:val="00F652C1"/>
    <w:rsid w:val="00F65489"/>
    <w:rsid w:val="00F65773"/>
    <w:rsid w:val="00F65AB6"/>
    <w:rsid w:val="00F65BCA"/>
    <w:rsid w:val="00F65CEF"/>
    <w:rsid w:val="00F66191"/>
    <w:rsid w:val="00F66473"/>
    <w:rsid w:val="00F66631"/>
    <w:rsid w:val="00F66824"/>
    <w:rsid w:val="00F66AE6"/>
    <w:rsid w:val="00F66B63"/>
    <w:rsid w:val="00F672AD"/>
    <w:rsid w:val="00F6744F"/>
    <w:rsid w:val="00F674DC"/>
    <w:rsid w:val="00F67DD1"/>
    <w:rsid w:val="00F67F0B"/>
    <w:rsid w:val="00F707C8"/>
    <w:rsid w:val="00F70EA4"/>
    <w:rsid w:val="00F71497"/>
    <w:rsid w:val="00F714FC"/>
    <w:rsid w:val="00F71695"/>
    <w:rsid w:val="00F71E68"/>
    <w:rsid w:val="00F721EE"/>
    <w:rsid w:val="00F72223"/>
    <w:rsid w:val="00F724AE"/>
    <w:rsid w:val="00F72536"/>
    <w:rsid w:val="00F728C5"/>
    <w:rsid w:val="00F728CD"/>
    <w:rsid w:val="00F72B7F"/>
    <w:rsid w:val="00F73474"/>
    <w:rsid w:val="00F737C0"/>
    <w:rsid w:val="00F73884"/>
    <w:rsid w:val="00F73C51"/>
    <w:rsid w:val="00F73DDE"/>
    <w:rsid w:val="00F73F5E"/>
    <w:rsid w:val="00F7430D"/>
    <w:rsid w:val="00F74505"/>
    <w:rsid w:val="00F74B5C"/>
    <w:rsid w:val="00F74D1F"/>
    <w:rsid w:val="00F74E0B"/>
    <w:rsid w:val="00F7541D"/>
    <w:rsid w:val="00F75623"/>
    <w:rsid w:val="00F75849"/>
    <w:rsid w:val="00F758BD"/>
    <w:rsid w:val="00F758DC"/>
    <w:rsid w:val="00F75ACF"/>
    <w:rsid w:val="00F760C8"/>
    <w:rsid w:val="00F766C1"/>
    <w:rsid w:val="00F767CB"/>
    <w:rsid w:val="00F76865"/>
    <w:rsid w:val="00F76AB2"/>
    <w:rsid w:val="00F76DBF"/>
    <w:rsid w:val="00F76FB9"/>
    <w:rsid w:val="00F773BD"/>
    <w:rsid w:val="00F775EA"/>
    <w:rsid w:val="00F7760C"/>
    <w:rsid w:val="00F777AB"/>
    <w:rsid w:val="00F77C02"/>
    <w:rsid w:val="00F77E55"/>
    <w:rsid w:val="00F80597"/>
    <w:rsid w:val="00F807F0"/>
    <w:rsid w:val="00F80C55"/>
    <w:rsid w:val="00F80D3E"/>
    <w:rsid w:val="00F81156"/>
    <w:rsid w:val="00F8124C"/>
    <w:rsid w:val="00F8167F"/>
    <w:rsid w:val="00F81D68"/>
    <w:rsid w:val="00F81E82"/>
    <w:rsid w:val="00F8248B"/>
    <w:rsid w:val="00F82629"/>
    <w:rsid w:val="00F827C7"/>
    <w:rsid w:val="00F827F3"/>
    <w:rsid w:val="00F82DE9"/>
    <w:rsid w:val="00F82E9D"/>
    <w:rsid w:val="00F82EEC"/>
    <w:rsid w:val="00F82EF4"/>
    <w:rsid w:val="00F82FA5"/>
    <w:rsid w:val="00F830A8"/>
    <w:rsid w:val="00F83830"/>
    <w:rsid w:val="00F8433D"/>
    <w:rsid w:val="00F84433"/>
    <w:rsid w:val="00F846E2"/>
    <w:rsid w:val="00F84BE0"/>
    <w:rsid w:val="00F8560A"/>
    <w:rsid w:val="00F85B33"/>
    <w:rsid w:val="00F8689B"/>
    <w:rsid w:val="00F86B00"/>
    <w:rsid w:val="00F86C1B"/>
    <w:rsid w:val="00F86E19"/>
    <w:rsid w:val="00F86F76"/>
    <w:rsid w:val="00F8748C"/>
    <w:rsid w:val="00F87917"/>
    <w:rsid w:val="00F87AA8"/>
    <w:rsid w:val="00F87AED"/>
    <w:rsid w:val="00F9044A"/>
    <w:rsid w:val="00F905A4"/>
    <w:rsid w:val="00F9097A"/>
    <w:rsid w:val="00F90CAD"/>
    <w:rsid w:val="00F90D0F"/>
    <w:rsid w:val="00F90D16"/>
    <w:rsid w:val="00F90F52"/>
    <w:rsid w:val="00F90F6D"/>
    <w:rsid w:val="00F9116E"/>
    <w:rsid w:val="00F912E7"/>
    <w:rsid w:val="00F912F1"/>
    <w:rsid w:val="00F91693"/>
    <w:rsid w:val="00F91AC6"/>
    <w:rsid w:val="00F91C34"/>
    <w:rsid w:val="00F91EEF"/>
    <w:rsid w:val="00F92189"/>
    <w:rsid w:val="00F92365"/>
    <w:rsid w:val="00F92583"/>
    <w:rsid w:val="00F925FA"/>
    <w:rsid w:val="00F92708"/>
    <w:rsid w:val="00F92A5C"/>
    <w:rsid w:val="00F92B35"/>
    <w:rsid w:val="00F92D14"/>
    <w:rsid w:val="00F930B2"/>
    <w:rsid w:val="00F9313D"/>
    <w:rsid w:val="00F931C8"/>
    <w:rsid w:val="00F93289"/>
    <w:rsid w:val="00F936E9"/>
    <w:rsid w:val="00F93BA0"/>
    <w:rsid w:val="00F93E67"/>
    <w:rsid w:val="00F940F7"/>
    <w:rsid w:val="00F941E0"/>
    <w:rsid w:val="00F94268"/>
    <w:rsid w:val="00F94308"/>
    <w:rsid w:val="00F9438E"/>
    <w:rsid w:val="00F94632"/>
    <w:rsid w:val="00F94A5E"/>
    <w:rsid w:val="00F957D6"/>
    <w:rsid w:val="00F9582A"/>
    <w:rsid w:val="00F95BAF"/>
    <w:rsid w:val="00F95F30"/>
    <w:rsid w:val="00F963FE"/>
    <w:rsid w:val="00F974E7"/>
    <w:rsid w:val="00F9762C"/>
    <w:rsid w:val="00F97792"/>
    <w:rsid w:val="00F978CC"/>
    <w:rsid w:val="00F979D5"/>
    <w:rsid w:val="00FA02F2"/>
    <w:rsid w:val="00FA03E8"/>
    <w:rsid w:val="00FA048B"/>
    <w:rsid w:val="00FA05D7"/>
    <w:rsid w:val="00FA06E3"/>
    <w:rsid w:val="00FA0767"/>
    <w:rsid w:val="00FA091E"/>
    <w:rsid w:val="00FA0BEA"/>
    <w:rsid w:val="00FA0C9C"/>
    <w:rsid w:val="00FA0F79"/>
    <w:rsid w:val="00FA0F89"/>
    <w:rsid w:val="00FA1119"/>
    <w:rsid w:val="00FA134E"/>
    <w:rsid w:val="00FA138E"/>
    <w:rsid w:val="00FA1426"/>
    <w:rsid w:val="00FA14AE"/>
    <w:rsid w:val="00FA2C84"/>
    <w:rsid w:val="00FA37FD"/>
    <w:rsid w:val="00FA39C4"/>
    <w:rsid w:val="00FA414B"/>
    <w:rsid w:val="00FA4315"/>
    <w:rsid w:val="00FA44B5"/>
    <w:rsid w:val="00FA4A26"/>
    <w:rsid w:val="00FA4A7E"/>
    <w:rsid w:val="00FA4B3A"/>
    <w:rsid w:val="00FA51B3"/>
    <w:rsid w:val="00FA57F1"/>
    <w:rsid w:val="00FA67A2"/>
    <w:rsid w:val="00FA683E"/>
    <w:rsid w:val="00FA69D0"/>
    <w:rsid w:val="00FA6CD9"/>
    <w:rsid w:val="00FA6F68"/>
    <w:rsid w:val="00FA77F9"/>
    <w:rsid w:val="00FA794D"/>
    <w:rsid w:val="00FA7A25"/>
    <w:rsid w:val="00FA7C91"/>
    <w:rsid w:val="00FA7DDE"/>
    <w:rsid w:val="00FA7E1C"/>
    <w:rsid w:val="00FA7FF0"/>
    <w:rsid w:val="00FB009C"/>
    <w:rsid w:val="00FB00DB"/>
    <w:rsid w:val="00FB0474"/>
    <w:rsid w:val="00FB04BC"/>
    <w:rsid w:val="00FB060F"/>
    <w:rsid w:val="00FB07DA"/>
    <w:rsid w:val="00FB0D3C"/>
    <w:rsid w:val="00FB1586"/>
    <w:rsid w:val="00FB1B14"/>
    <w:rsid w:val="00FB1B20"/>
    <w:rsid w:val="00FB1D4E"/>
    <w:rsid w:val="00FB2A5B"/>
    <w:rsid w:val="00FB2CA7"/>
    <w:rsid w:val="00FB2CEB"/>
    <w:rsid w:val="00FB33C1"/>
    <w:rsid w:val="00FB34BE"/>
    <w:rsid w:val="00FB3580"/>
    <w:rsid w:val="00FB37DD"/>
    <w:rsid w:val="00FB3843"/>
    <w:rsid w:val="00FB3985"/>
    <w:rsid w:val="00FB398E"/>
    <w:rsid w:val="00FB3CC1"/>
    <w:rsid w:val="00FB3FC4"/>
    <w:rsid w:val="00FB40FB"/>
    <w:rsid w:val="00FB4218"/>
    <w:rsid w:val="00FB43E0"/>
    <w:rsid w:val="00FB43ED"/>
    <w:rsid w:val="00FB4A71"/>
    <w:rsid w:val="00FB4C8B"/>
    <w:rsid w:val="00FB4DE4"/>
    <w:rsid w:val="00FB4E1E"/>
    <w:rsid w:val="00FB4E35"/>
    <w:rsid w:val="00FB4F41"/>
    <w:rsid w:val="00FB51B0"/>
    <w:rsid w:val="00FB53A2"/>
    <w:rsid w:val="00FB547D"/>
    <w:rsid w:val="00FB55A2"/>
    <w:rsid w:val="00FB55CF"/>
    <w:rsid w:val="00FB5C77"/>
    <w:rsid w:val="00FB5D17"/>
    <w:rsid w:val="00FB5FB8"/>
    <w:rsid w:val="00FB615E"/>
    <w:rsid w:val="00FB61C1"/>
    <w:rsid w:val="00FB637D"/>
    <w:rsid w:val="00FB6384"/>
    <w:rsid w:val="00FB6778"/>
    <w:rsid w:val="00FB67A2"/>
    <w:rsid w:val="00FB6977"/>
    <w:rsid w:val="00FB6BC8"/>
    <w:rsid w:val="00FB6D2D"/>
    <w:rsid w:val="00FB7063"/>
    <w:rsid w:val="00FB70E8"/>
    <w:rsid w:val="00FB7265"/>
    <w:rsid w:val="00FB7512"/>
    <w:rsid w:val="00FB7786"/>
    <w:rsid w:val="00FB78A4"/>
    <w:rsid w:val="00FB7C03"/>
    <w:rsid w:val="00FC032A"/>
    <w:rsid w:val="00FC0C96"/>
    <w:rsid w:val="00FC190C"/>
    <w:rsid w:val="00FC1D60"/>
    <w:rsid w:val="00FC21CA"/>
    <w:rsid w:val="00FC22F1"/>
    <w:rsid w:val="00FC2543"/>
    <w:rsid w:val="00FC2626"/>
    <w:rsid w:val="00FC273C"/>
    <w:rsid w:val="00FC28EF"/>
    <w:rsid w:val="00FC2A01"/>
    <w:rsid w:val="00FC2A8A"/>
    <w:rsid w:val="00FC2AF0"/>
    <w:rsid w:val="00FC2D99"/>
    <w:rsid w:val="00FC2FBB"/>
    <w:rsid w:val="00FC3184"/>
    <w:rsid w:val="00FC35F1"/>
    <w:rsid w:val="00FC3808"/>
    <w:rsid w:val="00FC422E"/>
    <w:rsid w:val="00FC453E"/>
    <w:rsid w:val="00FC4631"/>
    <w:rsid w:val="00FC4865"/>
    <w:rsid w:val="00FC4872"/>
    <w:rsid w:val="00FC4DCB"/>
    <w:rsid w:val="00FC503D"/>
    <w:rsid w:val="00FC50E8"/>
    <w:rsid w:val="00FC52B0"/>
    <w:rsid w:val="00FC5998"/>
    <w:rsid w:val="00FC5A08"/>
    <w:rsid w:val="00FC5D6E"/>
    <w:rsid w:val="00FC5EDE"/>
    <w:rsid w:val="00FC5F81"/>
    <w:rsid w:val="00FC6022"/>
    <w:rsid w:val="00FC602E"/>
    <w:rsid w:val="00FC61C5"/>
    <w:rsid w:val="00FC622F"/>
    <w:rsid w:val="00FC62A0"/>
    <w:rsid w:val="00FC6454"/>
    <w:rsid w:val="00FC66BA"/>
    <w:rsid w:val="00FC6A9D"/>
    <w:rsid w:val="00FC6F18"/>
    <w:rsid w:val="00FC706A"/>
    <w:rsid w:val="00FC725E"/>
    <w:rsid w:val="00FC7534"/>
    <w:rsid w:val="00FC75B6"/>
    <w:rsid w:val="00FC774E"/>
    <w:rsid w:val="00FC791F"/>
    <w:rsid w:val="00FD00F5"/>
    <w:rsid w:val="00FD0859"/>
    <w:rsid w:val="00FD0BC5"/>
    <w:rsid w:val="00FD0DD8"/>
    <w:rsid w:val="00FD1597"/>
    <w:rsid w:val="00FD1943"/>
    <w:rsid w:val="00FD197F"/>
    <w:rsid w:val="00FD1BD8"/>
    <w:rsid w:val="00FD215F"/>
    <w:rsid w:val="00FD219C"/>
    <w:rsid w:val="00FD21EF"/>
    <w:rsid w:val="00FD2213"/>
    <w:rsid w:val="00FD2434"/>
    <w:rsid w:val="00FD2591"/>
    <w:rsid w:val="00FD2FB6"/>
    <w:rsid w:val="00FD3534"/>
    <w:rsid w:val="00FD359C"/>
    <w:rsid w:val="00FD411D"/>
    <w:rsid w:val="00FD4267"/>
    <w:rsid w:val="00FD437C"/>
    <w:rsid w:val="00FD46F4"/>
    <w:rsid w:val="00FD4978"/>
    <w:rsid w:val="00FD4DEA"/>
    <w:rsid w:val="00FD5127"/>
    <w:rsid w:val="00FD514F"/>
    <w:rsid w:val="00FD52B6"/>
    <w:rsid w:val="00FD56DF"/>
    <w:rsid w:val="00FD5859"/>
    <w:rsid w:val="00FD5932"/>
    <w:rsid w:val="00FD651C"/>
    <w:rsid w:val="00FD69D6"/>
    <w:rsid w:val="00FD6A20"/>
    <w:rsid w:val="00FD6B8A"/>
    <w:rsid w:val="00FD78BE"/>
    <w:rsid w:val="00FD7926"/>
    <w:rsid w:val="00FE01C8"/>
    <w:rsid w:val="00FE0478"/>
    <w:rsid w:val="00FE0740"/>
    <w:rsid w:val="00FE0813"/>
    <w:rsid w:val="00FE088D"/>
    <w:rsid w:val="00FE0C4E"/>
    <w:rsid w:val="00FE0F55"/>
    <w:rsid w:val="00FE1073"/>
    <w:rsid w:val="00FE14AB"/>
    <w:rsid w:val="00FE19BB"/>
    <w:rsid w:val="00FE1A1A"/>
    <w:rsid w:val="00FE1C6B"/>
    <w:rsid w:val="00FE1D42"/>
    <w:rsid w:val="00FE202B"/>
    <w:rsid w:val="00FE2183"/>
    <w:rsid w:val="00FE228D"/>
    <w:rsid w:val="00FE22D1"/>
    <w:rsid w:val="00FE2779"/>
    <w:rsid w:val="00FE397A"/>
    <w:rsid w:val="00FE3A2A"/>
    <w:rsid w:val="00FE3CAA"/>
    <w:rsid w:val="00FE3DB5"/>
    <w:rsid w:val="00FE3ED1"/>
    <w:rsid w:val="00FE445D"/>
    <w:rsid w:val="00FE45D8"/>
    <w:rsid w:val="00FE4752"/>
    <w:rsid w:val="00FE4AD2"/>
    <w:rsid w:val="00FE4C13"/>
    <w:rsid w:val="00FE4C21"/>
    <w:rsid w:val="00FE4EF9"/>
    <w:rsid w:val="00FE5688"/>
    <w:rsid w:val="00FE56C5"/>
    <w:rsid w:val="00FE5E28"/>
    <w:rsid w:val="00FE61CF"/>
    <w:rsid w:val="00FE6252"/>
    <w:rsid w:val="00FE635A"/>
    <w:rsid w:val="00FE643E"/>
    <w:rsid w:val="00FE64CF"/>
    <w:rsid w:val="00FE6603"/>
    <w:rsid w:val="00FE6737"/>
    <w:rsid w:val="00FE6A8E"/>
    <w:rsid w:val="00FE6E0F"/>
    <w:rsid w:val="00FE6F31"/>
    <w:rsid w:val="00FE7072"/>
    <w:rsid w:val="00FE7100"/>
    <w:rsid w:val="00FE738B"/>
    <w:rsid w:val="00FE73A2"/>
    <w:rsid w:val="00FE7D73"/>
    <w:rsid w:val="00FE7DCD"/>
    <w:rsid w:val="00FE7F5A"/>
    <w:rsid w:val="00FE7FBD"/>
    <w:rsid w:val="00FE7FD4"/>
    <w:rsid w:val="00FF0213"/>
    <w:rsid w:val="00FF03B9"/>
    <w:rsid w:val="00FF0E6A"/>
    <w:rsid w:val="00FF124B"/>
    <w:rsid w:val="00FF1774"/>
    <w:rsid w:val="00FF1BDE"/>
    <w:rsid w:val="00FF1F7B"/>
    <w:rsid w:val="00FF1FA3"/>
    <w:rsid w:val="00FF2165"/>
    <w:rsid w:val="00FF2495"/>
    <w:rsid w:val="00FF2B29"/>
    <w:rsid w:val="00FF2D06"/>
    <w:rsid w:val="00FF3786"/>
    <w:rsid w:val="00FF37F8"/>
    <w:rsid w:val="00FF3BC7"/>
    <w:rsid w:val="00FF3CDE"/>
    <w:rsid w:val="00FF40DB"/>
    <w:rsid w:val="00FF41DA"/>
    <w:rsid w:val="00FF44C4"/>
    <w:rsid w:val="00FF4635"/>
    <w:rsid w:val="00FF4649"/>
    <w:rsid w:val="00FF46A6"/>
    <w:rsid w:val="00FF4700"/>
    <w:rsid w:val="00FF49EC"/>
    <w:rsid w:val="00FF4B31"/>
    <w:rsid w:val="00FF4CC9"/>
    <w:rsid w:val="00FF5725"/>
    <w:rsid w:val="00FF579F"/>
    <w:rsid w:val="00FF5A35"/>
    <w:rsid w:val="00FF6078"/>
    <w:rsid w:val="00FF6300"/>
    <w:rsid w:val="00FF6426"/>
    <w:rsid w:val="00FF66B9"/>
    <w:rsid w:val="00FF6772"/>
    <w:rsid w:val="00FF6AD2"/>
    <w:rsid w:val="00FF6B54"/>
    <w:rsid w:val="00FF6F67"/>
    <w:rsid w:val="00FF708A"/>
    <w:rsid w:val="00FF7159"/>
    <w:rsid w:val="00FF7700"/>
    <w:rsid w:val="00FF7755"/>
    <w:rsid w:val="00FF7A74"/>
    <w:rsid w:val="00FF7A8E"/>
    <w:rsid w:val="00FF7B6F"/>
    <w:rsid w:val="00FF7FD3"/>
    <w:rsid w:val="043A0E13"/>
    <w:rsid w:val="0466EB68"/>
    <w:rsid w:val="053D9AD0"/>
    <w:rsid w:val="05E19D9C"/>
    <w:rsid w:val="07781859"/>
    <w:rsid w:val="0928FFFA"/>
    <w:rsid w:val="09FB1E53"/>
    <w:rsid w:val="0D29C4E5"/>
    <w:rsid w:val="0FFBD125"/>
    <w:rsid w:val="13912FAB"/>
    <w:rsid w:val="1879C5F1"/>
    <w:rsid w:val="1B22D6D0"/>
    <w:rsid w:val="2312821E"/>
    <w:rsid w:val="25F581A8"/>
    <w:rsid w:val="298C4A1C"/>
    <w:rsid w:val="2A6CB404"/>
    <w:rsid w:val="2C546435"/>
    <w:rsid w:val="2F592B61"/>
    <w:rsid w:val="308B27F8"/>
    <w:rsid w:val="37B1A795"/>
    <w:rsid w:val="39215187"/>
    <w:rsid w:val="3ADAAED5"/>
    <w:rsid w:val="3B3E8AF6"/>
    <w:rsid w:val="3BC277AC"/>
    <w:rsid w:val="3C52DA6F"/>
    <w:rsid w:val="4521AD96"/>
    <w:rsid w:val="4A1C9411"/>
    <w:rsid w:val="4E4C2E0A"/>
    <w:rsid w:val="4E7D16A1"/>
    <w:rsid w:val="51F3886F"/>
    <w:rsid w:val="5220C235"/>
    <w:rsid w:val="54E65C1A"/>
    <w:rsid w:val="583B9185"/>
    <w:rsid w:val="5B0C93B4"/>
    <w:rsid w:val="5FB9CFA1"/>
    <w:rsid w:val="60F9BAB5"/>
    <w:rsid w:val="616C1178"/>
    <w:rsid w:val="63133A79"/>
    <w:rsid w:val="74E1BC40"/>
    <w:rsid w:val="767CB1F4"/>
    <w:rsid w:val="79CE3405"/>
    <w:rsid w:val="7C2A89A7"/>
    <w:rsid w:val="7DAD712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D6EC6"/>
  <w15:chartTrackingRefBased/>
  <w15:docId w15:val="{58624AFF-8638-42B4-B5FB-0F62E315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319C"/>
    <w:pPr>
      <w:jc w:val="both"/>
    </w:pPr>
    <w:rPr>
      <w:rFonts w:ascii="Lato" w:hAnsi="Lato"/>
      <w:sz w:val="20"/>
    </w:rPr>
  </w:style>
  <w:style w:type="paragraph" w:styleId="Nagwek1">
    <w:name w:val="heading 1"/>
    <w:basedOn w:val="Normalny"/>
    <w:next w:val="Normalny"/>
    <w:link w:val="Nagwek1Znak"/>
    <w:uiPriority w:val="1"/>
    <w:qFormat/>
    <w:rsid w:val="00B505B2"/>
    <w:pPr>
      <w:keepNext/>
      <w:keepLines/>
      <w:numPr>
        <w:numId w:val="29"/>
      </w:numPr>
      <w:spacing w:before="360" w:after="360"/>
      <w:jc w:val="left"/>
      <w:outlineLvl w:val="0"/>
    </w:pPr>
    <w:rPr>
      <w:rFonts w:ascii="Bahnschrift" w:eastAsiaTheme="majorEastAsia" w:hAnsi="Bahnschrift" w:cstheme="majorBidi"/>
      <w:b/>
      <w:sz w:val="40"/>
      <w:szCs w:val="32"/>
    </w:rPr>
  </w:style>
  <w:style w:type="paragraph" w:styleId="Nagwek2">
    <w:name w:val="heading 2"/>
    <w:basedOn w:val="Normalny"/>
    <w:next w:val="Normalny"/>
    <w:link w:val="Nagwek2Znak"/>
    <w:uiPriority w:val="9"/>
    <w:unhideWhenUsed/>
    <w:qFormat/>
    <w:rsid w:val="00DA2266"/>
    <w:pPr>
      <w:keepNext/>
      <w:keepLines/>
      <w:numPr>
        <w:ilvl w:val="1"/>
        <w:numId w:val="29"/>
      </w:numPr>
      <w:spacing w:before="480" w:after="240"/>
      <w:jc w:val="left"/>
      <w:outlineLvl w:val="1"/>
    </w:pPr>
    <w:rPr>
      <w:rFonts w:ascii="Bahnschrift" w:eastAsiaTheme="majorEastAsia" w:hAnsi="Bahnschrift" w:cstheme="majorBidi"/>
      <w:b/>
      <w:sz w:val="36"/>
      <w:szCs w:val="26"/>
    </w:rPr>
  </w:style>
  <w:style w:type="paragraph" w:styleId="Nagwek3">
    <w:name w:val="heading 3"/>
    <w:basedOn w:val="Normalny"/>
    <w:next w:val="Normalny"/>
    <w:link w:val="Nagwek3Znak"/>
    <w:uiPriority w:val="9"/>
    <w:unhideWhenUsed/>
    <w:qFormat/>
    <w:rsid w:val="00BF5652"/>
    <w:pPr>
      <w:keepNext/>
      <w:keepLines/>
      <w:numPr>
        <w:ilvl w:val="2"/>
        <w:numId w:val="29"/>
      </w:numPr>
      <w:spacing w:before="600" w:after="240"/>
      <w:jc w:val="left"/>
      <w:outlineLvl w:val="2"/>
    </w:pPr>
    <w:rPr>
      <w:rFonts w:ascii="Bahnschrift" w:eastAsiaTheme="majorEastAsia" w:hAnsi="Bahnschrift" w:cstheme="majorBidi"/>
      <w:b/>
      <w:sz w:val="32"/>
      <w:szCs w:val="24"/>
    </w:rPr>
  </w:style>
  <w:style w:type="paragraph" w:styleId="Nagwek4">
    <w:name w:val="heading 4"/>
    <w:basedOn w:val="Normalny"/>
    <w:next w:val="Normalny"/>
    <w:link w:val="Nagwek4Znak"/>
    <w:uiPriority w:val="9"/>
    <w:unhideWhenUsed/>
    <w:qFormat/>
    <w:rsid w:val="003E5EBD"/>
    <w:pPr>
      <w:keepNext/>
      <w:keepLines/>
      <w:numPr>
        <w:ilvl w:val="3"/>
        <w:numId w:val="29"/>
      </w:numPr>
      <w:spacing w:before="600" w:after="240"/>
      <w:jc w:val="left"/>
      <w:outlineLvl w:val="3"/>
    </w:pPr>
    <w:rPr>
      <w:rFonts w:ascii="Bahnschrift" w:eastAsiaTheme="majorEastAsia" w:hAnsi="Bahnschrift" w:cstheme="majorBidi"/>
      <w:b/>
      <w:iCs/>
      <w:sz w:val="32"/>
    </w:rPr>
  </w:style>
  <w:style w:type="paragraph" w:styleId="Nagwek5">
    <w:name w:val="heading 5"/>
    <w:basedOn w:val="Normalny"/>
    <w:next w:val="Normalny"/>
    <w:link w:val="Nagwek5Znak"/>
    <w:uiPriority w:val="9"/>
    <w:unhideWhenUsed/>
    <w:qFormat/>
    <w:rsid w:val="00D05B5D"/>
    <w:pPr>
      <w:keepNext/>
      <w:keepLines/>
      <w:numPr>
        <w:ilvl w:val="4"/>
        <w:numId w:val="29"/>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D05B5D"/>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D05B5D"/>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D05B5D"/>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D05B5D"/>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BF5652"/>
    <w:rPr>
      <w:rFonts w:ascii="Bahnschrift" w:eastAsiaTheme="majorEastAsia" w:hAnsi="Bahnschrift" w:cstheme="majorBidi"/>
      <w:b/>
      <w:sz w:val="40"/>
      <w:szCs w:val="32"/>
    </w:rPr>
  </w:style>
  <w:style w:type="character" w:customStyle="1" w:styleId="Nagwek2Znak">
    <w:name w:val="Nagłówek 2 Znak"/>
    <w:basedOn w:val="Domylnaczcionkaakapitu"/>
    <w:link w:val="Nagwek2"/>
    <w:uiPriority w:val="9"/>
    <w:rsid w:val="00BF5652"/>
    <w:rPr>
      <w:rFonts w:ascii="Bahnschrift" w:eastAsiaTheme="majorEastAsia" w:hAnsi="Bahnschrift" w:cstheme="majorBidi"/>
      <w:b/>
      <w:sz w:val="36"/>
      <w:szCs w:val="26"/>
    </w:rPr>
  </w:style>
  <w:style w:type="character" w:customStyle="1" w:styleId="Nagwek3Znak">
    <w:name w:val="Nagłówek 3 Znak"/>
    <w:basedOn w:val="Domylnaczcionkaakapitu"/>
    <w:link w:val="Nagwek3"/>
    <w:uiPriority w:val="9"/>
    <w:rsid w:val="00BF5652"/>
    <w:rPr>
      <w:rFonts w:ascii="Bahnschrift" w:eastAsiaTheme="majorEastAsia" w:hAnsi="Bahnschrift" w:cstheme="majorBidi"/>
      <w:b/>
      <w:sz w:val="32"/>
      <w:szCs w:val="24"/>
    </w:rPr>
  </w:style>
  <w:style w:type="character" w:customStyle="1" w:styleId="Nagwek4Znak">
    <w:name w:val="Nagłówek 4 Znak"/>
    <w:basedOn w:val="Domylnaczcionkaakapitu"/>
    <w:link w:val="Nagwek4"/>
    <w:uiPriority w:val="9"/>
    <w:rsid w:val="003E5EBD"/>
    <w:rPr>
      <w:rFonts w:ascii="Bahnschrift" w:eastAsiaTheme="majorEastAsia" w:hAnsi="Bahnschrift" w:cstheme="majorBidi"/>
      <w:b/>
      <w:iCs/>
      <w:sz w:val="32"/>
    </w:rPr>
  </w:style>
  <w:style w:type="table" w:styleId="Tabela-Siatka">
    <w:name w:val="Table Grid"/>
    <w:basedOn w:val="Standardowy"/>
    <w:uiPriority w:val="39"/>
    <w:rsid w:val="00691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982F15"/>
    <w:pPr>
      <w:tabs>
        <w:tab w:val="left" w:pos="284"/>
        <w:tab w:val="right" w:leader="dot" w:pos="9062"/>
      </w:tabs>
      <w:spacing w:after="100"/>
      <w:ind w:left="284" w:hanging="284"/>
      <w:jc w:val="left"/>
    </w:pPr>
    <w:rPr>
      <w:rFonts w:ascii="Bahnschrift" w:hAnsi="Bahnschrift"/>
      <w:sz w:val="22"/>
    </w:rPr>
  </w:style>
  <w:style w:type="character" w:styleId="Odwoaniedokomentarza">
    <w:name w:val="annotation reference"/>
    <w:basedOn w:val="Domylnaczcionkaakapitu"/>
    <w:uiPriority w:val="99"/>
    <w:unhideWhenUsed/>
    <w:rsid w:val="0060410E"/>
    <w:rPr>
      <w:sz w:val="16"/>
      <w:szCs w:val="16"/>
    </w:rPr>
  </w:style>
  <w:style w:type="paragraph" w:styleId="Tekstkomentarza">
    <w:name w:val="annotation text"/>
    <w:basedOn w:val="Normalny"/>
    <w:link w:val="TekstkomentarzaZnak"/>
    <w:uiPriority w:val="99"/>
    <w:unhideWhenUsed/>
    <w:rsid w:val="0060410E"/>
    <w:pPr>
      <w:spacing w:line="240" w:lineRule="auto"/>
    </w:pPr>
    <w:rPr>
      <w:szCs w:val="20"/>
    </w:rPr>
  </w:style>
  <w:style w:type="character" w:customStyle="1" w:styleId="TekstkomentarzaZnak">
    <w:name w:val="Tekst komentarza Znak"/>
    <w:basedOn w:val="Domylnaczcionkaakapitu"/>
    <w:link w:val="Tekstkomentarza"/>
    <w:uiPriority w:val="99"/>
    <w:rsid w:val="0060410E"/>
    <w:rPr>
      <w:rFonts w:ascii="Lato" w:hAnsi="Lato"/>
      <w:sz w:val="20"/>
      <w:szCs w:val="20"/>
    </w:rPr>
  </w:style>
  <w:style w:type="paragraph" w:styleId="Tematkomentarza">
    <w:name w:val="annotation subject"/>
    <w:basedOn w:val="Tekstkomentarza"/>
    <w:next w:val="Tekstkomentarza"/>
    <w:link w:val="TematkomentarzaZnak"/>
    <w:uiPriority w:val="99"/>
    <w:semiHidden/>
    <w:unhideWhenUsed/>
    <w:rsid w:val="0060410E"/>
    <w:rPr>
      <w:b/>
      <w:bCs/>
    </w:rPr>
  </w:style>
  <w:style w:type="character" w:customStyle="1" w:styleId="TematkomentarzaZnak">
    <w:name w:val="Temat komentarza Znak"/>
    <w:basedOn w:val="TekstkomentarzaZnak"/>
    <w:link w:val="Tematkomentarza"/>
    <w:uiPriority w:val="99"/>
    <w:semiHidden/>
    <w:rsid w:val="0060410E"/>
    <w:rPr>
      <w:rFonts w:ascii="Lato" w:hAnsi="Lato"/>
      <w:b/>
      <w:bCs/>
      <w:sz w:val="20"/>
      <w:szCs w:val="20"/>
    </w:rPr>
  </w:style>
  <w:style w:type="character" w:styleId="Uwydatnienie">
    <w:name w:val="Emphasis"/>
    <w:basedOn w:val="Domylnaczcionkaakapitu"/>
    <w:uiPriority w:val="20"/>
    <w:qFormat/>
    <w:rsid w:val="008F3871"/>
    <w:rPr>
      <w:i/>
      <w:iCs/>
    </w:rPr>
  </w:style>
  <w:style w:type="paragraph" w:customStyle="1" w:styleId="20181999">
    <w:name w:val="2018/1999"/>
    <w:basedOn w:val="Normalny"/>
    <w:link w:val="20181999Znak"/>
    <w:qFormat/>
    <w:rsid w:val="002B5CFB"/>
    <w:pPr>
      <w:shd w:val="clear" w:color="auto" w:fill="BDD6EE" w:themeFill="accent5" w:themeFillTint="66"/>
    </w:pPr>
    <w:rPr>
      <w:color w:val="595959" w:themeColor="text1" w:themeTint="A6"/>
    </w:rPr>
  </w:style>
  <w:style w:type="character" w:customStyle="1" w:styleId="20181999Znak">
    <w:name w:val="2018/1999 Znak"/>
    <w:basedOn w:val="Domylnaczcionkaakapitu"/>
    <w:link w:val="20181999"/>
    <w:rsid w:val="002B5CFB"/>
    <w:rPr>
      <w:rFonts w:ascii="Lato" w:hAnsi="Lato"/>
      <w:color w:val="595959" w:themeColor="text1" w:themeTint="A6"/>
      <w:shd w:val="clear" w:color="auto" w:fill="BDD6EE" w:themeFill="accent5" w:themeFillTint="66"/>
    </w:rPr>
  </w:style>
  <w:style w:type="paragraph" w:styleId="Nagwekspisutreci">
    <w:name w:val="TOC Heading"/>
    <w:basedOn w:val="Nagwek1"/>
    <w:next w:val="Normalny"/>
    <w:uiPriority w:val="39"/>
    <w:unhideWhenUsed/>
    <w:qFormat/>
    <w:rsid w:val="00BA46AC"/>
    <w:pPr>
      <w:spacing w:after="0"/>
      <w:outlineLvl w:val="9"/>
    </w:pPr>
    <w:rPr>
      <w:rFonts w:asciiTheme="majorHAnsi" w:hAnsiTheme="majorHAnsi"/>
      <w:b w:val="0"/>
      <w:kern w:val="0"/>
      <w:sz w:val="32"/>
      <w:lang w:eastAsia="pl-PL"/>
      <w14:ligatures w14:val="none"/>
    </w:rPr>
  </w:style>
  <w:style w:type="paragraph" w:styleId="Spistreci3">
    <w:name w:val="toc 3"/>
    <w:basedOn w:val="Normalny"/>
    <w:next w:val="Normalny"/>
    <w:autoRedefine/>
    <w:uiPriority w:val="39"/>
    <w:unhideWhenUsed/>
    <w:rsid w:val="00184862"/>
    <w:pPr>
      <w:tabs>
        <w:tab w:val="left" w:pos="1276"/>
        <w:tab w:val="right" w:leader="dot" w:pos="9072"/>
      </w:tabs>
      <w:spacing w:after="100"/>
      <w:ind w:left="1276" w:hanging="567"/>
      <w:jc w:val="left"/>
    </w:pPr>
    <w:rPr>
      <w:rFonts w:ascii="Bahnschrift" w:hAnsi="Bahnschrift"/>
    </w:rPr>
  </w:style>
  <w:style w:type="paragraph" w:styleId="Spistreci2">
    <w:name w:val="toc 2"/>
    <w:basedOn w:val="Normalny"/>
    <w:next w:val="Normalny"/>
    <w:autoRedefine/>
    <w:uiPriority w:val="39"/>
    <w:unhideWhenUsed/>
    <w:rsid w:val="00184862"/>
    <w:pPr>
      <w:tabs>
        <w:tab w:val="left" w:pos="709"/>
        <w:tab w:val="right" w:leader="dot" w:pos="9062"/>
      </w:tabs>
      <w:spacing w:after="100"/>
      <w:ind w:left="709" w:hanging="425"/>
      <w:jc w:val="left"/>
    </w:pPr>
    <w:rPr>
      <w:rFonts w:ascii="Bahnschrift" w:hAnsi="Bahnschrift"/>
    </w:rPr>
  </w:style>
  <w:style w:type="character" w:styleId="Hipercze">
    <w:name w:val="Hyperlink"/>
    <w:basedOn w:val="Domylnaczcionkaakapitu"/>
    <w:uiPriority w:val="99"/>
    <w:unhideWhenUsed/>
    <w:rsid w:val="00BA46AC"/>
    <w:rPr>
      <w:color w:val="0563C1" w:themeColor="hyperlink"/>
      <w:u w:val="single"/>
    </w:rPr>
  </w:style>
  <w:style w:type="paragraph" w:styleId="Akapitzlist">
    <w:name w:val="List Paragraph"/>
    <w:aliases w:val="Dot pt,F5 List Paragraph,List Paragraph1,Recommendation,List Paragraph11,Kolorowa lista — akcent 11,Akapit z listą1,Numerowanie,1 Akapit z listą,목록 단락,Akapit z listą11,Numbered Para 1,No Spacing1,List Paragraph Char Char Ch"/>
    <w:basedOn w:val="Normalny"/>
    <w:link w:val="AkapitzlistZnak"/>
    <w:uiPriority w:val="34"/>
    <w:qFormat/>
    <w:rsid w:val="00476378"/>
    <w:pPr>
      <w:ind w:left="720"/>
      <w:contextualSpacing/>
    </w:pPr>
  </w:style>
  <w:style w:type="paragraph" w:customStyle="1" w:styleId="tekstroboczy">
    <w:name w:val="tekst roboczy"/>
    <w:basedOn w:val="Normalny"/>
    <w:link w:val="tekstroboczyZnak"/>
    <w:qFormat/>
    <w:rsid w:val="005F4621"/>
    <w:pPr>
      <w:shd w:val="clear" w:color="auto" w:fill="FFF2CC" w:themeFill="accent4" w:themeFillTint="33"/>
    </w:pPr>
    <w:rPr>
      <w:color w:val="660033"/>
    </w:rPr>
  </w:style>
  <w:style w:type="character" w:customStyle="1" w:styleId="tekstroboczyZnak">
    <w:name w:val="tekst roboczy Znak"/>
    <w:basedOn w:val="Domylnaczcionkaakapitu"/>
    <w:link w:val="tekstroboczy"/>
    <w:rsid w:val="005F4621"/>
    <w:rPr>
      <w:rFonts w:ascii="Lato" w:hAnsi="Lato"/>
      <w:color w:val="660033"/>
      <w:shd w:val="clear" w:color="auto" w:fill="FFF2CC" w:themeFill="accent4" w:themeFillTint="33"/>
    </w:rPr>
  </w:style>
  <w:style w:type="paragraph" w:styleId="Tekstprzypisukocowego">
    <w:name w:val="endnote text"/>
    <w:basedOn w:val="Normalny"/>
    <w:link w:val="TekstprzypisukocowegoZnak"/>
    <w:uiPriority w:val="99"/>
    <w:semiHidden/>
    <w:unhideWhenUsed/>
    <w:rsid w:val="003772B3"/>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3772B3"/>
    <w:rPr>
      <w:rFonts w:ascii="Lato" w:hAnsi="Lato"/>
      <w:sz w:val="20"/>
      <w:szCs w:val="20"/>
    </w:rPr>
  </w:style>
  <w:style w:type="character" w:styleId="Odwoanieprzypisukocowego">
    <w:name w:val="endnote reference"/>
    <w:basedOn w:val="Domylnaczcionkaakapitu"/>
    <w:uiPriority w:val="99"/>
    <w:semiHidden/>
    <w:unhideWhenUsed/>
    <w:rsid w:val="003772B3"/>
    <w:rPr>
      <w:vertAlign w:val="superscript"/>
    </w:rPr>
  </w:style>
  <w:style w:type="paragraph" w:styleId="Tekstprzypisudolnego">
    <w:name w:val="footnote text"/>
    <w:aliases w:val="Footnote,IFZ f,Fußnote,-E Fußnotentext,Fußnotentext Ursprung,-E Fuﬂnotentext,Fuﬂnotentext Ursprung,Podrozdział,Przypis,Tekst przypisu,footnote text,Podrozdzia3,-E Fußnotentext1,-E Fußnotentext2,-E Fußnotentext3,Fußnotentextf,Car,f"/>
    <w:basedOn w:val="Normalny"/>
    <w:link w:val="TekstprzypisudolnegoZnak"/>
    <w:uiPriority w:val="99"/>
    <w:unhideWhenUsed/>
    <w:qFormat/>
    <w:rsid w:val="00F775EA"/>
    <w:pPr>
      <w:spacing w:after="0" w:line="240" w:lineRule="auto"/>
    </w:pPr>
    <w:rPr>
      <w:szCs w:val="20"/>
    </w:rPr>
  </w:style>
  <w:style w:type="character" w:customStyle="1" w:styleId="TekstprzypisudolnegoZnak">
    <w:name w:val="Tekst przypisu dolnego Znak"/>
    <w:aliases w:val="Footnote Znak,IFZ f Znak,Fußnote Znak,-E Fußnotentext Znak,Fußnotentext Ursprung Znak,-E Fuﬂnotentext Znak,Fuﬂnotentext Ursprung Znak,Podrozdział Znak,Przypis Znak,Tekst przypisu Znak,footnote text Znak,Podrozdzia3 Znak"/>
    <w:basedOn w:val="Domylnaczcionkaakapitu"/>
    <w:link w:val="Tekstprzypisudolnego"/>
    <w:uiPriority w:val="99"/>
    <w:qFormat/>
    <w:rsid w:val="00F775EA"/>
    <w:rPr>
      <w:rFonts w:ascii="Lato" w:hAnsi="Lato"/>
      <w:sz w:val="20"/>
      <w:szCs w:val="20"/>
    </w:rPr>
  </w:style>
  <w:style w:type="character" w:styleId="Odwoanieprzypisudolnego">
    <w:name w:val="footnote reference"/>
    <w:aliases w:val="Footnote number,-E Fußnotenzeichen,SUPERS,Footnote Reference Superscript,BVI fnr,Footnote symbol,(Footnote Reference),Footnote reference number,note TESI,EN Footnote Reference,Voetnootverwijzing,Times 10 Point,Exposant 3 Point"/>
    <w:basedOn w:val="Domylnaczcionkaakapitu"/>
    <w:link w:val="ftrefCharCharCharCharCharCharCharCharChar"/>
    <w:uiPriority w:val="99"/>
    <w:unhideWhenUsed/>
    <w:qFormat/>
    <w:rsid w:val="00F775EA"/>
    <w:rPr>
      <w:vertAlign w:val="superscript"/>
    </w:rPr>
  </w:style>
  <w:style w:type="paragraph" w:styleId="Tekstpodstawowy">
    <w:name w:val="Body Text"/>
    <w:aliases w:val="b,b1,anita1,Body Text Char3,Body Text Char,szaro,bt,Tekst podstawowy Znak Znak Znak Znak Znak Znak Znak Znak,block style,Telo besedila Znak1 Char,Telo besedila Znak Znak Char,aga,Tekst podstawowyG"/>
    <w:basedOn w:val="Normalny"/>
    <w:link w:val="TekstpodstawowyZnak"/>
    <w:uiPriority w:val="1"/>
    <w:unhideWhenUsed/>
    <w:rsid w:val="00136584"/>
    <w:pPr>
      <w:spacing w:after="120"/>
    </w:pPr>
  </w:style>
  <w:style w:type="paragraph" w:customStyle="1" w:styleId="odesaniedoza">
    <w:name w:val="odesłanie do zał"/>
    <w:basedOn w:val="Normalny"/>
    <w:link w:val="odesaniedozaZnak"/>
    <w:qFormat/>
    <w:rsid w:val="00FE4752"/>
    <w:pPr>
      <w:spacing w:before="120"/>
    </w:pPr>
    <w:rPr>
      <w:color w:val="808080" w:themeColor="background1" w:themeShade="80"/>
    </w:rPr>
  </w:style>
  <w:style w:type="character" w:customStyle="1" w:styleId="odesaniedozaZnak">
    <w:name w:val="odesłanie do zał Znak"/>
    <w:basedOn w:val="Domylnaczcionkaakapitu"/>
    <w:link w:val="odesaniedoza"/>
    <w:rsid w:val="00FE4752"/>
    <w:rPr>
      <w:rFonts w:ascii="Lato" w:hAnsi="Lato"/>
      <w:color w:val="808080" w:themeColor="background1" w:themeShade="80"/>
      <w:sz w:val="20"/>
    </w:rPr>
  </w:style>
  <w:style w:type="paragraph" w:customStyle="1" w:styleId="Przypisy">
    <w:name w:val="Przypisy"/>
    <w:basedOn w:val="Bezodstpw"/>
    <w:link w:val="PrzypisyZnak"/>
    <w:autoRedefine/>
    <w:qFormat/>
    <w:rsid w:val="00783334"/>
    <w:pPr>
      <w:spacing w:after="20"/>
    </w:pPr>
    <w:rPr>
      <w:rFonts w:ascii="Lato" w:eastAsia="Calibri" w:hAnsi="Lato" w:cs="Times New Roman"/>
      <w:sz w:val="18"/>
      <w:szCs w:val="18"/>
    </w:rPr>
  </w:style>
  <w:style w:type="character" w:customStyle="1" w:styleId="PrzypisyZnak">
    <w:name w:val="Przypisy Znak"/>
    <w:basedOn w:val="Domylnaczcionkaakapitu"/>
    <w:link w:val="Przypisy"/>
    <w:rsid w:val="00783334"/>
    <w:rPr>
      <w:rFonts w:ascii="Lato" w:eastAsia="Calibri" w:hAnsi="Lato" w:cs="Times New Roman"/>
      <w:kern w:val="0"/>
      <w:sz w:val="18"/>
      <w:szCs w:val="18"/>
      <w14:ligatures w14:val="none"/>
    </w:rPr>
  </w:style>
  <w:style w:type="paragraph" w:styleId="Bezodstpw">
    <w:name w:val="No Spacing"/>
    <w:link w:val="BezodstpwZnak"/>
    <w:autoRedefine/>
    <w:uiPriority w:val="1"/>
    <w:qFormat/>
    <w:rsid w:val="001E75C1"/>
    <w:pPr>
      <w:spacing w:after="0"/>
      <w:ind w:left="43" w:firstLine="79"/>
      <w:jc w:val="both"/>
    </w:pPr>
    <w:rPr>
      <w:rFonts w:cs="Calibri"/>
      <w:kern w:val="0"/>
      <w14:ligatures w14:val="none"/>
    </w:rPr>
  </w:style>
  <w:style w:type="character" w:customStyle="1" w:styleId="BezodstpwZnak">
    <w:name w:val="Bez odstępów Znak"/>
    <w:basedOn w:val="Domylnaczcionkaakapitu"/>
    <w:link w:val="Bezodstpw"/>
    <w:uiPriority w:val="1"/>
    <w:rsid w:val="001E75C1"/>
    <w:rPr>
      <w:rFonts w:cs="Calibri"/>
      <w:kern w:val="0"/>
      <w14:ligatures w14:val="none"/>
    </w:rPr>
  </w:style>
  <w:style w:type="paragraph" w:styleId="Nagwek">
    <w:name w:val="header"/>
    <w:aliases w:val="Header1,Main Title,kt"/>
    <w:basedOn w:val="Normalny"/>
    <w:link w:val="NagwekZnak"/>
    <w:uiPriority w:val="99"/>
    <w:unhideWhenUsed/>
    <w:rsid w:val="00D92449"/>
    <w:pPr>
      <w:tabs>
        <w:tab w:val="center" w:pos="4536"/>
        <w:tab w:val="right" w:pos="9072"/>
      </w:tabs>
      <w:spacing w:after="0" w:line="240" w:lineRule="auto"/>
    </w:pPr>
  </w:style>
  <w:style w:type="character" w:customStyle="1" w:styleId="NagwekZnak">
    <w:name w:val="Nagłówek Znak"/>
    <w:aliases w:val="Header1 Znak,Main Title Znak,kt Znak"/>
    <w:basedOn w:val="Domylnaczcionkaakapitu"/>
    <w:link w:val="Nagwek"/>
    <w:uiPriority w:val="99"/>
    <w:rsid w:val="00D92449"/>
    <w:rPr>
      <w:rFonts w:ascii="Lato" w:hAnsi="Lato"/>
    </w:rPr>
  </w:style>
  <w:style w:type="paragraph" w:styleId="Stopka">
    <w:name w:val="footer"/>
    <w:aliases w:val="Pata"/>
    <w:basedOn w:val="Normalny"/>
    <w:link w:val="StopkaZnak"/>
    <w:uiPriority w:val="99"/>
    <w:unhideWhenUsed/>
    <w:rsid w:val="00D92449"/>
    <w:pPr>
      <w:tabs>
        <w:tab w:val="center" w:pos="4536"/>
        <w:tab w:val="right" w:pos="9072"/>
      </w:tabs>
      <w:spacing w:after="0" w:line="240" w:lineRule="auto"/>
    </w:pPr>
  </w:style>
  <w:style w:type="character" w:customStyle="1" w:styleId="StopkaZnak">
    <w:name w:val="Stopka Znak"/>
    <w:aliases w:val="Pata Znak"/>
    <w:basedOn w:val="Domylnaczcionkaakapitu"/>
    <w:link w:val="Stopka"/>
    <w:uiPriority w:val="99"/>
    <w:rsid w:val="00D92449"/>
    <w:rPr>
      <w:rFonts w:ascii="Lato" w:hAnsi="Lato"/>
    </w:rPr>
  </w:style>
  <w:style w:type="character" w:customStyle="1" w:styleId="Nagwek5Znak">
    <w:name w:val="Nagłówek 5 Znak"/>
    <w:basedOn w:val="Domylnaczcionkaakapitu"/>
    <w:link w:val="Nagwek5"/>
    <w:uiPriority w:val="9"/>
    <w:rsid w:val="00D05B5D"/>
    <w:rPr>
      <w:rFonts w:asciiTheme="majorHAnsi" w:eastAsiaTheme="majorEastAsia" w:hAnsiTheme="majorHAnsi" w:cstheme="majorBidi"/>
      <w:color w:val="2F5496" w:themeColor="accent1" w:themeShade="BF"/>
      <w:sz w:val="20"/>
    </w:rPr>
  </w:style>
  <w:style w:type="character" w:customStyle="1" w:styleId="Nagwek6Znak">
    <w:name w:val="Nagłówek 6 Znak"/>
    <w:basedOn w:val="Domylnaczcionkaakapitu"/>
    <w:link w:val="Nagwek6"/>
    <w:uiPriority w:val="9"/>
    <w:semiHidden/>
    <w:rsid w:val="00D05B5D"/>
    <w:rPr>
      <w:rFonts w:asciiTheme="majorHAnsi" w:eastAsiaTheme="majorEastAsia" w:hAnsiTheme="majorHAnsi" w:cstheme="majorBidi"/>
      <w:color w:val="1F3763" w:themeColor="accent1" w:themeShade="7F"/>
      <w:sz w:val="20"/>
    </w:rPr>
  </w:style>
  <w:style w:type="character" w:customStyle="1" w:styleId="Nagwek7Znak">
    <w:name w:val="Nagłówek 7 Znak"/>
    <w:basedOn w:val="Domylnaczcionkaakapitu"/>
    <w:link w:val="Nagwek7"/>
    <w:uiPriority w:val="9"/>
    <w:semiHidden/>
    <w:rsid w:val="00D05B5D"/>
    <w:rPr>
      <w:rFonts w:asciiTheme="majorHAnsi" w:eastAsiaTheme="majorEastAsia" w:hAnsiTheme="majorHAnsi" w:cstheme="majorBidi"/>
      <w:i/>
      <w:iCs/>
      <w:color w:val="1F3763" w:themeColor="accent1" w:themeShade="7F"/>
      <w:sz w:val="20"/>
    </w:rPr>
  </w:style>
  <w:style w:type="character" w:customStyle="1" w:styleId="Nagwek8Znak">
    <w:name w:val="Nagłówek 8 Znak"/>
    <w:basedOn w:val="Domylnaczcionkaakapitu"/>
    <w:link w:val="Nagwek8"/>
    <w:uiPriority w:val="9"/>
    <w:semiHidden/>
    <w:rsid w:val="00D05B5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D05B5D"/>
    <w:rPr>
      <w:rFonts w:asciiTheme="majorHAnsi" w:eastAsiaTheme="majorEastAsia" w:hAnsiTheme="majorHAnsi" w:cstheme="majorBidi"/>
      <w:i/>
      <w:iCs/>
      <w:color w:val="272727" w:themeColor="text1" w:themeTint="D8"/>
      <w:sz w:val="21"/>
      <w:szCs w:val="21"/>
    </w:rPr>
  </w:style>
  <w:style w:type="paragraph" w:customStyle="1" w:styleId="Cele">
    <w:name w:val="Cele"/>
    <w:basedOn w:val="Normalny"/>
    <w:link w:val="CeleZnak"/>
    <w:qFormat/>
    <w:rsid w:val="003C194F"/>
    <w:pPr>
      <w:pBdr>
        <w:top w:val="single" w:sz="24" w:space="2" w:color="F2F2F2" w:themeColor="background1" w:themeShade="F2"/>
        <w:left w:val="single" w:sz="24" w:space="4" w:color="F2F2F2" w:themeColor="background1" w:themeShade="F2"/>
        <w:bottom w:val="single" w:sz="24" w:space="2" w:color="F2F2F2" w:themeColor="background1" w:themeShade="F2"/>
        <w:right w:val="single" w:sz="24" w:space="4" w:color="F2F2F2" w:themeColor="background1" w:themeShade="F2"/>
      </w:pBdr>
      <w:shd w:val="clear" w:color="auto" w:fill="F2F2F2" w:themeFill="background1" w:themeFillShade="F2"/>
      <w:spacing w:before="160" w:after="360"/>
    </w:pPr>
    <w:rPr>
      <w:rFonts w:cs="Calibri"/>
    </w:rPr>
  </w:style>
  <w:style w:type="character" w:customStyle="1" w:styleId="CeleZnak">
    <w:name w:val="Cele Znak"/>
    <w:basedOn w:val="Domylnaczcionkaakapitu"/>
    <w:link w:val="Cele"/>
    <w:rsid w:val="003C194F"/>
    <w:rPr>
      <w:rFonts w:ascii="Lato" w:hAnsi="Lato" w:cs="Calibri"/>
      <w:shd w:val="clear" w:color="auto" w:fill="F2F2F2" w:themeFill="background1" w:themeFillShade="F2"/>
    </w:rPr>
  </w:style>
  <w:style w:type="paragraph" w:styleId="Poprawka">
    <w:name w:val="Revision"/>
    <w:hidden/>
    <w:uiPriority w:val="99"/>
    <w:semiHidden/>
    <w:rsid w:val="00AC61D8"/>
    <w:pPr>
      <w:spacing w:after="0" w:line="240" w:lineRule="auto"/>
    </w:pPr>
    <w:rPr>
      <w:rFonts w:ascii="Lato" w:hAnsi="Lato"/>
    </w:rPr>
  </w:style>
  <w:style w:type="paragraph" w:customStyle="1" w:styleId="Polityka">
    <w:name w:val="Polityka"/>
    <w:basedOn w:val="Normalny"/>
    <w:link w:val="PolitykaZnak"/>
    <w:qFormat/>
    <w:rsid w:val="00F6387B"/>
    <w:pPr>
      <w:keepNext/>
      <w:spacing w:before="400" w:after="80"/>
    </w:pPr>
    <w:rPr>
      <w:rFonts w:ascii="Bahnschrift" w:hAnsi="Bahnschrift"/>
      <w:b/>
      <w:bCs/>
      <w:sz w:val="32"/>
      <w:szCs w:val="32"/>
    </w:rPr>
  </w:style>
  <w:style w:type="character" w:customStyle="1" w:styleId="PolitykaZnak">
    <w:name w:val="Polityka Znak"/>
    <w:basedOn w:val="Domylnaczcionkaakapitu"/>
    <w:link w:val="Polityka"/>
    <w:rsid w:val="00F6387B"/>
    <w:rPr>
      <w:rFonts w:ascii="Bahnschrift" w:hAnsi="Bahnschrift"/>
      <w:b/>
      <w:bCs/>
      <w:sz w:val="32"/>
      <w:szCs w:val="32"/>
    </w:rPr>
  </w:style>
  <w:style w:type="character" w:customStyle="1" w:styleId="Nierozpoznanawzmianka1">
    <w:name w:val="Nierozpoznana wzmianka1"/>
    <w:basedOn w:val="Domylnaczcionkaakapitu"/>
    <w:uiPriority w:val="99"/>
    <w:semiHidden/>
    <w:unhideWhenUsed/>
    <w:rsid w:val="00AB47C0"/>
    <w:rPr>
      <w:color w:val="605E5C"/>
      <w:shd w:val="clear" w:color="auto" w:fill="E1DFDD"/>
    </w:rPr>
  </w:style>
  <w:style w:type="character" w:customStyle="1" w:styleId="TekstpodstawowyZnak">
    <w:name w:val="Tekst podstawowy Znak"/>
    <w:aliases w:val="b Znak,b1 Znak,anita1 Znak,Body Text Char3 Znak,Body Text Char Znak,szaro Znak,bt Znak,Tekst podstawowy Znak Znak Znak Znak Znak Znak Znak Znak Znak,block style Znak,Telo besedila Znak1 Char Znak,Telo besedila Znak Znak Char Znak"/>
    <w:basedOn w:val="Domylnaczcionkaakapitu"/>
    <w:link w:val="Tekstpodstawowy"/>
    <w:uiPriority w:val="1"/>
    <w:rsid w:val="00136584"/>
    <w:rPr>
      <w:rFonts w:ascii="Lato" w:hAnsi="Lato"/>
    </w:rPr>
  </w:style>
  <w:style w:type="paragraph" w:customStyle="1" w:styleId="Ramka">
    <w:name w:val="Ramka"/>
    <w:basedOn w:val="Normalny"/>
    <w:link w:val="RamkaZnak"/>
    <w:qFormat/>
    <w:rsid w:val="00B64F0D"/>
    <w:pPr>
      <w:spacing w:after="120"/>
      <w:jc w:val="center"/>
    </w:pPr>
    <w:rPr>
      <w:color w:val="595959" w:themeColor="text1" w:themeTint="A6"/>
      <w:sz w:val="18"/>
      <w:szCs w:val="18"/>
    </w:rPr>
  </w:style>
  <w:style w:type="character" w:customStyle="1" w:styleId="RamkaZnak">
    <w:name w:val="Ramka Znak"/>
    <w:basedOn w:val="Domylnaczcionkaakapitu"/>
    <w:link w:val="Ramka"/>
    <w:rsid w:val="00B64F0D"/>
    <w:rPr>
      <w:rFonts w:ascii="Lato" w:hAnsi="Lato"/>
      <w:color w:val="595959" w:themeColor="text1" w:themeTint="A6"/>
      <w:sz w:val="18"/>
      <w:szCs w:val="18"/>
    </w:rPr>
  </w:style>
  <w:style w:type="paragraph" w:customStyle="1" w:styleId="pf0">
    <w:name w:val="pf0"/>
    <w:basedOn w:val="Normalny"/>
    <w:rsid w:val="00E45668"/>
    <w:pPr>
      <w:spacing w:before="100" w:beforeAutospacing="1" w:after="100" w:afterAutospacing="1" w:line="240" w:lineRule="auto"/>
      <w:jc w:val="left"/>
    </w:pPr>
    <w:rPr>
      <w:rFonts w:ascii="Times New Roman" w:eastAsia="Times New Roman" w:hAnsi="Times New Roman" w:cs="Times New Roman"/>
      <w:kern w:val="0"/>
      <w:sz w:val="24"/>
      <w:szCs w:val="24"/>
      <w:lang w:eastAsia="pl-PL"/>
      <w14:ligatures w14:val="none"/>
    </w:rPr>
  </w:style>
  <w:style w:type="character" w:customStyle="1" w:styleId="oj-sub">
    <w:name w:val="oj-sub"/>
    <w:basedOn w:val="Domylnaczcionkaakapitu"/>
    <w:rsid w:val="000E5C6F"/>
  </w:style>
  <w:style w:type="paragraph" w:styleId="Legenda">
    <w:name w:val="caption"/>
    <w:basedOn w:val="Normalny"/>
    <w:next w:val="Normalny"/>
    <w:link w:val="LegendaZnak"/>
    <w:uiPriority w:val="35"/>
    <w:unhideWhenUsed/>
    <w:qFormat/>
    <w:rsid w:val="00696068"/>
    <w:pPr>
      <w:spacing w:before="200" w:after="120" w:line="240" w:lineRule="auto"/>
    </w:pPr>
    <w:rPr>
      <w:i/>
      <w:iCs/>
      <w:color w:val="44546A" w:themeColor="text2"/>
      <w:sz w:val="18"/>
      <w:szCs w:val="18"/>
    </w:rPr>
  </w:style>
  <w:style w:type="paragraph" w:styleId="Tytu">
    <w:name w:val="Title"/>
    <w:aliases w:val="spisy"/>
    <w:basedOn w:val="Normalny"/>
    <w:next w:val="Normalny"/>
    <w:link w:val="TytuZnak"/>
    <w:uiPriority w:val="10"/>
    <w:qFormat/>
    <w:rsid w:val="00BA64EC"/>
    <w:pPr>
      <w:spacing w:after="0" w:line="240" w:lineRule="auto"/>
      <w:contextualSpacing/>
      <w:jc w:val="left"/>
    </w:pPr>
    <w:rPr>
      <w:rFonts w:ascii="Bahnschrift" w:eastAsiaTheme="majorEastAsia" w:hAnsi="Bahnschrift" w:cstheme="majorBidi"/>
      <w:color w:val="FFFFFF" w:themeColor="background1"/>
      <w:spacing w:val="-10"/>
      <w:kern w:val="28"/>
      <w:sz w:val="56"/>
      <w:szCs w:val="56"/>
    </w:rPr>
  </w:style>
  <w:style w:type="character" w:customStyle="1" w:styleId="TytuZnak">
    <w:name w:val="Tytuł Znak"/>
    <w:aliases w:val="spisy Znak"/>
    <w:basedOn w:val="Domylnaczcionkaakapitu"/>
    <w:link w:val="Tytu"/>
    <w:uiPriority w:val="10"/>
    <w:rsid w:val="00BA64EC"/>
    <w:rPr>
      <w:rFonts w:ascii="Bahnschrift" w:eastAsiaTheme="majorEastAsia" w:hAnsi="Bahnschrift" w:cstheme="majorBidi"/>
      <w:color w:val="FFFFFF" w:themeColor="background1"/>
      <w:spacing w:val="-10"/>
      <w:kern w:val="28"/>
      <w:sz w:val="56"/>
      <w:szCs w:val="56"/>
    </w:rPr>
  </w:style>
  <w:style w:type="character" w:customStyle="1" w:styleId="AkapitzlistZnak">
    <w:name w:val="Akapit z listą Znak"/>
    <w:aliases w:val="Dot pt Znak,F5 List Paragraph Znak,List Paragraph1 Znak,Recommendation Znak,List Paragraph11 Znak,Kolorowa lista — akcent 11 Znak,Akapit z listą1 Znak,Numerowanie Znak,1 Akapit z listą Znak,목록 단락 Znak,Akapit z listą11 Znak"/>
    <w:link w:val="Akapitzlist"/>
    <w:uiPriority w:val="34"/>
    <w:qFormat/>
    <w:locked/>
    <w:rsid w:val="005F740C"/>
    <w:rPr>
      <w:rFonts w:ascii="Lato" w:hAnsi="Lato"/>
      <w:sz w:val="20"/>
    </w:rPr>
  </w:style>
  <w:style w:type="paragraph" w:styleId="Spistreci4">
    <w:name w:val="toc 4"/>
    <w:basedOn w:val="Normalny"/>
    <w:next w:val="Normalny"/>
    <w:autoRedefine/>
    <w:uiPriority w:val="39"/>
    <w:unhideWhenUsed/>
    <w:rsid w:val="007955D1"/>
    <w:pPr>
      <w:tabs>
        <w:tab w:val="left" w:pos="1701"/>
        <w:tab w:val="right" w:leader="dot" w:pos="9062"/>
      </w:tabs>
      <w:spacing w:after="100"/>
      <w:ind w:left="1418" w:hanging="425"/>
    </w:pPr>
    <w:rPr>
      <w:rFonts w:ascii="Bahnschrift" w:hAnsi="Bahnschrift"/>
      <w:sz w:val="18"/>
    </w:rPr>
  </w:style>
  <w:style w:type="paragraph" w:styleId="Spistreci5">
    <w:name w:val="toc 5"/>
    <w:basedOn w:val="Normalny"/>
    <w:next w:val="Normalny"/>
    <w:autoRedefine/>
    <w:uiPriority w:val="39"/>
    <w:unhideWhenUsed/>
    <w:rsid w:val="00955EE6"/>
    <w:pPr>
      <w:spacing w:after="100"/>
      <w:ind w:left="880"/>
      <w:jc w:val="left"/>
    </w:pPr>
    <w:rPr>
      <w:rFonts w:asciiTheme="minorHAnsi" w:eastAsiaTheme="minorEastAsia" w:hAnsiTheme="minorHAnsi"/>
      <w:sz w:val="22"/>
      <w:lang w:eastAsia="pl-PL"/>
    </w:rPr>
  </w:style>
  <w:style w:type="paragraph" w:styleId="Spistreci6">
    <w:name w:val="toc 6"/>
    <w:basedOn w:val="Normalny"/>
    <w:next w:val="Normalny"/>
    <w:autoRedefine/>
    <w:uiPriority w:val="39"/>
    <w:unhideWhenUsed/>
    <w:rsid w:val="00955EE6"/>
    <w:pPr>
      <w:spacing w:after="100"/>
      <w:ind w:left="1100"/>
      <w:jc w:val="left"/>
    </w:pPr>
    <w:rPr>
      <w:rFonts w:asciiTheme="minorHAnsi" w:eastAsiaTheme="minorEastAsia" w:hAnsiTheme="minorHAnsi"/>
      <w:sz w:val="22"/>
      <w:lang w:eastAsia="pl-PL"/>
    </w:rPr>
  </w:style>
  <w:style w:type="paragraph" w:styleId="Spistreci7">
    <w:name w:val="toc 7"/>
    <w:basedOn w:val="Normalny"/>
    <w:next w:val="Normalny"/>
    <w:autoRedefine/>
    <w:uiPriority w:val="39"/>
    <w:unhideWhenUsed/>
    <w:rsid w:val="00955EE6"/>
    <w:pPr>
      <w:spacing w:after="100"/>
      <w:ind w:left="1320"/>
      <w:jc w:val="left"/>
    </w:pPr>
    <w:rPr>
      <w:rFonts w:asciiTheme="minorHAnsi" w:eastAsiaTheme="minorEastAsia" w:hAnsiTheme="minorHAnsi"/>
      <w:sz w:val="22"/>
      <w:lang w:eastAsia="pl-PL"/>
    </w:rPr>
  </w:style>
  <w:style w:type="paragraph" w:styleId="Spistreci8">
    <w:name w:val="toc 8"/>
    <w:basedOn w:val="Normalny"/>
    <w:next w:val="Normalny"/>
    <w:autoRedefine/>
    <w:uiPriority w:val="39"/>
    <w:unhideWhenUsed/>
    <w:rsid w:val="00955EE6"/>
    <w:pPr>
      <w:spacing w:after="100"/>
      <w:ind w:left="1540"/>
      <w:jc w:val="left"/>
    </w:pPr>
    <w:rPr>
      <w:rFonts w:asciiTheme="minorHAnsi" w:eastAsiaTheme="minorEastAsia" w:hAnsiTheme="minorHAnsi"/>
      <w:sz w:val="22"/>
      <w:lang w:eastAsia="pl-PL"/>
    </w:rPr>
  </w:style>
  <w:style w:type="paragraph" w:styleId="Spistreci9">
    <w:name w:val="toc 9"/>
    <w:basedOn w:val="Normalny"/>
    <w:next w:val="Normalny"/>
    <w:autoRedefine/>
    <w:uiPriority w:val="39"/>
    <w:unhideWhenUsed/>
    <w:rsid w:val="00955EE6"/>
    <w:pPr>
      <w:spacing w:after="100"/>
      <w:ind w:left="1760"/>
      <w:jc w:val="left"/>
    </w:pPr>
    <w:rPr>
      <w:rFonts w:asciiTheme="minorHAnsi" w:eastAsiaTheme="minorEastAsia" w:hAnsiTheme="minorHAnsi"/>
      <w:sz w:val="22"/>
      <w:lang w:eastAsia="pl-PL"/>
    </w:rPr>
  </w:style>
  <w:style w:type="character" w:customStyle="1" w:styleId="rynqvb">
    <w:name w:val="rynqvb"/>
    <w:basedOn w:val="Domylnaczcionkaakapitu"/>
    <w:rsid w:val="00501AD3"/>
  </w:style>
  <w:style w:type="character" w:customStyle="1" w:styleId="LegendaZnak">
    <w:name w:val="Legenda Znak"/>
    <w:basedOn w:val="Domylnaczcionkaakapitu"/>
    <w:link w:val="Legenda"/>
    <w:uiPriority w:val="35"/>
    <w:locked/>
    <w:rsid w:val="00696068"/>
    <w:rPr>
      <w:rFonts w:ascii="Lato" w:hAnsi="Lato"/>
      <w:i/>
      <w:iCs/>
      <w:color w:val="44546A" w:themeColor="text2"/>
      <w:sz w:val="18"/>
      <w:szCs w:val="18"/>
    </w:rPr>
  </w:style>
  <w:style w:type="character" w:customStyle="1" w:styleId="hwtze">
    <w:name w:val="hwtze"/>
    <w:basedOn w:val="Domylnaczcionkaakapitu"/>
    <w:rsid w:val="00B013CD"/>
  </w:style>
  <w:style w:type="paragraph" w:styleId="NormalnyWeb">
    <w:name w:val="Normal (Web)"/>
    <w:basedOn w:val="Normalny"/>
    <w:uiPriority w:val="99"/>
    <w:rsid w:val="00F34BD4"/>
    <w:pPr>
      <w:spacing w:before="100" w:beforeAutospacing="1" w:after="100" w:afterAutospacing="1" w:line="240" w:lineRule="auto"/>
      <w:jc w:val="left"/>
    </w:pPr>
    <w:rPr>
      <w:rFonts w:ascii="Times New Roman" w:eastAsia="Times New Roman" w:hAnsi="Times New Roman" w:cs="Times New Roman"/>
      <w:kern w:val="0"/>
      <w:sz w:val="24"/>
      <w:szCs w:val="24"/>
      <w:lang w:eastAsia="pl-PL"/>
      <w14:ligatures w14:val="none"/>
    </w:rPr>
  </w:style>
  <w:style w:type="character" w:customStyle="1" w:styleId="markedcontent">
    <w:name w:val="markedcontent"/>
    <w:basedOn w:val="Domylnaczcionkaakapitu"/>
    <w:rsid w:val="00F34BD4"/>
  </w:style>
  <w:style w:type="character" w:styleId="Tekstzastpczy">
    <w:name w:val="Placeholder Text"/>
    <w:basedOn w:val="Domylnaczcionkaakapitu"/>
    <w:uiPriority w:val="99"/>
    <w:semiHidden/>
    <w:rsid w:val="00F34BD4"/>
    <w:rPr>
      <w:color w:val="808080"/>
    </w:rPr>
  </w:style>
  <w:style w:type="character" w:customStyle="1" w:styleId="highlight">
    <w:name w:val="highlight"/>
    <w:basedOn w:val="Domylnaczcionkaakapitu"/>
    <w:rsid w:val="00F34BD4"/>
  </w:style>
  <w:style w:type="paragraph" w:customStyle="1" w:styleId="0KAPEtekst">
    <w:name w:val="0_KAPE_tekst"/>
    <w:basedOn w:val="Normalny"/>
    <w:rsid w:val="00F34BD4"/>
    <w:pPr>
      <w:spacing w:before="100" w:after="120" w:line="26" w:lineRule="atLeast"/>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F34BD4"/>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paragraph" w:customStyle="1" w:styleId="Point1letter">
    <w:name w:val="Point 1 (letter)"/>
    <w:basedOn w:val="Normalny"/>
    <w:rsid w:val="00F34BD4"/>
    <w:pPr>
      <w:spacing w:before="120" w:after="120" w:line="360" w:lineRule="auto"/>
      <w:ind w:left="1418" w:hanging="567"/>
    </w:pPr>
    <w:rPr>
      <w:rFonts w:ascii="Times New Roman" w:hAnsi="Times New Roman" w:cs="Times New Roman"/>
      <w:kern w:val="0"/>
      <w:sz w:val="24"/>
      <w:lang w:val="en-GB"/>
      <w14:ligatures w14:val="none"/>
    </w:rPr>
  </w:style>
  <w:style w:type="character" w:customStyle="1" w:styleId="cf01">
    <w:name w:val="cf01"/>
    <w:basedOn w:val="Domylnaczcionkaakapitu"/>
    <w:rsid w:val="00F34BD4"/>
    <w:rPr>
      <w:rFonts w:ascii="Segoe UI" w:hAnsi="Segoe UI" w:cs="Segoe UI" w:hint="default"/>
      <w:sz w:val="18"/>
      <w:szCs w:val="18"/>
    </w:rPr>
  </w:style>
  <w:style w:type="character" w:customStyle="1" w:styleId="cf11">
    <w:name w:val="cf11"/>
    <w:basedOn w:val="Domylnaczcionkaakapitu"/>
    <w:rsid w:val="00F34BD4"/>
    <w:rPr>
      <w:rFonts w:ascii="Segoe UI" w:hAnsi="Segoe UI" w:cs="Segoe UI" w:hint="default"/>
      <w:i/>
      <w:iCs/>
      <w:sz w:val="18"/>
      <w:szCs w:val="18"/>
    </w:rPr>
  </w:style>
  <w:style w:type="paragraph" w:customStyle="1" w:styleId="oj-doc-ti">
    <w:name w:val="oj-doc-ti"/>
    <w:basedOn w:val="Normalny"/>
    <w:rsid w:val="00F34BD4"/>
    <w:pPr>
      <w:spacing w:before="100" w:beforeAutospacing="1" w:after="100" w:afterAutospacing="1" w:line="240" w:lineRule="auto"/>
      <w:jc w:val="left"/>
    </w:pPr>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F34BD4"/>
    <w:rPr>
      <w:color w:val="954F72" w:themeColor="followedHyperlink"/>
      <w:u w:val="single"/>
    </w:rPr>
  </w:style>
  <w:style w:type="paragraph" w:customStyle="1" w:styleId="Tabele">
    <w:name w:val="Tabele"/>
    <w:basedOn w:val="Normalny"/>
    <w:link w:val="TabeleZnak"/>
    <w:qFormat/>
    <w:rsid w:val="00F978CC"/>
    <w:pPr>
      <w:contextualSpacing/>
      <w:jc w:val="left"/>
    </w:pPr>
    <w:rPr>
      <w:rFonts w:eastAsiaTheme="majorEastAsia" w:cstheme="minorHAnsi"/>
      <w:color w:val="FFFFFF" w:themeColor="background1"/>
      <w:spacing w:val="-10"/>
      <w:kern w:val="0"/>
      <w:sz w:val="16"/>
      <w:szCs w:val="56"/>
      <w14:ligatures w14:val="none"/>
    </w:rPr>
  </w:style>
  <w:style w:type="character" w:customStyle="1" w:styleId="TabeleZnak">
    <w:name w:val="Tabele Znak"/>
    <w:basedOn w:val="TytuZnak"/>
    <w:link w:val="Tabele"/>
    <w:rsid w:val="00F978CC"/>
    <w:rPr>
      <w:rFonts w:ascii="Lato" w:eastAsiaTheme="majorEastAsia" w:hAnsi="Lato" w:cstheme="minorHAnsi"/>
      <w:color w:val="FFFFFF" w:themeColor="background1"/>
      <w:spacing w:val="-10"/>
      <w:kern w:val="0"/>
      <w:sz w:val="16"/>
      <w:szCs w:val="56"/>
      <w14:ligatures w14:val="none"/>
    </w:rPr>
  </w:style>
  <w:style w:type="paragraph" w:styleId="Podtytu">
    <w:name w:val="Subtitle"/>
    <w:aliases w:val="Podtytuł_1"/>
    <w:basedOn w:val="Normalny"/>
    <w:next w:val="Normalny"/>
    <w:link w:val="PodtytuZnak"/>
    <w:uiPriority w:val="11"/>
    <w:qFormat/>
    <w:rsid w:val="00F978CC"/>
    <w:pPr>
      <w:numPr>
        <w:ilvl w:val="1"/>
      </w:numPr>
      <w:spacing w:before="360" w:after="0"/>
    </w:pPr>
    <w:rPr>
      <w:rFonts w:eastAsia="Calibri"/>
      <w:b/>
      <w:bCs/>
      <w:color w:val="70AD47"/>
      <w:spacing w:val="15"/>
      <w:kern w:val="0"/>
      <w:sz w:val="24"/>
      <w:szCs w:val="24"/>
      <w14:ligatures w14:val="none"/>
    </w:rPr>
  </w:style>
  <w:style w:type="character" w:customStyle="1" w:styleId="PodtytuZnak">
    <w:name w:val="Podtytuł Znak"/>
    <w:aliases w:val="Podtytuł_1 Znak"/>
    <w:basedOn w:val="Domylnaczcionkaakapitu"/>
    <w:link w:val="Podtytu"/>
    <w:uiPriority w:val="11"/>
    <w:rsid w:val="00F978CC"/>
    <w:rPr>
      <w:rFonts w:ascii="Lato" w:eastAsia="Calibri" w:hAnsi="Lato"/>
      <w:b/>
      <w:bCs/>
      <w:color w:val="70AD47"/>
      <w:spacing w:val="15"/>
      <w:kern w:val="0"/>
      <w:sz w:val="24"/>
      <w:szCs w:val="24"/>
      <w14:ligatures w14:val="none"/>
    </w:rPr>
  </w:style>
  <w:style w:type="table" w:customStyle="1" w:styleId="Tabela-Siatka1">
    <w:name w:val="Tabela - Siatka1"/>
    <w:basedOn w:val="Standardowy"/>
    <w:next w:val="Tabela-Siatka"/>
    <w:uiPriority w:val="59"/>
    <w:rsid w:val="00F978CC"/>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PEiK">
    <w:name w:val="KPEiK"/>
    <w:basedOn w:val="Standardowy"/>
    <w:uiPriority w:val="99"/>
    <w:rsid w:val="00F978CC"/>
    <w:pPr>
      <w:spacing w:after="0"/>
    </w:pPr>
    <w:rPr>
      <w:rFonts w:ascii="Lato" w:hAnsi="Lato"/>
      <w:kern w:val="0"/>
      <w:sz w:val="16"/>
      <w14:ligatures w14:val="none"/>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68" w:type="dxa"/>
        <w:bottom w:w="28" w:type="dxa"/>
        <w:right w:w="68" w:type="dxa"/>
      </w:tblCellMar>
    </w:tblPr>
    <w:trPr>
      <w:cantSplit/>
    </w:trPr>
    <w:tcPr>
      <w:vAlign w:val="center"/>
    </w:tcPr>
    <w:tblStylePr w:type="firstRow">
      <w:pPr>
        <w:wordWrap/>
        <w:jc w:val="center"/>
      </w:pPr>
      <w:rPr>
        <w:rFonts w:ascii="Arial Narrow" w:hAnsi="Arial Narrow"/>
        <w:b/>
        <w:color w:val="FFFFFF" w:themeColor="background1"/>
        <w:sz w:val="16"/>
      </w:rPr>
      <w:tblPr/>
      <w:tcPr>
        <w:shd w:val="clear" w:color="auto" w:fill="70AD47"/>
      </w:tcPr>
    </w:tblStylePr>
  </w:style>
  <w:style w:type="character" w:styleId="Wyrnieniedelikatne">
    <w:name w:val="Subtle Emphasis"/>
    <w:basedOn w:val="Pogrubienie"/>
    <w:uiPriority w:val="19"/>
    <w:rsid w:val="00F978CC"/>
    <w:rPr>
      <w:rFonts w:ascii="Lato" w:hAnsi="Lato"/>
      <w:b/>
      <w:bCs/>
      <w:sz w:val="22"/>
    </w:rPr>
  </w:style>
  <w:style w:type="paragraph" w:customStyle="1" w:styleId="podtytu2">
    <w:name w:val="podtytuł_2"/>
    <w:basedOn w:val="Normalny"/>
    <w:next w:val="Normalny"/>
    <w:link w:val="podtytu2Znak"/>
    <w:qFormat/>
    <w:rsid w:val="00F978CC"/>
    <w:pPr>
      <w:spacing w:before="240" w:after="0"/>
      <w:jc w:val="left"/>
    </w:pPr>
    <w:rPr>
      <w:b/>
      <w:bCs/>
      <w:kern w:val="0"/>
      <w:sz w:val="22"/>
      <w14:ligatures w14:val="none"/>
    </w:rPr>
  </w:style>
  <w:style w:type="character" w:customStyle="1" w:styleId="podtytu2Znak">
    <w:name w:val="podtytuł_2 Znak"/>
    <w:basedOn w:val="Domylnaczcionkaakapitu"/>
    <w:link w:val="podtytu2"/>
    <w:rsid w:val="00F978CC"/>
    <w:rPr>
      <w:rFonts w:ascii="Lato" w:hAnsi="Lato"/>
      <w:b/>
      <w:bCs/>
      <w:kern w:val="0"/>
      <w14:ligatures w14:val="none"/>
    </w:rPr>
  </w:style>
  <w:style w:type="paragraph" w:customStyle="1" w:styleId="ftrefCharCharCharCharCharCharCharCharChar">
    <w:name w:val="ftref Char Char Char Char Char Char Char Char Char"/>
    <w:basedOn w:val="Normalny"/>
    <w:next w:val="Normalny"/>
    <w:link w:val="Odwoanieprzypisudolnego"/>
    <w:uiPriority w:val="99"/>
    <w:rsid w:val="00F978CC"/>
    <w:pPr>
      <w:spacing w:line="240" w:lineRule="exact"/>
      <w:jc w:val="left"/>
    </w:pPr>
    <w:rPr>
      <w:rFonts w:asciiTheme="minorHAnsi" w:hAnsiTheme="minorHAnsi"/>
      <w:sz w:val="22"/>
      <w:vertAlign w:val="superscript"/>
    </w:rPr>
  </w:style>
  <w:style w:type="character" w:styleId="Pogrubienie">
    <w:name w:val="Strong"/>
    <w:basedOn w:val="Domylnaczcionkaakapitu"/>
    <w:uiPriority w:val="22"/>
    <w:qFormat/>
    <w:rsid w:val="00F978CC"/>
    <w:rPr>
      <w:b/>
      <w:bCs/>
    </w:rPr>
  </w:style>
  <w:style w:type="table" w:styleId="Tabelasiatki1jasnaakcent1">
    <w:name w:val="Grid Table 1 Light Accent 1"/>
    <w:basedOn w:val="Standardowy"/>
    <w:uiPriority w:val="46"/>
    <w:rsid w:val="00E0627F"/>
    <w:pPr>
      <w:spacing w:after="0" w:line="240" w:lineRule="auto"/>
    </w:pPr>
    <w:rPr>
      <w:kern w:val="0"/>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siatki2akcent1">
    <w:name w:val="Grid Table 2 Accent 1"/>
    <w:basedOn w:val="Standardowy"/>
    <w:uiPriority w:val="47"/>
    <w:rsid w:val="00E0627F"/>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siatki3akcent1">
    <w:name w:val="Grid Table 3 Accent 1"/>
    <w:basedOn w:val="Standardowy"/>
    <w:uiPriority w:val="48"/>
    <w:rsid w:val="00E0627F"/>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elasiatki5ciemnaakcent1">
    <w:name w:val="Grid Table 5 Dark Accent 1"/>
    <w:basedOn w:val="Standardowy"/>
    <w:uiPriority w:val="50"/>
    <w:rsid w:val="00E0627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KOBiZE">
    <w:name w:val="KOBiZE"/>
    <w:basedOn w:val="Standardowy"/>
    <w:uiPriority w:val="99"/>
    <w:rsid w:val="00E0627F"/>
    <w:pPr>
      <w:spacing w:after="0" w:line="240" w:lineRule="auto"/>
    </w:pPr>
    <w:rPr>
      <w:kern w:val="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tblPr/>
      <w:tcPr>
        <w:shd w:val="clear" w:color="auto" w:fill="0D004B"/>
        <w:vAlign w:val="center"/>
      </w:tcPr>
    </w:tblStylePr>
    <w:tblStylePr w:type="lastRow">
      <w:tblPr/>
      <w:tcPr>
        <w:shd w:val="clear" w:color="auto" w:fill="8496B0" w:themeFill="text2" w:themeFillTint="99"/>
      </w:tcPr>
    </w:tblStylePr>
    <w:tblStylePr w:type="band1Horz">
      <w:tblPr/>
      <w:tcPr>
        <w:shd w:val="clear" w:color="auto" w:fill="D5DCE4" w:themeFill="text2" w:themeFillTint="33"/>
      </w:tcPr>
    </w:tblStylePr>
    <w:tblStylePr w:type="band2Horz">
      <w:tblPr/>
      <w:tcPr>
        <w:shd w:val="clear" w:color="auto" w:fill="B4C6E7" w:themeFill="accent1" w:themeFillTint="66"/>
      </w:tcPr>
    </w:tblStylePr>
  </w:style>
  <w:style w:type="paragraph" w:styleId="Spisilustracji">
    <w:name w:val="table of figures"/>
    <w:basedOn w:val="Normalny"/>
    <w:next w:val="Normalny"/>
    <w:uiPriority w:val="99"/>
    <w:unhideWhenUsed/>
    <w:rsid w:val="00E0627F"/>
    <w:pPr>
      <w:spacing w:after="0"/>
    </w:pPr>
    <w:rPr>
      <w:kern w:val="0"/>
      <w14:ligatures w14:val="none"/>
    </w:rPr>
  </w:style>
  <w:style w:type="table" w:styleId="Tabelasiatki4akcent6">
    <w:name w:val="Grid Table 4 Accent 6"/>
    <w:basedOn w:val="Standardowy"/>
    <w:uiPriority w:val="49"/>
    <w:rsid w:val="00E0627F"/>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listy3akcent6">
    <w:name w:val="List Table 3 Accent 6"/>
    <w:basedOn w:val="Standardowy"/>
    <w:uiPriority w:val="48"/>
    <w:rsid w:val="00E0627F"/>
    <w:pPr>
      <w:spacing w:after="0" w:line="240" w:lineRule="auto"/>
    </w:pPr>
    <w:rPr>
      <w:kern w:val="0"/>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alisty4akcent6">
    <w:name w:val="List Table 4 Accent 6"/>
    <w:basedOn w:val="Standardowy"/>
    <w:uiPriority w:val="49"/>
    <w:rsid w:val="00E0627F"/>
    <w:pPr>
      <w:spacing w:after="0" w:line="240" w:lineRule="auto"/>
    </w:pPr>
    <w:rPr>
      <w:kern w:val="0"/>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kstdymka">
    <w:name w:val="Balloon Text"/>
    <w:basedOn w:val="Normalny"/>
    <w:link w:val="TekstdymkaZnak"/>
    <w:uiPriority w:val="99"/>
    <w:semiHidden/>
    <w:unhideWhenUsed/>
    <w:rsid w:val="00E0627F"/>
    <w:pPr>
      <w:spacing w:after="0" w:line="240" w:lineRule="auto"/>
    </w:pPr>
    <w:rPr>
      <w:rFonts w:ascii="Segoe UI" w:hAnsi="Segoe UI" w:cs="Segoe UI"/>
      <w:kern w:val="0"/>
      <w:sz w:val="18"/>
      <w:szCs w:val="18"/>
      <w14:ligatures w14:val="none"/>
    </w:rPr>
  </w:style>
  <w:style w:type="character" w:customStyle="1" w:styleId="TekstdymkaZnak">
    <w:name w:val="Tekst dymka Znak"/>
    <w:basedOn w:val="Domylnaczcionkaakapitu"/>
    <w:link w:val="Tekstdymka"/>
    <w:uiPriority w:val="99"/>
    <w:semiHidden/>
    <w:rsid w:val="00E0627F"/>
    <w:rPr>
      <w:rFonts w:ascii="Segoe UI" w:hAnsi="Segoe UI" w:cs="Segoe UI"/>
      <w:kern w:val="0"/>
      <w:sz w:val="18"/>
      <w:szCs w:val="18"/>
      <w14:ligatures w14:val="none"/>
    </w:rPr>
  </w:style>
  <w:style w:type="paragraph" w:customStyle="1" w:styleId="ardo">
    <w:name w:val="a_źródło"/>
    <w:basedOn w:val="Normalny"/>
    <w:link w:val="ardoZnak"/>
    <w:qFormat/>
    <w:rsid w:val="00E0627F"/>
    <w:pPr>
      <w:spacing w:line="240" w:lineRule="auto"/>
    </w:pPr>
    <w:rPr>
      <w:rFonts w:eastAsia="Calibri" w:cs="Times New Roman"/>
      <w:i/>
      <w:color w:val="44546A"/>
      <w:kern w:val="0"/>
      <w:sz w:val="16"/>
      <w:szCs w:val="16"/>
      <w14:ligatures w14:val="none"/>
    </w:rPr>
  </w:style>
  <w:style w:type="paragraph" w:customStyle="1" w:styleId="Tabtyt">
    <w:name w:val="Tab_tyt"/>
    <w:basedOn w:val="Normalny"/>
    <w:rsid w:val="00E0627F"/>
    <w:pPr>
      <w:spacing w:after="120" w:line="240" w:lineRule="auto"/>
    </w:pPr>
    <w:rPr>
      <w:rFonts w:ascii="Times New Roman" w:eastAsia="Calibri" w:hAnsi="Times New Roman" w:cs="Times New Roman"/>
      <w:bCs/>
      <w:i/>
      <w:color w:val="000000"/>
      <w:kern w:val="0"/>
      <w:szCs w:val="24"/>
      <w14:ligatures w14:val="none"/>
    </w:rPr>
  </w:style>
  <w:style w:type="table" w:customStyle="1" w:styleId="Tabela-Siatka12">
    <w:name w:val="Tabela - Siatka12"/>
    <w:basedOn w:val="Standardowy"/>
    <w:next w:val="Tabela-Siatka"/>
    <w:uiPriority w:val="59"/>
    <w:rsid w:val="00E0627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1">
    <w:name w:val="Styl1"/>
    <w:basedOn w:val="Standardowy"/>
    <w:uiPriority w:val="99"/>
    <w:rsid w:val="00E0627F"/>
    <w:pPr>
      <w:spacing w:after="0" w:line="240" w:lineRule="auto"/>
    </w:pPr>
    <w:rPr>
      <w:kern w:val="0"/>
      <w:sz w:val="18"/>
      <w14:ligatures w14:val="none"/>
    </w:rPr>
    <w:tblPr/>
    <w:tblStylePr w:type="firstRow">
      <w:rPr>
        <w:rFonts w:ascii="Calibri" w:hAnsi="Calibri"/>
        <w:b/>
        <w:color w:val="FFFFFF" w:themeColor="background1"/>
        <w:sz w:val="18"/>
      </w:rPr>
    </w:tblStylePr>
  </w:style>
  <w:style w:type="table" w:customStyle="1" w:styleId="Tabela-Siatka5">
    <w:name w:val="Tabela - Siatka5"/>
    <w:basedOn w:val="Standardowy"/>
    <w:next w:val="Tabela-Siatka"/>
    <w:uiPriority w:val="39"/>
    <w:rsid w:val="00E0627F"/>
    <w:pPr>
      <w:spacing w:after="0" w:line="240" w:lineRule="auto"/>
    </w:pPr>
    <w:rPr>
      <w:rFonts w:ascii="Calibri" w:hAnsi="Calibri"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doZnak">
    <w:name w:val="a_źródło Znak"/>
    <w:basedOn w:val="Domylnaczcionkaakapitu"/>
    <w:link w:val="ardo"/>
    <w:rsid w:val="00E0627F"/>
    <w:rPr>
      <w:rFonts w:ascii="Lato" w:eastAsia="Calibri" w:hAnsi="Lato" w:cs="Times New Roman"/>
      <w:i/>
      <w:color w:val="44546A"/>
      <w:kern w:val="0"/>
      <w:sz w:val="16"/>
      <w:szCs w:val="16"/>
      <w14:ligatures w14:val="none"/>
    </w:rPr>
  </w:style>
  <w:style w:type="paragraph" w:customStyle="1" w:styleId="adnotacje">
    <w:name w:val="adnotacje"/>
    <w:basedOn w:val="ardo"/>
    <w:link w:val="adnotacjeZnak"/>
    <w:qFormat/>
    <w:rsid w:val="00E0627F"/>
    <w:pPr>
      <w:spacing w:after="0"/>
    </w:pPr>
  </w:style>
  <w:style w:type="character" w:customStyle="1" w:styleId="adnotacjeZnak">
    <w:name w:val="adnotacje Znak"/>
    <w:basedOn w:val="ardoZnak"/>
    <w:link w:val="adnotacje"/>
    <w:rsid w:val="00E0627F"/>
    <w:rPr>
      <w:rFonts w:ascii="Lato" w:eastAsia="Calibri" w:hAnsi="Lato" w:cs="Times New Roman"/>
      <w:i/>
      <w:color w:val="44546A"/>
      <w:kern w:val="0"/>
      <w:sz w:val="16"/>
      <w:szCs w:val="16"/>
      <w14:ligatures w14:val="none"/>
    </w:rPr>
  </w:style>
  <w:style w:type="character" w:styleId="Wyrnienieintensywne">
    <w:name w:val="Intense Emphasis"/>
    <w:basedOn w:val="Domylnaczcionkaakapitu"/>
    <w:uiPriority w:val="21"/>
    <w:rsid w:val="00E0627F"/>
    <w:rPr>
      <w:i/>
      <w:iCs/>
      <w:color w:val="4472C4" w:themeColor="accent1"/>
    </w:rPr>
  </w:style>
  <w:style w:type="paragraph" w:customStyle="1" w:styleId="wyrnienie">
    <w:name w:val="wyróżnienie"/>
    <w:basedOn w:val="Podtytu"/>
    <w:link w:val="wyrnienieZnak"/>
    <w:qFormat/>
    <w:rsid w:val="001A7996"/>
    <w:pPr>
      <w:spacing w:before="120" w:after="240"/>
    </w:pPr>
  </w:style>
  <w:style w:type="character" w:customStyle="1" w:styleId="wyrnienieZnak">
    <w:name w:val="wyróżnienie Znak"/>
    <w:basedOn w:val="PodtytuZnak"/>
    <w:link w:val="wyrnienie"/>
    <w:rsid w:val="001A7996"/>
    <w:rPr>
      <w:rFonts w:ascii="Lato" w:eastAsia="Calibri" w:hAnsi="Lato"/>
      <w:b/>
      <w:bCs/>
      <w:color w:val="70AD47"/>
      <w:spacing w:val="15"/>
      <w:kern w:val="0"/>
      <w:sz w:val="24"/>
      <w:szCs w:val="24"/>
      <w14:ligatures w14:val="none"/>
    </w:rPr>
  </w:style>
  <w:style w:type="paragraph" w:customStyle="1" w:styleId="podpistabeliwykresw">
    <w:name w:val="podpis tabel i wykresów"/>
    <w:basedOn w:val="Legenda"/>
    <w:link w:val="podpistabeliwykreswZnak"/>
    <w:qFormat/>
    <w:rsid w:val="00E0627F"/>
    <w:pPr>
      <w:spacing w:before="80" w:after="240"/>
    </w:pPr>
    <w:rPr>
      <w:rFonts w:ascii="Arial Narrow" w:hAnsi="Arial Narrow" w:cs="Times New Roman"/>
      <w:color w:val="000000" w:themeColor="text1"/>
      <w:kern w:val="0"/>
      <w14:ligatures w14:val="none"/>
    </w:rPr>
  </w:style>
  <w:style w:type="character" w:customStyle="1" w:styleId="podpistabeliwykreswZnak">
    <w:name w:val="podpis tabel i wykresów Znak"/>
    <w:basedOn w:val="Domylnaczcionkaakapitu"/>
    <w:link w:val="podpistabeliwykresw"/>
    <w:rsid w:val="00E0627F"/>
    <w:rPr>
      <w:rFonts w:ascii="Arial Narrow" w:hAnsi="Arial Narrow" w:cs="Times New Roman"/>
      <w:i/>
      <w:iCs/>
      <w:color w:val="000000" w:themeColor="text1"/>
      <w:kern w:val="0"/>
      <w:sz w:val="18"/>
      <w:szCs w:val="18"/>
      <w14:ligatures w14:val="none"/>
    </w:rPr>
  </w:style>
  <w:style w:type="paragraph" w:customStyle="1" w:styleId="lista">
    <w:name w:val="lista"/>
    <w:basedOn w:val="Akapitzlist"/>
    <w:link w:val="listaZnak"/>
    <w:qFormat/>
    <w:rsid w:val="00E0627F"/>
    <w:pPr>
      <w:numPr>
        <w:numId w:val="5"/>
      </w:numPr>
      <w:spacing w:after="0"/>
      <w:ind w:left="992" w:hanging="357"/>
    </w:pPr>
    <w:rPr>
      <w:kern w:val="0"/>
      <w14:ligatures w14:val="none"/>
    </w:rPr>
  </w:style>
  <w:style w:type="character" w:customStyle="1" w:styleId="listaZnak">
    <w:name w:val="lista Znak"/>
    <w:basedOn w:val="Domylnaczcionkaakapitu"/>
    <w:link w:val="lista"/>
    <w:rsid w:val="00E0627F"/>
    <w:rPr>
      <w:rFonts w:ascii="Lato" w:hAnsi="Lato"/>
      <w:kern w:val="0"/>
      <w:sz w:val="20"/>
      <w14:ligatures w14:val="none"/>
    </w:rPr>
  </w:style>
  <w:style w:type="paragraph" w:customStyle="1" w:styleId="wyliczenie">
    <w:name w:val="wyliczenie"/>
    <w:basedOn w:val="Akapitzlist"/>
    <w:link w:val="wyliczenieZnak"/>
    <w:qFormat/>
    <w:rsid w:val="00E0627F"/>
    <w:pPr>
      <w:numPr>
        <w:numId w:val="1"/>
      </w:numPr>
    </w:pPr>
    <w:rPr>
      <w:kern w:val="0"/>
      <w14:ligatures w14:val="none"/>
    </w:rPr>
  </w:style>
  <w:style w:type="character" w:customStyle="1" w:styleId="wyliczenieZnak">
    <w:name w:val="wyliczenie Znak"/>
    <w:basedOn w:val="Domylnaczcionkaakapitu"/>
    <w:link w:val="wyliczenie"/>
    <w:rsid w:val="00E0627F"/>
    <w:rPr>
      <w:rFonts w:ascii="Lato" w:hAnsi="Lato"/>
      <w:kern w:val="0"/>
      <w:sz w:val="20"/>
      <w14:ligatures w14:val="none"/>
    </w:rPr>
  </w:style>
  <w:style w:type="paragraph" w:customStyle="1" w:styleId="Styl2">
    <w:name w:val="Styl2"/>
    <w:basedOn w:val="Normalny"/>
    <w:next w:val="Normalny"/>
    <w:link w:val="Styl2Znak"/>
    <w:autoRedefine/>
    <w:rsid w:val="007F0A0C"/>
    <w:pPr>
      <w:numPr>
        <w:numId w:val="7"/>
      </w:numPr>
      <w:jc w:val="left"/>
    </w:pPr>
    <w:rPr>
      <w:rFonts w:ascii="Bahnschrift" w:hAnsi="Bahnschrift"/>
      <w:sz w:val="32"/>
    </w:rPr>
  </w:style>
  <w:style w:type="character" w:customStyle="1" w:styleId="Styl2Znak">
    <w:name w:val="Styl2 Znak"/>
    <w:basedOn w:val="Nagwek2Znak"/>
    <w:link w:val="Styl2"/>
    <w:rsid w:val="007F0A0C"/>
    <w:rPr>
      <w:rFonts w:ascii="Bahnschrift" w:eastAsiaTheme="majorEastAsia" w:hAnsi="Bahnschrift" w:cstheme="majorBidi"/>
      <w:b w:val="0"/>
      <w:sz w:val="32"/>
      <w:szCs w:val="26"/>
    </w:rPr>
  </w:style>
  <w:style w:type="paragraph" w:customStyle="1" w:styleId="Styl3">
    <w:name w:val="Styl3"/>
    <w:basedOn w:val="Normalny"/>
    <w:next w:val="Normalny"/>
    <w:link w:val="Styl3Znak"/>
    <w:rsid w:val="007F0A0C"/>
    <w:pPr>
      <w:numPr>
        <w:numId w:val="8"/>
      </w:numPr>
      <w:ind w:left="1069"/>
    </w:pPr>
    <w:rPr>
      <w:rFonts w:ascii="Bahnschrift" w:hAnsi="Bahnschrift"/>
      <w:sz w:val="28"/>
    </w:rPr>
  </w:style>
  <w:style w:type="character" w:customStyle="1" w:styleId="Styl3Znak">
    <w:name w:val="Styl3 Znak"/>
    <w:basedOn w:val="Domylnaczcionkaakapitu"/>
    <w:link w:val="Styl3"/>
    <w:rsid w:val="007F0A0C"/>
    <w:rPr>
      <w:rFonts w:ascii="Bahnschrift" w:hAnsi="Bahnschrift"/>
      <w:sz w:val="28"/>
    </w:rPr>
  </w:style>
  <w:style w:type="character" w:customStyle="1" w:styleId="Nierozpoznanawzmianka10">
    <w:name w:val="Nierozpoznana wzmianka1"/>
    <w:basedOn w:val="Domylnaczcionkaakapitu"/>
    <w:uiPriority w:val="99"/>
    <w:semiHidden/>
    <w:unhideWhenUsed/>
    <w:rsid w:val="005B3518"/>
    <w:rPr>
      <w:color w:val="605E5C"/>
      <w:shd w:val="clear" w:color="auto" w:fill="E1DFDD"/>
    </w:rPr>
  </w:style>
  <w:style w:type="character" w:customStyle="1" w:styleId="Nierozpoznanawzmianka2">
    <w:name w:val="Nierozpoznana wzmianka2"/>
    <w:basedOn w:val="Domylnaczcionkaakapitu"/>
    <w:uiPriority w:val="99"/>
    <w:semiHidden/>
    <w:unhideWhenUsed/>
    <w:rsid w:val="005C4144"/>
    <w:rPr>
      <w:color w:val="605E5C"/>
      <w:shd w:val="clear" w:color="auto" w:fill="E1DFDD"/>
    </w:rPr>
  </w:style>
  <w:style w:type="paragraph" w:customStyle="1" w:styleId="tekst">
    <w:name w:val="tekst"/>
    <w:basedOn w:val="Normalny"/>
    <w:rsid w:val="005C4144"/>
    <w:pPr>
      <w:spacing w:before="120" w:after="120" w:line="264" w:lineRule="auto"/>
    </w:pPr>
    <w:rPr>
      <w:rFonts w:ascii="Times New Roman" w:eastAsia="Times New Roman" w:hAnsi="Times New Roman" w:cs="Times New Roman"/>
      <w:kern w:val="0"/>
      <w:sz w:val="24"/>
      <w:szCs w:val="24"/>
      <w:lang w:eastAsia="pl-PL"/>
      <w14:ligatures w14:val="none"/>
    </w:rPr>
  </w:style>
  <w:style w:type="character" w:customStyle="1" w:styleId="Nierozpoznanawzmianka3">
    <w:name w:val="Nierozpoznana wzmianka3"/>
    <w:basedOn w:val="Domylnaczcionkaakapitu"/>
    <w:uiPriority w:val="99"/>
    <w:semiHidden/>
    <w:unhideWhenUsed/>
    <w:rsid w:val="005C4144"/>
    <w:rPr>
      <w:color w:val="605E5C"/>
      <w:shd w:val="clear" w:color="auto" w:fill="E1DFDD"/>
    </w:rPr>
  </w:style>
  <w:style w:type="character" w:customStyle="1" w:styleId="Nierozpoznanawzmianka4">
    <w:name w:val="Nierozpoznana wzmianka4"/>
    <w:basedOn w:val="Domylnaczcionkaakapitu"/>
    <w:uiPriority w:val="99"/>
    <w:semiHidden/>
    <w:unhideWhenUsed/>
    <w:rsid w:val="005C4144"/>
    <w:rPr>
      <w:color w:val="605E5C"/>
      <w:shd w:val="clear" w:color="auto" w:fill="E1DFDD"/>
    </w:rPr>
  </w:style>
  <w:style w:type="character" w:customStyle="1" w:styleId="Nierozpoznanawzmianka5">
    <w:name w:val="Nierozpoznana wzmianka5"/>
    <w:basedOn w:val="Domylnaczcionkaakapitu"/>
    <w:uiPriority w:val="99"/>
    <w:semiHidden/>
    <w:unhideWhenUsed/>
    <w:rsid w:val="005C4144"/>
    <w:rPr>
      <w:color w:val="605E5C"/>
      <w:shd w:val="clear" w:color="auto" w:fill="E1DFDD"/>
    </w:rPr>
  </w:style>
  <w:style w:type="numbering" w:customStyle="1" w:styleId="Biecalista1">
    <w:name w:val="Bieżąca lista1"/>
    <w:uiPriority w:val="99"/>
    <w:rsid w:val="005C4144"/>
    <w:pPr>
      <w:numPr>
        <w:numId w:val="13"/>
      </w:numPr>
    </w:pPr>
  </w:style>
  <w:style w:type="numbering" w:customStyle="1" w:styleId="Biecalista2">
    <w:name w:val="Bieżąca lista2"/>
    <w:uiPriority w:val="99"/>
    <w:rsid w:val="005C4144"/>
    <w:pPr>
      <w:numPr>
        <w:numId w:val="14"/>
      </w:numPr>
    </w:pPr>
  </w:style>
  <w:style w:type="numbering" w:customStyle="1" w:styleId="Biecalista3">
    <w:name w:val="Bieżąca lista3"/>
    <w:uiPriority w:val="99"/>
    <w:rsid w:val="005C4144"/>
    <w:pPr>
      <w:numPr>
        <w:numId w:val="15"/>
      </w:numPr>
    </w:pPr>
  </w:style>
  <w:style w:type="numbering" w:styleId="111111">
    <w:name w:val="Outline List 2"/>
    <w:basedOn w:val="Bezlisty"/>
    <w:uiPriority w:val="99"/>
    <w:semiHidden/>
    <w:unhideWhenUsed/>
    <w:rsid w:val="005C4144"/>
    <w:pPr>
      <w:numPr>
        <w:numId w:val="16"/>
      </w:numPr>
    </w:pPr>
  </w:style>
  <w:style w:type="numbering" w:customStyle="1" w:styleId="Biecalista4">
    <w:name w:val="Bieżąca lista4"/>
    <w:uiPriority w:val="99"/>
    <w:rsid w:val="005C4144"/>
    <w:pPr>
      <w:numPr>
        <w:numId w:val="17"/>
      </w:numPr>
    </w:pPr>
  </w:style>
  <w:style w:type="character" w:customStyle="1" w:styleId="Nierozpoznanawzmianka6">
    <w:name w:val="Nierozpoznana wzmianka6"/>
    <w:basedOn w:val="Domylnaczcionkaakapitu"/>
    <w:uiPriority w:val="99"/>
    <w:semiHidden/>
    <w:unhideWhenUsed/>
    <w:rsid w:val="005C4144"/>
    <w:rPr>
      <w:color w:val="605E5C"/>
      <w:shd w:val="clear" w:color="auto" w:fill="E1DFDD"/>
    </w:rPr>
  </w:style>
  <w:style w:type="character" w:customStyle="1" w:styleId="Nierozpoznanawzmianka7">
    <w:name w:val="Nierozpoznana wzmianka7"/>
    <w:basedOn w:val="Domylnaczcionkaakapitu"/>
    <w:uiPriority w:val="99"/>
    <w:semiHidden/>
    <w:unhideWhenUsed/>
    <w:rsid w:val="005C4144"/>
    <w:rPr>
      <w:color w:val="605E5C"/>
      <w:shd w:val="clear" w:color="auto" w:fill="E1DFDD"/>
    </w:rPr>
  </w:style>
  <w:style w:type="character" w:customStyle="1" w:styleId="Nierozpoznanawzmianka8">
    <w:name w:val="Nierozpoznana wzmianka8"/>
    <w:basedOn w:val="Domylnaczcionkaakapitu"/>
    <w:uiPriority w:val="99"/>
    <w:semiHidden/>
    <w:unhideWhenUsed/>
    <w:rsid w:val="005C4144"/>
    <w:rPr>
      <w:color w:val="605E5C"/>
      <w:shd w:val="clear" w:color="auto" w:fill="E1DFDD"/>
    </w:rPr>
  </w:style>
  <w:style w:type="table" w:customStyle="1" w:styleId="KPEiK1">
    <w:name w:val="KPEiK1"/>
    <w:basedOn w:val="Standardowy"/>
    <w:uiPriority w:val="99"/>
    <w:rsid w:val="00C87F48"/>
    <w:pPr>
      <w:spacing w:after="0"/>
    </w:pPr>
    <w:rPr>
      <w:rFonts w:ascii="Lato" w:hAnsi="Lato"/>
      <w:kern w:val="0"/>
      <w:sz w:val="16"/>
      <w14:ligatures w14:val="none"/>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68" w:type="dxa"/>
        <w:bottom w:w="28" w:type="dxa"/>
        <w:right w:w="68" w:type="dxa"/>
      </w:tblCellMar>
    </w:tblPr>
    <w:trPr>
      <w:cantSplit/>
    </w:trPr>
    <w:tcPr>
      <w:vAlign w:val="center"/>
    </w:tcPr>
    <w:tblStylePr w:type="firstRow">
      <w:pPr>
        <w:wordWrap/>
        <w:jc w:val="center"/>
      </w:pPr>
      <w:rPr>
        <w:rFonts w:ascii="Sitka Display Semibold" w:hAnsi="Sitka Display Semibold"/>
        <w:b/>
        <w:color w:val="FFFFFF" w:themeColor="background1"/>
        <w:sz w:val="16"/>
      </w:rPr>
      <w:tblPr/>
      <w:tcPr>
        <w:shd w:val="clear" w:color="auto" w:fill="70AD47"/>
      </w:tcPr>
    </w:tblStylePr>
  </w:style>
  <w:style w:type="character" w:customStyle="1" w:styleId="Wzmianka1">
    <w:name w:val="Wzmianka1"/>
    <w:basedOn w:val="Domylnaczcionkaakapitu"/>
    <w:uiPriority w:val="99"/>
    <w:unhideWhenUsed/>
    <w:rsid w:val="0035364D"/>
    <w:rPr>
      <w:color w:val="2B579A"/>
      <w:shd w:val="clear" w:color="auto" w:fill="E1DFDD"/>
    </w:rPr>
  </w:style>
  <w:style w:type="character" w:customStyle="1" w:styleId="Nierozpoznanawzmianka9">
    <w:name w:val="Nierozpoznana wzmianka9"/>
    <w:basedOn w:val="Domylnaczcionkaakapitu"/>
    <w:uiPriority w:val="99"/>
    <w:semiHidden/>
    <w:unhideWhenUsed/>
    <w:rsid w:val="00B37705"/>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uiPriority w:val="99"/>
    <w:rsid w:val="00971A95"/>
    <w:pPr>
      <w:spacing w:line="240" w:lineRule="exact"/>
      <w:jc w:val="left"/>
    </w:pPr>
    <w:rPr>
      <w:rFonts w:asciiTheme="minorHAnsi" w:hAnsiTheme="minorHAnsi"/>
      <w:sz w:val="22"/>
      <w:vertAlign w:val="superscript"/>
    </w:rPr>
  </w:style>
  <w:style w:type="character" w:customStyle="1" w:styleId="Nierozpoznanawzmianka100">
    <w:name w:val="Nierozpoznana wzmianka10"/>
    <w:basedOn w:val="Domylnaczcionkaakapitu"/>
    <w:uiPriority w:val="99"/>
    <w:semiHidden/>
    <w:unhideWhenUsed/>
    <w:rsid w:val="009F2109"/>
    <w:rPr>
      <w:color w:val="605E5C"/>
      <w:shd w:val="clear" w:color="auto" w:fill="E1DFDD"/>
    </w:rPr>
  </w:style>
  <w:style w:type="character" w:customStyle="1" w:styleId="Nierozpoznanawzmianka1000">
    <w:name w:val="Nierozpoznana wzmianka100"/>
    <w:basedOn w:val="Domylnaczcionkaakapitu"/>
    <w:uiPriority w:val="99"/>
    <w:semiHidden/>
    <w:unhideWhenUsed/>
    <w:rsid w:val="009F2109"/>
    <w:rPr>
      <w:color w:val="605E5C"/>
      <w:shd w:val="clear" w:color="auto" w:fill="E1DFDD"/>
    </w:rPr>
  </w:style>
  <w:style w:type="character" w:customStyle="1" w:styleId="Nierozpoznanawzmianka10000">
    <w:name w:val="Nierozpoznana wzmianka1000"/>
    <w:basedOn w:val="Domylnaczcionkaakapitu"/>
    <w:uiPriority w:val="99"/>
    <w:semiHidden/>
    <w:unhideWhenUsed/>
    <w:rsid w:val="00197700"/>
    <w:rPr>
      <w:color w:val="605E5C"/>
      <w:shd w:val="clear" w:color="auto" w:fill="E1DFDD"/>
    </w:rPr>
  </w:style>
  <w:style w:type="character" w:customStyle="1" w:styleId="Nierozpoznanawzmianka100000">
    <w:name w:val="Nierozpoznana wzmianka10000"/>
    <w:basedOn w:val="Domylnaczcionkaakapitu"/>
    <w:uiPriority w:val="99"/>
    <w:semiHidden/>
    <w:unhideWhenUsed/>
    <w:rsid w:val="00197700"/>
    <w:rPr>
      <w:color w:val="605E5C"/>
      <w:shd w:val="clear" w:color="auto" w:fill="E1DFDD"/>
    </w:rPr>
  </w:style>
  <w:style w:type="character" w:styleId="Wzmianka">
    <w:name w:val="Mention"/>
    <w:basedOn w:val="Domylnaczcionkaakapitu"/>
    <w:uiPriority w:val="99"/>
    <w:unhideWhenUsed/>
    <w:rsid w:val="009415D5"/>
    <w:rPr>
      <w:color w:val="2B579A"/>
      <w:shd w:val="clear" w:color="auto" w:fill="E1DFDD"/>
    </w:rPr>
  </w:style>
  <w:style w:type="character" w:styleId="Nierozpoznanawzmianka">
    <w:name w:val="Unresolved Mention"/>
    <w:basedOn w:val="Domylnaczcionkaakapitu"/>
    <w:uiPriority w:val="99"/>
    <w:semiHidden/>
    <w:unhideWhenUsed/>
    <w:rsid w:val="0094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0134">
      <w:bodyDiv w:val="1"/>
      <w:marLeft w:val="0"/>
      <w:marRight w:val="0"/>
      <w:marTop w:val="0"/>
      <w:marBottom w:val="0"/>
      <w:divBdr>
        <w:top w:val="none" w:sz="0" w:space="0" w:color="auto"/>
        <w:left w:val="none" w:sz="0" w:space="0" w:color="auto"/>
        <w:bottom w:val="none" w:sz="0" w:space="0" w:color="auto"/>
        <w:right w:val="none" w:sz="0" w:space="0" w:color="auto"/>
      </w:divBdr>
    </w:div>
    <w:div w:id="51464764">
      <w:bodyDiv w:val="1"/>
      <w:marLeft w:val="0"/>
      <w:marRight w:val="0"/>
      <w:marTop w:val="0"/>
      <w:marBottom w:val="0"/>
      <w:divBdr>
        <w:top w:val="none" w:sz="0" w:space="0" w:color="auto"/>
        <w:left w:val="none" w:sz="0" w:space="0" w:color="auto"/>
        <w:bottom w:val="none" w:sz="0" w:space="0" w:color="auto"/>
        <w:right w:val="none" w:sz="0" w:space="0" w:color="auto"/>
      </w:divBdr>
    </w:div>
    <w:div w:id="134884202">
      <w:bodyDiv w:val="1"/>
      <w:marLeft w:val="0"/>
      <w:marRight w:val="0"/>
      <w:marTop w:val="0"/>
      <w:marBottom w:val="0"/>
      <w:divBdr>
        <w:top w:val="none" w:sz="0" w:space="0" w:color="auto"/>
        <w:left w:val="none" w:sz="0" w:space="0" w:color="auto"/>
        <w:bottom w:val="none" w:sz="0" w:space="0" w:color="auto"/>
        <w:right w:val="none" w:sz="0" w:space="0" w:color="auto"/>
      </w:divBdr>
    </w:div>
    <w:div w:id="137260986">
      <w:bodyDiv w:val="1"/>
      <w:marLeft w:val="0"/>
      <w:marRight w:val="0"/>
      <w:marTop w:val="0"/>
      <w:marBottom w:val="0"/>
      <w:divBdr>
        <w:top w:val="none" w:sz="0" w:space="0" w:color="auto"/>
        <w:left w:val="none" w:sz="0" w:space="0" w:color="auto"/>
        <w:bottom w:val="none" w:sz="0" w:space="0" w:color="auto"/>
        <w:right w:val="none" w:sz="0" w:space="0" w:color="auto"/>
      </w:divBdr>
    </w:div>
    <w:div w:id="147597278">
      <w:bodyDiv w:val="1"/>
      <w:marLeft w:val="0"/>
      <w:marRight w:val="0"/>
      <w:marTop w:val="0"/>
      <w:marBottom w:val="0"/>
      <w:divBdr>
        <w:top w:val="none" w:sz="0" w:space="0" w:color="auto"/>
        <w:left w:val="none" w:sz="0" w:space="0" w:color="auto"/>
        <w:bottom w:val="none" w:sz="0" w:space="0" w:color="auto"/>
        <w:right w:val="none" w:sz="0" w:space="0" w:color="auto"/>
      </w:divBdr>
    </w:div>
    <w:div w:id="193426052">
      <w:bodyDiv w:val="1"/>
      <w:marLeft w:val="0"/>
      <w:marRight w:val="0"/>
      <w:marTop w:val="0"/>
      <w:marBottom w:val="0"/>
      <w:divBdr>
        <w:top w:val="none" w:sz="0" w:space="0" w:color="auto"/>
        <w:left w:val="none" w:sz="0" w:space="0" w:color="auto"/>
        <w:bottom w:val="none" w:sz="0" w:space="0" w:color="auto"/>
        <w:right w:val="none" w:sz="0" w:space="0" w:color="auto"/>
      </w:divBdr>
    </w:div>
    <w:div w:id="208418356">
      <w:bodyDiv w:val="1"/>
      <w:marLeft w:val="0"/>
      <w:marRight w:val="0"/>
      <w:marTop w:val="0"/>
      <w:marBottom w:val="0"/>
      <w:divBdr>
        <w:top w:val="none" w:sz="0" w:space="0" w:color="auto"/>
        <w:left w:val="none" w:sz="0" w:space="0" w:color="auto"/>
        <w:bottom w:val="none" w:sz="0" w:space="0" w:color="auto"/>
        <w:right w:val="none" w:sz="0" w:space="0" w:color="auto"/>
      </w:divBdr>
    </w:div>
    <w:div w:id="224028256">
      <w:bodyDiv w:val="1"/>
      <w:marLeft w:val="0"/>
      <w:marRight w:val="0"/>
      <w:marTop w:val="0"/>
      <w:marBottom w:val="0"/>
      <w:divBdr>
        <w:top w:val="none" w:sz="0" w:space="0" w:color="auto"/>
        <w:left w:val="none" w:sz="0" w:space="0" w:color="auto"/>
        <w:bottom w:val="none" w:sz="0" w:space="0" w:color="auto"/>
        <w:right w:val="none" w:sz="0" w:space="0" w:color="auto"/>
      </w:divBdr>
    </w:div>
    <w:div w:id="254900803">
      <w:bodyDiv w:val="1"/>
      <w:marLeft w:val="0"/>
      <w:marRight w:val="0"/>
      <w:marTop w:val="0"/>
      <w:marBottom w:val="0"/>
      <w:divBdr>
        <w:top w:val="none" w:sz="0" w:space="0" w:color="auto"/>
        <w:left w:val="none" w:sz="0" w:space="0" w:color="auto"/>
        <w:bottom w:val="none" w:sz="0" w:space="0" w:color="auto"/>
        <w:right w:val="none" w:sz="0" w:space="0" w:color="auto"/>
      </w:divBdr>
    </w:div>
    <w:div w:id="260112831">
      <w:bodyDiv w:val="1"/>
      <w:marLeft w:val="0"/>
      <w:marRight w:val="0"/>
      <w:marTop w:val="0"/>
      <w:marBottom w:val="0"/>
      <w:divBdr>
        <w:top w:val="none" w:sz="0" w:space="0" w:color="auto"/>
        <w:left w:val="none" w:sz="0" w:space="0" w:color="auto"/>
        <w:bottom w:val="none" w:sz="0" w:space="0" w:color="auto"/>
        <w:right w:val="none" w:sz="0" w:space="0" w:color="auto"/>
      </w:divBdr>
    </w:div>
    <w:div w:id="313414449">
      <w:bodyDiv w:val="1"/>
      <w:marLeft w:val="0"/>
      <w:marRight w:val="0"/>
      <w:marTop w:val="0"/>
      <w:marBottom w:val="0"/>
      <w:divBdr>
        <w:top w:val="none" w:sz="0" w:space="0" w:color="auto"/>
        <w:left w:val="none" w:sz="0" w:space="0" w:color="auto"/>
        <w:bottom w:val="none" w:sz="0" w:space="0" w:color="auto"/>
        <w:right w:val="none" w:sz="0" w:space="0" w:color="auto"/>
      </w:divBdr>
    </w:div>
    <w:div w:id="343164801">
      <w:bodyDiv w:val="1"/>
      <w:marLeft w:val="0"/>
      <w:marRight w:val="0"/>
      <w:marTop w:val="0"/>
      <w:marBottom w:val="0"/>
      <w:divBdr>
        <w:top w:val="none" w:sz="0" w:space="0" w:color="auto"/>
        <w:left w:val="none" w:sz="0" w:space="0" w:color="auto"/>
        <w:bottom w:val="none" w:sz="0" w:space="0" w:color="auto"/>
        <w:right w:val="none" w:sz="0" w:space="0" w:color="auto"/>
      </w:divBdr>
    </w:div>
    <w:div w:id="397824851">
      <w:bodyDiv w:val="1"/>
      <w:marLeft w:val="0"/>
      <w:marRight w:val="0"/>
      <w:marTop w:val="0"/>
      <w:marBottom w:val="0"/>
      <w:divBdr>
        <w:top w:val="none" w:sz="0" w:space="0" w:color="auto"/>
        <w:left w:val="none" w:sz="0" w:space="0" w:color="auto"/>
        <w:bottom w:val="none" w:sz="0" w:space="0" w:color="auto"/>
        <w:right w:val="none" w:sz="0" w:space="0" w:color="auto"/>
      </w:divBdr>
    </w:div>
    <w:div w:id="422381255">
      <w:bodyDiv w:val="1"/>
      <w:marLeft w:val="0"/>
      <w:marRight w:val="0"/>
      <w:marTop w:val="0"/>
      <w:marBottom w:val="0"/>
      <w:divBdr>
        <w:top w:val="none" w:sz="0" w:space="0" w:color="auto"/>
        <w:left w:val="none" w:sz="0" w:space="0" w:color="auto"/>
        <w:bottom w:val="none" w:sz="0" w:space="0" w:color="auto"/>
        <w:right w:val="none" w:sz="0" w:space="0" w:color="auto"/>
      </w:divBdr>
    </w:div>
    <w:div w:id="449476566">
      <w:bodyDiv w:val="1"/>
      <w:marLeft w:val="0"/>
      <w:marRight w:val="0"/>
      <w:marTop w:val="0"/>
      <w:marBottom w:val="0"/>
      <w:divBdr>
        <w:top w:val="none" w:sz="0" w:space="0" w:color="auto"/>
        <w:left w:val="none" w:sz="0" w:space="0" w:color="auto"/>
        <w:bottom w:val="none" w:sz="0" w:space="0" w:color="auto"/>
        <w:right w:val="none" w:sz="0" w:space="0" w:color="auto"/>
      </w:divBdr>
    </w:div>
    <w:div w:id="512768403">
      <w:bodyDiv w:val="1"/>
      <w:marLeft w:val="0"/>
      <w:marRight w:val="0"/>
      <w:marTop w:val="0"/>
      <w:marBottom w:val="0"/>
      <w:divBdr>
        <w:top w:val="none" w:sz="0" w:space="0" w:color="auto"/>
        <w:left w:val="none" w:sz="0" w:space="0" w:color="auto"/>
        <w:bottom w:val="none" w:sz="0" w:space="0" w:color="auto"/>
        <w:right w:val="none" w:sz="0" w:space="0" w:color="auto"/>
      </w:divBdr>
    </w:div>
    <w:div w:id="522667373">
      <w:bodyDiv w:val="1"/>
      <w:marLeft w:val="0"/>
      <w:marRight w:val="0"/>
      <w:marTop w:val="0"/>
      <w:marBottom w:val="0"/>
      <w:divBdr>
        <w:top w:val="none" w:sz="0" w:space="0" w:color="auto"/>
        <w:left w:val="none" w:sz="0" w:space="0" w:color="auto"/>
        <w:bottom w:val="none" w:sz="0" w:space="0" w:color="auto"/>
        <w:right w:val="none" w:sz="0" w:space="0" w:color="auto"/>
      </w:divBdr>
    </w:div>
    <w:div w:id="572662302">
      <w:bodyDiv w:val="1"/>
      <w:marLeft w:val="0"/>
      <w:marRight w:val="0"/>
      <w:marTop w:val="0"/>
      <w:marBottom w:val="0"/>
      <w:divBdr>
        <w:top w:val="none" w:sz="0" w:space="0" w:color="auto"/>
        <w:left w:val="none" w:sz="0" w:space="0" w:color="auto"/>
        <w:bottom w:val="none" w:sz="0" w:space="0" w:color="auto"/>
        <w:right w:val="none" w:sz="0" w:space="0" w:color="auto"/>
      </w:divBdr>
    </w:div>
    <w:div w:id="654800299">
      <w:bodyDiv w:val="1"/>
      <w:marLeft w:val="0"/>
      <w:marRight w:val="0"/>
      <w:marTop w:val="0"/>
      <w:marBottom w:val="0"/>
      <w:divBdr>
        <w:top w:val="none" w:sz="0" w:space="0" w:color="auto"/>
        <w:left w:val="none" w:sz="0" w:space="0" w:color="auto"/>
        <w:bottom w:val="none" w:sz="0" w:space="0" w:color="auto"/>
        <w:right w:val="none" w:sz="0" w:space="0" w:color="auto"/>
      </w:divBdr>
    </w:div>
    <w:div w:id="671228167">
      <w:bodyDiv w:val="1"/>
      <w:marLeft w:val="0"/>
      <w:marRight w:val="0"/>
      <w:marTop w:val="0"/>
      <w:marBottom w:val="0"/>
      <w:divBdr>
        <w:top w:val="none" w:sz="0" w:space="0" w:color="auto"/>
        <w:left w:val="none" w:sz="0" w:space="0" w:color="auto"/>
        <w:bottom w:val="none" w:sz="0" w:space="0" w:color="auto"/>
        <w:right w:val="none" w:sz="0" w:space="0" w:color="auto"/>
      </w:divBdr>
    </w:div>
    <w:div w:id="762848084">
      <w:bodyDiv w:val="1"/>
      <w:marLeft w:val="0"/>
      <w:marRight w:val="0"/>
      <w:marTop w:val="0"/>
      <w:marBottom w:val="0"/>
      <w:divBdr>
        <w:top w:val="none" w:sz="0" w:space="0" w:color="auto"/>
        <w:left w:val="none" w:sz="0" w:space="0" w:color="auto"/>
        <w:bottom w:val="none" w:sz="0" w:space="0" w:color="auto"/>
        <w:right w:val="none" w:sz="0" w:space="0" w:color="auto"/>
      </w:divBdr>
      <w:divsChild>
        <w:div w:id="2106532334">
          <w:marLeft w:val="0"/>
          <w:marRight w:val="0"/>
          <w:marTop w:val="0"/>
          <w:marBottom w:val="0"/>
          <w:divBdr>
            <w:top w:val="none" w:sz="0" w:space="0" w:color="auto"/>
            <w:left w:val="none" w:sz="0" w:space="0" w:color="auto"/>
            <w:bottom w:val="none" w:sz="0" w:space="0" w:color="auto"/>
            <w:right w:val="none" w:sz="0" w:space="0" w:color="auto"/>
          </w:divBdr>
        </w:div>
      </w:divsChild>
    </w:div>
    <w:div w:id="780145978">
      <w:bodyDiv w:val="1"/>
      <w:marLeft w:val="0"/>
      <w:marRight w:val="0"/>
      <w:marTop w:val="0"/>
      <w:marBottom w:val="0"/>
      <w:divBdr>
        <w:top w:val="none" w:sz="0" w:space="0" w:color="auto"/>
        <w:left w:val="none" w:sz="0" w:space="0" w:color="auto"/>
        <w:bottom w:val="none" w:sz="0" w:space="0" w:color="auto"/>
        <w:right w:val="none" w:sz="0" w:space="0" w:color="auto"/>
      </w:divBdr>
    </w:div>
    <w:div w:id="846023493">
      <w:bodyDiv w:val="1"/>
      <w:marLeft w:val="0"/>
      <w:marRight w:val="0"/>
      <w:marTop w:val="0"/>
      <w:marBottom w:val="0"/>
      <w:divBdr>
        <w:top w:val="none" w:sz="0" w:space="0" w:color="auto"/>
        <w:left w:val="none" w:sz="0" w:space="0" w:color="auto"/>
        <w:bottom w:val="none" w:sz="0" w:space="0" w:color="auto"/>
        <w:right w:val="none" w:sz="0" w:space="0" w:color="auto"/>
      </w:divBdr>
    </w:div>
    <w:div w:id="851845382">
      <w:bodyDiv w:val="1"/>
      <w:marLeft w:val="0"/>
      <w:marRight w:val="0"/>
      <w:marTop w:val="0"/>
      <w:marBottom w:val="0"/>
      <w:divBdr>
        <w:top w:val="none" w:sz="0" w:space="0" w:color="auto"/>
        <w:left w:val="none" w:sz="0" w:space="0" w:color="auto"/>
        <w:bottom w:val="none" w:sz="0" w:space="0" w:color="auto"/>
        <w:right w:val="none" w:sz="0" w:space="0" w:color="auto"/>
      </w:divBdr>
    </w:div>
    <w:div w:id="867451977">
      <w:bodyDiv w:val="1"/>
      <w:marLeft w:val="0"/>
      <w:marRight w:val="0"/>
      <w:marTop w:val="0"/>
      <w:marBottom w:val="0"/>
      <w:divBdr>
        <w:top w:val="none" w:sz="0" w:space="0" w:color="auto"/>
        <w:left w:val="none" w:sz="0" w:space="0" w:color="auto"/>
        <w:bottom w:val="none" w:sz="0" w:space="0" w:color="auto"/>
        <w:right w:val="none" w:sz="0" w:space="0" w:color="auto"/>
      </w:divBdr>
    </w:div>
    <w:div w:id="869416784">
      <w:bodyDiv w:val="1"/>
      <w:marLeft w:val="0"/>
      <w:marRight w:val="0"/>
      <w:marTop w:val="0"/>
      <w:marBottom w:val="0"/>
      <w:divBdr>
        <w:top w:val="none" w:sz="0" w:space="0" w:color="auto"/>
        <w:left w:val="none" w:sz="0" w:space="0" w:color="auto"/>
        <w:bottom w:val="none" w:sz="0" w:space="0" w:color="auto"/>
        <w:right w:val="none" w:sz="0" w:space="0" w:color="auto"/>
      </w:divBdr>
    </w:div>
    <w:div w:id="869957010">
      <w:bodyDiv w:val="1"/>
      <w:marLeft w:val="0"/>
      <w:marRight w:val="0"/>
      <w:marTop w:val="0"/>
      <w:marBottom w:val="0"/>
      <w:divBdr>
        <w:top w:val="none" w:sz="0" w:space="0" w:color="auto"/>
        <w:left w:val="none" w:sz="0" w:space="0" w:color="auto"/>
        <w:bottom w:val="none" w:sz="0" w:space="0" w:color="auto"/>
        <w:right w:val="none" w:sz="0" w:space="0" w:color="auto"/>
      </w:divBdr>
    </w:div>
    <w:div w:id="887841424">
      <w:bodyDiv w:val="1"/>
      <w:marLeft w:val="0"/>
      <w:marRight w:val="0"/>
      <w:marTop w:val="0"/>
      <w:marBottom w:val="0"/>
      <w:divBdr>
        <w:top w:val="none" w:sz="0" w:space="0" w:color="auto"/>
        <w:left w:val="none" w:sz="0" w:space="0" w:color="auto"/>
        <w:bottom w:val="none" w:sz="0" w:space="0" w:color="auto"/>
        <w:right w:val="none" w:sz="0" w:space="0" w:color="auto"/>
      </w:divBdr>
    </w:div>
    <w:div w:id="923416035">
      <w:bodyDiv w:val="1"/>
      <w:marLeft w:val="0"/>
      <w:marRight w:val="0"/>
      <w:marTop w:val="0"/>
      <w:marBottom w:val="0"/>
      <w:divBdr>
        <w:top w:val="none" w:sz="0" w:space="0" w:color="auto"/>
        <w:left w:val="none" w:sz="0" w:space="0" w:color="auto"/>
        <w:bottom w:val="none" w:sz="0" w:space="0" w:color="auto"/>
        <w:right w:val="none" w:sz="0" w:space="0" w:color="auto"/>
      </w:divBdr>
    </w:div>
    <w:div w:id="926763956">
      <w:bodyDiv w:val="1"/>
      <w:marLeft w:val="0"/>
      <w:marRight w:val="0"/>
      <w:marTop w:val="0"/>
      <w:marBottom w:val="0"/>
      <w:divBdr>
        <w:top w:val="none" w:sz="0" w:space="0" w:color="auto"/>
        <w:left w:val="none" w:sz="0" w:space="0" w:color="auto"/>
        <w:bottom w:val="none" w:sz="0" w:space="0" w:color="auto"/>
        <w:right w:val="none" w:sz="0" w:space="0" w:color="auto"/>
      </w:divBdr>
    </w:div>
    <w:div w:id="935286849">
      <w:bodyDiv w:val="1"/>
      <w:marLeft w:val="0"/>
      <w:marRight w:val="0"/>
      <w:marTop w:val="0"/>
      <w:marBottom w:val="0"/>
      <w:divBdr>
        <w:top w:val="none" w:sz="0" w:space="0" w:color="auto"/>
        <w:left w:val="none" w:sz="0" w:space="0" w:color="auto"/>
        <w:bottom w:val="none" w:sz="0" w:space="0" w:color="auto"/>
        <w:right w:val="none" w:sz="0" w:space="0" w:color="auto"/>
      </w:divBdr>
    </w:div>
    <w:div w:id="962003802">
      <w:bodyDiv w:val="1"/>
      <w:marLeft w:val="0"/>
      <w:marRight w:val="0"/>
      <w:marTop w:val="0"/>
      <w:marBottom w:val="0"/>
      <w:divBdr>
        <w:top w:val="none" w:sz="0" w:space="0" w:color="auto"/>
        <w:left w:val="none" w:sz="0" w:space="0" w:color="auto"/>
        <w:bottom w:val="none" w:sz="0" w:space="0" w:color="auto"/>
        <w:right w:val="none" w:sz="0" w:space="0" w:color="auto"/>
      </w:divBdr>
    </w:div>
    <w:div w:id="962462826">
      <w:bodyDiv w:val="1"/>
      <w:marLeft w:val="0"/>
      <w:marRight w:val="0"/>
      <w:marTop w:val="0"/>
      <w:marBottom w:val="0"/>
      <w:divBdr>
        <w:top w:val="none" w:sz="0" w:space="0" w:color="auto"/>
        <w:left w:val="none" w:sz="0" w:space="0" w:color="auto"/>
        <w:bottom w:val="none" w:sz="0" w:space="0" w:color="auto"/>
        <w:right w:val="none" w:sz="0" w:space="0" w:color="auto"/>
      </w:divBdr>
      <w:divsChild>
        <w:div w:id="42364180">
          <w:marLeft w:val="0"/>
          <w:marRight w:val="0"/>
          <w:marTop w:val="0"/>
          <w:marBottom w:val="0"/>
          <w:divBdr>
            <w:top w:val="none" w:sz="0" w:space="0" w:color="auto"/>
            <w:left w:val="none" w:sz="0" w:space="0" w:color="auto"/>
            <w:bottom w:val="none" w:sz="0" w:space="0" w:color="auto"/>
            <w:right w:val="none" w:sz="0" w:space="0" w:color="auto"/>
          </w:divBdr>
        </w:div>
        <w:div w:id="1044670915">
          <w:marLeft w:val="0"/>
          <w:marRight w:val="0"/>
          <w:marTop w:val="0"/>
          <w:marBottom w:val="0"/>
          <w:divBdr>
            <w:top w:val="none" w:sz="0" w:space="0" w:color="auto"/>
            <w:left w:val="none" w:sz="0" w:space="0" w:color="auto"/>
            <w:bottom w:val="none" w:sz="0" w:space="0" w:color="auto"/>
            <w:right w:val="none" w:sz="0" w:space="0" w:color="auto"/>
          </w:divBdr>
        </w:div>
      </w:divsChild>
    </w:div>
    <w:div w:id="978151508">
      <w:bodyDiv w:val="1"/>
      <w:marLeft w:val="0"/>
      <w:marRight w:val="0"/>
      <w:marTop w:val="0"/>
      <w:marBottom w:val="0"/>
      <w:divBdr>
        <w:top w:val="none" w:sz="0" w:space="0" w:color="auto"/>
        <w:left w:val="none" w:sz="0" w:space="0" w:color="auto"/>
        <w:bottom w:val="none" w:sz="0" w:space="0" w:color="auto"/>
        <w:right w:val="none" w:sz="0" w:space="0" w:color="auto"/>
      </w:divBdr>
    </w:div>
    <w:div w:id="986132325">
      <w:bodyDiv w:val="1"/>
      <w:marLeft w:val="0"/>
      <w:marRight w:val="0"/>
      <w:marTop w:val="0"/>
      <w:marBottom w:val="0"/>
      <w:divBdr>
        <w:top w:val="none" w:sz="0" w:space="0" w:color="auto"/>
        <w:left w:val="none" w:sz="0" w:space="0" w:color="auto"/>
        <w:bottom w:val="none" w:sz="0" w:space="0" w:color="auto"/>
        <w:right w:val="none" w:sz="0" w:space="0" w:color="auto"/>
      </w:divBdr>
    </w:div>
    <w:div w:id="997808938">
      <w:bodyDiv w:val="1"/>
      <w:marLeft w:val="0"/>
      <w:marRight w:val="0"/>
      <w:marTop w:val="0"/>
      <w:marBottom w:val="0"/>
      <w:divBdr>
        <w:top w:val="none" w:sz="0" w:space="0" w:color="auto"/>
        <w:left w:val="none" w:sz="0" w:space="0" w:color="auto"/>
        <w:bottom w:val="none" w:sz="0" w:space="0" w:color="auto"/>
        <w:right w:val="none" w:sz="0" w:space="0" w:color="auto"/>
      </w:divBdr>
    </w:div>
    <w:div w:id="1059400732">
      <w:bodyDiv w:val="1"/>
      <w:marLeft w:val="0"/>
      <w:marRight w:val="0"/>
      <w:marTop w:val="0"/>
      <w:marBottom w:val="0"/>
      <w:divBdr>
        <w:top w:val="none" w:sz="0" w:space="0" w:color="auto"/>
        <w:left w:val="none" w:sz="0" w:space="0" w:color="auto"/>
        <w:bottom w:val="none" w:sz="0" w:space="0" w:color="auto"/>
        <w:right w:val="none" w:sz="0" w:space="0" w:color="auto"/>
      </w:divBdr>
    </w:div>
    <w:div w:id="1083141162">
      <w:bodyDiv w:val="1"/>
      <w:marLeft w:val="0"/>
      <w:marRight w:val="0"/>
      <w:marTop w:val="0"/>
      <w:marBottom w:val="0"/>
      <w:divBdr>
        <w:top w:val="none" w:sz="0" w:space="0" w:color="auto"/>
        <w:left w:val="none" w:sz="0" w:space="0" w:color="auto"/>
        <w:bottom w:val="none" w:sz="0" w:space="0" w:color="auto"/>
        <w:right w:val="none" w:sz="0" w:space="0" w:color="auto"/>
      </w:divBdr>
      <w:divsChild>
        <w:div w:id="64308435">
          <w:marLeft w:val="0"/>
          <w:marRight w:val="0"/>
          <w:marTop w:val="0"/>
          <w:marBottom w:val="0"/>
          <w:divBdr>
            <w:top w:val="none" w:sz="0" w:space="0" w:color="auto"/>
            <w:left w:val="none" w:sz="0" w:space="0" w:color="auto"/>
            <w:bottom w:val="none" w:sz="0" w:space="0" w:color="auto"/>
            <w:right w:val="none" w:sz="0" w:space="0" w:color="auto"/>
          </w:divBdr>
        </w:div>
        <w:div w:id="1157841162">
          <w:marLeft w:val="0"/>
          <w:marRight w:val="0"/>
          <w:marTop w:val="0"/>
          <w:marBottom w:val="0"/>
          <w:divBdr>
            <w:top w:val="none" w:sz="0" w:space="0" w:color="auto"/>
            <w:left w:val="none" w:sz="0" w:space="0" w:color="auto"/>
            <w:bottom w:val="none" w:sz="0" w:space="0" w:color="auto"/>
            <w:right w:val="none" w:sz="0" w:space="0" w:color="auto"/>
          </w:divBdr>
          <w:divsChild>
            <w:div w:id="296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55054">
      <w:bodyDiv w:val="1"/>
      <w:marLeft w:val="0"/>
      <w:marRight w:val="0"/>
      <w:marTop w:val="0"/>
      <w:marBottom w:val="0"/>
      <w:divBdr>
        <w:top w:val="none" w:sz="0" w:space="0" w:color="auto"/>
        <w:left w:val="none" w:sz="0" w:space="0" w:color="auto"/>
        <w:bottom w:val="none" w:sz="0" w:space="0" w:color="auto"/>
        <w:right w:val="none" w:sz="0" w:space="0" w:color="auto"/>
      </w:divBdr>
    </w:div>
    <w:div w:id="1117144531">
      <w:bodyDiv w:val="1"/>
      <w:marLeft w:val="0"/>
      <w:marRight w:val="0"/>
      <w:marTop w:val="0"/>
      <w:marBottom w:val="0"/>
      <w:divBdr>
        <w:top w:val="none" w:sz="0" w:space="0" w:color="auto"/>
        <w:left w:val="none" w:sz="0" w:space="0" w:color="auto"/>
        <w:bottom w:val="none" w:sz="0" w:space="0" w:color="auto"/>
        <w:right w:val="none" w:sz="0" w:space="0" w:color="auto"/>
      </w:divBdr>
    </w:div>
    <w:div w:id="1121149931">
      <w:bodyDiv w:val="1"/>
      <w:marLeft w:val="0"/>
      <w:marRight w:val="0"/>
      <w:marTop w:val="0"/>
      <w:marBottom w:val="0"/>
      <w:divBdr>
        <w:top w:val="none" w:sz="0" w:space="0" w:color="auto"/>
        <w:left w:val="none" w:sz="0" w:space="0" w:color="auto"/>
        <w:bottom w:val="none" w:sz="0" w:space="0" w:color="auto"/>
        <w:right w:val="none" w:sz="0" w:space="0" w:color="auto"/>
      </w:divBdr>
    </w:div>
    <w:div w:id="1138231028">
      <w:bodyDiv w:val="1"/>
      <w:marLeft w:val="0"/>
      <w:marRight w:val="0"/>
      <w:marTop w:val="0"/>
      <w:marBottom w:val="0"/>
      <w:divBdr>
        <w:top w:val="none" w:sz="0" w:space="0" w:color="auto"/>
        <w:left w:val="none" w:sz="0" w:space="0" w:color="auto"/>
        <w:bottom w:val="none" w:sz="0" w:space="0" w:color="auto"/>
        <w:right w:val="none" w:sz="0" w:space="0" w:color="auto"/>
      </w:divBdr>
    </w:div>
    <w:div w:id="1227765923">
      <w:bodyDiv w:val="1"/>
      <w:marLeft w:val="0"/>
      <w:marRight w:val="0"/>
      <w:marTop w:val="0"/>
      <w:marBottom w:val="0"/>
      <w:divBdr>
        <w:top w:val="none" w:sz="0" w:space="0" w:color="auto"/>
        <w:left w:val="none" w:sz="0" w:space="0" w:color="auto"/>
        <w:bottom w:val="none" w:sz="0" w:space="0" w:color="auto"/>
        <w:right w:val="none" w:sz="0" w:space="0" w:color="auto"/>
      </w:divBdr>
    </w:div>
    <w:div w:id="1270624202">
      <w:bodyDiv w:val="1"/>
      <w:marLeft w:val="0"/>
      <w:marRight w:val="0"/>
      <w:marTop w:val="0"/>
      <w:marBottom w:val="0"/>
      <w:divBdr>
        <w:top w:val="none" w:sz="0" w:space="0" w:color="auto"/>
        <w:left w:val="none" w:sz="0" w:space="0" w:color="auto"/>
        <w:bottom w:val="none" w:sz="0" w:space="0" w:color="auto"/>
        <w:right w:val="none" w:sz="0" w:space="0" w:color="auto"/>
      </w:divBdr>
    </w:div>
    <w:div w:id="1349212098">
      <w:bodyDiv w:val="1"/>
      <w:marLeft w:val="0"/>
      <w:marRight w:val="0"/>
      <w:marTop w:val="0"/>
      <w:marBottom w:val="0"/>
      <w:divBdr>
        <w:top w:val="none" w:sz="0" w:space="0" w:color="auto"/>
        <w:left w:val="none" w:sz="0" w:space="0" w:color="auto"/>
        <w:bottom w:val="none" w:sz="0" w:space="0" w:color="auto"/>
        <w:right w:val="none" w:sz="0" w:space="0" w:color="auto"/>
      </w:divBdr>
    </w:div>
    <w:div w:id="1357850792">
      <w:bodyDiv w:val="1"/>
      <w:marLeft w:val="0"/>
      <w:marRight w:val="0"/>
      <w:marTop w:val="0"/>
      <w:marBottom w:val="0"/>
      <w:divBdr>
        <w:top w:val="none" w:sz="0" w:space="0" w:color="auto"/>
        <w:left w:val="none" w:sz="0" w:space="0" w:color="auto"/>
        <w:bottom w:val="none" w:sz="0" w:space="0" w:color="auto"/>
        <w:right w:val="none" w:sz="0" w:space="0" w:color="auto"/>
      </w:divBdr>
    </w:div>
    <w:div w:id="1367755612">
      <w:bodyDiv w:val="1"/>
      <w:marLeft w:val="0"/>
      <w:marRight w:val="0"/>
      <w:marTop w:val="0"/>
      <w:marBottom w:val="0"/>
      <w:divBdr>
        <w:top w:val="none" w:sz="0" w:space="0" w:color="auto"/>
        <w:left w:val="none" w:sz="0" w:space="0" w:color="auto"/>
        <w:bottom w:val="none" w:sz="0" w:space="0" w:color="auto"/>
        <w:right w:val="none" w:sz="0" w:space="0" w:color="auto"/>
      </w:divBdr>
    </w:div>
    <w:div w:id="1369112699">
      <w:bodyDiv w:val="1"/>
      <w:marLeft w:val="0"/>
      <w:marRight w:val="0"/>
      <w:marTop w:val="0"/>
      <w:marBottom w:val="0"/>
      <w:divBdr>
        <w:top w:val="none" w:sz="0" w:space="0" w:color="auto"/>
        <w:left w:val="none" w:sz="0" w:space="0" w:color="auto"/>
        <w:bottom w:val="none" w:sz="0" w:space="0" w:color="auto"/>
        <w:right w:val="none" w:sz="0" w:space="0" w:color="auto"/>
      </w:divBdr>
    </w:div>
    <w:div w:id="1376656014">
      <w:bodyDiv w:val="1"/>
      <w:marLeft w:val="0"/>
      <w:marRight w:val="0"/>
      <w:marTop w:val="0"/>
      <w:marBottom w:val="0"/>
      <w:divBdr>
        <w:top w:val="none" w:sz="0" w:space="0" w:color="auto"/>
        <w:left w:val="none" w:sz="0" w:space="0" w:color="auto"/>
        <w:bottom w:val="none" w:sz="0" w:space="0" w:color="auto"/>
        <w:right w:val="none" w:sz="0" w:space="0" w:color="auto"/>
      </w:divBdr>
    </w:div>
    <w:div w:id="1392925528">
      <w:bodyDiv w:val="1"/>
      <w:marLeft w:val="0"/>
      <w:marRight w:val="0"/>
      <w:marTop w:val="0"/>
      <w:marBottom w:val="0"/>
      <w:divBdr>
        <w:top w:val="none" w:sz="0" w:space="0" w:color="auto"/>
        <w:left w:val="none" w:sz="0" w:space="0" w:color="auto"/>
        <w:bottom w:val="none" w:sz="0" w:space="0" w:color="auto"/>
        <w:right w:val="none" w:sz="0" w:space="0" w:color="auto"/>
      </w:divBdr>
    </w:div>
    <w:div w:id="1452944564">
      <w:bodyDiv w:val="1"/>
      <w:marLeft w:val="0"/>
      <w:marRight w:val="0"/>
      <w:marTop w:val="0"/>
      <w:marBottom w:val="0"/>
      <w:divBdr>
        <w:top w:val="none" w:sz="0" w:space="0" w:color="auto"/>
        <w:left w:val="none" w:sz="0" w:space="0" w:color="auto"/>
        <w:bottom w:val="none" w:sz="0" w:space="0" w:color="auto"/>
        <w:right w:val="none" w:sz="0" w:space="0" w:color="auto"/>
      </w:divBdr>
    </w:div>
    <w:div w:id="1465122927">
      <w:bodyDiv w:val="1"/>
      <w:marLeft w:val="0"/>
      <w:marRight w:val="0"/>
      <w:marTop w:val="0"/>
      <w:marBottom w:val="0"/>
      <w:divBdr>
        <w:top w:val="none" w:sz="0" w:space="0" w:color="auto"/>
        <w:left w:val="none" w:sz="0" w:space="0" w:color="auto"/>
        <w:bottom w:val="none" w:sz="0" w:space="0" w:color="auto"/>
        <w:right w:val="none" w:sz="0" w:space="0" w:color="auto"/>
      </w:divBdr>
    </w:div>
    <w:div w:id="1517227425">
      <w:bodyDiv w:val="1"/>
      <w:marLeft w:val="0"/>
      <w:marRight w:val="0"/>
      <w:marTop w:val="0"/>
      <w:marBottom w:val="0"/>
      <w:divBdr>
        <w:top w:val="none" w:sz="0" w:space="0" w:color="auto"/>
        <w:left w:val="none" w:sz="0" w:space="0" w:color="auto"/>
        <w:bottom w:val="none" w:sz="0" w:space="0" w:color="auto"/>
        <w:right w:val="none" w:sz="0" w:space="0" w:color="auto"/>
      </w:divBdr>
    </w:div>
    <w:div w:id="1574074497">
      <w:bodyDiv w:val="1"/>
      <w:marLeft w:val="0"/>
      <w:marRight w:val="0"/>
      <w:marTop w:val="0"/>
      <w:marBottom w:val="0"/>
      <w:divBdr>
        <w:top w:val="none" w:sz="0" w:space="0" w:color="auto"/>
        <w:left w:val="none" w:sz="0" w:space="0" w:color="auto"/>
        <w:bottom w:val="none" w:sz="0" w:space="0" w:color="auto"/>
        <w:right w:val="none" w:sz="0" w:space="0" w:color="auto"/>
      </w:divBdr>
    </w:div>
    <w:div w:id="1582136205">
      <w:bodyDiv w:val="1"/>
      <w:marLeft w:val="0"/>
      <w:marRight w:val="0"/>
      <w:marTop w:val="0"/>
      <w:marBottom w:val="0"/>
      <w:divBdr>
        <w:top w:val="none" w:sz="0" w:space="0" w:color="auto"/>
        <w:left w:val="none" w:sz="0" w:space="0" w:color="auto"/>
        <w:bottom w:val="none" w:sz="0" w:space="0" w:color="auto"/>
        <w:right w:val="none" w:sz="0" w:space="0" w:color="auto"/>
      </w:divBdr>
    </w:div>
    <w:div w:id="1599606485">
      <w:bodyDiv w:val="1"/>
      <w:marLeft w:val="0"/>
      <w:marRight w:val="0"/>
      <w:marTop w:val="0"/>
      <w:marBottom w:val="0"/>
      <w:divBdr>
        <w:top w:val="none" w:sz="0" w:space="0" w:color="auto"/>
        <w:left w:val="none" w:sz="0" w:space="0" w:color="auto"/>
        <w:bottom w:val="none" w:sz="0" w:space="0" w:color="auto"/>
        <w:right w:val="none" w:sz="0" w:space="0" w:color="auto"/>
      </w:divBdr>
    </w:div>
    <w:div w:id="1626347100">
      <w:bodyDiv w:val="1"/>
      <w:marLeft w:val="0"/>
      <w:marRight w:val="0"/>
      <w:marTop w:val="0"/>
      <w:marBottom w:val="0"/>
      <w:divBdr>
        <w:top w:val="none" w:sz="0" w:space="0" w:color="auto"/>
        <w:left w:val="none" w:sz="0" w:space="0" w:color="auto"/>
        <w:bottom w:val="none" w:sz="0" w:space="0" w:color="auto"/>
        <w:right w:val="none" w:sz="0" w:space="0" w:color="auto"/>
      </w:divBdr>
    </w:div>
    <w:div w:id="1635402411">
      <w:bodyDiv w:val="1"/>
      <w:marLeft w:val="0"/>
      <w:marRight w:val="0"/>
      <w:marTop w:val="0"/>
      <w:marBottom w:val="0"/>
      <w:divBdr>
        <w:top w:val="none" w:sz="0" w:space="0" w:color="auto"/>
        <w:left w:val="none" w:sz="0" w:space="0" w:color="auto"/>
        <w:bottom w:val="none" w:sz="0" w:space="0" w:color="auto"/>
        <w:right w:val="none" w:sz="0" w:space="0" w:color="auto"/>
      </w:divBdr>
    </w:div>
    <w:div w:id="1676762205">
      <w:bodyDiv w:val="1"/>
      <w:marLeft w:val="0"/>
      <w:marRight w:val="0"/>
      <w:marTop w:val="0"/>
      <w:marBottom w:val="0"/>
      <w:divBdr>
        <w:top w:val="none" w:sz="0" w:space="0" w:color="auto"/>
        <w:left w:val="none" w:sz="0" w:space="0" w:color="auto"/>
        <w:bottom w:val="none" w:sz="0" w:space="0" w:color="auto"/>
        <w:right w:val="none" w:sz="0" w:space="0" w:color="auto"/>
      </w:divBdr>
    </w:div>
    <w:div w:id="1691638031">
      <w:bodyDiv w:val="1"/>
      <w:marLeft w:val="0"/>
      <w:marRight w:val="0"/>
      <w:marTop w:val="0"/>
      <w:marBottom w:val="0"/>
      <w:divBdr>
        <w:top w:val="none" w:sz="0" w:space="0" w:color="auto"/>
        <w:left w:val="none" w:sz="0" w:space="0" w:color="auto"/>
        <w:bottom w:val="none" w:sz="0" w:space="0" w:color="auto"/>
        <w:right w:val="none" w:sz="0" w:space="0" w:color="auto"/>
      </w:divBdr>
    </w:div>
    <w:div w:id="1709640281">
      <w:bodyDiv w:val="1"/>
      <w:marLeft w:val="0"/>
      <w:marRight w:val="0"/>
      <w:marTop w:val="0"/>
      <w:marBottom w:val="0"/>
      <w:divBdr>
        <w:top w:val="none" w:sz="0" w:space="0" w:color="auto"/>
        <w:left w:val="none" w:sz="0" w:space="0" w:color="auto"/>
        <w:bottom w:val="none" w:sz="0" w:space="0" w:color="auto"/>
        <w:right w:val="none" w:sz="0" w:space="0" w:color="auto"/>
      </w:divBdr>
    </w:div>
    <w:div w:id="1751391063">
      <w:bodyDiv w:val="1"/>
      <w:marLeft w:val="0"/>
      <w:marRight w:val="0"/>
      <w:marTop w:val="0"/>
      <w:marBottom w:val="0"/>
      <w:divBdr>
        <w:top w:val="none" w:sz="0" w:space="0" w:color="auto"/>
        <w:left w:val="none" w:sz="0" w:space="0" w:color="auto"/>
        <w:bottom w:val="none" w:sz="0" w:space="0" w:color="auto"/>
        <w:right w:val="none" w:sz="0" w:space="0" w:color="auto"/>
      </w:divBdr>
    </w:div>
    <w:div w:id="1766068982">
      <w:bodyDiv w:val="1"/>
      <w:marLeft w:val="0"/>
      <w:marRight w:val="0"/>
      <w:marTop w:val="0"/>
      <w:marBottom w:val="0"/>
      <w:divBdr>
        <w:top w:val="none" w:sz="0" w:space="0" w:color="auto"/>
        <w:left w:val="none" w:sz="0" w:space="0" w:color="auto"/>
        <w:bottom w:val="none" w:sz="0" w:space="0" w:color="auto"/>
        <w:right w:val="none" w:sz="0" w:space="0" w:color="auto"/>
      </w:divBdr>
    </w:div>
    <w:div w:id="1771773572">
      <w:bodyDiv w:val="1"/>
      <w:marLeft w:val="0"/>
      <w:marRight w:val="0"/>
      <w:marTop w:val="0"/>
      <w:marBottom w:val="0"/>
      <w:divBdr>
        <w:top w:val="none" w:sz="0" w:space="0" w:color="auto"/>
        <w:left w:val="none" w:sz="0" w:space="0" w:color="auto"/>
        <w:bottom w:val="none" w:sz="0" w:space="0" w:color="auto"/>
        <w:right w:val="none" w:sz="0" w:space="0" w:color="auto"/>
      </w:divBdr>
    </w:div>
    <w:div w:id="1778285455">
      <w:bodyDiv w:val="1"/>
      <w:marLeft w:val="0"/>
      <w:marRight w:val="0"/>
      <w:marTop w:val="0"/>
      <w:marBottom w:val="0"/>
      <w:divBdr>
        <w:top w:val="none" w:sz="0" w:space="0" w:color="auto"/>
        <w:left w:val="none" w:sz="0" w:space="0" w:color="auto"/>
        <w:bottom w:val="none" w:sz="0" w:space="0" w:color="auto"/>
        <w:right w:val="none" w:sz="0" w:space="0" w:color="auto"/>
      </w:divBdr>
    </w:div>
    <w:div w:id="1821968410">
      <w:bodyDiv w:val="1"/>
      <w:marLeft w:val="0"/>
      <w:marRight w:val="0"/>
      <w:marTop w:val="0"/>
      <w:marBottom w:val="0"/>
      <w:divBdr>
        <w:top w:val="none" w:sz="0" w:space="0" w:color="auto"/>
        <w:left w:val="none" w:sz="0" w:space="0" w:color="auto"/>
        <w:bottom w:val="none" w:sz="0" w:space="0" w:color="auto"/>
        <w:right w:val="none" w:sz="0" w:space="0" w:color="auto"/>
      </w:divBdr>
    </w:div>
    <w:div w:id="1823813723">
      <w:bodyDiv w:val="1"/>
      <w:marLeft w:val="0"/>
      <w:marRight w:val="0"/>
      <w:marTop w:val="0"/>
      <w:marBottom w:val="0"/>
      <w:divBdr>
        <w:top w:val="none" w:sz="0" w:space="0" w:color="auto"/>
        <w:left w:val="none" w:sz="0" w:space="0" w:color="auto"/>
        <w:bottom w:val="none" w:sz="0" w:space="0" w:color="auto"/>
        <w:right w:val="none" w:sz="0" w:space="0" w:color="auto"/>
      </w:divBdr>
    </w:div>
    <w:div w:id="1839415984">
      <w:bodyDiv w:val="1"/>
      <w:marLeft w:val="0"/>
      <w:marRight w:val="0"/>
      <w:marTop w:val="0"/>
      <w:marBottom w:val="0"/>
      <w:divBdr>
        <w:top w:val="none" w:sz="0" w:space="0" w:color="auto"/>
        <w:left w:val="none" w:sz="0" w:space="0" w:color="auto"/>
        <w:bottom w:val="none" w:sz="0" w:space="0" w:color="auto"/>
        <w:right w:val="none" w:sz="0" w:space="0" w:color="auto"/>
      </w:divBdr>
    </w:div>
    <w:div w:id="1846699532">
      <w:bodyDiv w:val="1"/>
      <w:marLeft w:val="0"/>
      <w:marRight w:val="0"/>
      <w:marTop w:val="0"/>
      <w:marBottom w:val="0"/>
      <w:divBdr>
        <w:top w:val="none" w:sz="0" w:space="0" w:color="auto"/>
        <w:left w:val="none" w:sz="0" w:space="0" w:color="auto"/>
        <w:bottom w:val="none" w:sz="0" w:space="0" w:color="auto"/>
        <w:right w:val="none" w:sz="0" w:space="0" w:color="auto"/>
      </w:divBdr>
    </w:div>
    <w:div w:id="1883398171">
      <w:bodyDiv w:val="1"/>
      <w:marLeft w:val="0"/>
      <w:marRight w:val="0"/>
      <w:marTop w:val="0"/>
      <w:marBottom w:val="0"/>
      <w:divBdr>
        <w:top w:val="none" w:sz="0" w:space="0" w:color="auto"/>
        <w:left w:val="none" w:sz="0" w:space="0" w:color="auto"/>
        <w:bottom w:val="none" w:sz="0" w:space="0" w:color="auto"/>
        <w:right w:val="none" w:sz="0" w:space="0" w:color="auto"/>
      </w:divBdr>
    </w:div>
    <w:div w:id="1918896869">
      <w:bodyDiv w:val="1"/>
      <w:marLeft w:val="0"/>
      <w:marRight w:val="0"/>
      <w:marTop w:val="0"/>
      <w:marBottom w:val="0"/>
      <w:divBdr>
        <w:top w:val="none" w:sz="0" w:space="0" w:color="auto"/>
        <w:left w:val="none" w:sz="0" w:space="0" w:color="auto"/>
        <w:bottom w:val="none" w:sz="0" w:space="0" w:color="auto"/>
        <w:right w:val="none" w:sz="0" w:space="0" w:color="auto"/>
      </w:divBdr>
    </w:div>
    <w:div w:id="1935087421">
      <w:bodyDiv w:val="1"/>
      <w:marLeft w:val="0"/>
      <w:marRight w:val="0"/>
      <w:marTop w:val="0"/>
      <w:marBottom w:val="0"/>
      <w:divBdr>
        <w:top w:val="none" w:sz="0" w:space="0" w:color="auto"/>
        <w:left w:val="none" w:sz="0" w:space="0" w:color="auto"/>
        <w:bottom w:val="none" w:sz="0" w:space="0" w:color="auto"/>
        <w:right w:val="none" w:sz="0" w:space="0" w:color="auto"/>
      </w:divBdr>
    </w:div>
    <w:div w:id="1937127148">
      <w:bodyDiv w:val="1"/>
      <w:marLeft w:val="0"/>
      <w:marRight w:val="0"/>
      <w:marTop w:val="0"/>
      <w:marBottom w:val="0"/>
      <w:divBdr>
        <w:top w:val="none" w:sz="0" w:space="0" w:color="auto"/>
        <w:left w:val="none" w:sz="0" w:space="0" w:color="auto"/>
        <w:bottom w:val="none" w:sz="0" w:space="0" w:color="auto"/>
        <w:right w:val="none" w:sz="0" w:space="0" w:color="auto"/>
      </w:divBdr>
    </w:div>
    <w:div w:id="1965306454">
      <w:bodyDiv w:val="1"/>
      <w:marLeft w:val="0"/>
      <w:marRight w:val="0"/>
      <w:marTop w:val="0"/>
      <w:marBottom w:val="0"/>
      <w:divBdr>
        <w:top w:val="none" w:sz="0" w:space="0" w:color="auto"/>
        <w:left w:val="none" w:sz="0" w:space="0" w:color="auto"/>
        <w:bottom w:val="none" w:sz="0" w:space="0" w:color="auto"/>
        <w:right w:val="none" w:sz="0" w:space="0" w:color="auto"/>
      </w:divBdr>
    </w:div>
    <w:div w:id="2021663128">
      <w:bodyDiv w:val="1"/>
      <w:marLeft w:val="0"/>
      <w:marRight w:val="0"/>
      <w:marTop w:val="0"/>
      <w:marBottom w:val="0"/>
      <w:divBdr>
        <w:top w:val="none" w:sz="0" w:space="0" w:color="auto"/>
        <w:left w:val="none" w:sz="0" w:space="0" w:color="auto"/>
        <w:bottom w:val="none" w:sz="0" w:space="0" w:color="auto"/>
        <w:right w:val="none" w:sz="0" w:space="0" w:color="auto"/>
      </w:divBdr>
    </w:div>
    <w:div w:id="2027360382">
      <w:bodyDiv w:val="1"/>
      <w:marLeft w:val="0"/>
      <w:marRight w:val="0"/>
      <w:marTop w:val="0"/>
      <w:marBottom w:val="0"/>
      <w:divBdr>
        <w:top w:val="none" w:sz="0" w:space="0" w:color="auto"/>
        <w:left w:val="none" w:sz="0" w:space="0" w:color="auto"/>
        <w:bottom w:val="none" w:sz="0" w:space="0" w:color="auto"/>
        <w:right w:val="none" w:sz="0" w:space="0" w:color="auto"/>
      </w:divBdr>
    </w:div>
    <w:div w:id="2039088745">
      <w:bodyDiv w:val="1"/>
      <w:marLeft w:val="0"/>
      <w:marRight w:val="0"/>
      <w:marTop w:val="0"/>
      <w:marBottom w:val="0"/>
      <w:divBdr>
        <w:top w:val="none" w:sz="0" w:space="0" w:color="auto"/>
        <w:left w:val="none" w:sz="0" w:space="0" w:color="auto"/>
        <w:bottom w:val="none" w:sz="0" w:space="0" w:color="auto"/>
        <w:right w:val="none" w:sz="0" w:space="0" w:color="auto"/>
      </w:divBdr>
    </w:div>
    <w:div w:id="2049405612">
      <w:bodyDiv w:val="1"/>
      <w:marLeft w:val="0"/>
      <w:marRight w:val="0"/>
      <w:marTop w:val="0"/>
      <w:marBottom w:val="0"/>
      <w:divBdr>
        <w:top w:val="none" w:sz="0" w:space="0" w:color="auto"/>
        <w:left w:val="none" w:sz="0" w:space="0" w:color="auto"/>
        <w:bottom w:val="none" w:sz="0" w:space="0" w:color="auto"/>
        <w:right w:val="none" w:sz="0" w:space="0" w:color="auto"/>
      </w:divBdr>
    </w:div>
    <w:div w:id="2077122838">
      <w:bodyDiv w:val="1"/>
      <w:marLeft w:val="0"/>
      <w:marRight w:val="0"/>
      <w:marTop w:val="0"/>
      <w:marBottom w:val="0"/>
      <w:divBdr>
        <w:top w:val="none" w:sz="0" w:space="0" w:color="auto"/>
        <w:left w:val="none" w:sz="0" w:space="0" w:color="auto"/>
        <w:bottom w:val="none" w:sz="0" w:space="0" w:color="auto"/>
        <w:right w:val="none" w:sz="0" w:space="0" w:color="auto"/>
      </w:divBdr>
    </w:div>
    <w:div w:id="2078739990">
      <w:bodyDiv w:val="1"/>
      <w:marLeft w:val="0"/>
      <w:marRight w:val="0"/>
      <w:marTop w:val="0"/>
      <w:marBottom w:val="0"/>
      <w:divBdr>
        <w:top w:val="none" w:sz="0" w:space="0" w:color="auto"/>
        <w:left w:val="none" w:sz="0" w:space="0" w:color="auto"/>
        <w:bottom w:val="none" w:sz="0" w:space="0" w:color="auto"/>
        <w:right w:val="none" w:sz="0" w:space="0" w:color="auto"/>
      </w:divBdr>
    </w:div>
    <w:div w:id="2083136496">
      <w:bodyDiv w:val="1"/>
      <w:marLeft w:val="0"/>
      <w:marRight w:val="0"/>
      <w:marTop w:val="0"/>
      <w:marBottom w:val="0"/>
      <w:divBdr>
        <w:top w:val="none" w:sz="0" w:space="0" w:color="auto"/>
        <w:left w:val="none" w:sz="0" w:space="0" w:color="auto"/>
        <w:bottom w:val="none" w:sz="0" w:space="0" w:color="auto"/>
        <w:right w:val="none" w:sz="0" w:space="0" w:color="auto"/>
      </w:divBdr>
    </w:div>
    <w:div w:id="2110345716">
      <w:bodyDiv w:val="1"/>
      <w:marLeft w:val="0"/>
      <w:marRight w:val="0"/>
      <w:marTop w:val="0"/>
      <w:marBottom w:val="0"/>
      <w:divBdr>
        <w:top w:val="none" w:sz="0" w:space="0" w:color="auto"/>
        <w:left w:val="none" w:sz="0" w:space="0" w:color="auto"/>
        <w:bottom w:val="none" w:sz="0" w:space="0" w:color="auto"/>
        <w:right w:val="none" w:sz="0" w:space="0" w:color="auto"/>
      </w:divBdr>
    </w:div>
    <w:div w:id="2132699491">
      <w:bodyDiv w:val="1"/>
      <w:marLeft w:val="0"/>
      <w:marRight w:val="0"/>
      <w:marTop w:val="0"/>
      <w:marBottom w:val="0"/>
      <w:divBdr>
        <w:top w:val="none" w:sz="0" w:space="0" w:color="auto"/>
        <w:left w:val="none" w:sz="0" w:space="0" w:color="auto"/>
        <w:bottom w:val="none" w:sz="0" w:space="0" w:color="auto"/>
        <w:right w:val="none" w:sz="0" w:space="0" w:color="auto"/>
      </w:divBdr>
      <w:divsChild>
        <w:div w:id="1799102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chart" Target="charts/chart7.xml"/><Relationship Id="rId42" Type="http://schemas.openxmlformats.org/officeDocument/2006/relationships/header" Target="header5.xml"/><Relationship Id="rId47" Type="http://schemas.openxmlformats.org/officeDocument/2006/relationships/chart" Target="charts/chart25.xml"/><Relationship Id="rId63" Type="http://schemas.openxmlformats.org/officeDocument/2006/relationships/hyperlink" Target="https://eur-lex.europa.eu/legal-content/PL/ALL/?uri=CELEX:32019L0904" TargetMode="External"/><Relationship Id="rId68" Type="http://schemas.openxmlformats.org/officeDocument/2006/relationships/hyperlink" Target="https://eur-lex.europa.eu/legal-content/PL/TXT/?uri=CELEX%3A32023L0959" TargetMode="External"/><Relationship Id="rId84" Type="http://schemas.openxmlformats.org/officeDocument/2006/relationships/hyperlink" Target="https://eur-lex.europa.eu/legal-content/PL/TXT/?uri=CELEX:32023R2405&amp;qid=1701689763262" TargetMode="External"/><Relationship Id="rId89" Type="http://schemas.openxmlformats.org/officeDocument/2006/relationships/hyperlink" Target="https://eur-lex.europa.eu/eli/reg/2024/1679/oj/eng" TargetMode="External"/><Relationship Id="rId16" Type="http://schemas.openxmlformats.org/officeDocument/2006/relationships/chart" Target="charts/chart2.xml"/><Relationship Id="rId11" Type="http://schemas.openxmlformats.org/officeDocument/2006/relationships/image" Target="media/image1.png"/><Relationship Id="rId32" Type="http://schemas.openxmlformats.org/officeDocument/2006/relationships/chart" Target="charts/chart14.xml"/><Relationship Id="rId37" Type="http://schemas.openxmlformats.org/officeDocument/2006/relationships/chart" Target="charts/chart19.xml"/><Relationship Id="rId53" Type="http://schemas.openxmlformats.org/officeDocument/2006/relationships/hyperlink" Target="https://eur-lex.europa.eu/legal-content/PL/TXT/PDF/?uri=CELEX:02000L0053-20200306&amp;from=EN" TargetMode="External"/><Relationship Id="rId58" Type="http://schemas.openxmlformats.org/officeDocument/2006/relationships/hyperlink" Target="https://eur-lex.europa.eu/legal-content/PL/TXT/?uri=CELEX%3A32008L0098" TargetMode="External"/><Relationship Id="rId74" Type="http://schemas.openxmlformats.org/officeDocument/2006/relationships/hyperlink" Target="https://eur-lex.europa.eu/eli/reg/2018/1999/oj?locale=pl" TargetMode="External"/><Relationship Id="rId79" Type="http://schemas.openxmlformats.org/officeDocument/2006/relationships/hyperlink" Target="https://eur-lex.europa.eu/legal-content/PL/TXT/?uri=CELEX:32022R2299" TargetMode="External"/><Relationship Id="rId5" Type="http://schemas.openxmlformats.org/officeDocument/2006/relationships/numbering" Target="numbering.xml"/><Relationship Id="rId90" Type="http://schemas.openxmlformats.org/officeDocument/2006/relationships/hyperlink" Target="https://eur-lex.europa.eu/eli/reg/2024/1735" TargetMode="External"/><Relationship Id="rId95" Type="http://schemas.openxmlformats.org/officeDocument/2006/relationships/fontTable" Target="fontTable.xml"/><Relationship Id="rId22" Type="http://schemas.openxmlformats.org/officeDocument/2006/relationships/chart" Target="charts/chart8.xml"/><Relationship Id="rId27" Type="http://schemas.openxmlformats.org/officeDocument/2006/relationships/header" Target="header3.xml"/><Relationship Id="rId43" Type="http://schemas.openxmlformats.org/officeDocument/2006/relationships/header" Target="header6.xml"/><Relationship Id="rId48" Type="http://schemas.openxmlformats.org/officeDocument/2006/relationships/chart" Target="charts/chart26.xml"/><Relationship Id="rId64" Type="http://schemas.openxmlformats.org/officeDocument/2006/relationships/hyperlink" Target="https://eur-lex.europa.eu/legal-content/PL/ALL/?uri=CELEX%3A32019L0944" TargetMode="External"/><Relationship Id="rId69" Type="http://schemas.openxmlformats.org/officeDocument/2006/relationships/hyperlink" Target="https://eur-lex.europa.eu/legal-content/EN/TXT/?uri=OJ%3AJOL_2023_231_R_0001&amp;qid=1695186598766" TargetMode="External"/><Relationship Id="rId8" Type="http://schemas.openxmlformats.org/officeDocument/2006/relationships/webSettings" Target="webSettings.xml"/><Relationship Id="rId51" Type="http://schemas.openxmlformats.org/officeDocument/2006/relationships/hyperlink" Target="https://eur-lex.europa.eu/legal-content/PL/TXT/PDF/?uri=OJ:L_202500040" TargetMode="External"/><Relationship Id="rId72" Type="http://schemas.openxmlformats.org/officeDocument/2006/relationships/hyperlink" Target="https://eur-lex.europa.eu/eli/reg/2017/1369/oj?locale=pl" TargetMode="External"/><Relationship Id="rId80" Type="http://schemas.openxmlformats.org/officeDocument/2006/relationships/hyperlink" Target="https://eur-lex.europa.eu/legal-content/PL/TXT/?uri=CELEX%3A32023R0839" TargetMode="External"/><Relationship Id="rId85" Type="http://schemas.openxmlformats.org/officeDocument/2006/relationships/hyperlink" Target="https://eur-lex.europa.eu/legal-content/PL/TXT/?uri=CELEX:32023R1805" TargetMode="External"/><Relationship Id="rId93" Type="http://schemas.openxmlformats.org/officeDocument/2006/relationships/hyperlink" Target="https://eur-lex.europa.eu/legal-content/PL/ALL/?uri=CELEX:32024R3012"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5.xml"/><Relationship Id="rId38" Type="http://schemas.openxmlformats.org/officeDocument/2006/relationships/chart" Target="charts/chart20.xml"/><Relationship Id="rId46" Type="http://schemas.openxmlformats.org/officeDocument/2006/relationships/chart" Target="charts/chart24.xml"/><Relationship Id="rId59" Type="http://schemas.openxmlformats.org/officeDocument/2006/relationships/hyperlink" Target="https://eur-lex.europa.eu/legal-content/PL/TXT/?uri=CELEX:32009L0125" TargetMode="External"/><Relationship Id="rId67" Type="http://schemas.openxmlformats.org/officeDocument/2006/relationships/hyperlink" Target="https://eur-lex.europa.eu/legal-content/PL/TXT/?uri=CELEX:32023L0958" TargetMode="External"/><Relationship Id="rId20" Type="http://schemas.openxmlformats.org/officeDocument/2006/relationships/chart" Target="charts/chart6.xml"/><Relationship Id="rId41" Type="http://schemas.openxmlformats.org/officeDocument/2006/relationships/chart" Target="charts/chart23.xml"/><Relationship Id="rId54" Type="http://schemas.openxmlformats.org/officeDocument/2006/relationships/hyperlink" Target="https://eur-lex.europa.eu/legal-content/PL/TXT/?uri=celex%3A32000L0060" TargetMode="External"/><Relationship Id="rId62" Type="http://schemas.openxmlformats.org/officeDocument/2006/relationships/hyperlink" Target="https://eur-lex.europa.eu/legal-content/PL/TXT/?uri=celex%3A32018L2001" TargetMode="External"/><Relationship Id="rId70" Type="http://schemas.openxmlformats.org/officeDocument/2006/relationships/hyperlink" Target="https://eur-lex.europa.eu/legal-content/EN/TXT/?uri=CELEX%3A32023L2413&amp;qid=1699364355105" TargetMode="External"/><Relationship Id="rId75" Type="http://schemas.openxmlformats.org/officeDocument/2006/relationships/hyperlink" Target="https://eur-lex.europa.eu/legal-content/PL/ALL/?uri=CELEX%3A32019R1842" TargetMode="External"/><Relationship Id="rId83" Type="http://schemas.openxmlformats.org/officeDocument/2006/relationships/hyperlink" Target="https://eur-lex.europa.eu/legal-content/PL/TXT/?uri=CELEX%3A32023R1542" TargetMode="External"/><Relationship Id="rId88" Type="http://schemas.openxmlformats.org/officeDocument/2006/relationships/hyperlink" Target="https://eur-lex.europa.eu/legal-content/PL/TXT/?uri=CELEX%3A32024R1252" TargetMode="External"/><Relationship Id="rId91" Type="http://schemas.openxmlformats.org/officeDocument/2006/relationships/hyperlink" Target="https://eur-lex.europa.eu/eli/reg/2024/1787"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eader" Target="header4.xml"/><Relationship Id="rId36" Type="http://schemas.openxmlformats.org/officeDocument/2006/relationships/chart" Target="charts/chart18.xml"/><Relationship Id="rId49" Type="http://schemas.openxmlformats.org/officeDocument/2006/relationships/hyperlink" Target="https://sherpa.zmaik.pl/" TargetMode="External"/><Relationship Id="rId57" Type="http://schemas.openxmlformats.org/officeDocument/2006/relationships/hyperlink" Target="https://eur-lex.europa.eu/legal-content/PL/TXT/?uri=CELEX:32008L0050" TargetMode="External"/><Relationship Id="rId10" Type="http://schemas.openxmlformats.org/officeDocument/2006/relationships/endnotes" Target="endnotes.xml"/><Relationship Id="rId31" Type="http://schemas.openxmlformats.org/officeDocument/2006/relationships/chart" Target="charts/chart13.xml"/><Relationship Id="rId44" Type="http://schemas.openxmlformats.org/officeDocument/2006/relationships/header" Target="header7.xml"/><Relationship Id="rId52" Type="http://schemas.openxmlformats.org/officeDocument/2006/relationships/hyperlink" Target="https://eur-lex.europa.eu/legal-content/PL/TXT/PDF/?uri=CELEX:01999L0031-20031120&amp;from=EN" TargetMode="External"/><Relationship Id="rId60" Type="http://schemas.openxmlformats.org/officeDocument/2006/relationships/hyperlink" Target="https://eur-lex.europa.eu/eli/dir/2012/19/oj/pol" TargetMode="External"/><Relationship Id="rId65" Type="http://schemas.openxmlformats.org/officeDocument/2006/relationships/hyperlink" Target="https://eur-lex.europa.eu/legal-content/pl/TXT/?uri=CELEX%3A32019L1161" TargetMode="External"/><Relationship Id="rId73" Type="http://schemas.openxmlformats.org/officeDocument/2006/relationships/hyperlink" Target="https://eur-lex.europa.eu/legal-content/PL/ALL/?uri=CELEX%3A32018R0841" TargetMode="External"/><Relationship Id="rId78" Type="http://schemas.openxmlformats.org/officeDocument/2006/relationships/hyperlink" Target="https://eur-lex.europa.eu/legal-content/PL/TXT/?uri=celex%3A32022R0869" TargetMode="External"/><Relationship Id="rId81" Type="http://schemas.openxmlformats.org/officeDocument/2006/relationships/hyperlink" Target="https://eur-lex.europa.eu/legal-content/PL/TXT/?uri=CELEX%3A32023R0857" TargetMode="External"/><Relationship Id="rId86" Type="http://schemas.openxmlformats.org/officeDocument/2006/relationships/hyperlink" Target="https://eur-lex.europa.eu/eli/reg/2023/955/oj" TargetMode="External"/><Relationship Id="rId94" Type="http://schemas.openxmlformats.org/officeDocument/2006/relationships/hyperlink" Target="https://eur-lex.europa.eu/legal-content/PL/ALL/?uri=CELEX%3A52019DC064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chart" Target="charts/chart4.xml"/><Relationship Id="rId39" Type="http://schemas.openxmlformats.org/officeDocument/2006/relationships/chart" Target="charts/chart21.xml"/><Relationship Id="rId34" Type="http://schemas.openxmlformats.org/officeDocument/2006/relationships/chart" Target="charts/chart16.xml"/><Relationship Id="rId50" Type="http://schemas.openxmlformats.org/officeDocument/2006/relationships/hyperlink" Target="https://eur-lex.europa.eu/legal-content/PL/TXT/PDF/?uri=CELEX:01994L0062-20180704&amp;from=RO" TargetMode="External"/><Relationship Id="rId55" Type="http://schemas.openxmlformats.org/officeDocument/2006/relationships/hyperlink" Target="https://eur-lex.europa.eu/legal-content/PL/TXT/?uri=CELEX:32004L0107" TargetMode="External"/><Relationship Id="rId76" Type="http://schemas.openxmlformats.org/officeDocument/2006/relationships/hyperlink" Target="https://eur-lex.europa.eu/legal-content/pl/TXT/?uri=CELEX%3A32019R0331" TargetMode="External"/><Relationship Id="rId7" Type="http://schemas.openxmlformats.org/officeDocument/2006/relationships/settings" Target="settings.xml"/><Relationship Id="rId71" Type="http://schemas.openxmlformats.org/officeDocument/2006/relationships/hyperlink" Target="https://eur-lex.europa.eu/legal-content/PL/TXT/?uri=CELEX%3A32024L1275&amp;qid=1723469223172" TargetMode="External"/><Relationship Id="rId92" Type="http://schemas.openxmlformats.org/officeDocument/2006/relationships/hyperlink" Target="https://eur-lex.europa.eu/legal-content/PL/ALL/?uri=OJ:L_202401991" TargetMode="External"/><Relationship Id="rId2" Type="http://schemas.openxmlformats.org/officeDocument/2006/relationships/customXml" Target="../customXml/item2.xml"/><Relationship Id="rId29" Type="http://schemas.openxmlformats.org/officeDocument/2006/relationships/footer" Target="footer2.xml"/><Relationship Id="rId24" Type="http://schemas.openxmlformats.org/officeDocument/2006/relationships/chart" Target="charts/chart10.xml"/><Relationship Id="rId40" Type="http://schemas.openxmlformats.org/officeDocument/2006/relationships/chart" Target="charts/chart22.xml"/><Relationship Id="rId45" Type="http://schemas.openxmlformats.org/officeDocument/2006/relationships/footer" Target="footer3.xml"/><Relationship Id="rId66" Type="http://schemas.openxmlformats.org/officeDocument/2006/relationships/hyperlink" Target="https://eur-lex.europa.eu/legal-content/PL/TXT/?uri=CELEX%3A32020L2184" TargetMode="External"/><Relationship Id="rId87" Type="http://schemas.openxmlformats.org/officeDocument/2006/relationships/hyperlink" Target="https://eur-lex.europa.eu/legal-content/PL/TXT/PDF/?uri=CELEX:32023R0957" TargetMode="External"/><Relationship Id="rId61" Type="http://schemas.openxmlformats.org/officeDocument/2006/relationships/hyperlink" Target="https://eur-lex.europa.eu/legal-content/PL/TXT/?uri=CELEX%3A32016L2284" TargetMode="External"/><Relationship Id="rId82" Type="http://schemas.openxmlformats.org/officeDocument/2006/relationships/hyperlink" Target="https://eur-lex.europa.eu/legal-content/PL/TXT/?uri=CELEX%3A32023R1804" TargetMode="External"/><Relationship Id="rId19" Type="http://schemas.openxmlformats.org/officeDocument/2006/relationships/chart" Target="charts/chart5.xml"/><Relationship Id="rId14" Type="http://schemas.openxmlformats.org/officeDocument/2006/relationships/footer" Target="footer1.xml"/><Relationship Id="rId30" Type="http://schemas.openxmlformats.org/officeDocument/2006/relationships/chart" Target="charts/chart12.xml"/><Relationship Id="rId35" Type="http://schemas.openxmlformats.org/officeDocument/2006/relationships/chart" Target="charts/chart17.xml"/><Relationship Id="rId56" Type="http://schemas.openxmlformats.org/officeDocument/2006/relationships/hyperlink" Target="https://eur-lex.europa.eu/legal-content/PL/ALL/?uri=CELEX%3A32006L0066" TargetMode="External"/><Relationship Id="rId77" Type="http://schemas.openxmlformats.org/officeDocument/2006/relationships/hyperlink" Target="https://eur-lex.europa.eu/legal-content/PL/ALL/?uri=CELEX:32021R11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opulation.un.org/dataportal/data/indicators/46/locations/616/start/1990/end/2100/table/pivotbylocation?df=46372193-4018-4af8-9f0a-06428d6b6ef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amadynia\AppData\Local\Microsoft\Windows\INetCache\Content.Outlook\3LC18BN9\Wyniki_KPEiK_11.04.2025_WAM-MP%20uw%20AM-MP%20(002).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amadynia\AppData\Local\Microsoft\Windows\INetCache\Content.Outlook\3LC18BN9\Wyniki_KPEiK_11.04.2025_WAM-MP%20uw%20AM-MP%20(002).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oleObject" Target="NULL" TargetMode="Externa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NULL" TargetMode="External"/></Relationships>
</file>

<file path=word/charts/_rels/chart18.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oleObject" Target="NULL" TargetMode="Externa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NULL" TargetMode="External"/></Relationships>
</file>

<file path=word/charts/_rels/chart2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3.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12.xml"/></Relationships>
</file>

<file path=word/charts/_rels/chart2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2.xml"/><Relationship Id="rId1" Type="http://schemas.microsoft.com/office/2011/relationships/chartStyle" Target="style22.xml"/></Relationships>
</file>

<file path=word/charts/_rels/chart2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1.xml"/><Relationship Id="rId4"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52767015234208"/>
          <c:y val="2.8789919447732269E-2"/>
          <c:w val="0.79997951644933274"/>
          <c:h val="0.75492054816358367"/>
        </c:manualLayout>
      </c:layout>
      <c:barChart>
        <c:barDir val="col"/>
        <c:grouping val="stacked"/>
        <c:varyColors val="0"/>
        <c:ser>
          <c:idx val="0"/>
          <c:order val="0"/>
          <c:tx>
            <c:strRef>
              <c:f>'4.2.1.2_rysunki_WAM'!$O$3</c:f>
              <c:strCache>
                <c:ptCount val="1"/>
                <c:pt idx="0">
                  <c:v>1. Energia</c:v>
                </c:pt>
              </c:strCache>
            </c:strRef>
          </c:tx>
          <c:spPr>
            <a:solidFill>
              <a:schemeClr val="accent2"/>
            </a:solidFill>
            <a:ln>
              <a:noFill/>
            </a:ln>
            <a:effectLst/>
          </c:spPr>
          <c:invertIfNegative val="0"/>
          <c:cat>
            <c:strRef>
              <c:f>('4.2.1.2_rysunki_WAM'!$R$2,'4.2.1.2_rysunki_WAM'!$W$2,'4.2.1.2_rysunki_WAM'!$AB$2,'4.2.1.2_rysunki_WAM'!$AG$2,'4.2.1.2_rysunki_WAM'!$AL$2,'4.2.1.2_rysunki_WAM'!$AQ$2,'4.2.1.2_rysunki_WAM'!$AV$2,'4.2.1.2_rysunki_WAM'!$AX$2:$BB$2)</c:f>
              <c:strCache>
                <c:ptCount val="12"/>
                <c:pt idx="0">
                  <c:v>1990</c:v>
                </c:pt>
                <c:pt idx="1">
                  <c:v>1995</c:v>
                </c:pt>
                <c:pt idx="2">
                  <c:v>2000</c:v>
                </c:pt>
                <c:pt idx="3">
                  <c:v>2005</c:v>
                </c:pt>
                <c:pt idx="4">
                  <c:v>2010</c:v>
                </c:pt>
                <c:pt idx="5">
                  <c:v>2015</c:v>
                </c:pt>
                <c:pt idx="6">
                  <c:v>2020</c:v>
                </c:pt>
                <c:pt idx="7">
                  <c:v>2022</c:v>
                </c:pt>
                <c:pt idx="8">
                  <c:v>2025</c:v>
                </c:pt>
                <c:pt idx="9">
                  <c:v>2030</c:v>
                </c:pt>
                <c:pt idx="10">
                  <c:v>2035</c:v>
                </c:pt>
                <c:pt idx="11">
                  <c:v>2040</c:v>
                </c:pt>
              </c:strCache>
              <c:extLst/>
            </c:strRef>
          </c:cat>
          <c:val>
            <c:numRef>
              <c:f>('4.2.1.2_rysunki_WAM'!$R$3,'4.2.1.2_rysunki_WAM'!$W$3,'4.2.1.2_rysunki_WAM'!$AB$3,'4.2.1.2_rysunki_WAM'!$AG$3,'4.2.1.2_rysunki_WAM'!$AL$3,'4.2.1.2_rysunki_WAM'!$AQ$3,'4.2.1.2_rysunki_WAM'!$AV$3,'4.2.1.2_rysunki_WAM'!$AX$3:$BB$3)</c:f>
              <c:numCache>
                <c:formatCode>#,##0.00</c:formatCode>
                <c:ptCount val="12"/>
                <c:pt idx="0">
                  <c:v>385148.73853626539</c:v>
                </c:pt>
                <c:pt idx="1">
                  <c:v>370544.01567616488</c:v>
                </c:pt>
                <c:pt idx="2">
                  <c:v>324407.16557568079</c:v>
                </c:pt>
                <c:pt idx="3">
                  <c:v>334328.13832911273</c:v>
                </c:pt>
                <c:pt idx="4">
                  <c:v>344424.44874491158</c:v>
                </c:pt>
                <c:pt idx="5">
                  <c:v>321697.02106307889</c:v>
                </c:pt>
                <c:pt idx="6">
                  <c:v>307997.84470361401</c:v>
                </c:pt>
                <c:pt idx="7">
                  <c:v>319329.79831928306</c:v>
                </c:pt>
                <c:pt idx="8">
                  <c:v>275665.91074673168</c:v>
                </c:pt>
                <c:pt idx="9">
                  <c:v>199664.96462688391</c:v>
                </c:pt>
                <c:pt idx="10">
                  <c:v>139107.64744099902</c:v>
                </c:pt>
                <c:pt idx="11">
                  <c:v>97887.975315406133</c:v>
                </c:pt>
              </c:numCache>
              <c:extLst/>
            </c:numRef>
          </c:val>
          <c:extLst>
            <c:ext xmlns:c16="http://schemas.microsoft.com/office/drawing/2014/chart" uri="{C3380CC4-5D6E-409C-BE32-E72D297353CC}">
              <c16:uniqueId val="{00000000-A0E3-46CA-B481-18E6BEEDB365}"/>
            </c:ext>
          </c:extLst>
        </c:ser>
        <c:ser>
          <c:idx val="1"/>
          <c:order val="1"/>
          <c:tx>
            <c:strRef>
              <c:f>'4.2.1.2_rysunki_WAM'!$O$4</c:f>
              <c:strCache>
                <c:ptCount val="1"/>
                <c:pt idx="0">
                  <c:v>2. Procesy przemysłowe i użytkowanie produktów</c:v>
                </c:pt>
              </c:strCache>
            </c:strRef>
          </c:tx>
          <c:spPr>
            <a:solidFill>
              <a:schemeClr val="accent4"/>
            </a:solidFill>
            <a:ln>
              <a:noFill/>
            </a:ln>
            <a:effectLst/>
          </c:spPr>
          <c:invertIfNegative val="0"/>
          <c:cat>
            <c:strRef>
              <c:f>('4.2.1.2_rysunki_WAM'!$R$2,'4.2.1.2_rysunki_WAM'!$W$2,'4.2.1.2_rysunki_WAM'!$AB$2,'4.2.1.2_rysunki_WAM'!$AG$2,'4.2.1.2_rysunki_WAM'!$AL$2,'4.2.1.2_rysunki_WAM'!$AQ$2,'4.2.1.2_rysunki_WAM'!$AV$2,'4.2.1.2_rysunki_WAM'!$AX$2:$BB$2)</c:f>
              <c:strCache>
                <c:ptCount val="12"/>
                <c:pt idx="0">
                  <c:v>1990</c:v>
                </c:pt>
                <c:pt idx="1">
                  <c:v>1995</c:v>
                </c:pt>
                <c:pt idx="2">
                  <c:v>2000</c:v>
                </c:pt>
                <c:pt idx="3">
                  <c:v>2005</c:v>
                </c:pt>
                <c:pt idx="4">
                  <c:v>2010</c:v>
                </c:pt>
                <c:pt idx="5">
                  <c:v>2015</c:v>
                </c:pt>
                <c:pt idx="6">
                  <c:v>2020</c:v>
                </c:pt>
                <c:pt idx="7">
                  <c:v>2022</c:v>
                </c:pt>
                <c:pt idx="8">
                  <c:v>2025</c:v>
                </c:pt>
                <c:pt idx="9">
                  <c:v>2030</c:v>
                </c:pt>
                <c:pt idx="10">
                  <c:v>2035</c:v>
                </c:pt>
                <c:pt idx="11">
                  <c:v>2040</c:v>
                </c:pt>
              </c:strCache>
              <c:extLst/>
            </c:strRef>
          </c:cat>
          <c:val>
            <c:numRef>
              <c:f>('4.2.1.2_rysunki_WAM'!$R$4,'4.2.1.2_rysunki_WAM'!$W$4,'4.2.1.2_rysunki_WAM'!$AB$4,'4.2.1.2_rysunki_WAM'!$AG$4,'4.2.1.2_rysunki_WAM'!$AL$4,'4.2.1.2_rysunki_WAM'!$AQ$4,'4.2.1.2_rysunki_WAM'!$AV$4,'4.2.1.2_rysunki_WAM'!$AX$4:$BB$4)</c:f>
              <c:numCache>
                <c:formatCode>#,##0.00</c:formatCode>
                <c:ptCount val="12"/>
                <c:pt idx="0">
                  <c:v>21971.957985021018</c:v>
                </c:pt>
                <c:pt idx="1">
                  <c:v>22146.460991459808</c:v>
                </c:pt>
                <c:pt idx="2">
                  <c:v>22224.436409051337</c:v>
                </c:pt>
                <c:pt idx="3">
                  <c:v>23732.014980507243</c:v>
                </c:pt>
                <c:pt idx="4">
                  <c:v>22882.284104880626</c:v>
                </c:pt>
                <c:pt idx="5">
                  <c:v>24356.90518538472</c:v>
                </c:pt>
                <c:pt idx="6">
                  <c:v>24526.588183870561</c:v>
                </c:pt>
                <c:pt idx="7">
                  <c:v>23645.030165566044</c:v>
                </c:pt>
                <c:pt idx="8">
                  <c:v>20580.392758380582</c:v>
                </c:pt>
                <c:pt idx="9">
                  <c:v>17274.722248261656</c:v>
                </c:pt>
                <c:pt idx="10">
                  <c:v>14203.968189950179</c:v>
                </c:pt>
                <c:pt idx="11">
                  <c:v>11343.116225945179</c:v>
                </c:pt>
              </c:numCache>
              <c:extLst/>
            </c:numRef>
          </c:val>
          <c:extLst>
            <c:ext xmlns:c16="http://schemas.microsoft.com/office/drawing/2014/chart" uri="{C3380CC4-5D6E-409C-BE32-E72D297353CC}">
              <c16:uniqueId val="{00000001-A0E3-46CA-B481-18E6BEEDB365}"/>
            </c:ext>
          </c:extLst>
        </c:ser>
        <c:ser>
          <c:idx val="2"/>
          <c:order val="2"/>
          <c:tx>
            <c:strRef>
              <c:f>'4.2.1.2_rysunki_WAM'!$O$5</c:f>
              <c:strCache>
                <c:ptCount val="1"/>
                <c:pt idx="0">
                  <c:v>3. Rolnictwo</c:v>
                </c:pt>
              </c:strCache>
            </c:strRef>
          </c:tx>
          <c:spPr>
            <a:solidFill>
              <a:schemeClr val="accent6"/>
            </a:solidFill>
            <a:ln>
              <a:noFill/>
            </a:ln>
            <a:effectLst/>
          </c:spPr>
          <c:invertIfNegative val="0"/>
          <c:cat>
            <c:strRef>
              <c:f>('4.2.1.2_rysunki_WAM'!$R$2,'4.2.1.2_rysunki_WAM'!$W$2,'4.2.1.2_rysunki_WAM'!$AB$2,'4.2.1.2_rysunki_WAM'!$AG$2,'4.2.1.2_rysunki_WAM'!$AL$2,'4.2.1.2_rysunki_WAM'!$AQ$2,'4.2.1.2_rysunki_WAM'!$AV$2,'4.2.1.2_rysunki_WAM'!$AX$2:$BB$2)</c:f>
              <c:strCache>
                <c:ptCount val="12"/>
                <c:pt idx="0">
                  <c:v>1990</c:v>
                </c:pt>
                <c:pt idx="1">
                  <c:v>1995</c:v>
                </c:pt>
                <c:pt idx="2">
                  <c:v>2000</c:v>
                </c:pt>
                <c:pt idx="3">
                  <c:v>2005</c:v>
                </c:pt>
                <c:pt idx="4">
                  <c:v>2010</c:v>
                </c:pt>
                <c:pt idx="5">
                  <c:v>2015</c:v>
                </c:pt>
                <c:pt idx="6">
                  <c:v>2020</c:v>
                </c:pt>
                <c:pt idx="7">
                  <c:v>2022</c:v>
                </c:pt>
                <c:pt idx="8">
                  <c:v>2025</c:v>
                </c:pt>
                <c:pt idx="9">
                  <c:v>2030</c:v>
                </c:pt>
                <c:pt idx="10">
                  <c:v>2035</c:v>
                </c:pt>
                <c:pt idx="11">
                  <c:v>2040</c:v>
                </c:pt>
              </c:strCache>
              <c:extLst/>
            </c:strRef>
          </c:cat>
          <c:val>
            <c:numRef>
              <c:f>('4.2.1.2_rysunki_WAM'!$R$5,'4.2.1.2_rysunki_WAM'!$W$5,'4.2.1.2_rysunki_WAM'!$AB$5,'4.2.1.2_rysunki_WAM'!$AG$5,'4.2.1.2_rysunki_WAM'!$AL$5,'4.2.1.2_rysunki_WAM'!$AQ$5,'4.2.1.2_rysunki_WAM'!$AV$5,'4.2.1.2_rysunki_WAM'!$AX$5:$BB$5)</c:f>
              <c:numCache>
                <c:formatCode>#,##0.00</c:formatCode>
                <c:ptCount val="12"/>
                <c:pt idx="0">
                  <c:v>49291.323739240601</c:v>
                </c:pt>
                <c:pt idx="1">
                  <c:v>36724.741505900034</c:v>
                </c:pt>
                <c:pt idx="2">
                  <c:v>33205.832541344491</c:v>
                </c:pt>
                <c:pt idx="3">
                  <c:v>31659.353389495875</c:v>
                </c:pt>
                <c:pt idx="4">
                  <c:v>31659.585362387861</c:v>
                </c:pt>
                <c:pt idx="5">
                  <c:v>31775.057944837965</c:v>
                </c:pt>
                <c:pt idx="6">
                  <c:v>34225.494070602384</c:v>
                </c:pt>
                <c:pt idx="7">
                  <c:v>33296.984677453212</c:v>
                </c:pt>
                <c:pt idx="8">
                  <c:v>33311.180889736119</c:v>
                </c:pt>
                <c:pt idx="9">
                  <c:v>31993.927827911917</c:v>
                </c:pt>
                <c:pt idx="10">
                  <c:v>31616.505377902002</c:v>
                </c:pt>
                <c:pt idx="11">
                  <c:v>30506.489096023401</c:v>
                </c:pt>
              </c:numCache>
              <c:extLst/>
            </c:numRef>
          </c:val>
          <c:extLst>
            <c:ext xmlns:c16="http://schemas.microsoft.com/office/drawing/2014/chart" uri="{C3380CC4-5D6E-409C-BE32-E72D297353CC}">
              <c16:uniqueId val="{00000002-A0E3-46CA-B481-18E6BEEDB365}"/>
            </c:ext>
          </c:extLst>
        </c:ser>
        <c:ser>
          <c:idx val="4"/>
          <c:order val="4"/>
          <c:tx>
            <c:strRef>
              <c:f>'4.2.1.2_rysunki_WAM'!$O$7</c:f>
              <c:strCache>
                <c:ptCount val="1"/>
                <c:pt idx="0">
                  <c:v>5. Odpady</c:v>
                </c:pt>
              </c:strCache>
            </c:strRef>
          </c:tx>
          <c:spPr>
            <a:solidFill>
              <a:schemeClr val="tx1"/>
            </a:solidFill>
            <a:ln>
              <a:noFill/>
            </a:ln>
            <a:effectLst/>
          </c:spPr>
          <c:invertIfNegative val="0"/>
          <c:cat>
            <c:strRef>
              <c:f>('4.2.1.2_rysunki_WAM'!$R$2,'4.2.1.2_rysunki_WAM'!$W$2,'4.2.1.2_rysunki_WAM'!$AB$2,'4.2.1.2_rysunki_WAM'!$AG$2,'4.2.1.2_rysunki_WAM'!$AL$2,'4.2.1.2_rysunki_WAM'!$AQ$2,'4.2.1.2_rysunki_WAM'!$AV$2,'4.2.1.2_rysunki_WAM'!$AX$2:$BB$2)</c:f>
              <c:strCache>
                <c:ptCount val="12"/>
                <c:pt idx="0">
                  <c:v>1990</c:v>
                </c:pt>
                <c:pt idx="1">
                  <c:v>1995</c:v>
                </c:pt>
                <c:pt idx="2">
                  <c:v>2000</c:v>
                </c:pt>
                <c:pt idx="3">
                  <c:v>2005</c:v>
                </c:pt>
                <c:pt idx="4">
                  <c:v>2010</c:v>
                </c:pt>
                <c:pt idx="5">
                  <c:v>2015</c:v>
                </c:pt>
                <c:pt idx="6">
                  <c:v>2020</c:v>
                </c:pt>
                <c:pt idx="7">
                  <c:v>2022</c:v>
                </c:pt>
                <c:pt idx="8">
                  <c:v>2025</c:v>
                </c:pt>
                <c:pt idx="9">
                  <c:v>2030</c:v>
                </c:pt>
                <c:pt idx="10">
                  <c:v>2035</c:v>
                </c:pt>
                <c:pt idx="11">
                  <c:v>2040</c:v>
                </c:pt>
              </c:strCache>
              <c:extLst/>
            </c:strRef>
          </c:cat>
          <c:val>
            <c:numRef>
              <c:f>('4.2.1.2_rysunki_WAM'!$R$7,'4.2.1.2_rysunki_WAM'!$W$7,'4.2.1.2_rysunki_WAM'!$AB$7,'4.2.1.2_rysunki_WAM'!$AG$7,'4.2.1.2_rysunki_WAM'!$AL$7,'4.2.1.2_rysunki_WAM'!$AQ$7,'4.2.1.2_rysunki_WAM'!$AV$7,'4.2.1.2_rysunki_WAM'!$AX$7:$BB$7)</c:f>
              <c:numCache>
                <c:formatCode>#,##0.00</c:formatCode>
                <c:ptCount val="12"/>
                <c:pt idx="0">
                  <c:v>19054.571197168687</c:v>
                </c:pt>
                <c:pt idx="1">
                  <c:v>16942.154907809905</c:v>
                </c:pt>
                <c:pt idx="2">
                  <c:v>14499.741413696178</c:v>
                </c:pt>
                <c:pt idx="3">
                  <c:v>11673.393801760139</c:v>
                </c:pt>
                <c:pt idx="4">
                  <c:v>7710.4184672343181</c:v>
                </c:pt>
                <c:pt idx="5">
                  <c:v>5104.0665153483342</c:v>
                </c:pt>
                <c:pt idx="6">
                  <c:v>4160.8321873663235</c:v>
                </c:pt>
                <c:pt idx="7">
                  <c:v>3818.3944674763648</c:v>
                </c:pt>
                <c:pt idx="8">
                  <c:v>3745.0008967563481</c:v>
                </c:pt>
                <c:pt idx="9">
                  <c:v>3578.3543476208615</c:v>
                </c:pt>
                <c:pt idx="10">
                  <c:v>3545.1626435861181</c:v>
                </c:pt>
                <c:pt idx="11">
                  <c:v>3277.7889069334983</c:v>
                </c:pt>
              </c:numCache>
              <c:extLst/>
            </c:numRef>
          </c:val>
          <c:extLst>
            <c:ext xmlns:c16="http://schemas.microsoft.com/office/drawing/2014/chart" uri="{C3380CC4-5D6E-409C-BE32-E72D297353CC}">
              <c16:uniqueId val="{00000003-A0E3-46CA-B481-18E6BEEDB365}"/>
            </c:ext>
          </c:extLst>
        </c:ser>
        <c:ser>
          <c:idx val="5"/>
          <c:order val="5"/>
          <c:tx>
            <c:strRef>
              <c:f>'4.2.1.2_rysunki_WAM'!$O$8</c:f>
              <c:strCache>
                <c:ptCount val="1"/>
                <c:pt idx="0">
                  <c:v>Emisja pośrednia CO2</c:v>
                </c:pt>
              </c:strCache>
            </c:strRef>
          </c:tx>
          <c:spPr>
            <a:solidFill>
              <a:schemeClr val="accent6">
                <a:lumMod val="60000"/>
              </a:schemeClr>
            </a:solidFill>
            <a:ln>
              <a:noFill/>
            </a:ln>
            <a:effectLst/>
          </c:spPr>
          <c:invertIfNegative val="0"/>
          <c:cat>
            <c:strRef>
              <c:f>('4.2.1.2_rysunki_WAM'!$R$2,'4.2.1.2_rysunki_WAM'!$W$2,'4.2.1.2_rysunki_WAM'!$AB$2,'4.2.1.2_rysunki_WAM'!$AG$2,'4.2.1.2_rysunki_WAM'!$AL$2,'4.2.1.2_rysunki_WAM'!$AQ$2,'4.2.1.2_rysunki_WAM'!$AV$2,'4.2.1.2_rysunki_WAM'!$AX$2:$BB$2)</c:f>
              <c:strCache>
                <c:ptCount val="12"/>
                <c:pt idx="0">
                  <c:v>1990</c:v>
                </c:pt>
                <c:pt idx="1">
                  <c:v>1995</c:v>
                </c:pt>
                <c:pt idx="2">
                  <c:v>2000</c:v>
                </c:pt>
                <c:pt idx="3">
                  <c:v>2005</c:v>
                </c:pt>
                <c:pt idx="4">
                  <c:v>2010</c:v>
                </c:pt>
                <c:pt idx="5">
                  <c:v>2015</c:v>
                </c:pt>
                <c:pt idx="6">
                  <c:v>2020</c:v>
                </c:pt>
                <c:pt idx="7">
                  <c:v>2022</c:v>
                </c:pt>
                <c:pt idx="8">
                  <c:v>2025</c:v>
                </c:pt>
                <c:pt idx="9">
                  <c:v>2030</c:v>
                </c:pt>
                <c:pt idx="10">
                  <c:v>2035</c:v>
                </c:pt>
                <c:pt idx="11">
                  <c:v>2040</c:v>
                </c:pt>
              </c:strCache>
              <c:extLst/>
            </c:strRef>
          </c:cat>
          <c:val>
            <c:numRef>
              <c:f>('4.2.1.2_rysunki_WAM'!$R$8,'4.2.1.2_rysunki_WAM'!$W$8,'4.2.1.2_rysunki_WAM'!$AB$8,'4.2.1.2_rysunki_WAM'!$AG$8,'4.2.1.2_rysunki_WAM'!$AL$8,'4.2.1.2_rysunki_WAM'!$AQ$8,'4.2.1.2_rysunki_WAM'!$AV$8,'4.2.1.2_rysunki_WAM'!$AX$8:$BB$8)</c:f>
              <c:numCache>
                <c:formatCode>#,##0.00</c:formatCode>
                <c:ptCount val="12"/>
                <c:pt idx="0">
                  <c:v>257.15895088233447</c:v>
                </c:pt>
                <c:pt idx="1">
                  <c:v>370.14489495780856</c:v>
                </c:pt>
                <c:pt idx="2">
                  <c:v>461.07809036834914</c:v>
                </c:pt>
                <c:pt idx="3">
                  <c:v>551.23437565945778</c:v>
                </c:pt>
                <c:pt idx="4">
                  <c:v>545.28590666538514</c:v>
                </c:pt>
                <c:pt idx="5">
                  <c:v>522.68294126109072</c:v>
                </c:pt>
                <c:pt idx="6">
                  <c:v>527.66709725129863</c:v>
                </c:pt>
                <c:pt idx="7">
                  <c:v>418.91020791615205</c:v>
                </c:pt>
                <c:pt idx="8">
                  <c:v>405.61603392176232</c:v>
                </c:pt>
                <c:pt idx="9">
                  <c:v>400.57482402487619</c:v>
                </c:pt>
                <c:pt idx="10">
                  <c:v>393.28957850499705</c:v>
                </c:pt>
                <c:pt idx="11">
                  <c:v>387.60770634624163</c:v>
                </c:pt>
              </c:numCache>
              <c:extLst/>
            </c:numRef>
          </c:val>
          <c:extLst>
            <c:ext xmlns:c16="http://schemas.microsoft.com/office/drawing/2014/chart" uri="{C3380CC4-5D6E-409C-BE32-E72D297353CC}">
              <c16:uniqueId val="{00000004-A0E3-46CA-B481-18E6BEEDB365}"/>
            </c:ext>
          </c:extLst>
        </c:ser>
        <c:dLbls>
          <c:showLegendKey val="0"/>
          <c:showVal val="0"/>
          <c:showCatName val="0"/>
          <c:showSerName val="0"/>
          <c:showPercent val="0"/>
          <c:showBubbleSize val="0"/>
        </c:dLbls>
        <c:gapWidth val="150"/>
        <c:overlap val="100"/>
        <c:axId val="951783568"/>
        <c:axId val="951784352"/>
        <c:extLst>
          <c:ext xmlns:c15="http://schemas.microsoft.com/office/drawing/2012/chart" uri="{02D57815-91ED-43cb-92C2-25804820EDAC}">
            <c15:filteredBarSeries>
              <c15:ser>
                <c:idx val="3"/>
                <c:order val="3"/>
                <c:tx>
                  <c:strRef>
                    <c:extLst>
                      <c:ext uri="{02D57815-91ED-43cb-92C2-25804820EDAC}">
                        <c15:formulaRef>
                          <c15:sqref>'4.2.1.2_rysunki_WAM'!$O$6</c15:sqref>
                        </c15:formulaRef>
                      </c:ext>
                    </c:extLst>
                    <c:strCache>
                      <c:ptCount val="1"/>
                      <c:pt idx="0">
                        <c:v>4. Użytkowanie gruntów, zmiany użytkowania gruntów i leśnictwo</c:v>
                      </c:pt>
                    </c:strCache>
                  </c:strRef>
                </c:tx>
                <c:spPr>
                  <a:solidFill>
                    <a:schemeClr val="accent2">
                      <a:lumMod val="60000"/>
                    </a:schemeClr>
                  </a:solidFill>
                  <a:ln>
                    <a:noFill/>
                  </a:ln>
                  <a:effectLst/>
                </c:spPr>
                <c:invertIfNegative val="0"/>
                <c:cat>
                  <c:strRef>
                    <c:extLst>
                      <c:ext uri="{02D57815-91ED-43cb-92C2-25804820EDAC}">
                        <c15:formulaRef>
                          <c15:sqref>('4.2.1.2_rysunki_WAM'!$R$2,'4.2.1.2_rysunki_WAM'!$W$2,'4.2.1.2_rysunki_WAM'!$AB$2,'4.2.1.2_rysunki_WAM'!$AG$2,'4.2.1.2_rysunki_WAM'!$AL$2,'4.2.1.2_rysunki_WAM'!$AQ$2,'4.2.1.2_rysunki_WAM'!$AV$2,'4.2.1.2_rysunki_WAM'!$AX$2:$BB$2)</c15:sqref>
                        </c15:formulaRef>
                      </c:ext>
                    </c:extLst>
                    <c:strCache>
                      <c:ptCount val="12"/>
                      <c:pt idx="0">
                        <c:v>1990</c:v>
                      </c:pt>
                      <c:pt idx="1">
                        <c:v>1995</c:v>
                      </c:pt>
                      <c:pt idx="2">
                        <c:v>2000</c:v>
                      </c:pt>
                      <c:pt idx="3">
                        <c:v>2005</c:v>
                      </c:pt>
                      <c:pt idx="4">
                        <c:v>2010</c:v>
                      </c:pt>
                      <c:pt idx="5">
                        <c:v>2015</c:v>
                      </c:pt>
                      <c:pt idx="6">
                        <c:v>2020</c:v>
                      </c:pt>
                      <c:pt idx="7">
                        <c:v>2022</c:v>
                      </c:pt>
                      <c:pt idx="8">
                        <c:v>2025</c:v>
                      </c:pt>
                      <c:pt idx="9">
                        <c:v>2030</c:v>
                      </c:pt>
                      <c:pt idx="10">
                        <c:v>2035</c:v>
                      </c:pt>
                      <c:pt idx="11">
                        <c:v>2040</c:v>
                      </c:pt>
                    </c:strCache>
                  </c:strRef>
                </c:cat>
                <c:val>
                  <c:numRef>
                    <c:extLst>
                      <c:ext uri="{02D57815-91ED-43cb-92C2-25804820EDAC}">
                        <c15:formulaRef>
                          <c15:sqref>('4.2.1.2_rysunki_WAM'!$R$6,'4.2.1.2_rysunki_WAM'!$W$6,'4.2.1.2_rysunki_WAM'!$AB$6,'4.2.1.2_rysunki_WAM'!$AG$6,'4.2.1.2_rysunki_WAM'!$AL$6,'4.2.1.2_rysunki_WAM'!$AQ$6,'4.2.1.2_rysunki_WAM'!$AV$6,'4.2.1.2_rysunki_WAM'!$AX$6:$BB$6)</c15:sqref>
                        </c15:formulaRef>
                      </c:ext>
                    </c:extLst>
                    <c:numCache>
                      <c:formatCode>#,##0.00</c:formatCode>
                      <c:ptCount val="12"/>
                      <c:pt idx="0">
                        <c:v>-28336.991439726935</c:v>
                      </c:pt>
                      <c:pt idx="1">
                        <c:v>-18327.892412447472</c:v>
                      </c:pt>
                      <c:pt idx="2">
                        <c:v>-36101.193480189911</c:v>
                      </c:pt>
                      <c:pt idx="3">
                        <c:v>-50574.693325895772</c:v>
                      </c:pt>
                      <c:pt idx="4">
                        <c:v>-36334.721900432771</c:v>
                      </c:pt>
                      <c:pt idx="5">
                        <c:v>-34099.959820003707</c:v>
                      </c:pt>
                      <c:pt idx="6">
                        <c:v>-23330.174100198979</c:v>
                      </c:pt>
                      <c:pt idx="7">
                        <c:v>-35644.332526369522</c:v>
                      </c:pt>
                      <c:pt idx="8">
                        <c:v>-49741.888992656677</c:v>
                      </c:pt>
                      <c:pt idx="9">
                        <c:v>-46492.879475366004</c:v>
                      </c:pt>
                      <c:pt idx="10">
                        <c:v>-40292.9233930509</c:v>
                      </c:pt>
                      <c:pt idx="11">
                        <c:v>-35333.216783037358</c:v>
                      </c:pt>
                    </c:numCache>
                  </c:numRef>
                </c:val>
                <c:extLst>
                  <c:ext xmlns:c16="http://schemas.microsoft.com/office/drawing/2014/chart" uri="{C3380CC4-5D6E-409C-BE32-E72D297353CC}">
                    <c16:uniqueId val="{00000005-A0E3-46CA-B481-18E6BEEDB365}"/>
                  </c:ext>
                </c:extLst>
              </c15:ser>
            </c15:filteredBarSeries>
          </c:ext>
        </c:extLst>
      </c:barChart>
      <c:catAx>
        <c:axId val="95178356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951784352"/>
        <c:crosses val="autoZero"/>
        <c:auto val="1"/>
        <c:lblAlgn val="ctr"/>
        <c:lblOffset val="100"/>
        <c:noMultiLvlLbl val="0"/>
      </c:catAx>
      <c:valAx>
        <c:axId val="951784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pl-PL"/>
                  <a:t>kt CO</a:t>
                </a:r>
                <a:r>
                  <a:rPr lang="pl-PL" baseline="-25000"/>
                  <a:t>2</a:t>
                </a:r>
                <a:r>
                  <a:rPr lang="pl-PL"/>
                  <a:t>eq</a:t>
                </a:r>
              </a:p>
            </c:rich>
          </c:tx>
          <c:layout>
            <c:manualLayout>
              <c:xMode val="edge"/>
              <c:yMode val="edge"/>
              <c:x val="1.0804987139897382E-2"/>
              <c:y val="0.3418848674284478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951783568"/>
        <c:crossesAt val="1"/>
        <c:crossBetween val="between"/>
      </c:valAx>
      <c:spPr>
        <a:noFill/>
        <a:ln>
          <a:noFill/>
        </a:ln>
        <a:effectLst/>
      </c:spPr>
    </c:plotArea>
    <c:legend>
      <c:legendPos val="b"/>
      <c:layout>
        <c:manualLayout>
          <c:xMode val="edge"/>
          <c:yMode val="edge"/>
          <c:x val="2.8044632585420302E-2"/>
          <c:y val="0.90202424263127634"/>
          <c:w val="0.95226901175968848"/>
          <c:h val="8.062217819301871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a:latin typeface="Calibri" panose="020F0502020204030204" pitchFamily="34" charset="0"/>
          <a:cs typeface="Calibri" panose="020F0502020204030204" pitchFamily="34" charset="0"/>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2"/>
          <c:order val="0"/>
          <c:tx>
            <c:strRef>
              <c:f>Zuzycie_energii1!$V$105</c:f>
              <c:strCache>
                <c:ptCount val="1"/>
                <c:pt idx="0">
                  <c:v>Bioetanol/biodiesel/biometan</c:v>
                </c:pt>
              </c:strCache>
            </c:strRef>
          </c:tx>
          <c:spPr>
            <a:solidFill>
              <a:srgbClr val="00B050">
                <a:alpha val="50000"/>
              </a:srgbClr>
            </a:solidFill>
            <a:ln>
              <a:noFill/>
            </a:ln>
            <a:effectLst/>
          </c:spPr>
          <c:invertIfNegative val="0"/>
          <c:cat>
            <c:numRef>
              <c:f>Zuzycie_energii1!$Y$102:$AN$102</c:f>
              <c:numCache>
                <c:formatCode>0</c:formatCode>
                <c:ptCount val="4"/>
                <c:pt idx="0">
                  <c:v>2025</c:v>
                </c:pt>
                <c:pt idx="1">
                  <c:v>2030</c:v>
                </c:pt>
                <c:pt idx="2">
                  <c:v>2035</c:v>
                </c:pt>
                <c:pt idx="3">
                  <c:v>2040</c:v>
                </c:pt>
              </c:numCache>
            </c:numRef>
          </c:cat>
          <c:val>
            <c:numRef>
              <c:f>Zuzycie_energii1!$Y$105:$AN$105</c:f>
              <c:numCache>
                <c:formatCode>#,##0</c:formatCode>
                <c:ptCount val="4"/>
                <c:pt idx="0">
                  <c:v>959.27179999999998</c:v>
                </c:pt>
                <c:pt idx="1">
                  <c:v>988.22573024901692</c:v>
                </c:pt>
                <c:pt idx="2">
                  <c:v>970.41540127444546</c:v>
                </c:pt>
                <c:pt idx="3">
                  <c:v>949.53474266818159</c:v>
                </c:pt>
              </c:numCache>
            </c:numRef>
          </c:val>
          <c:extLst>
            <c:ext xmlns:c16="http://schemas.microsoft.com/office/drawing/2014/chart" uri="{C3380CC4-5D6E-409C-BE32-E72D297353CC}">
              <c16:uniqueId val="{00000000-ADC8-489D-AB70-7D1664DC2E47}"/>
            </c:ext>
          </c:extLst>
        </c:ser>
        <c:ser>
          <c:idx val="1"/>
          <c:order val="1"/>
          <c:tx>
            <c:strRef>
              <c:f>Zuzycie_energii1!$V$104</c:f>
              <c:strCache>
                <c:ptCount val="1"/>
                <c:pt idx="0">
                  <c:v>Wodór/RFNBO</c:v>
                </c:pt>
              </c:strCache>
            </c:strRef>
          </c:tx>
          <c:spPr>
            <a:solidFill>
              <a:schemeClr val="accent2">
                <a:alpha val="50000"/>
              </a:schemeClr>
            </a:solidFill>
            <a:ln>
              <a:noFill/>
            </a:ln>
            <a:effectLst/>
          </c:spPr>
          <c:invertIfNegative val="0"/>
          <c:cat>
            <c:numRef>
              <c:f>Zuzycie_energii1!$Y$102:$AN$102</c:f>
              <c:numCache>
                <c:formatCode>0</c:formatCode>
                <c:ptCount val="4"/>
                <c:pt idx="0">
                  <c:v>2025</c:v>
                </c:pt>
                <c:pt idx="1">
                  <c:v>2030</c:v>
                </c:pt>
                <c:pt idx="2">
                  <c:v>2035</c:v>
                </c:pt>
                <c:pt idx="3">
                  <c:v>2040</c:v>
                </c:pt>
              </c:numCache>
            </c:numRef>
          </c:cat>
          <c:val>
            <c:numRef>
              <c:f>Zuzycie_energii1!$Y$104:$AN$104</c:f>
              <c:numCache>
                <c:formatCode>#,##0</c:formatCode>
                <c:ptCount val="4"/>
                <c:pt idx="0">
                  <c:v>4.1697339478259865</c:v>
                </c:pt>
                <c:pt idx="1">
                  <c:v>24.727647680098023</c:v>
                </c:pt>
                <c:pt idx="2">
                  <c:v>77.671987448154908</c:v>
                </c:pt>
                <c:pt idx="3">
                  <c:v>226.65217470682421</c:v>
                </c:pt>
              </c:numCache>
            </c:numRef>
          </c:val>
          <c:extLst>
            <c:ext xmlns:c16="http://schemas.microsoft.com/office/drawing/2014/chart" uri="{C3380CC4-5D6E-409C-BE32-E72D297353CC}">
              <c16:uniqueId val="{00000001-ADC8-489D-AB70-7D1664DC2E47}"/>
            </c:ext>
          </c:extLst>
        </c:ser>
        <c:ser>
          <c:idx val="0"/>
          <c:order val="2"/>
          <c:tx>
            <c:strRef>
              <c:f>Zuzycie_energii1!$V$103</c:f>
              <c:strCache>
                <c:ptCount val="1"/>
                <c:pt idx="0">
                  <c:v>Energia elektryczna</c:v>
                </c:pt>
              </c:strCache>
            </c:strRef>
          </c:tx>
          <c:spPr>
            <a:solidFill>
              <a:srgbClr val="0070C0">
                <a:alpha val="50000"/>
              </a:srgbClr>
            </a:solidFill>
            <a:ln>
              <a:noFill/>
            </a:ln>
            <a:effectLst/>
          </c:spPr>
          <c:invertIfNegative val="0"/>
          <c:cat>
            <c:numRef>
              <c:f>Zuzycie_energii1!$Y$102:$AN$102</c:f>
              <c:numCache>
                <c:formatCode>0</c:formatCode>
                <c:ptCount val="4"/>
                <c:pt idx="0">
                  <c:v>2025</c:v>
                </c:pt>
                <c:pt idx="1">
                  <c:v>2030</c:v>
                </c:pt>
                <c:pt idx="2">
                  <c:v>2035</c:v>
                </c:pt>
                <c:pt idx="3">
                  <c:v>2040</c:v>
                </c:pt>
              </c:numCache>
            </c:numRef>
          </c:cat>
          <c:val>
            <c:numRef>
              <c:f>Zuzycie_energii1!$Y$103:$AN$103</c:f>
              <c:numCache>
                <c:formatCode>#,##0</c:formatCode>
                <c:ptCount val="4"/>
                <c:pt idx="0">
                  <c:v>394.64302466079477</c:v>
                </c:pt>
                <c:pt idx="1">
                  <c:v>926.67090585066319</c:v>
                </c:pt>
                <c:pt idx="2">
                  <c:v>1760.4102322679757</c:v>
                </c:pt>
                <c:pt idx="3">
                  <c:v>3136.3724700971761</c:v>
                </c:pt>
              </c:numCache>
            </c:numRef>
          </c:val>
          <c:extLst>
            <c:ext xmlns:c16="http://schemas.microsoft.com/office/drawing/2014/chart" uri="{C3380CC4-5D6E-409C-BE32-E72D297353CC}">
              <c16:uniqueId val="{00000002-ADC8-489D-AB70-7D1664DC2E47}"/>
            </c:ext>
          </c:extLst>
        </c:ser>
        <c:dLbls>
          <c:showLegendKey val="0"/>
          <c:showVal val="0"/>
          <c:showCatName val="0"/>
          <c:showSerName val="0"/>
          <c:showPercent val="0"/>
          <c:showBubbleSize val="0"/>
        </c:dLbls>
        <c:gapWidth val="200"/>
        <c:overlap val="100"/>
        <c:axId val="744091552"/>
        <c:axId val="744094688"/>
      </c:barChart>
      <c:catAx>
        <c:axId val="7440915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l-PL"/>
          </a:p>
        </c:txPr>
        <c:crossAx val="744094688"/>
        <c:crosses val="autoZero"/>
        <c:auto val="1"/>
        <c:lblAlgn val="ctr"/>
        <c:lblOffset val="100"/>
        <c:noMultiLvlLbl val="0"/>
      </c:catAx>
      <c:valAx>
        <c:axId val="744094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l-PL"/>
          </a:p>
        </c:txPr>
        <c:crossAx val="744091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percentStacked"/>
        <c:varyColors val="0"/>
        <c:ser>
          <c:idx val="2"/>
          <c:order val="0"/>
          <c:tx>
            <c:strRef>
              <c:f>Zuzycie_energii1!$AQ$105</c:f>
              <c:strCache>
                <c:ptCount val="1"/>
                <c:pt idx="0">
                  <c:v>Bioetanol/biodiesel/biometan</c:v>
                </c:pt>
              </c:strCache>
            </c:strRef>
          </c:tx>
          <c:spPr>
            <a:solidFill>
              <a:srgbClr val="00B050">
                <a:alpha val="50000"/>
              </a:srgbClr>
            </a:solidFill>
            <a:ln>
              <a:noFill/>
            </a:ln>
            <a:effectLst/>
          </c:spPr>
          <c:invertIfNegative val="0"/>
          <c:cat>
            <c:numRef>
              <c:f>Zuzycie_energii1!$AS$102:$BH$102</c:f>
              <c:numCache>
                <c:formatCode>0</c:formatCode>
                <c:ptCount val="4"/>
                <c:pt idx="0">
                  <c:v>2025</c:v>
                </c:pt>
                <c:pt idx="1">
                  <c:v>2030</c:v>
                </c:pt>
                <c:pt idx="2">
                  <c:v>2035</c:v>
                </c:pt>
                <c:pt idx="3">
                  <c:v>2040</c:v>
                </c:pt>
              </c:numCache>
            </c:numRef>
          </c:cat>
          <c:val>
            <c:numRef>
              <c:f>Zuzycie_energii1!$AS$105:$BH$105</c:f>
              <c:numCache>
                <c:formatCode>#,##0</c:formatCode>
                <c:ptCount val="4"/>
                <c:pt idx="0">
                  <c:v>830.27551166168678</c:v>
                </c:pt>
                <c:pt idx="1">
                  <c:v>986.9236515239138</c:v>
                </c:pt>
                <c:pt idx="2">
                  <c:v>952.16190197313858</c:v>
                </c:pt>
                <c:pt idx="3">
                  <c:v>945.09180156401976</c:v>
                </c:pt>
              </c:numCache>
            </c:numRef>
          </c:val>
          <c:extLst>
            <c:ext xmlns:c16="http://schemas.microsoft.com/office/drawing/2014/chart" uri="{C3380CC4-5D6E-409C-BE32-E72D297353CC}">
              <c16:uniqueId val="{00000000-F4C9-4102-A863-E707EA364359}"/>
            </c:ext>
          </c:extLst>
        </c:ser>
        <c:ser>
          <c:idx val="1"/>
          <c:order val="1"/>
          <c:tx>
            <c:strRef>
              <c:f>Zuzycie_energii1!$AQ$104</c:f>
              <c:strCache>
                <c:ptCount val="1"/>
                <c:pt idx="0">
                  <c:v>Wodór/RFNBO</c:v>
                </c:pt>
              </c:strCache>
            </c:strRef>
          </c:tx>
          <c:spPr>
            <a:solidFill>
              <a:schemeClr val="accent2">
                <a:alpha val="50000"/>
              </a:schemeClr>
            </a:solidFill>
            <a:ln>
              <a:noFill/>
            </a:ln>
            <a:effectLst/>
          </c:spPr>
          <c:invertIfNegative val="0"/>
          <c:cat>
            <c:numRef>
              <c:f>Zuzycie_energii1!$AS$102:$BH$102</c:f>
              <c:numCache>
                <c:formatCode>0</c:formatCode>
                <c:ptCount val="4"/>
                <c:pt idx="0">
                  <c:v>2025</c:v>
                </c:pt>
                <c:pt idx="1">
                  <c:v>2030</c:v>
                </c:pt>
                <c:pt idx="2">
                  <c:v>2035</c:v>
                </c:pt>
                <c:pt idx="3">
                  <c:v>2040</c:v>
                </c:pt>
              </c:numCache>
            </c:numRef>
          </c:cat>
          <c:val>
            <c:numRef>
              <c:f>Zuzycie_energii1!$AS$104:$BH$104</c:f>
              <c:numCache>
                <c:formatCode>#,##0</c:formatCode>
                <c:ptCount val="4"/>
                <c:pt idx="0">
                  <c:v>1.8708965290269877</c:v>
                </c:pt>
                <c:pt idx="1">
                  <c:v>10.203422864025342</c:v>
                </c:pt>
                <c:pt idx="2">
                  <c:v>76.507816112257785</c:v>
                </c:pt>
                <c:pt idx="3">
                  <c:v>251.50103907244753</c:v>
                </c:pt>
              </c:numCache>
            </c:numRef>
          </c:val>
          <c:extLst>
            <c:ext xmlns:c16="http://schemas.microsoft.com/office/drawing/2014/chart" uri="{C3380CC4-5D6E-409C-BE32-E72D297353CC}">
              <c16:uniqueId val="{00000001-F4C9-4102-A863-E707EA364359}"/>
            </c:ext>
          </c:extLst>
        </c:ser>
        <c:ser>
          <c:idx val="0"/>
          <c:order val="2"/>
          <c:tx>
            <c:strRef>
              <c:f>Zuzycie_energii1!$AQ$103</c:f>
              <c:strCache>
                <c:ptCount val="1"/>
                <c:pt idx="0">
                  <c:v>Energia elektryczna</c:v>
                </c:pt>
              </c:strCache>
            </c:strRef>
          </c:tx>
          <c:spPr>
            <a:solidFill>
              <a:srgbClr val="0070C0">
                <a:alpha val="50000"/>
              </a:srgbClr>
            </a:solidFill>
            <a:ln>
              <a:noFill/>
            </a:ln>
            <a:effectLst/>
          </c:spPr>
          <c:invertIfNegative val="0"/>
          <c:cat>
            <c:numRef>
              <c:f>Zuzycie_energii1!$AS$102:$BH$102</c:f>
              <c:numCache>
                <c:formatCode>0</c:formatCode>
                <c:ptCount val="4"/>
                <c:pt idx="0">
                  <c:v>2025</c:v>
                </c:pt>
                <c:pt idx="1">
                  <c:v>2030</c:v>
                </c:pt>
                <c:pt idx="2">
                  <c:v>2035</c:v>
                </c:pt>
                <c:pt idx="3">
                  <c:v>2040</c:v>
                </c:pt>
              </c:numCache>
            </c:numRef>
          </c:cat>
          <c:val>
            <c:numRef>
              <c:f>Zuzycie_energii1!$AS$103:$BH$103</c:f>
              <c:numCache>
                <c:formatCode>#,##0</c:formatCode>
                <c:ptCount val="4"/>
                <c:pt idx="0">
                  <c:v>383.64869612724891</c:v>
                </c:pt>
                <c:pt idx="1">
                  <c:v>518.80443989133448</c:v>
                </c:pt>
                <c:pt idx="2">
                  <c:v>749.12071563426218</c:v>
                </c:pt>
                <c:pt idx="3">
                  <c:v>953.53656582438305</c:v>
                </c:pt>
              </c:numCache>
            </c:numRef>
          </c:val>
          <c:extLst>
            <c:ext xmlns:c16="http://schemas.microsoft.com/office/drawing/2014/chart" uri="{C3380CC4-5D6E-409C-BE32-E72D297353CC}">
              <c16:uniqueId val="{00000002-F4C9-4102-A863-E707EA364359}"/>
            </c:ext>
          </c:extLst>
        </c:ser>
        <c:dLbls>
          <c:showLegendKey val="0"/>
          <c:showVal val="0"/>
          <c:showCatName val="0"/>
          <c:showSerName val="0"/>
          <c:showPercent val="0"/>
          <c:showBubbleSize val="0"/>
        </c:dLbls>
        <c:gapWidth val="200"/>
        <c:overlap val="100"/>
        <c:axId val="744095864"/>
        <c:axId val="728794336"/>
      </c:barChart>
      <c:catAx>
        <c:axId val="74409586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l-PL"/>
          </a:p>
        </c:txPr>
        <c:crossAx val="728794336"/>
        <c:crosses val="autoZero"/>
        <c:auto val="1"/>
        <c:lblAlgn val="ctr"/>
        <c:lblOffset val="100"/>
        <c:noMultiLvlLbl val="0"/>
      </c:catAx>
      <c:valAx>
        <c:axId val="7287943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l-PL"/>
          </a:p>
        </c:txPr>
        <c:crossAx val="744095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tx>
            <c:strRef>
              <c:f>'rys_4.13'!$A$11</c:f>
              <c:strCache>
                <c:ptCount val="1"/>
                <c:pt idx="0">
                  <c:v>Zużycie energii pierwotnej</c:v>
                </c:pt>
              </c:strCache>
            </c:strRef>
          </c:tx>
          <c:spPr>
            <a:ln w="28575" cap="rnd">
              <a:solidFill>
                <a:schemeClr val="accent1">
                  <a:shade val="76000"/>
                </a:schemeClr>
              </a:solidFill>
              <a:round/>
            </a:ln>
            <a:effectLst/>
          </c:spPr>
          <c:marker>
            <c:symbol val="square"/>
            <c:size val="8"/>
            <c:spPr>
              <a:solidFill>
                <a:schemeClr val="accent1">
                  <a:shade val="76000"/>
                </a:schemeClr>
              </a:solidFill>
              <a:ln w="9525">
                <a:solidFill>
                  <a:schemeClr val="accent1">
                    <a:shade val="76000"/>
                  </a:schemeClr>
                </a:solidFill>
              </a:ln>
              <a:effectLst/>
            </c:spPr>
          </c:marker>
          <c:cat>
            <c:strRef>
              <c:f>'rys_4.13'!$B$10:$X$10</c:f>
              <c:strCach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strCache>
            </c:strRef>
          </c:cat>
          <c:val>
            <c:numRef>
              <c:f>'rys_4.13'!$B$11:$X$11</c:f>
              <c:numCache>
                <c:formatCode>#\ ##0.##########</c:formatCode>
                <c:ptCount val="22"/>
                <c:pt idx="0">
                  <c:v>90122.231</c:v>
                </c:pt>
                <c:pt idx="1">
                  <c:v>89091.755999999994</c:v>
                </c:pt>
                <c:pt idx="2">
                  <c:v>91425.244999999995</c:v>
                </c:pt>
                <c:pt idx="3">
                  <c:v>91735.869000000006</c:v>
                </c:pt>
                <c:pt idx="4">
                  <c:v>92905.252999999997</c:v>
                </c:pt>
                <c:pt idx="5">
                  <c:v>97834.525999999998</c:v>
                </c:pt>
                <c:pt idx="6">
                  <c:v>97410.176999999996</c:v>
                </c:pt>
                <c:pt idx="7">
                  <c:v>98559.486000000004</c:v>
                </c:pt>
                <c:pt idx="8">
                  <c:v>94503.525999999998</c:v>
                </c:pt>
                <c:pt idx="9">
                  <c:v>101819.083</c:v>
                </c:pt>
                <c:pt idx="10">
                  <c:v>101835.59299999999</c:v>
                </c:pt>
                <c:pt idx="11">
                  <c:v>97937.027000000002</c:v>
                </c:pt>
                <c:pt idx="12">
                  <c:v>98637.952999999994</c:v>
                </c:pt>
                <c:pt idx="13">
                  <c:v>94970.077000000005</c:v>
                </c:pt>
                <c:pt idx="14">
                  <c:v>96061.207999999999</c:v>
                </c:pt>
                <c:pt idx="15">
                  <c:v>100765.314</c:v>
                </c:pt>
                <c:pt idx="16">
                  <c:v>105492.599</c:v>
                </c:pt>
                <c:pt idx="17">
                  <c:v>110246.626</c:v>
                </c:pt>
                <c:pt idx="18">
                  <c:v>106347.823</c:v>
                </c:pt>
                <c:pt idx="19">
                  <c:v>103261.15700000001</c:v>
                </c:pt>
                <c:pt idx="20">
                  <c:v>109944.091</c:v>
                </c:pt>
                <c:pt idx="21">
                  <c:v>98485.159</c:v>
                </c:pt>
              </c:numCache>
            </c:numRef>
          </c:val>
          <c:smooth val="0"/>
          <c:extLst>
            <c:ext xmlns:c16="http://schemas.microsoft.com/office/drawing/2014/chart" uri="{C3380CC4-5D6E-409C-BE32-E72D297353CC}">
              <c16:uniqueId val="{00000000-E833-4FC6-91B3-F77F6D8F2741}"/>
            </c:ext>
          </c:extLst>
        </c:ser>
        <c:ser>
          <c:idx val="1"/>
          <c:order val="1"/>
          <c:tx>
            <c:strRef>
              <c:f>'rys_4.13'!$A$12</c:f>
              <c:strCache>
                <c:ptCount val="1"/>
                <c:pt idx="0">
                  <c:v>Finalne zużycie energii</c:v>
                </c:pt>
              </c:strCache>
            </c:strRef>
          </c:tx>
          <c:spPr>
            <a:ln w="28575" cap="rnd">
              <a:solidFill>
                <a:schemeClr val="accent1">
                  <a:tint val="77000"/>
                </a:schemeClr>
              </a:solidFill>
              <a:round/>
            </a:ln>
            <a:effectLst/>
          </c:spPr>
          <c:marker>
            <c:symbol val="circle"/>
            <c:size val="8"/>
            <c:spPr>
              <a:solidFill>
                <a:schemeClr val="accent1">
                  <a:tint val="77000"/>
                </a:schemeClr>
              </a:solidFill>
              <a:ln w="9525">
                <a:solidFill>
                  <a:schemeClr val="accent1">
                    <a:tint val="77000"/>
                  </a:schemeClr>
                </a:solidFill>
              </a:ln>
              <a:effectLst/>
            </c:spPr>
          </c:marker>
          <c:cat>
            <c:strRef>
              <c:f>'rys_4.13'!$B$10:$X$10</c:f>
              <c:strCach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strCache>
            </c:strRef>
          </c:cat>
          <c:val>
            <c:numRef>
              <c:f>'rys_4.13'!$B$12:$X$12</c:f>
              <c:numCache>
                <c:formatCode>#\ ##0.##########</c:formatCode>
                <c:ptCount val="22"/>
                <c:pt idx="0">
                  <c:v>58598.156000000003</c:v>
                </c:pt>
                <c:pt idx="1">
                  <c:v>58541.824999999997</c:v>
                </c:pt>
                <c:pt idx="2">
                  <c:v>59945.483999999997</c:v>
                </c:pt>
                <c:pt idx="3">
                  <c:v>60234.739000000001</c:v>
                </c:pt>
                <c:pt idx="4">
                  <c:v>61700.315999999999</c:v>
                </c:pt>
                <c:pt idx="5">
                  <c:v>65210.243999999999</c:v>
                </c:pt>
                <c:pt idx="6">
                  <c:v>64883.96</c:v>
                </c:pt>
                <c:pt idx="7">
                  <c:v>66691.212</c:v>
                </c:pt>
                <c:pt idx="8">
                  <c:v>64712.063999999998</c:v>
                </c:pt>
                <c:pt idx="9">
                  <c:v>70379.81</c:v>
                </c:pt>
                <c:pt idx="10">
                  <c:v>69565.085999999996</c:v>
                </c:pt>
                <c:pt idx="11">
                  <c:v>65575.601999999999</c:v>
                </c:pt>
                <c:pt idx="12">
                  <c:v>67287.497000000003</c:v>
                </c:pt>
                <c:pt idx="13">
                  <c:v>64595.512000000002</c:v>
                </c:pt>
                <c:pt idx="14">
                  <c:v>65169.425999999999</c:v>
                </c:pt>
                <c:pt idx="15">
                  <c:v>70458.403000000006</c:v>
                </c:pt>
                <c:pt idx="16">
                  <c:v>74783.024999999994</c:v>
                </c:pt>
                <c:pt idx="17">
                  <c:v>79820.584000000003</c:v>
                </c:pt>
                <c:pt idx="18">
                  <c:v>77745.349000000002</c:v>
                </c:pt>
                <c:pt idx="19">
                  <c:v>77115.013000000006</c:v>
                </c:pt>
                <c:pt idx="20">
                  <c:v>80514.618000000002</c:v>
                </c:pt>
                <c:pt idx="21">
                  <c:v>72769.804999999993</c:v>
                </c:pt>
              </c:numCache>
            </c:numRef>
          </c:val>
          <c:smooth val="0"/>
          <c:extLst>
            <c:ext xmlns:c16="http://schemas.microsoft.com/office/drawing/2014/chart" uri="{C3380CC4-5D6E-409C-BE32-E72D297353CC}">
              <c16:uniqueId val="{00000001-E833-4FC6-91B3-F77F6D8F2741}"/>
            </c:ext>
          </c:extLst>
        </c:ser>
        <c:dLbls>
          <c:showLegendKey val="0"/>
          <c:showVal val="0"/>
          <c:showCatName val="0"/>
          <c:showSerName val="0"/>
          <c:showPercent val="0"/>
          <c:showBubbleSize val="0"/>
        </c:dLbls>
        <c:marker val="1"/>
        <c:smooth val="0"/>
        <c:axId val="728794728"/>
        <c:axId val="728795512"/>
      </c:lineChart>
      <c:catAx>
        <c:axId val="728794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728795512"/>
        <c:crosses val="autoZero"/>
        <c:auto val="1"/>
        <c:lblAlgn val="ctr"/>
        <c:lblOffset val="100"/>
        <c:noMultiLvlLbl val="0"/>
      </c:catAx>
      <c:valAx>
        <c:axId val="728795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a:t>[ktoe]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728794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Calibri" panose="020F0502020204030204" pitchFamily="34" charset="0"/>
          <a:cs typeface="Calibri" panose="020F0502020204030204" pitchFamily="34" charset="0"/>
        </a:defRPr>
      </a:pPr>
      <a:endParaRPr lang="pl-PL"/>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Zużycie_energii!$B$9</c:f>
              <c:strCache>
                <c:ptCount val="1"/>
                <c:pt idx="0">
                  <c:v>Zuzycie energii pierwotnej</c:v>
                </c:pt>
              </c:strCache>
            </c:strRef>
          </c:tx>
          <c:spPr>
            <a:ln w="28575" cap="rnd">
              <a:solidFill>
                <a:srgbClr val="72D0A1"/>
              </a:solidFill>
              <a:round/>
            </a:ln>
            <a:effectLst/>
          </c:spPr>
          <c:marker>
            <c:symbol val="diamond"/>
            <c:size val="9"/>
            <c:spPr>
              <a:solidFill>
                <a:srgbClr val="72D0A1"/>
              </a:solidFill>
              <a:ln w="9525">
                <a:solidFill>
                  <a:srgbClr val="72D0A1"/>
                </a:solidFill>
              </a:ln>
              <a:effectLst/>
            </c:spPr>
          </c:marker>
          <c:cat>
            <c:numRef>
              <c:f>Zużycie_energii!$C$7:$J$7</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Zużycie_energii!$C$9:$J$9</c:f>
              <c:numCache>
                <c:formatCode>#,##0</c:formatCode>
                <c:ptCount val="8"/>
                <c:pt idx="0">
                  <c:v>92581.55</c:v>
                </c:pt>
                <c:pt idx="1">
                  <c:v>101603.68700000001</c:v>
                </c:pt>
                <c:pt idx="2">
                  <c:v>95868.411999999997</c:v>
                </c:pt>
                <c:pt idx="3">
                  <c:v>102978.693</c:v>
                </c:pt>
                <c:pt idx="4">
                  <c:v>98912.475393666042</c:v>
                </c:pt>
                <c:pt idx="5">
                  <c:v>86836.258369573086</c:v>
                </c:pt>
                <c:pt idx="6">
                  <c:v>77374.815384846908</c:v>
                </c:pt>
                <c:pt idx="7">
                  <c:v>76771.262142581953</c:v>
                </c:pt>
              </c:numCache>
              <c:extLst/>
            </c:numRef>
          </c:val>
          <c:smooth val="0"/>
          <c:extLst>
            <c:ext xmlns:c16="http://schemas.microsoft.com/office/drawing/2014/chart" uri="{C3380CC4-5D6E-409C-BE32-E72D297353CC}">
              <c16:uniqueId val="{00000000-AAA7-416C-9104-C9A29AAD4009}"/>
            </c:ext>
          </c:extLst>
        </c:ser>
        <c:ser>
          <c:idx val="2"/>
          <c:order val="1"/>
          <c:tx>
            <c:strRef>
              <c:f>Zużycie_energii!$B$10</c:f>
              <c:strCache>
                <c:ptCount val="1"/>
                <c:pt idx="0">
                  <c:v>Zużycie energii pierwotnej (Europa 2020-2030)</c:v>
                </c:pt>
              </c:strCache>
            </c:strRef>
          </c:tx>
          <c:spPr>
            <a:ln w="28575" cap="rnd">
              <a:solidFill>
                <a:srgbClr val="339966"/>
              </a:solidFill>
              <a:round/>
            </a:ln>
            <a:effectLst/>
          </c:spPr>
          <c:marker>
            <c:symbol val="circle"/>
            <c:size val="8"/>
            <c:spPr>
              <a:solidFill>
                <a:srgbClr val="339966"/>
              </a:solidFill>
              <a:ln w="9525">
                <a:solidFill>
                  <a:srgbClr val="339966"/>
                </a:solidFill>
              </a:ln>
              <a:effectLst/>
            </c:spPr>
          </c:marker>
          <c:cat>
            <c:numRef>
              <c:f>Zużycie_energii!$C$7:$J$7</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Zużycie_energii!$C$10:$J$10</c:f>
              <c:numCache>
                <c:formatCode>#,##0</c:formatCode>
                <c:ptCount val="8"/>
                <c:pt idx="0">
                  <c:v>87973.963404031718</c:v>
                </c:pt>
                <c:pt idx="1">
                  <c:v>96589.833555842182</c:v>
                </c:pt>
                <c:pt idx="2">
                  <c:v>90075.110899207022</c:v>
                </c:pt>
                <c:pt idx="3">
                  <c:v>96859.153000000006</c:v>
                </c:pt>
                <c:pt idx="4">
                  <c:v>92196.521436715018</c:v>
                </c:pt>
                <c:pt idx="5">
                  <c:v>79614.126908002087</c:v>
                </c:pt>
                <c:pt idx="6">
                  <c:v>68987.621601591294</c:v>
                </c:pt>
                <c:pt idx="7">
                  <c:v>67192.791830455943</c:v>
                </c:pt>
              </c:numCache>
              <c:extLst/>
            </c:numRef>
          </c:val>
          <c:smooth val="0"/>
          <c:extLst>
            <c:ext xmlns:c16="http://schemas.microsoft.com/office/drawing/2014/chart" uri="{C3380CC4-5D6E-409C-BE32-E72D297353CC}">
              <c16:uniqueId val="{00000001-AAA7-416C-9104-C9A29AAD4009}"/>
            </c:ext>
          </c:extLst>
        </c:ser>
        <c:ser>
          <c:idx val="4"/>
          <c:order val="2"/>
          <c:tx>
            <c:strRef>
              <c:f>Zużycie_energii!$B$12</c:f>
              <c:strCache>
                <c:ptCount val="1"/>
                <c:pt idx="0">
                  <c:v>Finalne zużycie energii</c:v>
                </c:pt>
              </c:strCache>
            </c:strRef>
          </c:tx>
          <c:spPr>
            <a:ln w="28575" cap="rnd">
              <a:solidFill>
                <a:schemeClr val="accent5"/>
              </a:solidFill>
              <a:round/>
            </a:ln>
            <a:effectLst/>
          </c:spPr>
          <c:marker>
            <c:symbol val="triangle"/>
            <c:size val="8"/>
            <c:spPr>
              <a:solidFill>
                <a:schemeClr val="accent5"/>
              </a:solidFill>
              <a:ln w="9525">
                <a:solidFill>
                  <a:schemeClr val="accent5"/>
                </a:solidFill>
              </a:ln>
              <a:effectLst/>
            </c:spPr>
          </c:marker>
          <c:cat>
            <c:numRef>
              <c:f>Zużycie_energii!$C$7:$J$7</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Zużycie_energii!$C$12:$J$12</c:f>
              <c:numCache>
                <c:formatCode>#,##0</c:formatCode>
                <c:ptCount val="8"/>
                <c:pt idx="0">
                  <c:v>57473.304676793734</c:v>
                </c:pt>
                <c:pt idx="1">
                  <c:v>65250.438805770507</c:v>
                </c:pt>
                <c:pt idx="2">
                  <c:v>60862.969051304099</c:v>
                </c:pt>
                <c:pt idx="3">
                  <c:v>70235</c:v>
                </c:pt>
                <c:pt idx="4">
                  <c:v>69496.220831217826</c:v>
                </c:pt>
                <c:pt idx="5">
                  <c:v>64338.03993322215</c:v>
                </c:pt>
                <c:pt idx="6">
                  <c:v>59885.303413570015</c:v>
                </c:pt>
                <c:pt idx="7">
                  <c:v>56991.835502105656</c:v>
                </c:pt>
              </c:numCache>
              <c:extLst/>
            </c:numRef>
          </c:val>
          <c:smooth val="0"/>
          <c:extLst>
            <c:ext xmlns:c16="http://schemas.microsoft.com/office/drawing/2014/chart" uri="{C3380CC4-5D6E-409C-BE32-E72D297353CC}">
              <c16:uniqueId val="{00000002-AAA7-416C-9104-C9A29AAD4009}"/>
            </c:ext>
          </c:extLst>
        </c:ser>
        <c:ser>
          <c:idx val="5"/>
          <c:order val="3"/>
          <c:tx>
            <c:strRef>
              <c:f>Zużycie_energii!$B$13</c:f>
              <c:strCache>
                <c:ptCount val="1"/>
                <c:pt idx="0">
                  <c:v>Finalne zużycie energii (Europa 2020-2030)</c:v>
                </c:pt>
              </c:strCache>
            </c:strRef>
          </c:tx>
          <c:spPr>
            <a:ln w="28575" cap="rnd">
              <a:solidFill>
                <a:srgbClr val="0070C0"/>
              </a:solidFill>
              <a:round/>
            </a:ln>
            <a:effectLst/>
          </c:spPr>
          <c:marker>
            <c:symbol val="square"/>
            <c:size val="7"/>
            <c:spPr>
              <a:solidFill>
                <a:srgbClr val="0070C0"/>
              </a:solidFill>
              <a:ln w="9525">
                <a:solidFill>
                  <a:srgbClr val="0070C0"/>
                </a:solidFill>
              </a:ln>
              <a:effectLst/>
            </c:spPr>
          </c:marker>
          <c:cat>
            <c:numRef>
              <c:f>Zużycie_energii!$C$7:$J$7</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Zużycie_energii!$C$13:$J$13</c:f>
              <c:numCache>
                <c:formatCode>#,##0</c:formatCode>
                <c:ptCount val="8"/>
                <c:pt idx="0">
                  <c:v>58487</c:v>
                </c:pt>
                <c:pt idx="1">
                  <c:v>66282.8</c:v>
                </c:pt>
                <c:pt idx="2">
                  <c:v>62299</c:v>
                </c:pt>
                <c:pt idx="3">
                  <c:v>71144.608999999997</c:v>
                </c:pt>
                <c:pt idx="4">
                  <c:v>69694.335697262693</c:v>
                </c:pt>
                <c:pt idx="5">
                  <c:v>64077.272190806805</c:v>
                </c:pt>
                <c:pt idx="6">
                  <c:v>58525.687535046018</c:v>
                </c:pt>
                <c:pt idx="7">
                  <c:v>54264.79643936122</c:v>
                </c:pt>
              </c:numCache>
              <c:extLst/>
            </c:numRef>
          </c:val>
          <c:smooth val="0"/>
          <c:extLst>
            <c:ext xmlns:c16="http://schemas.microsoft.com/office/drawing/2014/chart" uri="{C3380CC4-5D6E-409C-BE32-E72D297353CC}">
              <c16:uniqueId val="{00000003-AAA7-416C-9104-C9A29AAD4009}"/>
            </c:ext>
          </c:extLst>
        </c:ser>
        <c:dLbls>
          <c:showLegendKey val="0"/>
          <c:showVal val="0"/>
          <c:showCatName val="0"/>
          <c:showSerName val="0"/>
          <c:showPercent val="0"/>
          <c:showBubbleSize val="0"/>
        </c:dLbls>
        <c:marker val="1"/>
        <c:smooth val="0"/>
        <c:axId val="728783752"/>
        <c:axId val="728785320"/>
      </c:lineChart>
      <c:catAx>
        <c:axId val="7287837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728785320"/>
        <c:crosses val="autoZero"/>
        <c:auto val="1"/>
        <c:lblAlgn val="ctr"/>
        <c:lblOffset val="100"/>
        <c:noMultiLvlLbl val="0"/>
      </c:catAx>
      <c:valAx>
        <c:axId val="728785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a:t>[ktoe]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728783752"/>
        <c:crosses val="autoZero"/>
        <c:crossBetween val="between"/>
      </c:valAx>
      <c:spPr>
        <a:noFill/>
        <a:ln>
          <a:noFill/>
        </a:ln>
        <a:effectLst/>
      </c:spPr>
    </c:plotArea>
    <c:legend>
      <c:legendPos val="b"/>
      <c:layout>
        <c:manualLayout>
          <c:xMode val="edge"/>
          <c:yMode val="edge"/>
          <c:x val="4.2061086162642564E-2"/>
          <c:y val="0.89749692680819959"/>
          <c:w val="0.92354241564879536"/>
          <c:h val="9.243948303930363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a:latin typeface="Calibri" panose="020F0502020204030204" pitchFamily="34" charset="0"/>
          <a:cs typeface="Calibri" panose="020F0502020204030204" pitchFamily="34" charset="0"/>
        </a:defRPr>
      </a:pPr>
      <a:endParaRPr lang="pl-PL"/>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16035495563054"/>
          <c:y val="4.2174813618383163E-2"/>
          <c:w val="0.81546074101848376"/>
          <c:h val="0.84575939399980071"/>
        </c:manualLayout>
      </c:layout>
      <c:areaChart>
        <c:grouping val="stacked"/>
        <c:varyColors val="0"/>
        <c:ser>
          <c:idx val="0"/>
          <c:order val="0"/>
          <c:tx>
            <c:strRef>
              <c:f>Zużycie_energii!$B$19</c:f>
              <c:strCache>
                <c:ptCount val="1"/>
                <c:pt idx="0">
                  <c:v>Przemysł</c:v>
                </c:pt>
              </c:strCache>
            </c:strRef>
          </c:tx>
          <c:spPr>
            <a:solidFill>
              <a:srgbClr val="663300">
                <a:alpha val="69804"/>
              </a:srgbClr>
            </a:solidFill>
            <a:ln>
              <a:noFill/>
            </a:ln>
            <a:effectLst/>
          </c:spPr>
          <c:cat>
            <c:numRef>
              <c:f>Zużycie_energii!$C$18:$J$18</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Zużycie_energii!$C$19:$J$19</c:f>
              <c:numCache>
                <c:formatCode>#,##0</c:formatCode>
                <c:ptCount val="8"/>
                <c:pt idx="0">
                  <c:v>14615.608603229193</c:v>
                </c:pt>
                <c:pt idx="1">
                  <c:v>13498.263011273524</c:v>
                </c:pt>
                <c:pt idx="2">
                  <c:v>14097.182529664657</c:v>
                </c:pt>
                <c:pt idx="3">
                  <c:v>15920.656999999999</c:v>
                </c:pt>
                <c:pt idx="4">
                  <c:v>15535.682325849717</c:v>
                </c:pt>
                <c:pt idx="5">
                  <c:v>14527.500353712796</c:v>
                </c:pt>
                <c:pt idx="6">
                  <c:v>14115.853877994432</c:v>
                </c:pt>
                <c:pt idx="7">
                  <c:v>13705.794769350839</c:v>
                </c:pt>
              </c:numCache>
              <c:extLst/>
            </c:numRef>
          </c:val>
          <c:extLst>
            <c:ext xmlns:c16="http://schemas.microsoft.com/office/drawing/2014/chart" uri="{C3380CC4-5D6E-409C-BE32-E72D297353CC}">
              <c16:uniqueId val="{00000000-D88F-425C-BB8C-905DA2D43E7F}"/>
            </c:ext>
          </c:extLst>
        </c:ser>
        <c:ser>
          <c:idx val="1"/>
          <c:order val="1"/>
          <c:tx>
            <c:strRef>
              <c:f>Zużycie_energii!$B$20</c:f>
              <c:strCache>
                <c:ptCount val="1"/>
                <c:pt idx="0">
                  <c:v>Transport</c:v>
                </c:pt>
              </c:strCache>
            </c:strRef>
          </c:tx>
          <c:spPr>
            <a:solidFill>
              <a:schemeClr val="accent2">
                <a:alpha val="70000"/>
              </a:schemeClr>
            </a:solidFill>
            <a:ln>
              <a:noFill/>
            </a:ln>
            <a:effectLst/>
          </c:spPr>
          <c:cat>
            <c:numRef>
              <c:f>Zużycie_energii!$C$18:$J$18</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Zużycie_energii!$C$20:$J$20</c:f>
              <c:numCache>
                <c:formatCode>#,##0</c:formatCode>
                <c:ptCount val="8"/>
                <c:pt idx="0">
                  <c:v>12222.580543804335</c:v>
                </c:pt>
                <c:pt idx="1">
                  <c:v>17187.31829559568</c:v>
                </c:pt>
                <c:pt idx="2">
                  <c:v>16561.108681074482</c:v>
                </c:pt>
                <c:pt idx="3">
                  <c:v>21779.097596985863</c:v>
                </c:pt>
                <c:pt idx="4">
                  <c:v>23227.893657589229</c:v>
                </c:pt>
                <c:pt idx="5">
                  <c:v>21473.380353992885</c:v>
                </c:pt>
                <c:pt idx="6">
                  <c:v>19902.932267140517</c:v>
                </c:pt>
                <c:pt idx="7">
                  <c:v>18361.624615631001</c:v>
                </c:pt>
              </c:numCache>
              <c:extLst/>
            </c:numRef>
          </c:val>
          <c:extLst>
            <c:ext xmlns:c16="http://schemas.microsoft.com/office/drawing/2014/chart" uri="{C3380CC4-5D6E-409C-BE32-E72D297353CC}">
              <c16:uniqueId val="{00000001-D88F-425C-BB8C-905DA2D43E7F}"/>
            </c:ext>
          </c:extLst>
        </c:ser>
        <c:ser>
          <c:idx val="2"/>
          <c:order val="2"/>
          <c:tx>
            <c:strRef>
              <c:f>Zużycie_energii!$B$24</c:f>
              <c:strCache>
                <c:ptCount val="1"/>
                <c:pt idx="0">
                  <c:v>Gospodarstwa domowe</c:v>
                </c:pt>
              </c:strCache>
            </c:strRef>
          </c:tx>
          <c:spPr>
            <a:solidFill>
              <a:schemeClr val="bg1">
                <a:lumMod val="50000"/>
                <a:alpha val="70000"/>
              </a:schemeClr>
            </a:solidFill>
            <a:ln>
              <a:noFill/>
            </a:ln>
            <a:effectLst/>
          </c:spPr>
          <c:cat>
            <c:numRef>
              <c:f>Zużycie_energii!$C$18:$J$18</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Zużycie_energii!$C$24:$J$24</c:f>
              <c:numCache>
                <c:formatCode>#,##0</c:formatCode>
                <c:ptCount val="8"/>
                <c:pt idx="0">
                  <c:v>19466.884255278492</c:v>
                </c:pt>
                <c:pt idx="1">
                  <c:v>22001.631908951938</c:v>
                </c:pt>
                <c:pt idx="2">
                  <c:v>19032.266076430682</c:v>
                </c:pt>
                <c:pt idx="3">
                  <c:v>21101.346999999998</c:v>
                </c:pt>
                <c:pt idx="4">
                  <c:v>19292.202399602342</c:v>
                </c:pt>
                <c:pt idx="5">
                  <c:v>17121.552601053932</c:v>
                </c:pt>
                <c:pt idx="6">
                  <c:v>15248.85417613997</c:v>
                </c:pt>
                <c:pt idx="7">
                  <c:v>14739.022644971315</c:v>
                </c:pt>
              </c:numCache>
              <c:extLst/>
            </c:numRef>
          </c:val>
          <c:extLst>
            <c:ext xmlns:c16="http://schemas.microsoft.com/office/drawing/2014/chart" uri="{C3380CC4-5D6E-409C-BE32-E72D297353CC}">
              <c16:uniqueId val="{00000002-D88F-425C-BB8C-905DA2D43E7F}"/>
            </c:ext>
          </c:extLst>
        </c:ser>
        <c:ser>
          <c:idx val="3"/>
          <c:order val="3"/>
          <c:tx>
            <c:strRef>
              <c:f>Zużycie_energii!$B$25</c:f>
              <c:strCache>
                <c:ptCount val="1"/>
                <c:pt idx="0">
                  <c:v>Usługi</c:v>
                </c:pt>
              </c:strCache>
            </c:strRef>
          </c:tx>
          <c:spPr>
            <a:solidFill>
              <a:schemeClr val="accent4">
                <a:alpha val="70000"/>
              </a:schemeClr>
            </a:solidFill>
            <a:ln>
              <a:noFill/>
            </a:ln>
            <a:effectLst/>
          </c:spPr>
          <c:cat>
            <c:numRef>
              <c:f>Zużycie_energii!$C$18:$J$18</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Zużycie_energii!$C$25:$J$25</c:f>
              <c:numCache>
                <c:formatCode>#,##0</c:formatCode>
                <c:ptCount val="8"/>
                <c:pt idx="0">
                  <c:v>6730.1619136333238</c:v>
                </c:pt>
                <c:pt idx="1">
                  <c:v>8832.9167383204349</c:v>
                </c:pt>
                <c:pt idx="2">
                  <c:v>7842.2550635330081</c:v>
                </c:pt>
                <c:pt idx="3">
                  <c:v>7565.4730000000009</c:v>
                </c:pt>
                <c:pt idx="4">
                  <c:v>7798.8057604245905</c:v>
                </c:pt>
                <c:pt idx="5">
                  <c:v>7745.8472966874688</c:v>
                </c:pt>
                <c:pt idx="6">
                  <c:v>7332.3471067485298</c:v>
                </c:pt>
                <c:pt idx="7">
                  <c:v>7066.4739358211564</c:v>
                </c:pt>
              </c:numCache>
              <c:extLst/>
            </c:numRef>
          </c:val>
          <c:extLst>
            <c:ext xmlns:c16="http://schemas.microsoft.com/office/drawing/2014/chart" uri="{C3380CC4-5D6E-409C-BE32-E72D297353CC}">
              <c16:uniqueId val="{00000003-D88F-425C-BB8C-905DA2D43E7F}"/>
            </c:ext>
          </c:extLst>
        </c:ser>
        <c:ser>
          <c:idx val="4"/>
          <c:order val="4"/>
          <c:tx>
            <c:strRef>
              <c:f>Zużycie_energii!$B$26</c:f>
              <c:strCache>
                <c:ptCount val="1"/>
                <c:pt idx="0">
                  <c:v>Rolnictwo</c:v>
                </c:pt>
              </c:strCache>
            </c:strRef>
          </c:tx>
          <c:spPr>
            <a:solidFill>
              <a:srgbClr val="00B050">
                <a:alpha val="70000"/>
              </a:srgbClr>
            </a:solidFill>
            <a:ln>
              <a:noFill/>
            </a:ln>
            <a:effectLst/>
          </c:spPr>
          <c:cat>
            <c:numRef>
              <c:f>Zużycie_energii!$C$18:$J$18</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Zużycie_energii!$C$26:$J$26</c:f>
              <c:numCache>
                <c:formatCode>#,##0</c:formatCode>
                <c:ptCount val="8"/>
                <c:pt idx="0">
                  <c:v>4438.0693608483807</c:v>
                </c:pt>
                <c:pt idx="1">
                  <c:v>3730.3088516289281</c:v>
                </c:pt>
                <c:pt idx="2">
                  <c:v>3330.1921515238364</c:v>
                </c:pt>
                <c:pt idx="3">
                  <c:v>3868.9079999999999</c:v>
                </c:pt>
                <c:pt idx="4">
                  <c:v>3641.6366877519636</c:v>
                </c:pt>
                <c:pt idx="5">
                  <c:v>3469.7593277750761</c:v>
                </c:pt>
                <c:pt idx="6">
                  <c:v>3285.3159855465669</c:v>
                </c:pt>
                <c:pt idx="7">
                  <c:v>3118.9195363313534</c:v>
                </c:pt>
              </c:numCache>
              <c:extLst/>
            </c:numRef>
          </c:val>
          <c:extLst>
            <c:ext xmlns:c16="http://schemas.microsoft.com/office/drawing/2014/chart" uri="{C3380CC4-5D6E-409C-BE32-E72D297353CC}">
              <c16:uniqueId val="{00000004-D88F-425C-BB8C-905DA2D43E7F}"/>
            </c:ext>
          </c:extLst>
        </c:ser>
        <c:dLbls>
          <c:showLegendKey val="0"/>
          <c:showVal val="0"/>
          <c:showCatName val="0"/>
          <c:showSerName val="0"/>
          <c:showPercent val="0"/>
          <c:showBubbleSize val="0"/>
        </c:dLbls>
        <c:axId val="728797080"/>
        <c:axId val="728798256"/>
      </c:areaChart>
      <c:catAx>
        <c:axId val="728797080"/>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28798256"/>
        <c:crosses val="autoZero"/>
        <c:auto val="1"/>
        <c:lblAlgn val="ctr"/>
        <c:lblOffset val="100"/>
        <c:noMultiLvlLbl val="0"/>
      </c:catAx>
      <c:valAx>
        <c:axId val="728798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[ktoe]</a:t>
                </a:r>
              </a:p>
            </c:rich>
          </c:tx>
          <c:layout>
            <c:manualLayout>
              <c:xMode val="edge"/>
              <c:yMode val="edge"/>
              <c:x val="1.5296699023733152E-3"/>
              <c:y val="0.4256851058174690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28797080"/>
        <c:crosses val="autoZero"/>
        <c:crossBetween val="midCat"/>
      </c:valAx>
      <c:spPr>
        <a:noFill/>
        <a:ln>
          <a:noFill/>
        </a:ln>
        <a:effectLst/>
      </c:spPr>
    </c:plotArea>
    <c:legend>
      <c:legendPos val="b"/>
      <c:layout>
        <c:manualLayout>
          <c:xMode val="edge"/>
          <c:yMode val="edge"/>
          <c:x val="9.0434698606968317E-2"/>
          <c:y val="0.96167928705012262"/>
          <c:w val="0.84646672638425824"/>
          <c:h val="2.826943030332449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068908439383834E-2"/>
          <c:y val="9.6361201929334006E-2"/>
          <c:w val="0.64284178974669581"/>
          <c:h val="0.84893641805379239"/>
        </c:manualLayout>
      </c:layout>
      <c:areaChart>
        <c:grouping val="stacked"/>
        <c:varyColors val="0"/>
        <c:ser>
          <c:idx val="0"/>
          <c:order val="0"/>
          <c:tx>
            <c:strRef>
              <c:f>Zużycie_energii!$B$32</c:f>
              <c:strCache>
                <c:ptCount val="1"/>
                <c:pt idx="0">
                  <c:v>Energia elektryczna</c:v>
                </c:pt>
              </c:strCache>
            </c:strRef>
          </c:tx>
          <c:spPr>
            <a:solidFill>
              <a:srgbClr val="0070C0"/>
            </a:solidFill>
            <a:ln>
              <a:noFill/>
            </a:ln>
            <a:effectLst/>
          </c:spPr>
          <c:cat>
            <c:numRef>
              <c:f>Zużycie_energii!$C$31:$J$31</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Zużycie_energii!$C$32:$J$32</c:f>
              <c:numCache>
                <c:formatCode>#,##0</c:formatCode>
                <c:ptCount val="8"/>
                <c:pt idx="0">
                  <c:v>9028.3748925193468</c:v>
                </c:pt>
                <c:pt idx="1">
                  <c:v>10205.503009458296</c:v>
                </c:pt>
                <c:pt idx="2">
                  <c:v>10990.423043852106</c:v>
                </c:pt>
                <c:pt idx="3">
                  <c:v>11806.311</c:v>
                </c:pt>
                <c:pt idx="4">
                  <c:v>12477.308341412469</c:v>
                </c:pt>
                <c:pt idx="5">
                  <c:v>13117.330781521076</c:v>
                </c:pt>
                <c:pt idx="6">
                  <c:v>14115.51127587209</c:v>
                </c:pt>
                <c:pt idx="7">
                  <c:v>15264.849549548941</c:v>
                </c:pt>
              </c:numCache>
              <c:extLst/>
            </c:numRef>
          </c:val>
          <c:extLst>
            <c:ext xmlns:c16="http://schemas.microsoft.com/office/drawing/2014/chart" uri="{C3380CC4-5D6E-409C-BE32-E72D297353CC}">
              <c16:uniqueId val="{00000000-AAC2-4777-B95D-285A4BFD397E}"/>
            </c:ext>
          </c:extLst>
        </c:ser>
        <c:ser>
          <c:idx val="1"/>
          <c:order val="1"/>
          <c:tx>
            <c:strRef>
              <c:f>Zużycie_energii!$B$33</c:f>
              <c:strCache>
                <c:ptCount val="1"/>
                <c:pt idx="0">
                  <c:v>Ciepło sieciowe</c:v>
                </c:pt>
              </c:strCache>
            </c:strRef>
          </c:tx>
          <c:spPr>
            <a:solidFill>
              <a:srgbClr val="CCFFCC"/>
            </a:solidFill>
            <a:ln>
              <a:noFill/>
            </a:ln>
            <a:effectLst/>
          </c:spPr>
          <c:cat>
            <c:numRef>
              <c:f>Zużycie_energii!$C$31:$J$31</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Zużycie_energii!$C$33:$J$33</c:f>
              <c:numCache>
                <c:formatCode>#,##0</c:formatCode>
                <c:ptCount val="8"/>
                <c:pt idx="0">
                  <c:v>6633.6581637527461</c:v>
                </c:pt>
                <c:pt idx="1">
                  <c:v>6546.9093340976406</c:v>
                </c:pt>
                <c:pt idx="2">
                  <c:v>5462.2623483328553</c:v>
                </c:pt>
                <c:pt idx="3">
                  <c:v>5602.8380000000006</c:v>
                </c:pt>
                <c:pt idx="4">
                  <c:v>5258.0738083575543</c:v>
                </c:pt>
                <c:pt idx="5">
                  <c:v>4622.7905307254805</c:v>
                </c:pt>
                <c:pt idx="6">
                  <c:v>3955.630755992077</c:v>
                </c:pt>
                <c:pt idx="7">
                  <c:v>3850.0283873021922</c:v>
                </c:pt>
              </c:numCache>
              <c:extLst/>
            </c:numRef>
          </c:val>
          <c:extLst>
            <c:ext xmlns:c16="http://schemas.microsoft.com/office/drawing/2014/chart" uri="{C3380CC4-5D6E-409C-BE32-E72D297353CC}">
              <c16:uniqueId val="{00000001-AAC2-4777-B95D-285A4BFD397E}"/>
            </c:ext>
          </c:extLst>
        </c:ser>
        <c:ser>
          <c:idx val="2"/>
          <c:order val="2"/>
          <c:tx>
            <c:strRef>
              <c:f>Zużycie_energii!$B$34</c:f>
              <c:strCache>
                <c:ptCount val="1"/>
                <c:pt idx="0">
                  <c:v>Węgiel</c:v>
                </c:pt>
              </c:strCache>
            </c:strRef>
          </c:tx>
          <c:spPr>
            <a:solidFill>
              <a:schemeClr val="tx1"/>
            </a:solidFill>
            <a:ln>
              <a:noFill/>
            </a:ln>
            <a:effectLst/>
          </c:spPr>
          <c:cat>
            <c:numRef>
              <c:f>Zużycie_energii!$C$31:$J$31</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Zużycie_energii!$C$34:$J$34</c:f>
              <c:numCache>
                <c:formatCode>#,##0</c:formatCode>
                <c:ptCount val="8"/>
                <c:pt idx="0">
                  <c:v>12340.138482850865</c:v>
                </c:pt>
                <c:pt idx="1">
                  <c:v>13733.307776822394</c:v>
                </c:pt>
                <c:pt idx="2">
                  <c:v>11217.563103085886</c:v>
                </c:pt>
                <c:pt idx="3">
                  <c:v>9335.34</c:v>
                </c:pt>
                <c:pt idx="4">
                  <c:v>6114.1685106694085</c:v>
                </c:pt>
                <c:pt idx="5">
                  <c:v>3095.2276307076263</c:v>
                </c:pt>
                <c:pt idx="6">
                  <c:v>1482.017508451391</c:v>
                </c:pt>
                <c:pt idx="7">
                  <c:v>579.72422579881732</c:v>
                </c:pt>
              </c:numCache>
              <c:extLst/>
            </c:numRef>
          </c:val>
          <c:extLst>
            <c:ext xmlns:c16="http://schemas.microsoft.com/office/drawing/2014/chart" uri="{C3380CC4-5D6E-409C-BE32-E72D297353CC}">
              <c16:uniqueId val="{00000002-AAC2-4777-B95D-285A4BFD397E}"/>
            </c:ext>
          </c:extLst>
        </c:ser>
        <c:ser>
          <c:idx val="3"/>
          <c:order val="3"/>
          <c:tx>
            <c:strRef>
              <c:f>Zużycie_energii!$B$35</c:f>
              <c:strCache>
                <c:ptCount val="1"/>
                <c:pt idx="0">
                  <c:v>Produkty naftowe</c:v>
                </c:pt>
              </c:strCache>
            </c:strRef>
          </c:tx>
          <c:spPr>
            <a:solidFill>
              <a:srgbClr val="CC6600"/>
            </a:solidFill>
            <a:ln>
              <a:noFill/>
            </a:ln>
            <a:effectLst/>
          </c:spPr>
          <c:cat>
            <c:numRef>
              <c:f>Zużycie_energii!$C$31:$J$31</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Zużycie_energii!$C$35:$J$35</c:f>
              <c:numCache>
                <c:formatCode>#,##0</c:formatCode>
                <c:ptCount val="8"/>
                <c:pt idx="0">
                  <c:v>17563.451800898056</c:v>
                </c:pt>
                <c:pt idx="1">
                  <c:v>20212.651667144357</c:v>
                </c:pt>
                <c:pt idx="2">
                  <c:v>18647.100814082358</c:v>
                </c:pt>
                <c:pt idx="3">
                  <c:v>24383.850999999995</c:v>
                </c:pt>
                <c:pt idx="4">
                  <c:v>24438.288387904835</c:v>
                </c:pt>
                <c:pt idx="5">
                  <c:v>21782.84522788876</c:v>
                </c:pt>
                <c:pt idx="6">
                  <c:v>19425.710202306789</c:v>
                </c:pt>
                <c:pt idx="7">
                  <c:v>16711.89257117526</c:v>
                </c:pt>
              </c:numCache>
              <c:extLst/>
            </c:numRef>
          </c:val>
          <c:extLst>
            <c:ext xmlns:c16="http://schemas.microsoft.com/office/drawing/2014/chart" uri="{C3380CC4-5D6E-409C-BE32-E72D297353CC}">
              <c16:uniqueId val="{00000003-AAC2-4777-B95D-285A4BFD397E}"/>
            </c:ext>
          </c:extLst>
        </c:ser>
        <c:ser>
          <c:idx val="4"/>
          <c:order val="4"/>
          <c:tx>
            <c:strRef>
              <c:f>Zużycie_energii!$B$36</c:f>
              <c:strCache>
                <c:ptCount val="1"/>
                <c:pt idx="0">
                  <c:v>Gaz ziemny</c:v>
                </c:pt>
              </c:strCache>
            </c:strRef>
          </c:tx>
          <c:spPr>
            <a:solidFill>
              <a:srgbClr val="FF9900"/>
            </a:solidFill>
            <a:ln>
              <a:noFill/>
            </a:ln>
            <a:effectLst/>
          </c:spPr>
          <c:cat>
            <c:numRef>
              <c:f>Zużycie_energii!$C$31:$J$31</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Zużycie_energii!$C$36:$J$36</c:f>
              <c:numCache>
                <c:formatCode>#,##0</c:formatCode>
                <c:ptCount val="8"/>
                <c:pt idx="0">
                  <c:v>7917.0679277730014</c:v>
                </c:pt>
                <c:pt idx="1">
                  <c:v>8884.0498710232132</c:v>
                </c:pt>
                <c:pt idx="2">
                  <c:v>8489.5528804815112</c:v>
                </c:pt>
                <c:pt idx="3">
                  <c:v>9235.6560000000009</c:v>
                </c:pt>
                <c:pt idx="4">
                  <c:v>10221.379893128986</c:v>
                </c:pt>
                <c:pt idx="5">
                  <c:v>8814.5227581070048</c:v>
                </c:pt>
                <c:pt idx="6">
                  <c:v>6241.6907152912127</c:v>
                </c:pt>
                <c:pt idx="7">
                  <c:v>4398.9413397090648</c:v>
                </c:pt>
              </c:numCache>
              <c:extLst/>
            </c:numRef>
          </c:val>
          <c:extLst>
            <c:ext xmlns:c16="http://schemas.microsoft.com/office/drawing/2014/chart" uri="{C3380CC4-5D6E-409C-BE32-E72D297353CC}">
              <c16:uniqueId val="{00000004-AAC2-4777-B95D-285A4BFD397E}"/>
            </c:ext>
          </c:extLst>
        </c:ser>
        <c:ser>
          <c:idx val="5"/>
          <c:order val="5"/>
          <c:tx>
            <c:strRef>
              <c:f>Zużycie_energii!$B$37</c:f>
              <c:strCache>
                <c:ptCount val="1"/>
                <c:pt idx="0">
                  <c:v>Biogaz</c:v>
                </c:pt>
              </c:strCache>
            </c:strRef>
          </c:tx>
          <c:spPr>
            <a:solidFill>
              <a:srgbClr val="00B050"/>
            </a:solidFill>
            <a:ln>
              <a:noFill/>
            </a:ln>
            <a:effectLst/>
          </c:spPr>
          <c:cat>
            <c:numRef>
              <c:f>Zużycie_energii!$C$31:$J$31</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Zużycie_energii!$C$37:$J$37</c:f>
              <c:numCache>
                <c:formatCode>#,##0</c:formatCode>
                <c:ptCount val="8"/>
                <c:pt idx="0">
                  <c:v>39.88726473679182</c:v>
                </c:pt>
                <c:pt idx="1">
                  <c:v>48.222986529091422</c:v>
                </c:pt>
                <c:pt idx="2">
                  <c:v>78.030954428202918</c:v>
                </c:pt>
                <c:pt idx="3">
                  <c:v>91.947000000000003</c:v>
                </c:pt>
                <c:pt idx="4">
                  <c:v>130.74014986123797</c:v>
                </c:pt>
                <c:pt idx="5">
                  <c:v>165.17481654284549</c:v>
                </c:pt>
                <c:pt idx="6">
                  <c:v>200.6396050120627</c:v>
                </c:pt>
                <c:pt idx="7">
                  <c:v>237.29465212018184</c:v>
                </c:pt>
              </c:numCache>
              <c:extLst/>
            </c:numRef>
          </c:val>
          <c:extLst>
            <c:ext xmlns:c16="http://schemas.microsoft.com/office/drawing/2014/chart" uri="{C3380CC4-5D6E-409C-BE32-E72D297353CC}">
              <c16:uniqueId val="{00000005-AAC2-4777-B95D-285A4BFD397E}"/>
            </c:ext>
          </c:extLst>
        </c:ser>
        <c:ser>
          <c:idx val="6"/>
          <c:order val="6"/>
          <c:tx>
            <c:strRef>
              <c:f>Zużycie_energii!$B$38</c:f>
              <c:strCache>
                <c:ptCount val="1"/>
                <c:pt idx="0">
                  <c:v>Biomasa stała</c:v>
                </c:pt>
              </c:strCache>
            </c:strRef>
          </c:tx>
          <c:spPr>
            <a:solidFill>
              <a:srgbClr val="92D050"/>
            </a:solidFill>
            <a:ln>
              <a:noFill/>
            </a:ln>
            <a:effectLst/>
          </c:spPr>
          <c:cat>
            <c:numRef>
              <c:f>Zużycie_energii!$C$31:$J$31</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Zużycie_energii!$C$38:$J$38</c:f>
              <c:numCache>
                <c:formatCode>#,##0</c:formatCode>
                <c:ptCount val="8"/>
                <c:pt idx="0">
                  <c:v>3755.3979172637814</c:v>
                </c:pt>
                <c:pt idx="1">
                  <c:v>4305.5794401452176</c:v>
                </c:pt>
                <c:pt idx="2">
                  <c:v>4638.6500429922608</c:v>
                </c:pt>
                <c:pt idx="3">
                  <c:v>7446.5749999999998</c:v>
                </c:pt>
                <c:pt idx="4">
                  <c:v>6597.0753115530288</c:v>
                </c:pt>
                <c:pt idx="5">
                  <c:v>6476.4215356246368</c:v>
                </c:pt>
                <c:pt idx="6">
                  <c:v>5951.5000052113764</c:v>
                </c:pt>
                <c:pt idx="7">
                  <c:v>5485.9877276430334</c:v>
                </c:pt>
              </c:numCache>
              <c:extLst/>
            </c:numRef>
          </c:val>
          <c:extLst>
            <c:ext xmlns:c16="http://schemas.microsoft.com/office/drawing/2014/chart" uri="{C3380CC4-5D6E-409C-BE32-E72D297353CC}">
              <c16:uniqueId val="{00000006-AAC2-4777-B95D-285A4BFD397E}"/>
            </c:ext>
          </c:extLst>
        </c:ser>
        <c:ser>
          <c:idx val="7"/>
          <c:order val="7"/>
          <c:tx>
            <c:strRef>
              <c:f>Zużycie_energii!$B$39</c:f>
              <c:strCache>
                <c:ptCount val="1"/>
                <c:pt idx="0">
                  <c:v>Biopaliwa</c:v>
                </c:pt>
              </c:strCache>
            </c:strRef>
          </c:tx>
          <c:spPr>
            <a:solidFill>
              <a:srgbClr val="99FF99"/>
            </a:solidFill>
            <a:ln>
              <a:noFill/>
            </a:ln>
            <a:effectLst/>
          </c:spPr>
          <c:cat>
            <c:numRef>
              <c:f>Zużycie_energii!$C$31:$J$31</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Zużycie_energii!$C$39:$J$39</c:f>
              <c:numCache>
                <c:formatCode>0</c:formatCode>
                <c:ptCount val="8"/>
                <c:pt idx="0">
                  <c:v>47.434847807394668</c:v>
                </c:pt>
                <c:pt idx="1">
                  <c:v>867.42482086557743</c:v>
                </c:pt>
                <c:pt idx="2">
                  <c:v>653.42777300085982</c:v>
                </c:pt>
                <c:pt idx="3" formatCode="#,##0">
                  <c:v>1039.5313577911529</c:v>
                </c:pt>
                <c:pt idx="4">
                  <c:v>1763.0742000000002</c:v>
                </c:pt>
                <c:pt idx="5">
                  <c:v>1798.6189064980285</c:v>
                </c:pt>
                <c:pt idx="6">
                  <c:v>1741.9923267828183</c:v>
                </c:pt>
                <c:pt idx="7">
                  <c:v>1688.9370244062625</c:v>
                </c:pt>
              </c:numCache>
              <c:extLst/>
            </c:numRef>
          </c:val>
          <c:extLst>
            <c:ext xmlns:c16="http://schemas.microsoft.com/office/drawing/2014/chart" uri="{C3380CC4-5D6E-409C-BE32-E72D297353CC}">
              <c16:uniqueId val="{00000007-AAC2-4777-B95D-285A4BFD397E}"/>
            </c:ext>
          </c:extLst>
        </c:ser>
        <c:ser>
          <c:idx val="8"/>
          <c:order val="8"/>
          <c:tx>
            <c:strRef>
              <c:f>Zużycie_energii!$B$40</c:f>
              <c:strCache>
                <c:ptCount val="1"/>
                <c:pt idx="0">
                  <c:v>Odpady komunalne i przemysłowe</c:v>
                </c:pt>
              </c:strCache>
            </c:strRef>
          </c:tx>
          <c:spPr>
            <a:solidFill>
              <a:schemeClr val="accent3">
                <a:lumMod val="60000"/>
              </a:schemeClr>
            </a:solidFill>
            <a:ln>
              <a:noFill/>
            </a:ln>
            <a:effectLst/>
          </c:spPr>
          <c:cat>
            <c:numRef>
              <c:f>Zużycie_energii!$C$31:$J$31</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Zużycie_energii!$C$40:$J$40</c:f>
              <c:numCache>
                <c:formatCode>#,##0</c:formatCode>
                <c:ptCount val="8"/>
                <c:pt idx="0">
                  <c:v>136.38100697430019</c:v>
                </c:pt>
                <c:pt idx="1">
                  <c:v>378.16443957198811</c:v>
                </c:pt>
                <c:pt idx="2">
                  <c:v>486.36181016528133</c:v>
                </c:pt>
                <c:pt idx="3">
                  <c:v>888.89499999999998</c:v>
                </c:pt>
                <c:pt idx="4">
                  <c:v>894.01505529447377</c:v>
                </c:pt>
                <c:pt idx="5">
                  <c:v>914.76616431107232</c:v>
                </c:pt>
                <c:pt idx="6">
                  <c:v>933.02266958328948</c:v>
                </c:pt>
                <c:pt idx="7">
                  <c:v>953.99887558120849</c:v>
                </c:pt>
              </c:numCache>
              <c:extLst/>
            </c:numRef>
          </c:val>
          <c:extLst>
            <c:ext xmlns:c16="http://schemas.microsoft.com/office/drawing/2014/chart" uri="{C3380CC4-5D6E-409C-BE32-E72D297353CC}">
              <c16:uniqueId val="{00000008-AAC2-4777-B95D-285A4BFD397E}"/>
            </c:ext>
          </c:extLst>
        </c:ser>
        <c:ser>
          <c:idx val="9"/>
          <c:order val="9"/>
          <c:tx>
            <c:strRef>
              <c:f>Zużycie_energii!$B$41</c:f>
              <c:strCache>
                <c:ptCount val="1"/>
                <c:pt idx="0">
                  <c:v>Kolektory słoneczne, pompy ciepła, geotermalne</c:v>
                </c:pt>
              </c:strCache>
            </c:strRef>
          </c:tx>
          <c:spPr>
            <a:solidFill>
              <a:srgbClr val="FFFF66"/>
            </a:solidFill>
            <a:ln>
              <a:noFill/>
            </a:ln>
            <a:effectLst/>
          </c:spPr>
          <c:cat>
            <c:numRef>
              <c:f>Zużycie_energii!$C$31:$J$31</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Zużycie_energii!$C$41:$J$41</c:f>
              <c:numCache>
                <c:formatCode>#,##0</c:formatCode>
                <c:ptCount val="8"/>
                <c:pt idx="0">
                  <c:v>11.512372217445304</c:v>
                </c:pt>
                <c:pt idx="1">
                  <c:v>68.625460112735254</c:v>
                </c:pt>
                <c:pt idx="2">
                  <c:v>199.59628088277444</c:v>
                </c:pt>
                <c:pt idx="3">
                  <c:v>404.03899999999999</c:v>
                </c:pt>
                <c:pt idx="4">
                  <c:v>1542.6401422132535</c:v>
                </c:pt>
                <c:pt idx="5">
                  <c:v>2249.6533933471483</c:v>
                </c:pt>
                <c:pt idx="6">
                  <c:v>3244.0260356490571</c:v>
                </c:pt>
                <c:pt idx="7">
                  <c:v>4116.6606567603767</c:v>
                </c:pt>
              </c:numCache>
              <c:extLst/>
            </c:numRef>
          </c:val>
          <c:extLst>
            <c:ext xmlns:c16="http://schemas.microsoft.com/office/drawing/2014/chart" uri="{C3380CC4-5D6E-409C-BE32-E72D297353CC}">
              <c16:uniqueId val="{00000009-AAC2-4777-B95D-285A4BFD397E}"/>
            </c:ext>
          </c:extLst>
        </c:ser>
        <c:ser>
          <c:idx val="10"/>
          <c:order val="10"/>
          <c:tx>
            <c:strRef>
              <c:f>Zużycie_energii!$B$43</c:f>
              <c:strCache>
                <c:ptCount val="1"/>
                <c:pt idx="0">
                  <c:v>Wodór</c:v>
                </c:pt>
              </c:strCache>
              <c:extLst xmlns:c15="http://schemas.microsoft.com/office/drawing/2012/chart"/>
            </c:strRef>
          </c:tx>
          <c:spPr>
            <a:solidFill>
              <a:srgbClr val="00CC99"/>
            </a:solidFill>
            <a:ln>
              <a:noFill/>
            </a:ln>
            <a:effectLst/>
          </c:spPr>
          <c:cat>
            <c:numRef>
              <c:f>Zużycie_energii!$C$31:$J$31</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Zużycie_energii!$C$43:$J$43</c:f>
              <c:numCache>
                <c:formatCode>#,##0</c:formatCode>
                <c:ptCount val="8"/>
                <c:pt idx="0">
                  <c:v>0</c:v>
                </c:pt>
                <c:pt idx="1">
                  <c:v>0</c:v>
                </c:pt>
                <c:pt idx="2">
                  <c:v>0</c:v>
                </c:pt>
                <c:pt idx="3">
                  <c:v>0</c:v>
                </c:pt>
                <c:pt idx="4">
                  <c:v>4.6507191609109793</c:v>
                </c:pt>
                <c:pt idx="5">
                  <c:v>30.217933082129903</c:v>
                </c:pt>
                <c:pt idx="6">
                  <c:v>157.09061166592971</c:v>
                </c:pt>
                <c:pt idx="7">
                  <c:v>606.95669384023222</c:v>
                </c:pt>
              </c:numCache>
              <c:extLst/>
            </c:numRef>
          </c:val>
          <c:extLst xmlns:c15="http://schemas.microsoft.com/office/drawing/2012/chart">
            <c:ext xmlns:c16="http://schemas.microsoft.com/office/drawing/2014/chart" uri="{C3380CC4-5D6E-409C-BE32-E72D297353CC}">
              <c16:uniqueId val="{0000000A-AAC2-4777-B95D-285A4BFD397E}"/>
            </c:ext>
          </c:extLst>
        </c:ser>
        <c:ser>
          <c:idx val="11"/>
          <c:order val="11"/>
          <c:tx>
            <c:strRef>
              <c:f>Zużycie_energii!$B$44</c:f>
              <c:strCache>
                <c:ptCount val="1"/>
                <c:pt idx="0">
                  <c:v>Biometan</c:v>
                </c:pt>
              </c:strCache>
              <c:extLst xmlns:c15="http://schemas.microsoft.com/office/drawing/2012/chart"/>
            </c:strRef>
          </c:tx>
          <c:spPr>
            <a:solidFill>
              <a:srgbClr val="008000"/>
            </a:solidFill>
            <a:ln>
              <a:noFill/>
            </a:ln>
            <a:effectLst/>
          </c:spPr>
          <c:cat>
            <c:numRef>
              <c:f>Zużycie_energii!$C$31:$J$31</c:f>
              <c:numCache>
                <c:formatCode>0</c:formatCode>
                <c:ptCount val="8"/>
                <c:pt idx="0">
                  <c:v>2005</c:v>
                </c:pt>
                <c:pt idx="1">
                  <c:v>2010</c:v>
                </c:pt>
                <c:pt idx="2">
                  <c:v>2015</c:v>
                </c:pt>
                <c:pt idx="3">
                  <c:v>2020</c:v>
                </c:pt>
                <c:pt idx="4">
                  <c:v>2025</c:v>
                </c:pt>
                <c:pt idx="5">
                  <c:v>2030</c:v>
                </c:pt>
                <c:pt idx="6">
                  <c:v>2035</c:v>
                </c:pt>
                <c:pt idx="7">
                  <c:v>2040</c:v>
                </c:pt>
              </c:numCache>
              <c:extLst/>
            </c:numRef>
          </c:cat>
          <c:val>
            <c:numRef>
              <c:f>Zużycie_energii!$C$44:$J$44</c:f>
              <c:numCache>
                <c:formatCode>#,##0</c:formatCode>
                <c:ptCount val="8"/>
                <c:pt idx="0">
                  <c:v>0</c:v>
                </c:pt>
                <c:pt idx="1">
                  <c:v>0</c:v>
                </c:pt>
                <c:pt idx="2">
                  <c:v>0</c:v>
                </c:pt>
                <c:pt idx="3">
                  <c:v>0</c:v>
                </c:pt>
                <c:pt idx="4">
                  <c:v>54.806311661686721</c:v>
                </c:pt>
                <c:pt idx="5">
                  <c:v>1270.4702548663477</c:v>
                </c:pt>
                <c:pt idx="6">
                  <c:v>2436.4717017519229</c:v>
                </c:pt>
                <c:pt idx="7">
                  <c:v>3096.5637982200865</c:v>
                </c:pt>
              </c:numCache>
              <c:extLst/>
            </c:numRef>
          </c:val>
          <c:extLst xmlns:c15="http://schemas.microsoft.com/office/drawing/2012/chart">
            <c:ext xmlns:c16="http://schemas.microsoft.com/office/drawing/2014/chart" uri="{C3380CC4-5D6E-409C-BE32-E72D297353CC}">
              <c16:uniqueId val="{0000000B-AAC2-4777-B95D-285A4BFD397E}"/>
            </c:ext>
          </c:extLst>
        </c:ser>
        <c:dLbls>
          <c:showLegendKey val="0"/>
          <c:showVal val="0"/>
          <c:showCatName val="0"/>
          <c:showSerName val="0"/>
          <c:showPercent val="0"/>
          <c:showBubbleSize val="0"/>
        </c:dLbls>
        <c:axId val="580207064"/>
        <c:axId val="580203928"/>
        <c:extLst>
          <c:ext xmlns:c15="http://schemas.microsoft.com/office/drawing/2012/chart" uri="{02D57815-91ED-43cb-92C2-25804820EDAC}">
            <c15:filteredAreaSeries>
              <c15:ser>
                <c:idx val="12"/>
                <c:order val="12"/>
                <c:tx>
                  <c:strRef>
                    <c:extLst>
                      <c:ext uri="{02D57815-91ED-43cb-92C2-25804820EDAC}">
                        <c15:formulaRef>
                          <c15:sqref>Zużycie_energii!$B$42</c15:sqref>
                        </c15:formulaRef>
                      </c:ext>
                    </c:extLst>
                    <c:strCache>
                      <c:ptCount val="1"/>
                      <c:pt idx="0">
                        <c:v>Biometan + Wodór</c:v>
                      </c:pt>
                    </c:strCache>
                  </c:strRef>
                </c:tx>
                <c:spPr>
                  <a:solidFill>
                    <a:schemeClr val="accent1">
                      <a:lumMod val="80000"/>
                      <a:lumOff val="20000"/>
                    </a:schemeClr>
                  </a:solidFill>
                  <a:ln w="25400">
                    <a:noFill/>
                  </a:ln>
                  <a:effectLst/>
                </c:spPr>
                <c:val>
                  <c:numRef>
                    <c:extLst>
                      <c:ext uri="{02D57815-91ED-43cb-92C2-25804820EDAC}">
                        <c15:formulaRef>
                          <c15:sqref>Zużycie_energii!$C$42:$J$42</c15:sqref>
                        </c15:formulaRef>
                      </c:ext>
                    </c:extLst>
                    <c:numCache>
                      <c:formatCode>#,##0</c:formatCode>
                      <c:ptCount val="8"/>
                      <c:pt idx="0">
                        <c:v>0</c:v>
                      </c:pt>
                      <c:pt idx="1">
                        <c:v>0</c:v>
                      </c:pt>
                      <c:pt idx="2">
                        <c:v>0</c:v>
                      </c:pt>
                      <c:pt idx="3">
                        <c:v>0</c:v>
                      </c:pt>
                      <c:pt idx="4">
                        <c:v>59.457030822597702</c:v>
                      </c:pt>
                      <c:pt idx="5">
                        <c:v>1300.6881879484777</c:v>
                      </c:pt>
                      <c:pt idx="6">
                        <c:v>2593.5623134178527</c:v>
                      </c:pt>
                      <c:pt idx="7">
                        <c:v>3703.5204920603187</c:v>
                      </c:pt>
                    </c:numCache>
                  </c:numRef>
                </c:val>
                <c:extLst>
                  <c:ext xmlns:c16="http://schemas.microsoft.com/office/drawing/2014/chart" uri="{C3380CC4-5D6E-409C-BE32-E72D297353CC}">
                    <c16:uniqueId val="{0000000C-AAC2-4777-B95D-285A4BFD397E}"/>
                  </c:ext>
                </c:extLst>
              </c15:ser>
            </c15:filteredAreaSeries>
          </c:ext>
        </c:extLst>
      </c:areaChart>
      <c:catAx>
        <c:axId val="580207064"/>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580203928"/>
        <c:crosses val="autoZero"/>
        <c:auto val="1"/>
        <c:lblAlgn val="ctr"/>
        <c:lblOffset val="100"/>
        <c:noMultiLvlLbl val="0"/>
      </c:catAx>
      <c:valAx>
        <c:axId val="5802039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pl-PL"/>
                  <a:t>[ktoe</a:t>
                </a:r>
                <a:r>
                  <a:rPr lang="en-US"/>
                  <a:t>]</a:t>
                </a:r>
              </a:p>
            </c:rich>
          </c:tx>
          <c:layout>
            <c:manualLayout>
              <c:xMode val="edge"/>
              <c:yMode val="edge"/>
              <c:x val="1.145940690659741E-2"/>
              <c:y val="0.8795081531418970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580207064"/>
        <c:crosses val="autoZero"/>
        <c:crossBetween val="midCat"/>
      </c:valAx>
      <c:spPr>
        <a:noFill/>
        <a:ln>
          <a:noFill/>
        </a:ln>
        <a:effectLst/>
      </c:spPr>
    </c:plotArea>
    <c:legend>
      <c:legendPos val="r"/>
      <c:layout>
        <c:manualLayout>
          <c:xMode val="edge"/>
          <c:yMode val="edge"/>
          <c:x val="0.72885897132476618"/>
          <c:y val="8.557502645052556E-2"/>
          <c:w val="0.27114102867523365"/>
          <c:h val="0.9033056511082637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legend>
    <c:plotVisOnly val="1"/>
    <c:dispBlanksAs val="zero"/>
    <c:showDLblsOverMax val="0"/>
  </c:chart>
  <c:spPr>
    <a:solidFill>
      <a:schemeClr val="bg1"/>
    </a:solidFill>
    <a:ln w="9525" cap="flat" cmpd="sng" algn="ctr">
      <a:noFill/>
      <a:round/>
    </a:ln>
    <a:effectLst/>
  </c:spPr>
  <c:txPr>
    <a:bodyPr/>
    <a:lstStyle/>
    <a:p>
      <a:pPr>
        <a:defRPr>
          <a:latin typeface="Calibri" panose="020F0502020204030204" pitchFamily="34" charset="0"/>
          <a:cs typeface="Calibri" panose="020F0502020204030204" pitchFamily="34" charset="0"/>
        </a:defRPr>
      </a:pPr>
      <a:endParaRPr lang="pl-PL"/>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En.el_WAM!$H$100</c:f>
              <c:strCache>
                <c:ptCount val="1"/>
                <c:pt idx="0">
                  <c:v>węgiel</c:v>
                </c:pt>
              </c:strCache>
            </c:strRef>
          </c:tx>
          <c:spPr>
            <a:solidFill>
              <a:sysClr val="windowText" lastClr="000000">
                <a:alpha val="70000"/>
              </a:sysClr>
            </a:solidFill>
            <a:ln>
              <a:noFill/>
            </a:ln>
            <a:effectLst/>
          </c:spPr>
          <c:invertIfNegative val="0"/>
          <c:cat>
            <c:numRef>
              <c:f>En.el_WAM!$I$99:$M$99</c:f>
              <c:numCache>
                <c:formatCode>0</c:formatCode>
                <c:ptCount val="5"/>
                <c:pt idx="0">
                  <c:v>2020</c:v>
                </c:pt>
                <c:pt idx="1">
                  <c:v>2025</c:v>
                </c:pt>
                <c:pt idx="2">
                  <c:v>2030</c:v>
                </c:pt>
                <c:pt idx="3">
                  <c:v>2035</c:v>
                </c:pt>
                <c:pt idx="4">
                  <c:v>2040</c:v>
                </c:pt>
              </c:numCache>
            </c:numRef>
          </c:cat>
          <c:val>
            <c:numRef>
              <c:f>En.el_WAM!$I$100:$M$100</c:f>
              <c:numCache>
                <c:formatCode>#\ ##0.0</c:formatCode>
                <c:ptCount val="5"/>
                <c:pt idx="0">
                  <c:v>225.85360999999997</c:v>
                </c:pt>
                <c:pt idx="1">
                  <c:v>160.73678756052286</c:v>
                </c:pt>
                <c:pt idx="2">
                  <c:v>97.119168156413949</c:v>
                </c:pt>
                <c:pt idx="3">
                  <c:v>49.11018859017522</c:v>
                </c:pt>
                <c:pt idx="4">
                  <c:v>8.1299836256550545E-2</c:v>
                </c:pt>
              </c:numCache>
            </c:numRef>
          </c:val>
          <c:extLst>
            <c:ext xmlns:c16="http://schemas.microsoft.com/office/drawing/2014/chart" uri="{C3380CC4-5D6E-409C-BE32-E72D297353CC}">
              <c16:uniqueId val="{00000000-67B7-4710-B859-C28D6BFBB9EF}"/>
            </c:ext>
          </c:extLst>
        </c:ser>
        <c:ser>
          <c:idx val="1"/>
          <c:order val="1"/>
          <c:tx>
            <c:strRef>
              <c:f>En.el_WAM!$H$102</c:f>
              <c:strCache>
                <c:ptCount val="1"/>
                <c:pt idx="0">
                  <c:v>gaz ziemny</c:v>
                </c:pt>
              </c:strCache>
            </c:strRef>
          </c:tx>
          <c:spPr>
            <a:solidFill>
              <a:srgbClr val="ED7D31">
                <a:alpha val="70000"/>
              </a:srgbClr>
            </a:solidFill>
            <a:ln>
              <a:noFill/>
            </a:ln>
            <a:effectLst/>
          </c:spPr>
          <c:invertIfNegative val="0"/>
          <c:cat>
            <c:numRef>
              <c:f>En.el_WAM!$I$99:$M$99</c:f>
              <c:numCache>
                <c:formatCode>0</c:formatCode>
                <c:ptCount val="5"/>
                <c:pt idx="0">
                  <c:v>2020</c:v>
                </c:pt>
                <c:pt idx="1">
                  <c:v>2025</c:v>
                </c:pt>
                <c:pt idx="2">
                  <c:v>2030</c:v>
                </c:pt>
                <c:pt idx="3">
                  <c:v>2035</c:v>
                </c:pt>
                <c:pt idx="4">
                  <c:v>2040</c:v>
                </c:pt>
              </c:numCache>
            </c:numRef>
          </c:cat>
          <c:val>
            <c:numRef>
              <c:f>En.el_WAM!$I$102:$M$102</c:f>
              <c:numCache>
                <c:formatCode>#\ ##0.0</c:formatCode>
                <c:ptCount val="5"/>
                <c:pt idx="0">
                  <c:v>29.843008999999999</c:v>
                </c:pt>
                <c:pt idx="1">
                  <c:v>73.340867834733316</c:v>
                </c:pt>
                <c:pt idx="2">
                  <c:v>95.059212664614023</c:v>
                </c:pt>
                <c:pt idx="3">
                  <c:v>77.035646688781938</c:v>
                </c:pt>
                <c:pt idx="4">
                  <c:v>57.503470154700452</c:v>
                </c:pt>
              </c:numCache>
            </c:numRef>
          </c:val>
          <c:extLst>
            <c:ext xmlns:c16="http://schemas.microsoft.com/office/drawing/2014/chart" uri="{C3380CC4-5D6E-409C-BE32-E72D297353CC}">
              <c16:uniqueId val="{00000001-67B7-4710-B859-C28D6BFBB9EF}"/>
            </c:ext>
          </c:extLst>
        </c:ser>
        <c:ser>
          <c:idx val="2"/>
          <c:order val="2"/>
          <c:tx>
            <c:strRef>
              <c:f>En.el_WAM!$H$101</c:f>
              <c:strCache>
                <c:ptCount val="1"/>
                <c:pt idx="0">
                  <c:v>olej</c:v>
                </c:pt>
              </c:strCache>
            </c:strRef>
          </c:tx>
          <c:spPr>
            <a:solidFill>
              <a:srgbClr val="FFC000">
                <a:alpha val="70000"/>
              </a:srgbClr>
            </a:solidFill>
            <a:ln>
              <a:noFill/>
            </a:ln>
            <a:effectLst/>
          </c:spPr>
          <c:invertIfNegative val="0"/>
          <c:cat>
            <c:numRef>
              <c:f>En.el_WAM!$I$99:$M$99</c:f>
              <c:numCache>
                <c:formatCode>0</c:formatCode>
                <c:ptCount val="5"/>
                <c:pt idx="0">
                  <c:v>2020</c:v>
                </c:pt>
                <c:pt idx="1">
                  <c:v>2025</c:v>
                </c:pt>
                <c:pt idx="2">
                  <c:v>2030</c:v>
                </c:pt>
                <c:pt idx="3">
                  <c:v>2035</c:v>
                </c:pt>
                <c:pt idx="4">
                  <c:v>2040</c:v>
                </c:pt>
              </c:numCache>
            </c:numRef>
          </c:cat>
          <c:val>
            <c:numRef>
              <c:f>En.el_WAM!$I$101:$M$101</c:f>
              <c:numCache>
                <c:formatCode>#\ ##0.0</c:formatCode>
                <c:ptCount val="5"/>
                <c:pt idx="0">
                  <c:v>3.3362280000000002</c:v>
                </c:pt>
                <c:pt idx="1">
                  <c:v>3.2004160247307745</c:v>
                </c:pt>
                <c:pt idx="2">
                  <c:v>2.5799118961466574</c:v>
                </c:pt>
                <c:pt idx="3">
                  <c:v>3.4067659158621537</c:v>
                </c:pt>
                <c:pt idx="4">
                  <c:v>2.1972891733054505</c:v>
                </c:pt>
              </c:numCache>
            </c:numRef>
          </c:val>
          <c:extLst>
            <c:ext xmlns:c16="http://schemas.microsoft.com/office/drawing/2014/chart" uri="{C3380CC4-5D6E-409C-BE32-E72D297353CC}">
              <c16:uniqueId val="{00000002-67B7-4710-B859-C28D6BFBB9EF}"/>
            </c:ext>
          </c:extLst>
        </c:ser>
        <c:ser>
          <c:idx val="3"/>
          <c:order val="3"/>
          <c:tx>
            <c:strRef>
              <c:f>En.el_WAM!$H$104</c:f>
              <c:strCache>
                <c:ptCount val="1"/>
                <c:pt idx="0">
                  <c:v>biomasa</c:v>
                </c:pt>
              </c:strCache>
            </c:strRef>
          </c:tx>
          <c:spPr>
            <a:solidFill>
              <a:srgbClr val="006600">
                <a:alpha val="70000"/>
              </a:srgbClr>
            </a:solidFill>
            <a:ln>
              <a:noFill/>
            </a:ln>
            <a:effectLst/>
          </c:spPr>
          <c:invertIfNegative val="0"/>
          <c:cat>
            <c:numRef>
              <c:f>En.el_WAM!$I$99:$M$99</c:f>
              <c:numCache>
                <c:formatCode>0</c:formatCode>
                <c:ptCount val="5"/>
                <c:pt idx="0">
                  <c:v>2020</c:v>
                </c:pt>
                <c:pt idx="1">
                  <c:v>2025</c:v>
                </c:pt>
                <c:pt idx="2">
                  <c:v>2030</c:v>
                </c:pt>
                <c:pt idx="3">
                  <c:v>2035</c:v>
                </c:pt>
                <c:pt idx="4">
                  <c:v>2040</c:v>
                </c:pt>
              </c:numCache>
            </c:numRef>
          </c:cat>
          <c:val>
            <c:numRef>
              <c:f>En.el_WAM!$I$104:$M$104</c:f>
              <c:numCache>
                <c:formatCode>#\ ##0.0</c:formatCode>
                <c:ptCount val="5"/>
                <c:pt idx="0">
                  <c:v>19.86775957489845</c:v>
                </c:pt>
                <c:pt idx="1">
                  <c:v>20.905498504315506</c:v>
                </c:pt>
                <c:pt idx="2">
                  <c:v>24.384494001058048</c:v>
                </c:pt>
                <c:pt idx="3">
                  <c:v>27.148582195000067</c:v>
                </c:pt>
                <c:pt idx="4">
                  <c:v>18.893296961757532</c:v>
                </c:pt>
              </c:numCache>
            </c:numRef>
          </c:val>
          <c:extLst>
            <c:ext xmlns:c16="http://schemas.microsoft.com/office/drawing/2014/chart" uri="{C3380CC4-5D6E-409C-BE32-E72D297353CC}">
              <c16:uniqueId val="{00000003-67B7-4710-B859-C28D6BFBB9EF}"/>
            </c:ext>
          </c:extLst>
        </c:ser>
        <c:ser>
          <c:idx val="13"/>
          <c:order val="4"/>
          <c:tx>
            <c:strRef>
              <c:f>En.el_WAM!$H$103</c:f>
              <c:strCache>
                <c:ptCount val="1"/>
                <c:pt idx="0">
                  <c:v>gazy odnawialne</c:v>
                </c:pt>
              </c:strCache>
            </c:strRef>
          </c:tx>
          <c:spPr>
            <a:solidFill>
              <a:srgbClr val="00B050">
                <a:alpha val="70000"/>
              </a:srgbClr>
            </a:solidFill>
            <a:ln w="25400">
              <a:noFill/>
            </a:ln>
            <a:effectLst/>
          </c:spPr>
          <c:invertIfNegative val="0"/>
          <c:cat>
            <c:numRef>
              <c:f>En.el_WAM!$I$99:$M$99</c:f>
              <c:numCache>
                <c:formatCode>0</c:formatCode>
                <c:ptCount val="5"/>
                <c:pt idx="0">
                  <c:v>2020</c:v>
                </c:pt>
                <c:pt idx="1">
                  <c:v>2025</c:v>
                </c:pt>
                <c:pt idx="2">
                  <c:v>2030</c:v>
                </c:pt>
                <c:pt idx="3">
                  <c:v>2035</c:v>
                </c:pt>
                <c:pt idx="4">
                  <c:v>2040</c:v>
                </c:pt>
              </c:numCache>
            </c:numRef>
          </c:cat>
          <c:val>
            <c:numRef>
              <c:f>En.el_WAM!$I$103:$M$103</c:f>
              <c:numCache>
                <c:formatCode>#\ ##0.0</c:formatCode>
                <c:ptCount val="5"/>
                <c:pt idx="0">
                  <c:v>0.83507327999999992</c:v>
                </c:pt>
                <c:pt idx="1">
                  <c:v>2.5234161119999996</c:v>
                </c:pt>
                <c:pt idx="2">
                  <c:v>4.8518214840000011</c:v>
                </c:pt>
                <c:pt idx="3">
                  <c:v>10.878299471999998</c:v>
                </c:pt>
                <c:pt idx="4">
                  <c:v>46.899607456000005</c:v>
                </c:pt>
              </c:numCache>
            </c:numRef>
          </c:val>
          <c:extLst>
            <c:ext xmlns:c16="http://schemas.microsoft.com/office/drawing/2014/chart" uri="{C3380CC4-5D6E-409C-BE32-E72D297353CC}">
              <c16:uniqueId val="{00000004-67B7-4710-B859-C28D6BFBB9EF}"/>
            </c:ext>
          </c:extLst>
        </c:ser>
        <c:ser>
          <c:idx val="5"/>
          <c:order val="5"/>
          <c:tx>
            <c:strRef>
              <c:f>En.el_WAM!$H$105</c:f>
              <c:strCache>
                <c:ptCount val="1"/>
                <c:pt idx="0">
                  <c:v>geotermia</c:v>
                </c:pt>
              </c:strCache>
            </c:strRef>
          </c:tx>
          <c:spPr>
            <a:solidFill>
              <a:srgbClr val="70AD47">
                <a:lumMod val="40000"/>
                <a:lumOff val="60000"/>
                <a:alpha val="70000"/>
              </a:srgbClr>
            </a:solidFill>
            <a:ln>
              <a:noFill/>
            </a:ln>
            <a:effectLst/>
          </c:spPr>
          <c:invertIfNegative val="0"/>
          <c:cat>
            <c:numRef>
              <c:f>En.el_WAM!$I$99:$M$99</c:f>
              <c:numCache>
                <c:formatCode>0</c:formatCode>
                <c:ptCount val="5"/>
                <c:pt idx="0">
                  <c:v>2020</c:v>
                </c:pt>
                <c:pt idx="1">
                  <c:v>2025</c:v>
                </c:pt>
                <c:pt idx="2">
                  <c:v>2030</c:v>
                </c:pt>
                <c:pt idx="3">
                  <c:v>2035</c:v>
                </c:pt>
                <c:pt idx="4">
                  <c:v>2040</c:v>
                </c:pt>
              </c:numCache>
            </c:numRef>
          </c:cat>
          <c:val>
            <c:numRef>
              <c:f>En.el_WAM!$I$105:$M$105</c:f>
              <c:numCache>
                <c:formatCode>#\ ##0.0</c:formatCode>
                <c:ptCount val="5"/>
                <c:pt idx="0">
                  <c:v>0.71239823999999996</c:v>
                </c:pt>
                <c:pt idx="1">
                  <c:v>2.08831392</c:v>
                </c:pt>
                <c:pt idx="2">
                  <c:v>2.2825756799999999</c:v>
                </c:pt>
                <c:pt idx="3">
                  <c:v>2.9817288</c:v>
                </c:pt>
                <c:pt idx="4">
                  <c:v>4.0085409600000004</c:v>
                </c:pt>
              </c:numCache>
            </c:numRef>
          </c:val>
          <c:extLst>
            <c:ext xmlns:c16="http://schemas.microsoft.com/office/drawing/2014/chart" uri="{C3380CC4-5D6E-409C-BE32-E72D297353CC}">
              <c16:uniqueId val="{00000005-67B7-4710-B859-C28D6BFBB9EF}"/>
            </c:ext>
          </c:extLst>
        </c:ser>
        <c:ser>
          <c:idx val="6"/>
          <c:order val="6"/>
          <c:tx>
            <c:strRef>
              <c:f>En.el_WAM!$H$106</c:f>
              <c:strCache>
                <c:ptCount val="1"/>
                <c:pt idx="0">
                  <c:v>kolektory słoneczne</c:v>
                </c:pt>
              </c:strCache>
            </c:strRef>
          </c:tx>
          <c:spPr>
            <a:solidFill>
              <a:srgbClr val="70AD47">
                <a:lumMod val="40000"/>
                <a:lumOff val="60000"/>
                <a:alpha val="70000"/>
              </a:srgbClr>
            </a:solidFill>
            <a:ln>
              <a:noFill/>
            </a:ln>
            <a:effectLst/>
          </c:spPr>
          <c:invertIfNegative val="0"/>
          <c:cat>
            <c:numRef>
              <c:f>En.el_WAM!$I$99:$M$99</c:f>
              <c:numCache>
                <c:formatCode>0</c:formatCode>
                <c:ptCount val="5"/>
                <c:pt idx="0">
                  <c:v>2020</c:v>
                </c:pt>
                <c:pt idx="1">
                  <c:v>2025</c:v>
                </c:pt>
                <c:pt idx="2">
                  <c:v>2030</c:v>
                </c:pt>
                <c:pt idx="3">
                  <c:v>2035</c:v>
                </c:pt>
                <c:pt idx="4">
                  <c:v>2040</c:v>
                </c:pt>
              </c:numCache>
            </c:numRef>
          </c:cat>
          <c:val>
            <c:numRef>
              <c:f>En.el_WAM!$I$106:$M$106</c:f>
              <c:numCache>
                <c:formatCode>#\ ##0.0</c:formatCode>
                <c:ptCount val="5"/>
                <c:pt idx="0">
                  <c:v>0</c:v>
                </c:pt>
                <c:pt idx="1">
                  <c:v>0</c:v>
                </c:pt>
                <c:pt idx="2">
                  <c:v>0.19457712000000002</c:v>
                </c:pt>
                <c:pt idx="3">
                  <c:v>1.24314912</c:v>
                </c:pt>
                <c:pt idx="4">
                  <c:v>2.3667768000000002</c:v>
                </c:pt>
              </c:numCache>
            </c:numRef>
          </c:val>
          <c:extLst>
            <c:ext xmlns:c16="http://schemas.microsoft.com/office/drawing/2014/chart" uri="{C3380CC4-5D6E-409C-BE32-E72D297353CC}">
              <c16:uniqueId val="{00000006-67B7-4710-B859-C28D6BFBB9EF}"/>
            </c:ext>
          </c:extLst>
        </c:ser>
        <c:ser>
          <c:idx val="8"/>
          <c:order val="7"/>
          <c:tx>
            <c:strRef>
              <c:f>En.el_WAM!$H$108</c:f>
              <c:strCache>
                <c:ptCount val="1"/>
                <c:pt idx="0">
                  <c:v>kotły elektrodowe</c:v>
                </c:pt>
              </c:strCache>
            </c:strRef>
          </c:tx>
          <c:spPr>
            <a:solidFill>
              <a:srgbClr val="5B9BD5">
                <a:alpha val="70000"/>
              </a:srgbClr>
            </a:solidFill>
            <a:ln>
              <a:noFill/>
            </a:ln>
            <a:effectLst/>
          </c:spPr>
          <c:invertIfNegative val="0"/>
          <c:cat>
            <c:numRef>
              <c:f>En.el_WAM!$I$99:$M$99</c:f>
              <c:numCache>
                <c:formatCode>0</c:formatCode>
                <c:ptCount val="5"/>
                <c:pt idx="0">
                  <c:v>2020</c:v>
                </c:pt>
                <c:pt idx="1">
                  <c:v>2025</c:v>
                </c:pt>
                <c:pt idx="2">
                  <c:v>2030</c:v>
                </c:pt>
                <c:pt idx="3">
                  <c:v>2035</c:v>
                </c:pt>
                <c:pt idx="4">
                  <c:v>2040</c:v>
                </c:pt>
              </c:numCache>
            </c:numRef>
          </c:cat>
          <c:val>
            <c:numRef>
              <c:f>En.el_WAM!$I$108:$M$108</c:f>
              <c:numCache>
                <c:formatCode>#\ ##0.0</c:formatCode>
                <c:ptCount val="5"/>
                <c:pt idx="0">
                  <c:v>0</c:v>
                </c:pt>
                <c:pt idx="1">
                  <c:v>1.0889380800000001</c:v>
                </c:pt>
                <c:pt idx="2">
                  <c:v>2.1633695999999998</c:v>
                </c:pt>
                <c:pt idx="3">
                  <c:v>9.3236183999999991</c:v>
                </c:pt>
                <c:pt idx="4">
                  <c:v>14.5743624</c:v>
                </c:pt>
              </c:numCache>
            </c:numRef>
          </c:val>
          <c:extLst>
            <c:ext xmlns:c16="http://schemas.microsoft.com/office/drawing/2014/chart" uri="{C3380CC4-5D6E-409C-BE32-E72D297353CC}">
              <c16:uniqueId val="{00000007-67B7-4710-B859-C28D6BFBB9EF}"/>
            </c:ext>
          </c:extLst>
        </c:ser>
        <c:ser>
          <c:idx val="9"/>
          <c:order val="8"/>
          <c:tx>
            <c:strRef>
              <c:f>En.el_WAM!$H$109</c:f>
              <c:strCache>
                <c:ptCount val="1"/>
                <c:pt idx="0">
                  <c:v>pompy ciepła</c:v>
                </c:pt>
              </c:strCache>
            </c:strRef>
          </c:tx>
          <c:spPr>
            <a:solidFill>
              <a:srgbClr val="0070C0">
                <a:alpha val="70000"/>
              </a:srgbClr>
            </a:solidFill>
            <a:ln>
              <a:noFill/>
            </a:ln>
            <a:effectLst/>
          </c:spPr>
          <c:invertIfNegative val="0"/>
          <c:cat>
            <c:numRef>
              <c:f>En.el_WAM!$I$99:$M$99</c:f>
              <c:numCache>
                <c:formatCode>0</c:formatCode>
                <c:ptCount val="5"/>
                <c:pt idx="0">
                  <c:v>2020</c:v>
                </c:pt>
                <c:pt idx="1">
                  <c:v>2025</c:v>
                </c:pt>
                <c:pt idx="2">
                  <c:v>2030</c:v>
                </c:pt>
                <c:pt idx="3">
                  <c:v>2035</c:v>
                </c:pt>
                <c:pt idx="4">
                  <c:v>2040</c:v>
                </c:pt>
              </c:numCache>
            </c:numRef>
          </c:cat>
          <c:val>
            <c:numRef>
              <c:f>En.el_WAM!$I$109:$M$109</c:f>
              <c:numCache>
                <c:formatCode>#\ ##0.0</c:formatCode>
                <c:ptCount val="5"/>
                <c:pt idx="0">
                  <c:v>0</c:v>
                </c:pt>
                <c:pt idx="1">
                  <c:v>0.40839119999999995</c:v>
                </c:pt>
                <c:pt idx="2">
                  <c:v>4.3267391999999996</c:v>
                </c:pt>
                <c:pt idx="3">
                  <c:v>18.6756192</c:v>
                </c:pt>
                <c:pt idx="4">
                  <c:v>41.302699199999999</c:v>
                </c:pt>
              </c:numCache>
            </c:numRef>
          </c:val>
          <c:extLst>
            <c:ext xmlns:c16="http://schemas.microsoft.com/office/drawing/2014/chart" uri="{C3380CC4-5D6E-409C-BE32-E72D297353CC}">
              <c16:uniqueId val="{00000008-67B7-4710-B859-C28D6BFBB9EF}"/>
            </c:ext>
          </c:extLst>
        </c:ser>
        <c:ser>
          <c:idx val="7"/>
          <c:order val="10"/>
          <c:tx>
            <c:strRef>
              <c:f>En.el_WAM!$H$107</c:f>
              <c:strCache>
                <c:ptCount val="1"/>
                <c:pt idx="0">
                  <c:v>odpady</c:v>
                </c:pt>
              </c:strCache>
            </c:strRef>
          </c:tx>
          <c:spPr>
            <a:solidFill>
              <a:srgbClr val="A5A5A5">
                <a:alpha val="70000"/>
              </a:srgbClr>
            </a:solidFill>
            <a:ln>
              <a:noFill/>
            </a:ln>
            <a:effectLst/>
          </c:spPr>
          <c:invertIfNegative val="0"/>
          <c:cat>
            <c:numRef>
              <c:f>En.el_WAM!$I$99:$M$99</c:f>
              <c:numCache>
                <c:formatCode>0</c:formatCode>
                <c:ptCount val="5"/>
                <c:pt idx="0">
                  <c:v>2020</c:v>
                </c:pt>
                <c:pt idx="1">
                  <c:v>2025</c:v>
                </c:pt>
                <c:pt idx="2">
                  <c:v>2030</c:v>
                </c:pt>
                <c:pt idx="3">
                  <c:v>2035</c:v>
                </c:pt>
                <c:pt idx="4">
                  <c:v>2040</c:v>
                </c:pt>
              </c:numCache>
            </c:numRef>
          </c:cat>
          <c:val>
            <c:numRef>
              <c:f>En.el_WAM!$I$107:$M$107</c:f>
              <c:numCache>
                <c:formatCode>#\ ##0.0</c:formatCode>
                <c:ptCount val="5"/>
                <c:pt idx="0">
                  <c:v>4.8525241911732291</c:v>
                </c:pt>
                <c:pt idx="1">
                  <c:v>6.5177092356975539</c:v>
                </c:pt>
                <c:pt idx="2">
                  <c:v>8.1904062002440856</c:v>
                </c:pt>
                <c:pt idx="3">
                  <c:v>8.5101350443285178</c:v>
                </c:pt>
                <c:pt idx="4">
                  <c:v>6.9274248191999996</c:v>
                </c:pt>
              </c:numCache>
            </c:numRef>
          </c:val>
          <c:extLst>
            <c:ext xmlns:c16="http://schemas.microsoft.com/office/drawing/2014/chart" uri="{C3380CC4-5D6E-409C-BE32-E72D297353CC}">
              <c16:uniqueId val="{00000009-67B7-4710-B859-C28D6BFBB9EF}"/>
            </c:ext>
          </c:extLst>
        </c:ser>
        <c:dLbls>
          <c:showLegendKey val="0"/>
          <c:showVal val="0"/>
          <c:showCatName val="0"/>
          <c:showSerName val="0"/>
          <c:showPercent val="0"/>
          <c:showBubbleSize val="0"/>
        </c:dLbls>
        <c:gapWidth val="150"/>
        <c:overlap val="100"/>
        <c:axId val="1099436384"/>
        <c:axId val="1099441664"/>
        <c:extLst>
          <c:ext xmlns:c15="http://schemas.microsoft.com/office/drawing/2012/chart" uri="{02D57815-91ED-43cb-92C2-25804820EDAC}">
            <c15:filteredBarSeries>
              <c15:ser>
                <c:idx val="10"/>
                <c:order val="9"/>
                <c:tx>
                  <c:strRef>
                    <c:extLst>
                      <c:ext uri="{02D57815-91ED-43cb-92C2-25804820EDAC}">
                        <c15:formulaRef>
                          <c15:sqref>En.el_WAM!$H$110</c15:sqref>
                        </c15:formulaRef>
                      </c:ext>
                    </c:extLst>
                    <c:strCache>
                      <c:ptCount val="1"/>
                      <c:pt idx="0">
                        <c:v>ciepło odpadowe</c:v>
                      </c:pt>
                    </c:strCache>
                  </c:strRef>
                </c:tx>
                <c:spPr>
                  <a:solidFill>
                    <a:schemeClr val="accent2">
                      <a:lumMod val="75000"/>
                    </a:schemeClr>
                  </a:solidFill>
                  <a:ln>
                    <a:noFill/>
                  </a:ln>
                  <a:effectLst/>
                </c:spPr>
                <c:invertIfNegative val="0"/>
                <c:cat>
                  <c:numRef>
                    <c:extLst>
                      <c:ext uri="{02D57815-91ED-43cb-92C2-25804820EDAC}">
                        <c15:formulaRef>
                          <c15:sqref>En.el_WAM!$I$99:$M$99</c15:sqref>
                        </c15:formulaRef>
                      </c:ext>
                    </c:extLst>
                    <c:numCache>
                      <c:formatCode>0</c:formatCode>
                      <c:ptCount val="5"/>
                      <c:pt idx="0">
                        <c:v>2020</c:v>
                      </c:pt>
                      <c:pt idx="1">
                        <c:v>2025</c:v>
                      </c:pt>
                      <c:pt idx="2">
                        <c:v>2030</c:v>
                      </c:pt>
                      <c:pt idx="3">
                        <c:v>2035</c:v>
                      </c:pt>
                      <c:pt idx="4">
                        <c:v>2040</c:v>
                      </c:pt>
                    </c:numCache>
                  </c:numRef>
                </c:cat>
                <c:val>
                  <c:numRef>
                    <c:extLst>
                      <c:ext uri="{02D57815-91ED-43cb-92C2-25804820EDAC}">
                        <c15:formulaRef>
                          <c15:sqref>En.el_WAM!$I$110:$M$110</c15:sqref>
                        </c15:formulaRef>
                      </c:ext>
                    </c:extLst>
                    <c:numCache>
                      <c:formatCode>#\ ##0.0</c:formatCode>
                      <c:ptCount val="5"/>
                      <c:pt idx="0">
                        <c:v>0.64100000000000001</c:v>
                      </c:pt>
                      <c:pt idx="1">
                        <c:v>0</c:v>
                      </c:pt>
                      <c:pt idx="2">
                        <c:v>0</c:v>
                      </c:pt>
                      <c:pt idx="3">
                        <c:v>0</c:v>
                      </c:pt>
                      <c:pt idx="4">
                        <c:v>0</c:v>
                      </c:pt>
                    </c:numCache>
                  </c:numRef>
                </c:val>
                <c:extLst>
                  <c:ext xmlns:c16="http://schemas.microsoft.com/office/drawing/2014/chart" uri="{C3380CC4-5D6E-409C-BE32-E72D297353CC}">
                    <c16:uniqueId val="{0000000B-67B7-4710-B859-C28D6BFBB9EF}"/>
                  </c:ext>
                </c:extLst>
              </c15:ser>
            </c15:filteredBarSeries>
          </c:ext>
        </c:extLst>
      </c:barChart>
      <c:lineChart>
        <c:grouping val="standard"/>
        <c:varyColors val="0"/>
        <c:ser>
          <c:idx val="11"/>
          <c:order val="11"/>
          <c:tx>
            <c:strRef>
              <c:f>En.el_WAM!$H$111</c:f>
              <c:strCache>
                <c:ptCount val="1"/>
                <c:pt idx="0">
                  <c:v>suma</c:v>
                </c:pt>
              </c:strCache>
            </c:strRef>
          </c:tx>
          <c:spPr>
            <a:ln w="28575" cap="rnd">
              <a:noFill/>
              <a:round/>
            </a:ln>
            <a:effectLst/>
          </c:spPr>
          <c:marker>
            <c:symbol val="none"/>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En.el_WAM!$I$99:$M$99</c:f>
              <c:numCache>
                <c:formatCode>0</c:formatCode>
                <c:ptCount val="5"/>
                <c:pt idx="0">
                  <c:v>2020</c:v>
                </c:pt>
                <c:pt idx="1">
                  <c:v>2025</c:v>
                </c:pt>
                <c:pt idx="2">
                  <c:v>2030</c:v>
                </c:pt>
                <c:pt idx="3">
                  <c:v>2035</c:v>
                </c:pt>
                <c:pt idx="4">
                  <c:v>2040</c:v>
                </c:pt>
              </c:numCache>
            </c:numRef>
          </c:cat>
          <c:val>
            <c:numRef>
              <c:f>En.el_WAM!$I$111:$M$111</c:f>
              <c:numCache>
                <c:formatCode>#\ ##0.0</c:formatCode>
                <c:ptCount val="5"/>
                <c:pt idx="0">
                  <c:v>285.94160228607177</c:v>
                </c:pt>
                <c:pt idx="1">
                  <c:v>270.81033847200001</c:v>
                </c:pt>
                <c:pt idx="2">
                  <c:v>241.15227600247678</c:v>
                </c:pt>
                <c:pt idx="3">
                  <c:v>208.31373342614791</c:v>
                </c:pt>
                <c:pt idx="4">
                  <c:v>194.75476776122002</c:v>
                </c:pt>
              </c:numCache>
            </c:numRef>
          </c:val>
          <c:smooth val="0"/>
          <c:extLst>
            <c:ext xmlns:c16="http://schemas.microsoft.com/office/drawing/2014/chart" uri="{C3380CC4-5D6E-409C-BE32-E72D297353CC}">
              <c16:uniqueId val="{0000000A-67B7-4710-B859-C28D6BFBB9EF}"/>
            </c:ext>
          </c:extLst>
        </c:ser>
        <c:dLbls>
          <c:showLegendKey val="0"/>
          <c:showVal val="0"/>
          <c:showCatName val="0"/>
          <c:showSerName val="0"/>
          <c:showPercent val="0"/>
          <c:showBubbleSize val="0"/>
        </c:dLbls>
        <c:marker val="1"/>
        <c:smooth val="0"/>
        <c:axId val="1099436384"/>
        <c:axId val="1099441664"/>
      </c:lineChart>
      <c:catAx>
        <c:axId val="1099436384"/>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99441664"/>
        <c:crosses val="autoZero"/>
        <c:auto val="1"/>
        <c:lblAlgn val="ctr"/>
        <c:lblOffset val="100"/>
        <c:noMultiLvlLbl val="0"/>
      </c:catAx>
      <c:valAx>
        <c:axId val="1099441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[PJ]</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099436384"/>
        <c:crosses val="autoZero"/>
        <c:crossBetween val="between"/>
      </c:valAx>
      <c:spPr>
        <a:noFill/>
        <a:ln>
          <a:noFill/>
        </a:ln>
        <a:effectLst/>
      </c:spPr>
    </c:plotArea>
    <c:legend>
      <c:legendPos val="r"/>
      <c:legendEntry>
        <c:idx val="1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0"/>
              <a:ea typeface="Lato" panose="020F0502020204030203" pitchFamily="34" charset="0"/>
              <a:cs typeface="Lato" panose="020F0502020204030203" pitchFamily="34"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07258427802845"/>
          <c:y val="0.1205303376118302"/>
          <c:w val="0.62090554802106679"/>
          <c:h val="0.80340655004603445"/>
        </c:manualLayout>
      </c:layout>
      <c:barChart>
        <c:barDir val="col"/>
        <c:grouping val="stacked"/>
        <c:varyColors val="0"/>
        <c:ser>
          <c:idx val="3"/>
          <c:order val="0"/>
          <c:tx>
            <c:strRef>
              <c:f>En.el_WAM!$H$127</c:f>
              <c:strCache>
                <c:ptCount val="1"/>
                <c:pt idx="0">
                  <c:v>węgiel kamienny</c:v>
                </c:pt>
              </c:strCache>
            </c:strRef>
          </c:tx>
          <c:spPr>
            <a:solidFill>
              <a:sysClr val="windowText" lastClr="000000">
                <a:alpha val="70000"/>
              </a:sysClr>
            </a:solidFill>
            <a:ln>
              <a:noFill/>
            </a:ln>
            <a:effectLst/>
          </c:spPr>
          <c:invertIfNegative val="0"/>
          <c:cat>
            <c:numRef>
              <c:f>En.el_WAM!$I$123:$M$123</c:f>
              <c:numCache>
                <c:formatCode>0</c:formatCode>
                <c:ptCount val="5"/>
                <c:pt idx="0">
                  <c:v>2020</c:v>
                </c:pt>
                <c:pt idx="1">
                  <c:v>2025</c:v>
                </c:pt>
                <c:pt idx="2">
                  <c:v>2030</c:v>
                </c:pt>
                <c:pt idx="3">
                  <c:v>2035</c:v>
                </c:pt>
                <c:pt idx="4">
                  <c:v>2040</c:v>
                </c:pt>
              </c:numCache>
            </c:numRef>
          </c:cat>
          <c:val>
            <c:numRef>
              <c:f>En.el_WAM!$I$127:$M$127</c:f>
              <c:numCache>
                <c:formatCode>#,##0</c:formatCode>
                <c:ptCount val="5"/>
                <c:pt idx="0" formatCode="0">
                  <c:v>157.38504570571641</c:v>
                </c:pt>
                <c:pt idx="1">
                  <c:v>109.35263885161174</c:v>
                </c:pt>
                <c:pt idx="2">
                  <c:v>53.570865723997748</c:v>
                </c:pt>
                <c:pt idx="3">
                  <c:v>17.887175320939924</c:v>
                </c:pt>
                <c:pt idx="4">
                  <c:v>0.30269574679382633</c:v>
                </c:pt>
              </c:numCache>
            </c:numRef>
          </c:val>
          <c:extLst>
            <c:ext xmlns:c16="http://schemas.microsoft.com/office/drawing/2014/chart" uri="{C3380CC4-5D6E-409C-BE32-E72D297353CC}">
              <c16:uniqueId val="{00000000-CD48-4096-9082-6DC9822ED1D2}"/>
            </c:ext>
          </c:extLst>
        </c:ser>
        <c:ser>
          <c:idx val="1"/>
          <c:order val="1"/>
          <c:tx>
            <c:strRef>
              <c:f>En.el_WAM!$H$125</c:f>
              <c:strCache>
                <c:ptCount val="1"/>
                <c:pt idx="0">
                  <c:v>gaz ziemny</c:v>
                </c:pt>
              </c:strCache>
            </c:strRef>
          </c:tx>
          <c:spPr>
            <a:solidFill>
              <a:srgbClr val="ED7D31">
                <a:alpha val="70000"/>
              </a:srgbClr>
            </a:solidFill>
            <a:ln>
              <a:noFill/>
            </a:ln>
            <a:effectLst/>
          </c:spPr>
          <c:invertIfNegative val="0"/>
          <c:cat>
            <c:numRef>
              <c:f>En.el_WAM!$I$123:$M$123</c:f>
              <c:numCache>
                <c:formatCode>0</c:formatCode>
                <c:ptCount val="5"/>
                <c:pt idx="0">
                  <c:v>2020</c:v>
                </c:pt>
                <c:pt idx="1">
                  <c:v>2025</c:v>
                </c:pt>
                <c:pt idx="2">
                  <c:v>2030</c:v>
                </c:pt>
                <c:pt idx="3">
                  <c:v>2035</c:v>
                </c:pt>
                <c:pt idx="4">
                  <c:v>2040</c:v>
                </c:pt>
              </c:numCache>
            </c:numRef>
          </c:cat>
          <c:val>
            <c:numRef>
              <c:f>En.el_WAM!$I$125:$M$125</c:f>
              <c:numCache>
                <c:formatCode>#,##0</c:formatCode>
                <c:ptCount val="5"/>
                <c:pt idx="0" formatCode="0">
                  <c:v>180.97282613386267</c:v>
                </c:pt>
                <c:pt idx="1">
                  <c:v>184.26399968335224</c:v>
                </c:pt>
                <c:pt idx="2">
                  <c:v>144.95999608509302</c:v>
                </c:pt>
                <c:pt idx="3">
                  <c:v>76.690245520958982</c:v>
                </c:pt>
                <c:pt idx="4">
                  <c:v>51.282522577726645</c:v>
                </c:pt>
              </c:numCache>
            </c:numRef>
          </c:val>
          <c:extLst>
            <c:ext xmlns:c16="http://schemas.microsoft.com/office/drawing/2014/chart" uri="{C3380CC4-5D6E-409C-BE32-E72D297353CC}">
              <c16:uniqueId val="{00000001-CD48-4096-9082-6DC9822ED1D2}"/>
            </c:ext>
          </c:extLst>
        </c:ser>
        <c:ser>
          <c:idx val="2"/>
          <c:order val="2"/>
          <c:tx>
            <c:strRef>
              <c:f>En.el_WAM!$H$126</c:f>
              <c:strCache>
                <c:ptCount val="1"/>
                <c:pt idx="0">
                  <c:v>LPG/olej opałowy lekki</c:v>
                </c:pt>
              </c:strCache>
            </c:strRef>
          </c:tx>
          <c:spPr>
            <a:solidFill>
              <a:srgbClr val="FFC000">
                <a:alpha val="70000"/>
              </a:srgbClr>
            </a:solidFill>
            <a:ln>
              <a:noFill/>
            </a:ln>
            <a:effectLst/>
          </c:spPr>
          <c:invertIfNegative val="0"/>
          <c:cat>
            <c:numRef>
              <c:f>En.el_WAM!$I$123:$M$123</c:f>
              <c:numCache>
                <c:formatCode>0</c:formatCode>
                <c:ptCount val="5"/>
                <c:pt idx="0">
                  <c:v>2020</c:v>
                </c:pt>
                <c:pt idx="1">
                  <c:v>2025</c:v>
                </c:pt>
                <c:pt idx="2">
                  <c:v>2030</c:v>
                </c:pt>
                <c:pt idx="3">
                  <c:v>2035</c:v>
                </c:pt>
                <c:pt idx="4">
                  <c:v>2040</c:v>
                </c:pt>
              </c:numCache>
            </c:numRef>
          </c:cat>
          <c:val>
            <c:numRef>
              <c:f>En.el_WAM!$I$126:$M$126</c:f>
              <c:numCache>
                <c:formatCode>#,##0</c:formatCode>
                <c:ptCount val="5"/>
                <c:pt idx="0" formatCode="0">
                  <c:v>21.850214640857789</c:v>
                </c:pt>
                <c:pt idx="1">
                  <c:v>17.633815276306379</c:v>
                </c:pt>
                <c:pt idx="2">
                  <c:v>13.173332465922115</c:v>
                </c:pt>
                <c:pt idx="3">
                  <c:v>9.6163654387481898</c:v>
                </c:pt>
                <c:pt idx="4">
                  <c:v>7.2034608514367875</c:v>
                </c:pt>
              </c:numCache>
            </c:numRef>
          </c:val>
          <c:extLst>
            <c:ext xmlns:c16="http://schemas.microsoft.com/office/drawing/2014/chart" uri="{C3380CC4-5D6E-409C-BE32-E72D297353CC}">
              <c16:uniqueId val="{00000002-CD48-4096-9082-6DC9822ED1D2}"/>
            </c:ext>
          </c:extLst>
        </c:ser>
        <c:ser>
          <c:idx val="4"/>
          <c:order val="3"/>
          <c:tx>
            <c:strRef>
              <c:f>En.el_WAM!$H$128</c:f>
              <c:strCache>
                <c:ptCount val="1"/>
                <c:pt idx="0">
                  <c:v>biomasa</c:v>
                </c:pt>
              </c:strCache>
            </c:strRef>
          </c:tx>
          <c:spPr>
            <a:solidFill>
              <a:srgbClr val="006600">
                <a:alpha val="70000"/>
              </a:srgbClr>
            </a:solidFill>
            <a:ln>
              <a:noFill/>
            </a:ln>
            <a:effectLst/>
          </c:spPr>
          <c:invertIfNegative val="0"/>
          <c:cat>
            <c:numRef>
              <c:f>En.el_WAM!$I$123:$M$123</c:f>
              <c:numCache>
                <c:formatCode>0</c:formatCode>
                <c:ptCount val="5"/>
                <c:pt idx="0">
                  <c:v>2020</c:v>
                </c:pt>
                <c:pt idx="1">
                  <c:v>2025</c:v>
                </c:pt>
                <c:pt idx="2">
                  <c:v>2030</c:v>
                </c:pt>
                <c:pt idx="3">
                  <c:v>2035</c:v>
                </c:pt>
                <c:pt idx="4">
                  <c:v>2040</c:v>
                </c:pt>
              </c:numCache>
            </c:numRef>
          </c:cat>
          <c:val>
            <c:numRef>
              <c:f>En.el_WAM!$I$128:$M$128</c:f>
              <c:numCache>
                <c:formatCode>0</c:formatCode>
                <c:ptCount val="5"/>
                <c:pt idx="0">
                  <c:v>134.20390576207149</c:v>
                </c:pt>
                <c:pt idx="1">
                  <c:v>115.29692935936407</c:v>
                </c:pt>
                <c:pt idx="2">
                  <c:v>120.86701301887845</c:v>
                </c:pt>
                <c:pt idx="3">
                  <c:v>106.34511277204385</c:v>
                </c:pt>
                <c:pt idx="4">
                  <c:v>93.326905318847949</c:v>
                </c:pt>
              </c:numCache>
            </c:numRef>
          </c:val>
          <c:extLst>
            <c:ext xmlns:c16="http://schemas.microsoft.com/office/drawing/2014/chart" uri="{C3380CC4-5D6E-409C-BE32-E72D297353CC}">
              <c16:uniqueId val="{00000003-CD48-4096-9082-6DC9822ED1D2}"/>
            </c:ext>
          </c:extLst>
        </c:ser>
        <c:ser>
          <c:idx val="6"/>
          <c:order val="4"/>
          <c:tx>
            <c:strRef>
              <c:f>En.el_WAM!$H$131</c:f>
              <c:strCache>
                <c:ptCount val="1"/>
                <c:pt idx="0">
                  <c:v>biometan</c:v>
                </c:pt>
              </c:strCache>
            </c:strRef>
          </c:tx>
          <c:spPr>
            <a:solidFill>
              <a:srgbClr val="009900">
                <a:alpha val="70000"/>
              </a:srgbClr>
            </a:solidFill>
            <a:ln>
              <a:noFill/>
            </a:ln>
            <a:effectLst/>
          </c:spPr>
          <c:invertIfNegative val="0"/>
          <c:cat>
            <c:numRef>
              <c:f>En.el_WAM!$I$123:$M$123</c:f>
              <c:numCache>
                <c:formatCode>0</c:formatCode>
                <c:ptCount val="5"/>
                <c:pt idx="0">
                  <c:v>2020</c:v>
                </c:pt>
                <c:pt idx="1">
                  <c:v>2025</c:v>
                </c:pt>
                <c:pt idx="2">
                  <c:v>2030</c:v>
                </c:pt>
                <c:pt idx="3">
                  <c:v>2035</c:v>
                </c:pt>
                <c:pt idx="4">
                  <c:v>2040</c:v>
                </c:pt>
              </c:numCache>
            </c:numRef>
          </c:cat>
          <c:val>
            <c:numRef>
              <c:f>En.el_WAM!$I$131:$M$131</c:f>
              <c:numCache>
                <c:formatCode>0</c:formatCode>
                <c:ptCount val="5"/>
                <c:pt idx="0">
                  <c:v>0</c:v>
                </c:pt>
                <c:pt idx="1">
                  <c:v>0.75362400000000007</c:v>
                </c:pt>
                <c:pt idx="2">
                  <c:v>9.2442322038148443</c:v>
                </c:pt>
                <c:pt idx="3">
                  <c:v>23.211619200000001</c:v>
                </c:pt>
                <c:pt idx="4">
                  <c:v>25.095679199999999</c:v>
                </c:pt>
              </c:numCache>
            </c:numRef>
          </c:val>
          <c:extLst>
            <c:ext xmlns:c16="http://schemas.microsoft.com/office/drawing/2014/chart" uri="{C3380CC4-5D6E-409C-BE32-E72D297353CC}">
              <c16:uniqueId val="{00000004-CD48-4096-9082-6DC9822ED1D2}"/>
            </c:ext>
          </c:extLst>
        </c:ser>
        <c:ser>
          <c:idx val="5"/>
          <c:order val="5"/>
          <c:tx>
            <c:strRef>
              <c:f>En.el_WAM!$H$130</c:f>
              <c:strCache>
                <c:ptCount val="1"/>
                <c:pt idx="0">
                  <c:v>kolektory słoneczne</c:v>
                </c:pt>
              </c:strCache>
            </c:strRef>
          </c:tx>
          <c:spPr>
            <a:solidFill>
              <a:srgbClr val="70AD47">
                <a:lumMod val="40000"/>
                <a:lumOff val="60000"/>
                <a:alpha val="70000"/>
              </a:srgbClr>
            </a:solidFill>
            <a:ln>
              <a:noFill/>
            </a:ln>
            <a:effectLst/>
          </c:spPr>
          <c:invertIfNegative val="0"/>
          <c:cat>
            <c:numRef>
              <c:f>En.el_WAM!$I$123:$M$123</c:f>
              <c:numCache>
                <c:formatCode>0</c:formatCode>
                <c:ptCount val="5"/>
                <c:pt idx="0">
                  <c:v>2020</c:v>
                </c:pt>
                <c:pt idx="1">
                  <c:v>2025</c:v>
                </c:pt>
                <c:pt idx="2">
                  <c:v>2030</c:v>
                </c:pt>
                <c:pt idx="3">
                  <c:v>2035</c:v>
                </c:pt>
                <c:pt idx="4">
                  <c:v>2040</c:v>
                </c:pt>
              </c:numCache>
            </c:numRef>
          </c:cat>
          <c:val>
            <c:numRef>
              <c:f>En.el_WAM!$I$130:$M$130</c:f>
              <c:numCache>
                <c:formatCode>0</c:formatCode>
                <c:ptCount val="5"/>
                <c:pt idx="0">
                  <c:v>2.6434332578014024</c:v>
                </c:pt>
                <c:pt idx="1">
                  <c:v>8.3301467376051601</c:v>
                </c:pt>
                <c:pt idx="2">
                  <c:v>14.076133810191831</c:v>
                </c:pt>
                <c:pt idx="3">
                  <c:v>16.344460842199592</c:v>
                </c:pt>
                <c:pt idx="4">
                  <c:v>16.073534315422137</c:v>
                </c:pt>
              </c:numCache>
            </c:numRef>
          </c:val>
          <c:extLst>
            <c:ext xmlns:c16="http://schemas.microsoft.com/office/drawing/2014/chart" uri="{C3380CC4-5D6E-409C-BE32-E72D297353CC}">
              <c16:uniqueId val="{00000005-CD48-4096-9082-6DC9822ED1D2}"/>
            </c:ext>
          </c:extLst>
        </c:ser>
        <c:ser>
          <c:idx val="0"/>
          <c:order val="6"/>
          <c:tx>
            <c:strRef>
              <c:f>En.el_WAM!$H$124</c:f>
              <c:strCache>
                <c:ptCount val="1"/>
                <c:pt idx="0">
                  <c:v>energia elektryczna</c:v>
                </c:pt>
              </c:strCache>
            </c:strRef>
          </c:tx>
          <c:spPr>
            <a:solidFill>
              <a:srgbClr val="5B9BD5">
                <a:alpha val="70000"/>
              </a:srgbClr>
            </a:solidFill>
            <a:ln>
              <a:noFill/>
            </a:ln>
            <a:effectLst/>
          </c:spPr>
          <c:invertIfNegative val="0"/>
          <c:cat>
            <c:numRef>
              <c:f>En.el_WAM!$I$123:$M$123</c:f>
              <c:numCache>
                <c:formatCode>0</c:formatCode>
                <c:ptCount val="5"/>
                <c:pt idx="0">
                  <c:v>2020</c:v>
                </c:pt>
                <c:pt idx="1">
                  <c:v>2025</c:v>
                </c:pt>
                <c:pt idx="2">
                  <c:v>2030</c:v>
                </c:pt>
                <c:pt idx="3">
                  <c:v>2035</c:v>
                </c:pt>
                <c:pt idx="4">
                  <c:v>2040</c:v>
                </c:pt>
              </c:numCache>
            </c:numRef>
          </c:cat>
          <c:val>
            <c:numRef>
              <c:f>En.el_WAM!$I$124:$M$124</c:f>
              <c:numCache>
                <c:formatCode>#,##0</c:formatCode>
                <c:ptCount val="5"/>
                <c:pt idx="0" formatCode="0">
                  <c:v>27.951807567947796</c:v>
                </c:pt>
                <c:pt idx="1">
                  <c:v>41.978641890381247</c:v>
                </c:pt>
                <c:pt idx="2">
                  <c:v>46.623599892885508</c:v>
                </c:pt>
                <c:pt idx="3">
                  <c:v>58.513373256020785</c:v>
                </c:pt>
                <c:pt idx="4">
                  <c:v>66.039276191273643</c:v>
                </c:pt>
              </c:numCache>
            </c:numRef>
          </c:val>
          <c:extLst>
            <c:ext xmlns:c16="http://schemas.microsoft.com/office/drawing/2014/chart" uri="{C3380CC4-5D6E-409C-BE32-E72D297353CC}">
              <c16:uniqueId val="{00000006-CD48-4096-9082-6DC9822ED1D2}"/>
            </c:ext>
          </c:extLst>
        </c:ser>
        <c:ser>
          <c:idx val="8"/>
          <c:order val="7"/>
          <c:tx>
            <c:strRef>
              <c:f>En.el_WAM!$H$129</c:f>
              <c:strCache>
                <c:ptCount val="1"/>
                <c:pt idx="0">
                  <c:v>pompy ciepła</c:v>
                </c:pt>
              </c:strCache>
            </c:strRef>
          </c:tx>
          <c:spPr>
            <a:solidFill>
              <a:srgbClr val="0070C0">
                <a:alpha val="70000"/>
              </a:srgbClr>
            </a:solidFill>
            <a:ln w="25400">
              <a:noFill/>
            </a:ln>
            <a:effectLst/>
          </c:spPr>
          <c:invertIfNegative val="0"/>
          <c:cat>
            <c:numRef>
              <c:f>En.el_WAM!$I$123:$M$123</c:f>
              <c:numCache>
                <c:formatCode>0</c:formatCode>
                <c:ptCount val="5"/>
                <c:pt idx="0">
                  <c:v>2020</c:v>
                </c:pt>
                <c:pt idx="1">
                  <c:v>2025</c:v>
                </c:pt>
                <c:pt idx="2">
                  <c:v>2030</c:v>
                </c:pt>
                <c:pt idx="3">
                  <c:v>2035</c:v>
                </c:pt>
                <c:pt idx="4">
                  <c:v>2040</c:v>
                </c:pt>
              </c:numCache>
            </c:numRef>
          </c:cat>
          <c:val>
            <c:numRef>
              <c:f>En.el_WAM!$I$129:$M$129</c:f>
              <c:numCache>
                <c:formatCode>0</c:formatCode>
                <c:ptCount val="5"/>
                <c:pt idx="0">
                  <c:v>13.284988744081346</c:v>
                </c:pt>
                <c:pt idx="1">
                  <c:v>50.932108315113382</c:v>
                </c:pt>
                <c:pt idx="2">
                  <c:v>70.429320407725896</c:v>
                </c:pt>
                <c:pt idx="3">
                  <c:v>106.68122789397154</c:v>
                </c:pt>
                <c:pt idx="4">
                  <c:v>137.27115295418318</c:v>
                </c:pt>
              </c:numCache>
            </c:numRef>
          </c:val>
          <c:extLst>
            <c:ext xmlns:c16="http://schemas.microsoft.com/office/drawing/2014/chart" uri="{C3380CC4-5D6E-409C-BE32-E72D297353CC}">
              <c16:uniqueId val="{00000007-CD48-4096-9082-6DC9822ED1D2}"/>
            </c:ext>
          </c:extLst>
        </c:ser>
        <c:dLbls>
          <c:showLegendKey val="0"/>
          <c:showVal val="0"/>
          <c:showCatName val="0"/>
          <c:showSerName val="0"/>
          <c:showPercent val="0"/>
          <c:showBubbleSize val="0"/>
        </c:dLbls>
        <c:gapWidth val="150"/>
        <c:overlap val="100"/>
        <c:axId val="1251669599"/>
        <c:axId val="1251680159"/>
      </c:barChart>
      <c:lineChart>
        <c:grouping val="standard"/>
        <c:varyColors val="0"/>
        <c:ser>
          <c:idx val="7"/>
          <c:order val="8"/>
          <c:tx>
            <c:strRef>
              <c:f>En.el_WAM!$H$132</c:f>
              <c:strCache>
                <c:ptCount val="1"/>
                <c:pt idx="0">
                  <c:v>suma</c:v>
                </c:pt>
              </c:strCache>
            </c:strRef>
          </c:tx>
          <c:spPr>
            <a:ln w="28575" cap="rnd">
              <a:no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En.el_WAM!$I$123:$M$123</c:f>
              <c:numCache>
                <c:formatCode>0</c:formatCode>
                <c:ptCount val="5"/>
                <c:pt idx="0">
                  <c:v>2020</c:v>
                </c:pt>
                <c:pt idx="1">
                  <c:v>2025</c:v>
                </c:pt>
                <c:pt idx="2">
                  <c:v>2030</c:v>
                </c:pt>
                <c:pt idx="3">
                  <c:v>2035</c:v>
                </c:pt>
                <c:pt idx="4">
                  <c:v>2040</c:v>
                </c:pt>
              </c:numCache>
            </c:numRef>
          </c:cat>
          <c:val>
            <c:numRef>
              <c:f>En.el_WAM!$I$132:$M$132</c:f>
              <c:numCache>
                <c:formatCode>0</c:formatCode>
                <c:ptCount val="5"/>
                <c:pt idx="0">
                  <c:v>538.29222181233888</c:v>
                </c:pt>
                <c:pt idx="1">
                  <c:v>528.54190411373406</c:v>
                </c:pt>
                <c:pt idx="2">
                  <c:v>472.94449360850939</c:v>
                </c:pt>
                <c:pt idx="3">
                  <c:v>415.28958024488281</c:v>
                </c:pt>
                <c:pt idx="4">
                  <c:v>396.59522715568414</c:v>
                </c:pt>
              </c:numCache>
            </c:numRef>
          </c:val>
          <c:smooth val="0"/>
          <c:extLst>
            <c:ext xmlns:c16="http://schemas.microsoft.com/office/drawing/2014/chart" uri="{C3380CC4-5D6E-409C-BE32-E72D297353CC}">
              <c16:uniqueId val="{00000008-CD48-4096-9082-6DC9822ED1D2}"/>
            </c:ext>
          </c:extLst>
        </c:ser>
        <c:dLbls>
          <c:showLegendKey val="0"/>
          <c:showVal val="0"/>
          <c:showCatName val="0"/>
          <c:showSerName val="0"/>
          <c:showPercent val="0"/>
          <c:showBubbleSize val="0"/>
        </c:dLbls>
        <c:marker val="1"/>
        <c:smooth val="0"/>
        <c:axId val="1251669599"/>
        <c:axId val="1251680159"/>
      </c:lineChart>
      <c:catAx>
        <c:axId val="1251669599"/>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51680159"/>
        <c:crosses val="autoZero"/>
        <c:auto val="1"/>
        <c:lblAlgn val="ctr"/>
        <c:lblOffset val="100"/>
        <c:noMultiLvlLbl val="0"/>
      </c:catAx>
      <c:valAx>
        <c:axId val="12516801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[PJ]</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1"/>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251669599"/>
        <c:crosses val="autoZero"/>
        <c:crossBetween val="between"/>
      </c:valAx>
      <c:spPr>
        <a:noFill/>
        <a:ln>
          <a:noFill/>
        </a:ln>
        <a:effectLst/>
      </c:spPr>
    </c:plotArea>
    <c:legend>
      <c:legendPos val="r"/>
      <c:legendEntry>
        <c:idx val="8"/>
        <c:delete val="1"/>
      </c:legendEntry>
      <c:layout>
        <c:manualLayout>
          <c:xMode val="edge"/>
          <c:yMode val="edge"/>
          <c:x val="0.72445267258259383"/>
          <c:y val="0.23246633184469903"/>
          <c:w val="0.26515911951261051"/>
          <c:h val="0.536732268974291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0"/>
              <a:ea typeface="Lato" panose="020F0502020204030203" pitchFamily="34" charset="0"/>
              <a:cs typeface="Lato" panose="020F0502020204030203" pitchFamily="34" charset="0"/>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dost_paliw_pierw!$C$3</c:f>
              <c:strCache>
                <c:ptCount val="1"/>
                <c:pt idx="0">
                  <c:v>Wydobycie</c:v>
                </c:pt>
              </c:strCache>
            </c:strRef>
          </c:tx>
          <c:spPr>
            <a:solidFill>
              <a:sysClr val="windowText" lastClr="000000">
                <a:lumMod val="85000"/>
                <a:lumOff val="15000"/>
              </a:sysClr>
            </a:solidFill>
            <a:ln>
              <a:noFill/>
            </a:ln>
            <a:effectLst/>
          </c:spPr>
          <c:invertIfNegative val="0"/>
          <c:cat>
            <c:numRef>
              <c:f>dost_paliw_pierw!$D$1:$AL$1</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dost_paliw_pierw!$D$3:$AL$3</c:f>
              <c:numCache>
                <c:formatCode>0.0</c:formatCode>
                <c:ptCount val="35"/>
                <c:pt idx="0">
                  <c:v>151.30000000000001</c:v>
                </c:pt>
                <c:pt idx="1">
                  <c:v>143.1</c:v>
                </c:pt>
                <c:pt idx="2">
                  <c:v>132.69999999999999</c:v>
                </c:pt>
                <c:pt idx="3">
                  <c:v>131.4</c:v>
                </c:pt>
                <c:pt idx="4">
                  <c:v>134.1</c:v>
                </c:pt>
                <c:pt idx="5">
                  <c:v>135.5</c:v>
                </c:pt>
                <c:pt idx="6">
                  <c:v>136.30000000000001</c:v>
                </c:pt>
                <c:pt idx="7">
                  <c:v>132.6</c:v>
                </c:pt>
                <c:pt idx="8">
                  <c:v>113.9</c:v>
                </c:pt>
                <c:pt idx="9">
                  <c:v>109.9</c:v>
                </c:pt>
                <c:pt idx="10">
                  <c:v>102.1</c:v>
                </c:pt>
                <c:pt idx="11">
                  <c:v>102.5</c:v>
                </c:pt>
                <c:pt idx="12">
                  <c:v>96.2</c:v>
                </c:pt>
                <c:pt idx="13">
                  <c:v>97.3</c:v>
                </c:pt>
                <c:pt idx="14">
                  <c:v>95.6</c:v>
                </c:pt>
                <c:pt idx="15">
                  <c:v>93</c:v>
                </c:pt>
                <c:pt idx="16">
                  <c:v>89.3</c:v>
                </c:pt>
                <c:pt idx="17">
                  <c:v>82.8</c:v>
                </c:pt>
                <c:pt idx="18">
                  <c:v>78</c:v>
                </c:pt>
                <c:pt idx="19">
                  <c:v>70.900000000000006</c:v>
                </c:pt>
                <c:pt idx="20">
                  <c:v>69.2</c:v>
                </c:pt>
                <c:pt idx="21">
                  <c:v>67.599999999999994</c:v>
                </c:pt>
                <c:pt idx="22">
                  <c:v>71.3</c:v>
                </c:pt>
                <c:pt idx="23">
                  <c:v>68.400000000000006</c:v>
                </c:pt>
                <c:pt idx="24">
                  <c:v>66</c:v>
                </c:pt>
                <c:pt idx="25">
                  <c:v>65.069999999999993</c:v>
                </c:pt>
                <c:pt idx="26">
                  <c:v>66.48</c:v>
                </c:pt>
                <c:pt idx="27">
                  <c:v>56.823999999999998</c:v>
                </c:pt>
                <c:pt idx="28">
                  <c:v>63.9</c:v>
                </c:pt>
                <c:pt idx="29">
                  <c:v>64.099999999999994</c:v>
                </c:pt>
                <c:pt idx="30">
                  <c:v>48.2</c:v>
                </c:pt>
                <c:pt idx="31" formatCode="General">
                  <c:v>49.5</c:v>
                </c:pt>
                <c:pt idx="32" formatCode="General">
                  <c:v>46.5</c:v>
                </c:pt>
                <c:pt idx="33" formatCode="General">
                  <c:v>42.5</c:v>
                </c:pt>
                <c:pt idx="34" formatCode="General">
                  <c:v>40.200000000000003</c:v>
                </c:pt>
              </c:numCache>
            </c:numRef>
          </c:val>
          <c:extLst>
            <c:ext xmlns:c16="http://schemas.microsoft.com/office/drawing/2014/chart" uri="{C3380CC4-5D6E-409C-BE32-E72D297353CC}">
              <c16:uniqueId val="{00000000-0786-4333-A892-5D8EE4A76E68}"/>
            </c:ext>
          </c:extLst>
        </c:ser>
        <c:dLbls>
          <c:showLegendKey val="0"/>
          <c:showVal val="0"/>
          <c:showCatName val="0"/>
          <c:showSerName val="0"/>
          <c:showPercent val="0"/>
          <c:showBubbleSize val="0"/>
        </c:dLbls>
        <c:gapWidth val="70"/>
        <c:overlap val="-23"/>
        <c:axId val="577341312"/>
        <c:axId val="577341704"/>
      </c:barChart>
      <c:catAx>
        <c:axId val="57734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pl-PL"/>
          </a:p>
        </c:txPr>
        <c:crossAx val="577341704"/>
        <c:crosses val="autoZero"/>
        <c:auto val="1"/>
        <c:lblAlgn val="ctr"/>
        <c:lblOffset val="100"/>
        <c:noMultiLvlLbl val="0"/>
      </c:catAx>
      <c:valAx>
        <c:axId val="577341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r>
                  <a:rPr lang="pl-PL">
                    <a:latin typeface="Calibri" panose="020F0502020204030204" pitchFamily="34" charset="0"/>
                    <a:ea typeface="Calibri" panose="020F0502020204030204" pitchFamily="34" charset="0"/>
                    <a:cs typeface="Calibri" panose="020F0502020204030204" pitchFamily="34" charset="0"/>
                  </a:rPr>
                  <a:t>[mln</a:t>
                </a:r>
                <a:r>
                  <a:rPr lang="pl-PL" baseline="0">
                    <a:latin typeface="Calibri" panose="020F0502020204030204" pitchFamily="34" charset="0"/>
                    <a:ea typeface="Calibri" panose="020F0502020204030204" pitchFamily="34" charset="0"/>
                    <a:cs typeface="Calibri" panose="020F0502020204030204" pitchFamily="34" charset="0"/>
                  </a:rPr>
                  <a:t> t]</a:t>
                </a:r>
                <a:endParaRPr lang="pl-PL">
                  <a:latin typeface="Calibri" panose="020F0502020204030204" pitchFamily="34" charset="0"/>
                  <a:ea typeface="Calibri" panose="020F0502020204030204" pitchFamily="34" charset="0"/>
                  <a:cs typeface="Calibri" panose="020F050202020403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pl-PL"/>
          </a:p>
        </c:txPr>
        <c:crossAx val="5773413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dost_paliw_pierw!$C$5</c:f>
              <c:strCache>
                <c:ptCount val="1"/>
                <c:pt idx="0">
                  <c:v>Wydobycie</c:v>
                </c:pt>
              </c:strCache>
            </c:strRef>
          </c:tx>
          <c:spPr>
            <a:solidFill>
              <a:schemeClr val="accent2">
                <a:lumMod val="50000"/>
              </a:schemeClr>
            </a:solidFill>
            <a:ln>
              <a:noFill/>
            </a:ln>
            <a:effectLst/>
          </c:spPr>
          <c:invertIfNegative val="0"/>
          <c:cat>
            <c:numRef>
              <c:f>dost_paliw_pierw!$D$1:$AL$1</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dost_paliw_pierw!$D$5:$AL$5</c:f>
              <c:numCache>
                <c:formatCode>0.0</c:formatCode>
                <c:ptCount val="35"/>
                <c:pt idx="0">
                  <c:v>67.7</c:v>
                </c:pt>
                <c:pt idx="1">
                  <c:v>68.7</c:v>
                </c:pt>
                <c:pt idx="2">
                  <c:v>66.900000000000006</c:v>
                </c:pt>
                <c:pt idx="3">
                  <c:v>68.2</c:v>
                </c:pt>
                <c:pt idx="4">
                  <c:v>66.8</c:v>
                </c:pt>
                <c:pt idx="5">
                  <c:v>63.6</c:v>
                </c:pt>
                <c:pt idx="6">
                  <c:v>63.8</c:v>
                </c:pt>
                <c:pt idx="7">
                  <c:v>63.2</c:v>
                </c:pt>
                <c:pt idx="8">
                  <c:v>62.9</c:v>
                </c:pt>
                <c:pt idx="9">
                  <c:v>60.9</c:v>
                </c:pt>
                <c:pt idx="10">
                  <c:v>59.5</c:v>
                </c:pt>
                <c:pt idx="11">
                  <c:v>59.6</c:v>
                </c:pt>
                <c:pt idx="12">
                  <c:v>58.2</c:v>
                </c:pt>
                <c:pt idx="13">
                  <c:v>60.9</c:v>
                </c:pt>
                <c:pt idx="14">
                  <c:v>61.2</c:v>
                </c:pt>
                <c:pt idx="15">
                  <c:v>61.6</c:v>
                </c:pt>
                <c:pt idx="16">
                  <c:v>60.9</c:v>
                </c:pt>
                <c:pt idx="17">
                  <c:v>57.7</c:v>
                </c:pt>
                <c:pt idx="18">
                  <c:v>59.5</c:v>
                </c:pt>
                <c:pt idx="19">
                  <c:v>57.1</c:v>
                </c:pt>
                <c:pt idx="20">
                  <c:v>56.5</c:v>
                </c:pt>
                <c:pt idx="21">
                  <c:v>62.9</c:v>
                </c:pt>
                <c:pt idx="22">
                  <c:v>64.3</c:v>
                </c:pt>
                <c:pt idx="23">
                  <c:v>66.14</c:v>
                </c:pt>
                <c:pt idx="24">
                  <c:v>64</c:v>
                </c:pt>
                <c:pt idx="25">
                  <c:v>63.13</c:v>
                </c:pt>
                <c:pt idx="26">
                  <c:v>60.27</c:v>
                </c:pt>
                <c:pt idx="27">
                  <c:v>63.1</c:v>
                </c:pt>
                <c:pt idx="28">
                  <c:v>61.1</c:v>
                </c:pt>
                <c:pt idx="29">
                  <c:v>52.9</c:v>
                </c:pt>
                <c:pt idx="30">
                  <c:v>47.3</c:v>
                </c:pt>
                <c:pt idx="31" formatCode="General">
                  <c:v>54.9</c:v>
                </c:pt>
                <c:pt idx="32" formatCode="General">
                  <c:v>57.7</c:v>
                </c:pt>
                <c:pt idx="33" formatCode="General">
                  <c:v>42.5</c:v>
                </c:pt>
                <c:pt idx="34" formatCode="General">
                  <c:v>43.5</c:v>
                </c:pt>
              </c:numCache>
            </c:numRef>
          </c:val>
          <c:extLst>
            <c:ext xmlns:c16="http://schemas.microsoft.com/office/drawing/2014/chart" uri="{C3380CC4-5D6E-409C-BE32-E72D297353CC}">
              <c16:uniqueId val="{00000000-924D-4365-8616-B6A58EFEA050}"/>
            </c:ext>
          </c:extLst>
        </c:ser>
        <c:dLbls>
          <c:showLegendKey val="0"/>
          <c:showVal val="0"/>
          <c:showCatName val="0"/>
          <c:showSerName val="0"/>
          <c:showPercent val="0"/>
          <c:showBubbleSize val="0"/>
        </c:dLbls>
        <c:gapWidth val="70"/>
        <c:overlap val="-23"/>
        <c:axId val="456169352"/>
        <c:axId val="456165040"/>
      </c:barChart>
      <c:catAx>
        <c:axId val="456169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pl-PL"/>
          </a:p>
        </c:txPr>
        <c:crossAx val="456165040"/>
        <c:crosses val="autoZero"/>
        <c:auto val="1"/>
        <c:lblAlgn val="ctr"/>
        <c:lblOffset val="100"/>
        <c:noMultiLvlLbl val="0"/>
      </c:catAx>
      <c:valAx>
        <c:axId val="456165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r>
                  <a:rPr lang="pl-PL"/>
                  <a:t>[mln 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pl-PL"/>
          </a:p>
        </c:txPr>
        <c:crossAx val="4561693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Calibri" panose="020F0502020204030204" pitchFamily="34" charset="0"/>
          <a:ea typeface="Calibri" panose="020F0502020204030204" pitchFamily="34" charset="0"/>
          <a:cs typeface="Calibri" panose="020F0502020204030204" pitchFamily="34" charset="0"/>
        </a:defRPr>
      </a:pPr>
      <a:endParaRPr lang="pl-PL"/>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plotArea>
      <c:layout>
        <c:manualLayout>
          <c:layoutTarget val="inner"/>
          <c:xMode val="edge"/>
          <c:yMode val="edge"/>
          <c:x val="0.14528127102869079"/>
          <c:y val="2.8539982774951261E-2"/>
          <c:w val="0.81005724173490523"/>
          <c:h val="0.80216479175488864"/>
        </c:manualLayout>
      </c:layout>
      <c:scatterChart>
        <c:scatterStyle val="lineMarker"/>
        <c:varyColors val="0"/>
        <c:ser>
          <c:idx val="1"/>
          <c:order val="0"/>
          <c:tx>
            <c:v>WAM</c:v>
          </c:tx>
          <c:spPr>
            <a:ln w="19050" cap="rnd">
              <a:solidFill>
                <a:srgbClr val="FF0000"/>
              </a:solidFill>
              <a:round/>
            </a:ln>
            <a:effectLst/>
          </c:spPr>
          <c:marker>
            <c:symbol val="none"/>
          </c:marker>
          <c:xVal>
            <c:numRef>
              <c:f>'porównanie_WEM-WAM'!$B$4:$K$4</c:f>
              <c:numCache>
                <c:formatCode>General</c:formatCode>
                <c:ptCount val="10"/>
                <c:pt idx="0">
                  <c:v>2005</c:v>
                </c:pt>
                <c:pt idx="1">
                  <c:v>2010</c:v>
                </c:pt>
                <c:pt idx="2">
                  <c:v>2015</c:v>
                </c:pt>
                <c:pt idx="3">
                  <c:v>2020</c:v>
                </c:pt>
                <c:pt idx="4">
                  <c:v>2025</c:v>
                </c:pt>
                <c:pt idx="5">
                  <c:v>2030</c:v>
                </c:pt>
                <c:pt idx="6">
                  <c:v>2035</c:v>
                </c:pt>
                <c:pt idx="7">
                  <c:v>2040</c:v>
                </c:pt>
                <c:pt idx="8">
                  <c:v>2045</c:v>
                </c:pt>
                <c:pt idx="9">
                  <c:v>2050</c:v>
                </c:pt>
              </c:numCache>
            </c:numRef>
          </c:xVal>
          <c:yVal>
            <c:numRef>
              <c:f>'porównanie_WEM-WAM'!$B$22:$K$22</c:f>
              <c:numCache>
                <c:formatCode>#,##0.00</c:formatCode>
                <c:ptCount val="10"/>
                <c:pt idx="0">
                  <c:v>401944.13487653545</c:v>
                </c:pt>
                <c:pt idx="1">
                  <c:v>407222.02258607978</c:v>
                </c:pt>
                <c:pt idx="2">
                  <c:v>383455.73364991101</c:v>
                </c:pt>
                <c:pt idx="3">
                  <c:v>371438.42624270456</c:v>
                </c:pt>
                <c:pt idx="4">
                  <c:v>333708.10132552648</c:v>
                </c:pt>
                <c:pt idx="5">
                  <c:v>252912.5438747032</c:v>
                </c:pt>
                <c:pt idx="6">
                  <c:v>188866.57323094233</c:v>
                </c:pt>
                <c:pt idx="7">
                  <c:v>143402.97725065445</c:v>
                </c:pt>
                <c:pt idx="8">
                  <c:v>116760.6909470744</c:v>
                </c:pt>
                <c:pt idx="9">
                  <c:v>102318.78550101865</c:v>
                </c:pt>
              </c:numCache>
            </c:numRef>
          </c:yVal>
          <c:smooth val="0"/>
          <c:extLst>
            <c:ext xmlns:c16="http://schemas.microsoft.com/office/drawing/2014/chart" uri="{C3380CC4-5D6E-409C-BE32-E72D297353CC}">
              <c16:uniqueId val="{00000000-BB25-4AFE-B585-7DE7525E2B1B}"/>
            </c:ext>
          </c:extLst>
        </c:ser>
        <c:ser>
          <c:idx val="0"/>
          <c:order val="1"/>
          <c:tx>
            <c:v>WEM</c:v>
          </c:tx>
          <c:spPr>
            <a:ln w="19050" cap="rnd">
              <a:solidFill>
                <a:schemeClr val="accent6">
                  <a:shade val="76000"/>
                </a:schemeClr>
              </a:solidFill>
              <a:round/>
            </a:ln>
            <a:effectLst/>
          </c:spPr>
          <c:marker>
            <c:symbol val="none"/>
          </c:marker>
          <c:xVal>
            <c:numRef>
              <c:f>'porównanie_WEM-WAM'!$B$4:$K$4</c:f>
              <c:numCache>
                <c:formatCode>General</c:formatCode>
                <c:ptCount val="10"/>
                <c:pt idx="0">
                  <c:v>2005</c:v>
                </c:pt>
                <c:pt idx="1">
                  <c:v>2010</c:v>
                </c:pt>
                <c:pt idx="2">
                  <c:v>2015</c:v>
                </c:pt>
                <c:pt idx="3">
                  <c:v>2020</c:v>
                </c:pt>
                <c:pt idx="4">
                  <c:v>2025</c:v>
                </c:pt>
                <c:pt idx="5">
                  <c:v>2030</c:v>
                </c:pt>
                <c:pt idx="6">
                  <c:v>2035</c:v>
                </c:pt>
                <c:pt idx="7">
                  <c:v>2040</c:v>
                </c:pt>
                <c:pt idx="8">
                  <c:v>2045</c:v>
                </c:pt>
                <c:pt idx="9">
                  <c:v>2050</c:v>
                </c:pt>
              </c:numCache>
            </c:numRef>
          </c:xVal>
          <c:yVal>
            <c:numRef>
              <c:f>'porównanie_WEM-WAM'!$B$13:$K$13</c:f>
              <c:numCache>
                <c:formatCode>#,##0.00</c:formatCode>
                <c:ptCount val="10"/>
                <c:pt idx="0">
                  <c:v>401944.13487653545</c:v>
                </c:pt>
                <c:pt idx="1">
                  <c:v>407222.02258607978</c:v>
                </c:pt>
                <c:pt idx="2">
                  <c:v>383455.73364991101</c:v>
                </c:pt>
                <c:pt idx="3">
                  <c:v>371438.42624270456</c:v>
                </c:pt>
                <c:pt idx="4">
                  <c:v>346860.40022544836</c:v>
                </c:pt>
                <c:pt idx="5">
                  <c:v>282490.73195680563</c:v>
                </c:pt>
                <c:pt idx="6">
                  <c:v>244296.60106669995</c:v>
                </c:pt>
                <c:pt idx="7">
                  <c:v>194342.7452067878</c:v>
                </c:pt>
                <c:pt idx="8">
                  <c:v>164281.35883353412</c:v>
                </c:pt>
                <c:pt idx="9">
                  <c:v>140871.43592454607</c:v>
                </c:pt>
              </c:numCache>
            </c:numRef>
          </c:yVal>
          <c:smooth val="0"/>
          <c:extLst>
            <c:ext xmlns:c16="http://schemas.microsoft.com/office/drawing/2014/chart" uri="{C3380CC4-5D6E-409C-BE32-E72D297353CC}">
              <c16:uniqueId val="{00000001-BB25-4AFE-B585-7DE7525E2B1B}"/>
            </c:ext>
          </c:extLst>
        </c:ser>
        <c:dLbls>
          <c:showLegendKey val="0"/>
          <c:showVal val="0"/>
          <c:showCatName val="0"/>
          <c:showSerName val="0"/>
          <c:showPercent val="0"/>
          <c:showBubbleSize val="0"/>
        </c:dLbls>
        <c:axId val="951784744"/>
        <c:axId val="951786704"/>
      </c:scatterChart>
      <c:valAx>
        <c:axId val="951784744"/>
        <c:scaling>
          <c:orientation val="minMax"/>
          <c:max val="2040"/>
          <c:min val="200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51786704"/>
        <c:crosses val="autoZero"/>
        <c:crossBetween val="midCat"/>
      </c:valAx>
      <c:valAx>
        <c:axId val="951786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emisja GHG [kt CO</a:t>
                </a:r>
                <a:r>
                  <a:rPr lang="pl-PL" baseline="-25000"/>
                  <a:t>2</a:t>
                </a:r>
                <a:r>
                  <a:rPr lang="pl-PL"/>
                  <a:t>eq]</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51784744"/>
        <c:crosses val="autoZero"/>
        <c:crossBetween val="midCat"/>
      </c:valAx>
      <c:spPr>
        <a:noFill/>
        <a:ln>
          <a:noFill/>
        </a:ln>
        <a:effectLst/>
      </c:spPr>
    </c:plotArea>
    <c:legend>
      <c:legendPos val="b"/>
      <c:layout>
        <c:manualLayout>
          <c:xMode val="edge"/>
          <c:yMode val="edge"/>
          <c:x val="0.38821561209136674"/>
          <c:y val="0.89614021289336565"/>
          <c:w val="0.2416703710203438"/>
          <c:h val="7.661801639153789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dost_paliw_pierw!$C$7</c:f>
              <c:strCache>
                <c:ptCount val="1"/>
                <c:pt idx="0">
                  <c:v>Wydobycie</c:v>
                </c:pt>
              </c:strCache>
            </c:strRef>
          </c:tx>
          <c:spPr>
            <a:solidFill>
              <a:schemeClr val="accent2"/>
            </a:solidFill>
            <a:ln>
              <a:noFill/>
            </a:ln>
            <a:effectLst/>
          </c:spPr>
          <c:invertIfNegative val="0"/>
          <c:cat>
            <c:numRef>
              <c:f>dost_paliw_pierw!$D$1:$AL$1</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dost_paliw_pierw!$D$7:$AL$7</c:f>
              <c:numCache>
                <c:formatCode>0.0</c:formatCode>
                <c:ptCount val="35"/>
                <c:pt idx="0">
                  <c:v>3.5</c:v>
                </c:pt>
                <c:pt idx="1">
                  <c:v>3.8</c:v>
                </c:pt>
                <c:pt idx="2">
                  <c:v>3.9</c:v>
                </c:pt>
                <c:pt idx="3">
                  <c:v>4.5999999999999996</c:v>
                </c:pt>
                <c:pt idx="4">
                  <c:v>4.3</c:v>
                </c:pt>
                <c:pt idx="5">
                  <c:v>4.7</c:v>
                </c:pt>
                <c:pt idx="6">
                  <c:v>4.4000000000000004</c:v>
                </c:pt>
                <c:pt idx="7">
                  <c:v>4.5</c:v>
                </c:pt>
                <c:pt idx="8">
                  <c:v>4.5</c:v>
                </c:pt>
                <c:pt idx="9">
                  <c:v>4.3</c:v>
                </c:pt>
                <c:pt idx="10">
                  <c:v>4.5</c:v>
                </c:pt>
                <c:pt idx="11">
                  <c:v>4.5999999999999996</c:v>
                </c:pt>
                <c:pt idx="12">
                  <c:v>4.9000000000000004</c:v>
                </c:pt>
                <c:pt idx="13">
                  <c:v>4.9000000000000004</c:v>
                </c:pt>
                <c:pt idx="14">
                  <c:v>5.2</c:v>
                </c:pt>
                <c:pt idx="15">
                  <c:v>5.3</c:v>
                </c:pt>
                <c:pt idx="16">
                  <c:v>5.3</c:v>
                </c:pt>
                <c:pt idx="17">
                  <c:v>5.2</c:v>
                </c:pt>
                <c:pt idx="18">
                  <c:v>5.0999999999999996</c:v>
                </c:pt>
                <c:pt idx="19">
                  <c:v>5.8</c:v>
                </c:pt>
                <c:pt idx="20">
                  <c:v>5.5</c:v>
                </c:pt>
                <c:pt idx="21">
                  <c:v>5.6</c:v>
                </c:pt>
                <c:pt idx="22">
                  <c:v>5.6</c:v>
                </c:pt>
                <c:pt idx="23">
                  <c:v>5.49</c:v>
                </c:pt>
                <c:pt idx="24">
                  <c:v>5.26</c:v>
                </c:pt>
                <c:pt idx="25">
                  <c:v>5.21</c:v>
                </c:pt>
                <c:pt idx="26">
                  <c:v>5.07</c:v>
                </c:pt>
                <c:pt idx="27">
                  <c:v>5</c:v>
                </c:pt>
                <c:pt idx="28">
                  <c:v>4.9000000000000004</c:v>
                </c:pt>
                <c:pt idx="29">
                  <c:v>5</c:v>
                </c:pt>
                <c:pt idx="30">
                  <c:v>4.9000000000000004</c:v>
                </c:pt>
                <c:pt idx="31" formatCode="General">
                  <c:v>4.9000000000000004</c:v>
                </c:pt>
                <c:pt idx="32" formatCode="General">
                  <c:v>4.7</c:v>
                </c:pt>
                <c:pt idx="33" formatCode="General">
                  <c:v>4.5999999999999996</c:v>
                </c:pt>
                <c:pt idx="34" formatCode="General">
                  <c:v>4.5</c:v>
                </c:pt>
              </c:numCache>
            </c:numRef>
          </c:val>
          <c:extLst>
            <c:ext xmlns:c16="http://schemas.microsoft.com/office/drawing/2014/chart" uri="{C3380CC4-5D6E-409C-BE32-E72D297353CC}">
              <c16:uniqueId val="{00000000-F5A5-4523-82C6-2C819B60552F}"/>
            </c:ext>
          </c:extLst>
        </c:ser>
        <c:dLbls>
          <c:showLegendKey val="0"/>
          <c:showVal val="0"/>
          <c:showCatName val="0"/>
          <c:showSerName val="0"/>
          <c:showPercent val="0"/>
          <c:showBubbleSize val="0"/>
        </c:dLbls>
        <c:gapWidth val="70"/>
        <c:overlap val="-23"/>
        <c:axId val="456165824"/>
        <c:axId val="459069656"/>
      </c:barChart>
      <c:catAx>
        <c:axId val="456165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pl-PL"/>
          </a:p>
        </c:txPr>
        <c:crossAx val="459069656"/>
        <c:crosses val="autoZero"/>
        <c:auto val="1"/>
        <c:lblAlgn val="ctr"/>
        <c:lblOffset val="100"/>
        <c:noMultiLvlLbl val="0"/>
      </c:catAx>
      <c:valAx>
        <c:axId val="459069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r>
                  <a:rPr lang="pl-PL"/>
                  <a:t>[mld</a:t>
                </a:r>
                <a:r>
                  <a:rPr lang="pl-PL" baseline="0"/>
                  <a:t> m</a:t>
                </a:r>
                <a:r>
                  <a:rPr lang="pl-PL" baseline="30000"/>
                  <a:t>3</a:t>
                </a:r>
                <a:r>
                  <a:rPr lang="pl-PL"/>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Calibri" panose="020F0502020204030204" pitchFamily="34" charset="0"/>
                <a:cs typeface="Calibri" panose="020F0502020204030204" pitchFamily="34" charset="0"/>
              </a:defRPr>
            </a:pPr>
            <a:endParaRPr lang="pl-PL"/>
          </a:p>
        </c:txPr>
        <c:crossAx val="4561658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Calibri" panose="020F0502020204030204" pitchFamily="34" charset="0"/>
          <a:ea typeface="Calibri" panose="020F0502020204030204" pitchFamily="34" charset="0"/>
          <a:cs typeface="Calibri" panose="020F0502020204030204" pitchFamily="34" charset="0"/>
        </a:defRPr>
      </a:pPr>
      <a:endParaRPr lang="pl-PL"/>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080" b="1" i="0" u="none" strike="noStrike" kern="1200" baseline="0">
                <a:solidFill>
                  <a:schemeClr val="tx1"/>
                </a:solidFill>
                <a:latin typeface="Calibri" panose="020F0502020204030204" pitchFamily="34" charset="0"/>
                <a:ea typeface="+mn-ea"/>
                <a:cs typeface="Calibri" panose="020F0502020204030204" pitchFamily="34" charset="0"/>
              </a:defRPr>
            </a:pPr>
            <a:r>
              <a:rPr lang="en-US"/>
              <a:t>Produkcja </a:t>
            </a:r>
            <a:r>
              <a:rPr lang="pl-PL"/>
              <a:t>energii elektrycznej</a:t>
            </a:r>
            <a:endParaRPr lang="en-US"/>
          </a:p>
        </c:rich>
      </c:tx>
      <c:overlay val="1"/>
      <c:spPr>
        <a:noFill/>
        <a:ln>
          <a:noFill/>
        </a:ln>
        <a:effectLst/>
      </c:spPr>
      <c:txPr>
        <a:bodyPr rot="0" spcFirstLastPara="1" vertOverflow="ellipsis" vert="horz" wrap="square" anchor="ctr" anchorCtr="1"/>
        <a:lstStyle/>
        <a:p>
          <a:pPr>
            <a:defRPr sz="1080" b="1" i="0" u="none" strike="noStrike" kern="1200" baseline="0">
              <a:solidFill>
                <a:schemeClr val="tx1"/>
              </a:solidFill>
              <a:latin typeface="Calibri" panose="020F0502020204030204" pitchFamily="34" charset="0"/>
              <a:ea typeface="+mn-ea"/>
              <a:cs typeface="Calibri" panose="020F0502020204030204" pitchFamily="34" charset="0"/>
            </a:defRPr>
          </a:pPr>
          <a:endParaRPr lang="en-US"/>
        </a:p>
      </c:txPr>
    </c:title>
    <c:autoTitleDeleted val="0"/>
    <c:plotArea>
      <c:layout>
        <c:manualLayout>
          <c:layoutTarget val="inner"/>
          <c:xMode val="edge"/>
          <c:yMode val="edge"/>
          <c:x val="0.24803971185571752"/>
          <c:y val="0.1587668103884117"/>
          <c:w val="0.73892149645735017"/>
          <c:h val="0.59467512231040265"/>
        </c:manualLayout>
      </c:layout>
      <c:lineChart>
        <c:grouping val="standard"/>
        <c:varyColors val="0"/>
        <c:ser>
          <c:idx val="1"/>
          <c:order val="0"/>
          <c:tx>
            <c:strRef>
              <c:f>ELE_cieplo!$B$8</c:f>
              <c:strCache>
                <c:ptCount val="1"/>
                <c:pt idx="0">
                  <c:v>Energia elektryczna [GWh]</c:v>
                </c:pt>
              </c:strCache>
            </c:strRef>
          </c:tx>
          <c:spPr>
            <a:ln w="28575" cap="rnd" cmpd="sng" algn="ctr">
              <a:solidFill>
                <a:schemeClr val="accent2">
                  <a:tint val="77000"/>
                  <a:shade val="95000"/>
                  <a:satMod val="105000"/>
                </a:schemeClr>
              </a:solidFill>
              <a:prstDash val="solid"/>
              <a:round/>
            </a:ln>
            <a:effectLst/>
          </c:spPr>
          <c:marker>
            <c:symbol val="square"/>
            <c:size val="5"/>
            <c:spPr>
              <a:solidFill>
                <a:schemeClr val="accent2">
                  <a:tint val="77000"/>
                </a:schemeClr>
              </a:solidFill>
              <a:ln w="9525" cap="flat" cmpd="sng" algn="ctr">
                <a:solidFill>
                  <a:schemeClr val="accent2">
                    <a:tint val="77000"/>
                    <a:shade val="95000"/>
                    <a:satMod val="105000"/>
                  </a:schemeClr>
                </a:solidFill>
                <a:prstDash val="solid"/>
                <a:round/>
              </a:ln>
              <a:effectLst/>
            </c:spPr>
          </c:marker>
          <c:cat>
            <c:numRef>
              <c:f>(ELE_cieplo!$C$7:$D$7,ELE_cieplo!$F$7:$J$7)</c:f>
              <c:numCache>
                <c:formatCode>0</c:formatCode>
                <c:ptCount val="7"/>
                <c:pt idx="0">
                  <c:v>2005</c:v>
                </c:pt>
                <c:pt idx="1">
                  <c:v>2010</c:v>
                </c:pt>
                <c:pt idx="2">
                  <c:v>2020</c:v>
                </c:pt>
                <c:pt idx="3">
                  <c:v>2025</c:v>
                </c:pt>
                <c:pt idx="4">
                  <c:v>2030</c:v>
                </c:pt>
                <c:pt idx="5">
                  <c:v>2035</c:v>
                </c:pt>
                <c:pt idx="6">
                  <c:v>2040</c:v>
                </c:pt>
              </c:numCache>
              <c:extLst/>
            </c:numRef>
          </c:cat>
          <c:val>
            <c:numRef>
              <c:f>(ELE_cieplo!$C$8:$D$8,ELE_cieplo!$F$8:$J$8)</c:f>
              <c:numCache>
                <c:formatCode>#,##0</c:formatCode>
                <c:ptCount val="7"/>
                <c:pt idx="0">
                  <c:v>157295.00000000006</c:v>
                </c:pt>
                <c:pt idx="1">
                  <c:v>158185.99999999997</c:v>
                </c:pt>
                <c:pt idx="2">
                  <c:v>158247.31200000006</c:v>
                </c:pt>
                <c:pt idx="3">
                  <c:v>180126.69933599999</c:v>
                </c:pt>
                <c:pt idx="4">
                  <c:v>193554.3753708</c:v>
                </c:pt>
                <c:pt idx="5">
                  <c:v>220588.06360799997</c:v>
                </c:pt>
                <c:pt idx="6">
                  <c:v>287185.31317799992</c:v>
                </c:pt>
              </c:numCache>
              <c:extLst/>
            </c:numRef>
          </c:val>
          <c:smooth val="0"/>
          <c:extLst>
            <c:ext xmlns:c16="http://schemas.microsoft.com/office/drawing/2014/chart" uri="{C3380CC4-5D6E-409C-BE32-E72D297353CC}">
              <c16:uniqueId val="{00000000-DED7-44DF-B016-CA0DE859A98F}"/>
            </c:ext>
          </c:extLst>
        </c:ser>
        <c:dLbls>
          <c:showLegendKey val="0"/>
          <c:showVal val="0"/>
          <c:showCatName val="0"/>
          <c:showSerName val="0"/>
          <c:showPercent val="0"/>
          <c:showBubbleSize val="0"/>
        </c:dLbls>
        <c:marker val="1"/>
        <c:smooth val="0"/>
        <c:axId val="459072400"/>
        <c:axId val="574262232"/>
      </c:lineChart>
      <c:catAx>
        <c:axId val="459072400"/>
        <c:scaling>
          <c:orientation val="minMax"/>
        </c:scaling>
        <c:delete val="0"/>
        <c:axPos val="b"/>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Calibri" panose="020F0502020204030204" pitchFamily="34" charset="0"/>
              </a:defRPr>
            </a:pPr>
            <a:endParaRPr lang="pl-PL"/>
          </a:p>
        </c:txPr>
        <c:crossAx val="574262232"/>
        <c:crosses val="autoZero"/>
        <c:auto val="1"/>
        <c:lblAlgn val="ctr"/>
        <c:lblOffset val="100"/>
        <c:noMultiLvlLbl val="0"/>
      </c:catAx>
      <c:valAx>
        <c:axId val="574262232"/>
        <c:scaling>
          <c:orientation val="minMax"/>
        </c:scaling>
        <c:delete val="0"/>
        <c:axPos val="l"/>
        <c:majorGridlines>
          <c:spPr>
            <a:ln w="9525" cap="flat" cmpd="sng" algn="ctr">
              <a:solidFill>
                <a:schemeClr val="bg1">
                  <a:lumMod val="75000"/>
                </a:schemeClr>
              </a:solidFill>
              <a:prstDash val="solid"/>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Calibri" panose="020F0502020204030204" pitchFamily="34" charset="0"/>
                    <a:ea typeface="+mn-ea"/>
                    <a:cs typeface="Calibri" panose="020F0502020204030204" pitchFamily="34" charset="0"/>
                  </a:defRPr>
                </a:pPr>
                <a:r>
                  <a:rPr lang="pl-PL"/>
                  <a:t>[GWh]</a:t>
                </a:r>
              </a:p>
            </c:rich>
          </c:tx>
          <c:layout>
            <c:manualLayout>
              <c:xMode val="edge"/>
              <c:yMode val="edge"/>
              <c:x val="2.3299054203638536E-2"/>
              <c:y val="0.415368027457773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Calibri" panose="020F0502020204030204" pitchFamily="34" charset="0"/>
                  <a:ea typeface="+mn-ea"/>
                  <a:cs typeface="Calibri" panose="020F0502020204030204" pitchFamily="34" charset="0"/>
                </a:defRPr>
              </a:pPr>
              <a:endParaRPr lang="pl-PL"/>
            </a:p>
          </c:txPr>
        </c:title>
        <c:numFmt formatCode="#,##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Calibri" panose="020F0502020204030204" pitchFamily="34" charset="0"/>
              </a:defRPr>
            </a:pPr>
            <a:endParaRPr lang="pl-PL"/>
          </a:p>
        </c:txPr>
        <c:crossAx val="459072400"/>
        <c:crosses val="autoZero"/>
        <c:crossBetween val="between"/>
      </c:valAx>
      <c:spPr>
        <a:solidFill>
          <a:schemeClr val="bg1"/>
        </a:solidFill>
        <a:ln>
          <a:noFill/>
        </a:ln>
        <a:effectLst/>
      </c:spPr>
    </c:plotArea>
    <c:legend>
      <c:legendPos val="r"/>
      <c:layout>
        <c:manualLayout>
          <c:xMode val="edge"/>
          <c:yMode val="edge"/>
          <c:x val="6.337355008043348E-2"/>
          <c:y val="0.90998646023678476"/>
          <c:w val="0.85866946067225469"/>
          <c:h val="4.789433701912840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Calibri" panose="020F0502020204030204" pitchFamily="34" charset="0"/>
              <a:ea typeface="+mn-ea"/>
              <a:cs typeface="Calibri" panose="020F0502020204030204" pitchFamily="34" charset="0"/>
            </a:defRPr>
          </a:pPr>
          <a:endParaRPr lang="pl-PL"/>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sz="900">
          <a:latin typeface="Calibri" panose="020F0502020204030204" pitchFamily="34" charset="0"/>
          <a:cs typeface="Calibri" panose="020F0502020204030204" pitchFamily="34" charset="0"/>
        </a:defRPr>
      </a:pPr>
      <a:endParaRPr lang="pl-PL"/>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Produkcja ciepła</a:t>
            </a:r>
            <a:r>
              <a:rPr lang="pl-PL"/>
              <a:t> sieciowego</a:t>
            </a:r>
            <a:endParaRPr lang="en-US"/>
          </a:p>
        </c:rich>
      </c:tx>
      <c:overlay val="1"/>
    </c:title>
    <c:autoTitleDeleted val="0"/>
    <c:plotArea>
      <c:layout>
        <c:manualLayout>
          <c:layoutTarget val="inner"/>
          <c:xMode val="edge"/>
          <c:yMode val="edge"/>
          <c:x val="0.24443187253454846"/>
          <c:y val="0.1396556199705806"/>
          <c:w val="0.74278455232286023"/>
          <c:h val="0.61963181175779602"/>
        </c:manualLayout>
      </c:layout>
      <c:lineChart>
        <c:grouping val="standard"/>
        <c:varyColors val="0"/>
        <c:ser>
          <c:idx val="1"/>
          <c:order val="0"/>
          <c:tx>
            <c:strRef>
              <c:f>ELE_cieplo!$B$9</c:f>
              <c:strCache>
                <c:ptCount val="1"/>
                <c:pt idx="0">
                  <c:v>Ciepło sieciowe [TJ]</c:v>
                </c:pt>
              </c:strCache>
            </c:strRef>
          </c:tx>
          <c:spPr>
            <a:ln>
              <a:solidFill>
                <a:schemeClr val="accent3">
                  <a:lumMod val="50000"/>
                </a:schemeClr>
              </a:solidFill>
            </a:ln>
          </c:spPr>
          <c:marker>
            <c:symbol val="square"/>
            <c:size val="5"/>
            <c:spPr>
              <a:solidFill>
                <a:schemeClr val="accent3">
                  <a:lumMod val="50000"/>
                </a:schemeClr>
              </a:solidFill>
              <a:ln>
                <a:solidFill>
                  <a:schemeClr val="accent3">
                    <a:lumMod val="50000"/>
                  </a:schemeClr>
                </a:solidFill>
              </a:ln>
            </c:spPr>
          </c:marker>
          <c:cat>
            <c:numRef>
              <c:f>(ELE_cieplo!$C$7:$D$7,ELE_cieplo!$F$7:$J$7)</c:f>
              <c:numCache>
                <c:formatCode>0</c:formatCode>
                <c:ptCount val="7"/>
                <c:pt idx="0">
                  <c:v>2005</c:v>
                </c:pt>
                <c:pt idx="1">
                  <c:v>2010</c:v>
                </c:pt>
                <c:pt idx="2">
                  <c:v>2020</c:v>
                </c:pt>
                <c:pt idx="3">
                  <c:v>2025</c:v>
                </c:pt>
                <c:pt idx="4">
                  <c:v>2030</c:v>
                </c:pt>
                <c:pt idx="5">
                  <c:v>2035</c:v>
                </c:pt>
                <c:pt idx="6">
                  <c:v>2040</c:v>
                </c:pt>
              </c:numCache>
              <c:extLst/>
            </c:numRef>
          </c:cat>
          <c:val>
            <c:numRef>
              <c:f>(ELE_cieplo!$C$9:$D$9,ELE_cieplo!$F$9:$J$9)</c:f>
              <c:numCache>
                <c:formatCode>#,##0</c:formatCode>
                <c:ptCount val="7"/>
                <c:pt idx="0">
                  <c:v>336291.55300000001</c:v>
                </c:pt>
                <c:pt idx="1">
                  <c:v>335830.68700000003</c:v>
                </c:pt>
                <c:pt idx="2">
                  <c:v>285870.00404607161</c:v>
                </c:pt>
                <c:pt idx="3">
                  <c:v>270810.33847199992</c:v>
                </c:pt>
                <c:pt idx="4">
                  <c:v>241151.79481200001</c:v>
                </c:pt>
                <c:pt idx="5">
                  <c:v>208312.806132</c:v>
                </c:pt>
                <c:pt idx="6">
                  <c:v>194754.64245119999</c:v>
                </c:pt>
              </c:numCache>
              <c:extLst/>
            </c:numRef>
          </c:val>
          <c:smooth val="0"/>
          <c:extLst>
            <c:ext xmlns:c16="http://schemas.microsoft.com/office/drawing/2014/chart" uri="{C3380CC4-5D6E-409C-BE32-E72D297353CC}">
              <c16:uniqueId val="{00000000-CD3F-4395-9B67-9A06A0C971C2}"/>
            </c:ext>
          </c:extLst>
        </c:ser>
        <c:dLbls>
          <c:showLegendKey val="0"/>
          <c:showVal val="0"/>
          <c:showCatName val="0"/>
          <c:showSerName val="0"/>
          <c:showPercent val="0"/>
          <c:showBubbleSize val="0"/>
        </c:dLbls>
        <c:marker val="1"/>
        <c:smooth val="0"/>
        <c:axId val="574250080"/>
        <c:axId val="461430600"/>
      </c:lineChart>
      <c:catAx>
        <c:axId val="574250080"/>
        <c:scaling>
          <c:orientation val="minMax"/>
        </c:scaling>
        <c:delete val="0"/>
        <c:axPos val="b"/>
        <c:numFmt formatCode="0" sourceLinked="1"/>
        <c:majorTickMark val="out"/>
        <c:minorTickMark val="none"/>
        <c:tickLblPos val="nextTo"/>
        <c:crossAx val="461430600"/>
        <c:crosses val="autoZero"/>
        <c:auto val="1"/>
        <c:lblAlgn val="ctr"/>
        <c:lblOffset val="100"/>
        <c:noMultiLvlLbl val="0"/>
      </c:catAx>
      <c:valAx>
        <c:axId val="461430600"/>
        <c:scaling>
          <c:orientation val="minMax"/>
        </c:scaling>
        <c:delete val="0"/>
        <c:axPos val="l"/>
        <c:majorGridlines>
          <c:spPr>
            <a:ln>
              <a:solidFill>
                <a:schemeClr val="bg1">
                  <a:lumMod val="75000"/>
                </a:schemeClr>
              </a:solidFill>
            </a:ln>
          </c:spPr>
        </c:majorGridlines>
        <c:title>
          <c:tx>
            <c:rich>
              <a:bodyPr/>
              <a:lstStyle/>
              <a:p>
                <a:pPr>
                  <a:defRPr/>
                </a:pPr>
                <a:r>
                  <a:rPr lang="pl-PL"/>
                  <a:t>[TJ]</a:t>
                </a:r>
              </a:p>
            </c:rich>
          </c:tx>
          <c:layout>
            <c:manualLayout>
              <c:xMode val="edge"/>
              <c:yMode val="edge"/>
              <c:x val="2.3299054203638536E-2"/>
              <c:y val="0.46340948987898745"/>
            </c:manualLayout>
          </c:layout>
          <c:overlay val="0"/>
        </c:title>
        <c:numFmt formatCode="#,##0" sourceLinked="1"/>
        <c:majorTickMark val="out"/>
        <c:minorTickMark val="none"/>
        <c:tickLblPos val="nextTo"/>
        <c:crossAx val="574250080"/>
        <c:crosses val="autoZero"/>
        <c:crossBetween val="between"/>
      </c:valAx>
    </c:plotArea>
    <c:legend>
      <c:legendPos val="r"/>
      <c:layout>
        <c:manualLayout>
          <c:xMode val="edge"/>
          <c:yMode val="edge"/>
          <c:x val="8.7462260094732236E-2"/>
          <c:y val="0.90184566090077889"/>
          <c:w val="0.85866946067225469"/>
          <c:h val="7.1130444358790818E-2"/>
        </c:manualLayout>
      </c:layout>
      <c:overlay val="0"/>
    </c:legend>
    <c:plotVisOnly val="1"/>
    <c:dispBlanksAs val="gap"/>
    <c:showDLblsOverMax val="0"/>
  </c:chart>
  <c:txPr>
    <a:bodyPr/>
    <a:lstStyle/>
    <a:p>
      <a:pPr>
        <a:defRPr sz="900">
          <a:latin typeface="Calibri" panose="020F0502020204030204" pitchFamily="34" charset="0"/>
          <a:cs typeface="Calibri" panose="020F0502020204030204" pitchFamily="34" charset="0"/>
        </a:defRPr>
      </a:pPr>
      <a:endParaRPr lang="pl-PL"/>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117463003570607E-2"/>
          <c:y val="0.10988740861563438"/>
          <c:w val="0.63065049381351146"/>
          <c:h val="0.78832656820291269"/>
        </c:manualLayout>
      </c:layout>
      <c:barChart>
        <c:barDir val="col"/>
        <c:grouping val="stacked"/>
        <c:varyColors val="0"/>
        <c:ser>
          <c:idx val="0"/>
          <c:order val="0"/>
          <c:tx>
            <c:strRef>
              <c:f>a_ELE_cieplo!$AX$34</c:f>
              <c:strCache>
                <c:ptCount val="1"/>
                <c:pt idx="0">
                  <c:v>Węgiel brunatny</c:v>
                </c:pt>
              </c:strCache>
            </c:strRef>
          </c:tx>
          <c:spPr>
            <a:solidFill>
              <a:srgbClr val="993300">
                <a:alpha val="70000"/>
              </a:srgbClr>
            </a:solidFill>
            <a:ln w="25400">
              <a:noFill/>
            </a:ln>
          </c:spPr>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a_ELE_cieplo!$AY$34:$BF$34</c:f>
              <c:numCache>
                <c:formatCode>0.0</c:formatCode>
                <c:ptCount val="8"/>
                <c:pt idx="0">
                  <c:v>54.758000000000003</c:v>
                </c:pt>
                <c:pt idx="1">
                  <c:v>48.651000000000003</c:v>
                </c:pt>
                <c:pt idx="2">
                  <c:v>52.825000000000003</c:v>
                </c:pt>
                <c:pt idx="3">
                  <c:v>38.147679000000004</c:v>
                </c:pt>
                <c:pt idx="4">
                  <c:v>29.393487293889603</c:v>
                </c:pt>
                <c:pt idx="5">
                  <c:v>13.957602247699199</c:v>
                </c:pt>
              </c:numCache>
              <c:extLst/>
            </c:numRef>
          </c:val>
          <c:extLst>
            <c:ext xmlns:c16="http://schemas.microsoft.com/office/drawing/2014/chart" uri="{C3380CC4-5D6E-409C-BE32-E72D297353CC}">
              <c16:uniqueId val="{00000000-DF1C-4366-819D-FB5156D856A7}"/>
            </c:ext>
          </c:extLst>
        </c:ser>
        <c:ser>
          <c:idx val="1"/>
          <c:order val="1"/>
          <c:tx>
            <c:strRef>
              <c:f>a_ELE_cieplo!$AX$35</c:f>
              <c:strCache>
                <c:ptCount val="1"/>
                <c:pt idx="0">
                  <c:v>Węgiel kamienny</c:v>
                </c:pt>
              </c:strCache>
            </c:strRef>
          </c:tx>
          <c:spPr>
            <a:solidFill>
              <a:sysClr val="windowText" lastClr="000000">
                <a:alpha val="70000"/>
              </a:sysClr>
            </a:solidFill>
            <a:ln w="25400">
              <a:noFill/>
            </a:ln>
          </c:spPr>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a_ELE_cieplo!$AY$35:$BF$35</c:f>
              <c:numCache>
                <c:formatCode>0.0</c:formatCode>
                <c:ptCount val="8"/>
                <c:pt idx="0">
                  <c:v>88.486999999999995</c:v>
                </c:pt>
                <c:pt idx="1">
                  <c:v>89.337000000000003</c:v>
                </c:pt>
                <c:pt idx="2">
                  <c:v>79.438999999999993</c:v>
                </c:pt>
                <c:pt idx="3">
                  <c:v>70.708617000000004</c:v>
                </c:pt>
                <c:pt idx="4">
                  <c:v>57.637023571708802</c:v>
                </c:pt>
                <c:pt idx="5">
                  <c:v>27.449629759689604</c:v>
                </c:pt>
              </c:numCache>
              <c:extLst/>
            </c:numRef>
          </c:val>
          <c:extLst>
            <c:ext xmlns:c16="http://schemas.microsoft.com/office/drawing/2014/chart" uri="{C3380CC4-5D6E-409C-BE32-E72D297353CC}">
              <c16:uniqueId val="{00000001-DF1C-4366-819D-FB5156D856A7}"/>
            </c:ext>
          </c:extLst>
        </c:ser>
        <c:ser>
          <c:idx val="16"/>
          <c:order val="2"/>
          <c:tx>
            <c:strRef>
              <c:f>a_ELE_cieplo!$AX$36</c:f>
              <c:strCache>
                <c:ptCount val="1"/>
                <c:pt idx="0">
                  <c:v>Węgiel kamienny/brunatny</c:v>
                </c:pt>
              </c:strCache>
            </c:strRef>
          </c:tx>
          <c:spPr>
            <a:pattFill prst="dkDnDiag">
              <a:fgClr>
                <a:srgbClr val="ED7D31">
                  <a:lumMod val="75000"/>
                </a:srgbClr>
              </a:fgClr>
              <a:bgClr>
                <a:srgbClr val="A5A5A5">
                  <a:lumMod val="50000"/>
                </a:srgbClr>
              </a:bgClr>
            </a:pattFill>
          </c:spPr>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a_ELE_cieplo!$AY$36:$BF$36</c:f>
              <c:numCache>
                <c:formatCode>General</c:formatCode>
                <c:ptCount val="8"/>
                <c:pt idx="6" formatCode="0.0">
                  <c:v>13.261496783208001</c:v>
                </c:pt>
                <c:pt idx="7" formatCode="0.0">
                  <c:v>0</c:v>
                </c:pt>
              </c:numCache>
              <c:extLst/>
            </c:numRef>
          </c:val>
          <c:extLst>
            <c:ext xmlns:c16="http://schemas.microsoft.com/office/drawing/2014/chart" uri="{C3380CC4-5D6E-409C-BE32-E72D297353CC}">
              <c16:uniqueId val="{00000002-DF1C-4366-819D-FB5156D856A7}"/>
            </c:ext>
          </c:extLst>
        </c:ser>
        <c:ser>
          <c:idx val="2"/>
          <c:order val="3"/>
          <c:tx>
            <c:strRef>
              <c:f>a_ELE_cieplo!$AX$37</c:f>
              <c:strCache>
                <c:ptCount val="1"/>
                <c:pt idx="0">
                  <c:v>Paliwa gazowe</c:v>
                </c:pt>
              </c:strCache>
            </c:strRef>
          </c:tx>
          <c:spPr>
            <a:solidFill>
              <a:srgbClr val="FFAA32">
                <a:alpha val="70000"/>
              </a:srgbClr>
            </a:solidFill>
            <a:ln w="25400">
              <a:noFill/>
            </a:ln>
          </c:spPr>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a_ELE_cieplo!$AY$37:$BF$37</c:f>
              <c:numCache>
                <c:formatCode>0.0</c:formatCode>
                <c:ptCount val="8"/>
                <c:pt idx="0">
                  <c:v>5.2229999999999999</c:v>
                </c:pt>
                <c:pt idx="1">
                  <c:v>5.1050000000000004</c:v>
                </c:pt>
                <c:pt idx="2">
                  <c:v>6.444</c:v>
                </c:pt>
                <c:pt idx="3">
                  <c:v>17.364408000000005</c:v>
                </c:pt>
                <c:pt idx="4">
                  <c:v>31.825958189999994</c:v>
                </c:pt>
                <c:pt idx="5">
                  <c:v>41.588357981999991</c:v>
                </c:pt>
                <c:pt idx="6">
                  <c:v>27.764974613999996</c:v>
                </c:pt>
                <c:pt idx="7">
                  <c:v>15.863884769999999</c:v>
                </c:pt>
              </c:numCache>
              <c:extLst/>
            </c:numRef>
          </c:val>
          <c:extLst>
            <c:ext xmlns:c16="http://schemas.microsoft.com/office/drawing/2014/chart" uri="{C3380CC4-5D6E-409C-BE32-E72D297353CC}">
              <c16:uniqueId val="{00000003-DF1C-4366-819D-FB5156D856A7}"/>
            </c:ext>
          </c:extLst>
        </c:ser>
        <c:ser>
          <c:idx val="13"/>
          <c:order val="4"/>
          <c:tx>
            <c:strRef>
              <c:f>a_ELE_cieplo!$AX$48</c:f>
              <c:strCache>
                <c:ptCount val="1"/>
                <c:pt idx="0">
                  <c:v>Biogaz, biometan, wodór</c:v>
                </c:pt>
              </c:strCache>
            </c:strRef>
          </c:tx>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a_ELE_cieplo!$AY$48:$BF$48</c:f>
              <c:numCache>
                <c:formatCode>0.0</c:formatCode>
                <c:ptCount val="8"/>
                <c:pt idx="0">
                  <c:v>0.11</c:v>
                </c:pt>
                <c:pt idx="1">
                  <c:v>0</c:v>
                </c:pt>
                <c:pt idx="2">
                  <c:v>0</c:v>
                </c:pt>
                <c:pt idx="3">
                  <c:v>0</c:v>
                </c:pt>
                <c:pt idx="4">
                  <c:v>0</c:v>
                </c:pt>
                <c:pt idx="5">
                  <c:v>0</c:v>
                </c:pt>
                <c:pt idx="6">
                  <c:v>1.2968939100000001</c:v>
                </c:pt>
                <c:pt idx="7">
                  <c:v>14.348886569999998</c:v>
                </c:pt>
              </c:numCache>
              <c:extLst/>
            </c:numRef>
          </c:val>
          <c:extLst>
            <c:ext xmlns:c16="http://schemas.microsoft.com/office/drawing/2014/chart" uri="{C3380CC4-5D6E-409C-BE32-E72D297353CC}">
              <c16:uniqueId val="{00000004-DF1C-4366-819D-FB5156D856A7}"/>
            </c:ext>
          </c:extLst>
        </c:ser>
        <c:ser>
          <c:idx val="3"/>
          <c:order val="5"/>
          <c:tx>
            <c:strRef>
              <c:f>a_ELE_cieplo!$AX$38</c:f>
              <c:strCache>
                <c:ptCount val="1"/>
                <c:pt idx="0">
                  <c:v>Olej opałowy </c:v>
                </c:pt>
              </c:strCache>
            </c:strRef>
          </c:tx>
          <c:spPr>
            <a:solidFill>
              <a:schemeClr val="accent2"/>
            </a:solidFill>
            <a:ln w="25400">
              <a:noFill/>
            </a:ln>
          </c:spPr>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a_ELE_cieplo!$AY$38:$BF$38</c:f>
              <c:numCache>
                <c:formatCode>0.0</c:formatCode>
                <c:ptCount val="8"/>
                <c:pt idx="0">
                  <c:v>2.6930000000000001</c:v>
                </c:pt>
                <c:pt idx="1">
                  <c:v>2.585</c:v>
                </c:pt>
                <c:pt idx="2">
                  <c:v>2.0609999999999999</c:v>
                </c:pt>
                <c:pt idx="3">
                  <c:v>1.6719999999999999</c:v>
                </c:pt>
                <c:pt idx="4">
                  <c:v>1.7878000351199999</c:v>
                </c:pt>
                <c:pt idx="5">
                  <c:v>1.4243960299151996</c:v>
                </c:pt>
                <c:pt idx="6">
                  <c:v>1.2256178213519999</c:v>
                </c:pt>
                <c:pt idx="7">
                  <c:v>0.90227999999999997</c:v>
                </c:pt>
              </c:numCache>
              <c:extLst/>
            </c:numRef>
          </c:val>
          <c:extLst>
            <c:ext xmlns:c16="http://schemas.microsoft.com/office/drawing/2014/chart" uri="{C3380CC4-5D6E-409C-BE32-E72D297353CC}">
              <c16:uniqueId val="{00000005-DF1C-4366-819D-FB5156D856A7}"/>
            </c:ext>
          </c:extLst>
        </c:ser>
        <c:ser>
          <c:idx val="4"/>
          <c:order val="6"/>
          <c:tx>
            <c:strRef>
              <c:f>a_ELE_cieplo!$AX$39</c:f>
              <c:strCache>
                <c:ptCount val="1"/>
                <c:pt idx="0">
                  <c:v>Energia jądrowa</c:v>
                </c:pt>
              </c:strCache>
            </c:strRef>
          </c:tx>
          <c:spPr>
            <a:solidFill>
              <a:srgbClr val="C00000">
                <a:alpha val="70000"/>
              </a:srgbClr>
            </a:solidFill>
            <a:ln w="25400">
              <a:noFill/>
            </a:ln>
          </c:spPr>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a_ELE_cieplo!$AY$39:$BF$39</c:f>
              <c:numCache>
                <c:formatCode>0.0</c:formatCode>
                <c:ptCount val="8"/>
                <c:pt idx="0">
                  <c:v>0</c:v>
                </c:pt>
                <c:pt idx="1">
                  <c:v>0</c:v>
                </c:pt>
                <c:pt idx="2">
                  <c:v>0</c:v>
                </c:pt>
                <c:pt idx="3">
                  <c:v>0</c:v>
                </c:pt>
                <c:pt idx="4">
                  <c:v>0</c:v>
                </c:pt>
                <c:pt idx="5">
                  <c:v>0</c:v>
                </c:pt>
                <c:pt idx="6">
                  <c:v>0</c:v>
                </c:pt>
                <c:pt idx="7">
                  <c:v>27.442233000000002</c:v>
                </c:pt>
              </c:numCache>
              <c:extLst/>
            </c:numRef>
          </c:val>
          <c:extLst>
            <c:ext xmlns:c16="http://schemas.microsoft.com/office/drawing/2014/chart" uri="{C3380CC4-5D6E-409C-BE32-E72D297353CC}">
              <c16:uniqueId val="{00000006-DF1C-4366-819D-FB5156D856A7}"/>
            </c:ext>
          </c:extLst>
        </c:ser>
        <c:ser>
          <c:idx val="8"/>
          <c:order val="7"/>
          <c:tx>
            <c:strRef>
              <c:f>a_ELE_cieplo!$AX$43</c:f>
              <c:strCache>
                <c:ptCount val="1"/>
                <c:pt idx="0">
                  <c:v>Z wody przepompowanej</c:v>
                </c:pt>
              </c:strCache>
            </c:strRef>
          </c:tx>
          <c:spPr>
            <a:solidFill>
              <a:srgbClr val="4472C4">
                <a:lumMod val="75000"/>
                <a:alpha val="70000"/>
              </a:srgbClr>
            </a:solidFill>
            <a:ln w="25400">
              <a:noFill/>
            </a:ln>
          </c:spPr>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a_ELE_cieplo!$AY$43:$BF$43</c:f>
              <c:numCache>
                <c:formatCode>0.0</c:formatCode>
                <c:ptCount val="8"/>
                <c:pt idx="0">
                  <c:v>1.577</c:v>
                </c:pt>
                <c:pt idx="1">
                  <c:v>0.56799999999999995</c:v>
                </c:pt>
                <c:pt idx="2">
                  <c:v>0.60299999999999998</c:v>
                </c:pt>
                <c:pt idx="3">
                  <c:v>0.81599999999999995</c:v>
                </c:pt>
                <c:pt idx="4">
                  <c:v>1.432691868</c:v>
                </c:pt>
                <c:pt idx="5">
                  <c:v>3.2510506199999996</c:v>
                </c:pt>
                <c:pt idx="6">
                  <c:v>3.6098208000000001</c:v>
                </c:pt>
                <c:pt idx="7">
                  <c:v>3.9548771999999999</c:v>
                </c:pt>
              </c:numCache>
              <c:extLst/>
            </c:numRef>
          </c:val>
          <c:extLst>
            <c:ext xmlns:c16="http://schemas.microsoft.com/office/drawing/2014/chart" uri="{C3380CC4-5D6E-409C-BE32-E72D297353CC}">
              <c16:uniqueId val="{00000007-DF1C-4366-819D-FB5156D856A7}"/>
            </c:ext>
          </c:extLst>
        </c:ser>
        <c:ser>
          <c:idx val="7"/>
          <c:order val="8"/>
          <c:tx>
            <c:strRef>
              <c:f>a_ELE_cieplo!$AX$42</c:f>
              <c:strCache>
                <c:ptCount val="1"/>
                <c:pt idx="0">
                  <c:v>Energia wodna </c:v>
                </c:pt>
              </c:strCache>
            </c:strRef>
          </c:tx>
          <c:spPr>
            <a:solidFill>
              <a:schemeClr val="accent5"/>
            </a:solidFill>
            <a:ln w="25400">
              <a:noFill/>
            </a:ln>
          </c:spPr>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a_ELE_cieplo!$AY$42:$BF$42</c:f>
              <c:numCache>
                <c:formatCode>0.0</c:formatCode>
                <c:ptCount val="8"/>
                <c:pt idx="0">
                  <c:v>2.2010000000000001</c:v>
                </c:pt>
                <c:pt idx="1">
                  <c:v>2.92</c:v>
                </c:pt>
                <c:pt idx="2">
                  <c:v>1.8320000000000001</c:v>
                </c:pt>
                <c:pt idx="3">
                  <c:v>2.1150000000000002</c:v>
                </c:pt>
                <c:pt idx="4">
                  <c:v>2.5963588800000004</c:v>
                </c:pt>
                <c:pt idx="5">
                  <c:v>2.8808836799999997</c:v>
                </c:pt>
                <c:pt idx="6">
                  <c:v>2.9530660800000006</c:v>
                </c:pt>
                <c:pt idx="7">
                  <c:v>3.0252484800000001</c:v>
                </c:pt>
              </c:numCache>
              <c:extLst/>
            </c:numRef>
          </c:val>
          <c:extLst>
            <c:ext xmlns:c16="http://schemas.microsoft.com/office/drawing/2014/chart" uri="{C3380CC4-5D6E-409C-BE32-E72D297353CC}">
              <c16:uniqueId val="{00000008-DF1C-4366-819D-FB5156D856A7}"/>
            </c:ext>
          </c:extLst>
        </c:ser>
        <c:ser>
          <c:idx val="5"/>
          <c:order val="9"/>
          <c:tx>
            <c:strRef>
              <c:f>a_ELE_cieplo!$AX$40</c:f>
              <c:strCache>
                <c:ptCount val="1"/>
                <c:pt idx="0">
                  <c:v>Biomasa</c:v>
                </c:pt>
              </c:strCache>
            </c:strRef>
          </c:tx>
          <c:spPr>
            <a:solidFill>
              <a:srgbClr val="70AD47">
                <a:lumMod val="40000"/>
                <a:lumOff val="60000"/>
                <a:alpha val="70000"/>
              </a:srgbClr>
            </a:solidFill>
            <a:ln w="25400">
              <a:noFill/>
            </a:ln>
          </c:spPr>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a_ELE_cieplo!$AY$40:$BF$40</c:f>
              <c:numCache>
                <c:formatCode>0.0</c:formatCode>
                <c:ptCount val="8"/>
                <c:pt idx="0">
                  <c:v>1.401</c:v>
                </c:pt>
                <c:pt idx="1">
                  <c:v>5.907</c:v>
                </c:pt>
                <c:pt idx="2">
                  <c:v>9.0259999999999998</c:v>
                </c:pt>
                <c:pt idx="3">
                  <c:v>6.9327550000000002</c:v>
                </c:pt>
                <c:pt idx="4">
                  <c:v>6.1912295412815981</c:v>
                </c:pt>
                <c:pt idx="5">
                  <c:v>5.6477097474959992</c:v>
                </c:pt>
                <c:pt idx="6">
                  <c:v>4.4916295034400004</c:v>
                </c:pt>
                <c:pt idx="7">
                  <c:v>4.0747687499999996</c:v>
                </c:pt>
              </c:numCache>
              <c:extLst/>
            </c:numRef>
          </c:val>
          <c:extLst>
            <c:ext xmlns:c16="http://schemas.microsoft.com/office/drawing/2014/chart" uri="{C3380CC4-5D6E-409C-BE32-E72D297353CC}">
              <c16:uniqueId val="{00000009-DF1C-4366-819D-FB5156D856A7}"/>
            </c:ext>
          </c:extLst>
        </c:ser>
        <c:ser>
          <c:idx val="9"/>
          <c:order val="10"/>
          <c:tx>
            <c:strRef>
              <c:f>a_ELE_cieplo!$AX$44</c:f>
              <c:strCache>
                <c:ptCount val="1"/>
                <c:pt idx="0">
                  <c:v>Energia wiatru na lądzie</c:v>
                </c:pt>
              </c:strCache>
            </c:strRef>
          </c:tx>
          <c:spPr>
            <a:solidFill>
              <a:srgbClr val="006600">
                <a:alpha val="70000"/>
              </a:srgbClr>
            </a:solidFill>
            <a:ln w="25400">
              <a:noFill/>
            </a:ln>
          </c:spPr>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a_ELE_cieplo!$AY$44:$BF$44</c:f>
              <c:numCache>
                <c:formatCode>0.0</c:formatCode>
                <c:ptCount val="8"/>
                <c:pt idx="0">
                  <c:v>0.13500000000000001</c:v>
                </c:pt>
                <c:pt idx="1">
                  <c:v>1.6639999999999999</c:v>
                </c:pt>
                <c:pt idx="2">
                  <c:v>10.9</c:v>
                </c:pt>
                <c:pt idx="3">
                  <c:v>15.8</c:v>
                </c:pt>
                <c:pt idx="4">
                  <c:v>27.491070000000001</c:v>
                </c:pt>
                <c:pt idx="5">
                  <c:v>41.469664799999997</c:v>
                </c:pt>
                <c:pt idx="6">
                  <c:v>67.999412399999983</c:v>
                </c:pt>
                <c:pt idx="7">
                  <c:v>90.864413999999996</c:v>
                </c:pt>
              </c:numCache>
              <c:extLst/>
            </c:numRef>
          </c:val>
          <c:extLst>
            <c:ext xmlns:c16="http://schemas.microsoft.com/office/drawing/2014/chart" uri="{C3380CC4-5D6E-409C-BE32-E72D297353CC}">
              <c16:uniqueId val="{0000000A-DF1C-4366-819D-FB5156D856A7}"/>
            </c:ext>
          </c:extLst>
        </c:ser>
        <c:ser>
          <c:idx val="10"/>
          <c:order val="11"/>
          <c:tx>
            <c:strRef>
              <c:f>a_ELE_cieplo!$AX$45</c:f>
              <c:strCache>
                <c:ptCount val="1"/>
                <c:pt idx="0">
                  <c:v>Energia wiatru na morzu</c:v>
                </c:pt>
              </c:strCache>
            </c:strRef>
          </c:tx>
          <c:spPr>
            <a:solidFill>
              <a:srgbClr val="92D050">
                <a:alpha val="70000"/>
              </a:srgbClr>
            </a:solidFill>
            <a:ln w="25400">
              <a:noFill/>
            </a:ln>
          </c:spPr>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a_ELE_cieplo!$AY$45:$BF$45</c:f>
              <c:numCache>
                <c:formatCode>0.0</c:formatCode>
                <c:ptCount val="8"/>
                <c:pt idx="0">
                  <c:v>0</c:v>
                </c:pt>
                <c:pt idx="1">
                  <c:v>0</c:v>
                </c:pt>
                <c:pt idx="2">
                  <c:v>0</c:v>
                </c:pt>
                <c:pt idx="3">
                  <c:v>0</c:v>
                </c:pt>
                <c:pt idx="4">
                  <c:v>0</c:v>
                </c:pt>
                <c:pt idx="5">
                  <c:v>20.550697199999998</c:v>
                </c:pt>
                <c:pt idx="6">
                  <c:v>48.928454399999993</c:v>
                </c:pt>
                <c:pt idx="7">
                  <c:v>66.8999448</c:v>
                </c:pt>
              </c:numCache>
              <c:extLst/>
            </c:numRef>
          </c:val>
          <c:extLst>
            <c:ext xmlns:c16="http://schemas.microsoft.com/office/drawing/2014/chart" uri="{C3380CC4-5D6E-409C-BE32-E72D297353CC}">
              <c16:uniqueId val="{0000000B-DF1C-4366-819D-FB5156D856A7}"/>
            </c:ext>
          </c:extLst>
        </c:ser>
        <c:ser>
          <c:idx val="11"/>
          <c:order val="12"/>
          <c:tx>
            <c:strRef>
              <c:f>a_ELE_cieplo!$AX$46</c:f>
              <c:strCache>
                <c:ptCount val="1"/>
                <c:pt idx="0">
                  <c:v>Energia słoneczna</c:v>
                </c:pt>
              </c:strCache>
            </c:strRef>
          </c:tx>
          <c:spPr>
            <a:solidFill>
              <a:srgbClr val="FFFF00">
                <a:alpha val="70000"/>
              </a:srgbClr>
            </a:solidFill>
          </c:spPr>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a_ELE_cieplo!$AY$46:$BF$46</c:f>
              <c:numCache>
                <c:formatCode>0.0</c:formatCode>
                <c:ptCount val="8"/>
                <c:pt idx="0">
                  <c:v>0</c:v>
                </c:pt>
                <c:pt idx="1">
                  <c:v>0</c:v>
                </c:pt>
                <c:pt idx="2">
                  <c:v>5.7000000000000002E-2</c:v>
                </c:pt>
                <c:pt idx="3">
                  <c:v>1.9570000000000001</c:v>
                </c:pt>
                <c:pt idx="4">
                  <c:v>16.75131</c:v>
                </c:pt>
                <c:pt idx="5">
                  <c:v>26.375046000000001</c:v>
                </c:pt>
                <c:pt idx="6">
                  <c:v>36.227505599999994</c:v>
                </c:pt>
                <c:pt idx="7">
                  <c:v>46.8229884</c:v>
                </c:pt>
              </c:numCache>
              <c:extLst/>
            </c:numRef>
          </c:val>
          <c:extLst>
            <c:ext xmlns:c16="http://schemas.microsoft.com/office/drawing/2014/chart" uri="{C3380CC4-5D6E-409C-BE32-E72D297353CC}">
              <c16:uniqueId val="{0000000C-DF1C-4366-819D-FB5156D856A7}"/>
            </c:ext>
          </c:extLst>
        </c:ser>
        <c:ser>
          <c:idx val="14"/>
          <c:order val="13"/>
          <c:tx>
            <c:strRef>
              <c:f>a_ELE_cieplo!$AX$49</c:f>
              <c:strCache>
                <c:ptCount val="1"/>
                <c:pt idx="0">
                  <c:v>Pozostałe</c:v>
                </c:pt>
              </c:strCache>
            </c:strRef>
          </c:tx>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a_ELE_cieplo!$AY$49:$BF$49</c:f>
              <c:numCache>
                <c:formatCode>0.0</c:formatCode>
                <c:ptCount val="8"/>
                <c:pt idx="0">
                  <c:v>0.70999999999999985</c:v>
                </c:pt>
                <c:pt idx="1">
                  <c:v>1.0510000000000002</c:v>
                </c:pt>
                <c:pt idx="2">
                  <c:v>1.0349999999999999</c:v>
                </c:pt>
                <c:pt idx="3">
                  <c:v>1.5</c:v>
                </c:pt>
                <c:pt idx="4">
                  <c:v>2.3003120520000002</c:v>
                </c:pt>
                <c:pt idx="5">
                  <c:v>2.3971740000000001</c:v>
                </c:pt>
                <c:pt idx="6">
                  <c:v>2.1967495799999996</c:v>
                </c:pt>
                <c:pt idx="7">
                  <c:v>1.6798175999999998</c:v>
                </c:pt>
              </c:numCache>
              <c:extLst/>
            </c:numRef>
          </c:val>
          <c:extLst>
            <c:ext xmlns:c16="http://schemas.microsoft.com/office/drawing/2014/chart" uri="{C3380CC4-5D6E-409C-BE32-E72D297353CC}">
              <c16:uniqueId val="{0000000D-DF1C-4366-819D-FB5156D856A7}"/>
            </c:ext>
          </c:extLst>
        </c:ser>
        <c:ser>
          <c:idx val="15"/>
          <c:order val="14"/>
          <c:tx>
            <c:strRef>
              <c:f>a_ELE_cieplo!$AX$50</c:f>
              <c:strCache>
                <c:ptCount val="1"/>
                <c:pt idx="0">
                  <c:v>Mazyzyny energii</c:v>
                </c:pt>
              </c:strCache>
            </c:strRef>
          </c:tx>
          <c:spPr>
            <a:solidFill>
              <a:srgbClr val="FF99CC">
                <a:alpha val="70000"/>
              </a:srgbClr>
            </a:solidFill>
          </c:spPr>
          <c:invertIfNegative val="0"/>
          <c:cat>
            <c:numRef>
              <c:f>a_ELE_cieplo!$AY$33:$BF$33</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a_ELE_cieplo!$AY$50:$BF$50</c:f>
              <c:numCache>
                <c:formatCode>0.0</c:formatCode>
                <c:ptCount val="8"/>
                <c:pt idx="0">
                  <c:v>0</c:v>
                </c:pt>
                <c:pt idx="1">
                  <c:v>0</c:v>
                </c:pt>
                <c:pt idx="2">
                  <c:v>0</c:v>
                </c:pt>
                <c:pt idx="3">
                  <c:v>0</c:v>
                </c:pt>
                <c:pt idx="4">
                  <c:v>0.64145099999999999</c:v>
                </c:pt>
                <c:pt idx="5">
                  <c:v>3.6496350000000004</c:v>
                </c:pt>
                <c:pt idx="6">
                  <c:v>7.465604879999999</c:v>
                </c:pt>
                <c:pt idx="7">
                  <c:v>8.4494579999999981</c:v>
                </c:pt>
              </c:numCache>
              <c:extLst/>
            </c:numRef>
          </c:val>
          <c:extLst>
            <c:ext xmlns:c16="http://schemas.microsoft.com/office/drawing/2014/chart" uri="{C3380CC4-5D6E-409C-BE32-E72D297353CC}">
              <c16:uniqueId val="{0000000E-DF1C-4366-819D-FB5156D856A7}"/>
            </c:ext>
          </c:extLst>
        </c:ser>
        <c:dLbls>
          <c:showLegendKey val="0"/>
          <c:showVal val="0"/>
          <c:showCatName val="0"/>
          <c:showSerName val="0"/>
          <c:showPercent val="0"/>
          <c:showBubbleSize val="0"/>
        </c:dLbls>
        <c:gapWidth val="89"/>
        <c:overlap val="100"/>
        <c:axId val="537312880"/>
        <c:axId val="571609264"/>
        <c:extLst/>
      </c:barChart>
      <c:catAx>
        <c:axId val="537312880"/>
        <c:scaling>
          <c:orientation val="minMax"/>
        </c:scaling>
        <c:delete val="0"/>
        <c:axPos val="b"/>
        <c:numFmt formatCode="General" sourceLinked="1"/>
        <c:majorTickMark val="out"/>
        <c:minorTickMark val="none"/>
        <c:tickLblPos val="nextTo"/>
        <c:crossAx val="571609264"/>
        <c:crosses val="autoZero"/>
        <c:auto val="1"/>
        <c:lblAlgn val="ctr"/>
        <c:lblOffset val="100"/>
        <c:noMultiLvlLbl val="0"/>
      </c:catAx>
      <c:valAx>
        <c:axId val="571609264"/>
        <c:scaling>
          <c:orientation val="minMax"/>
          <c:max val="300"/>
        </c:scaling>
        <c:delete val="0"/>
        <c:axPos val="l"/>
        <c:majorGridlines>
          <c:spPr>
            <a:ln>
              <a:solidFill>
                <a:schemeClr val="bg1">
                  <a:lumMod val="85000"/>
                </a:schemeClr>
              </a:solidFill>
            </a:ln>
          </c:spPr>
        </c:majorGridlines>
        <c:title>
          <c:tx>
            <c:rich>
              <a:bodyPr rot="-5400000" vert="horz"/>
              <a:lstStyle/>
              <a:p>
                <a:pPr>
                  <a:defRPr sz="1000">
                    <a:latin typeface="Lato" panose="020F0502020204030203" pitchFamily="34" charset="0"/>
                    <a:ea typeface="Lato" panose="020F0502020204030203" pitchFamily="34" charset="0"/>
                    <a:cs typeface="Lato" panose="020F0502020204030203" pitchFamily="34" charset="0"/>
                  </a:defRPr>
                </a:pPr>
                <a:r>
                  <a:rPr lang="pl-PL" sz="1000">
                    <a:latin typeface="Lato" panose="020F0502020204030203" pitchFamily="34" charset="0"/>
                    <a:ea typeface="Lato" panose="020F0502020204030203" pitchFamily="34" charset="0"/>
                    <a:cs typeface="Lato" panose="020F0502020204030203" pitchFamily="34" charset="0"/>
                  </a:rPr>
                  <a:t>[TWh</a:t>
                </a:r>
                <a:r>
                  <a:rPr lang="en-US" sz="1000">
                    <a:latin typeface="Lato" panose="020F0502020204030203" pitchFamily="34" charset="0"/>
                    <a:ea typeface="Lato" panose="020F0502020204030203" pitchFamily="34" charset="0"/>
                    <a:cs typeface="Lato" panose="020F0502020204030203" pitchFamily="34" charset="0"/>
                  </a:rPr>
                  <a:t>]</a:t>
                </a:r>
              </a:p>
            </c:rich>
          </c:tx>
          <c:layout>
            <c:manualLayout>
              <c:xMode val="edge"/>
              <c:yMode val="edge"/>
              <c:x val="7.8836568821840716E-3"/>
              <c:y val="0.46976797101883194"/>
            </c:manualLayout>
          </c:layout>
          <c:overlay val="0"/>
        </c:title>
        <c:numFmt formatCode="#,##0" sourceLinked="0"/>
        <c:majorTickMark val="out"/>
        <c:minorTickMark val="none"/>
        <c:tickLblPos val="nextTo"/>
        <c:spPr>
          <a:noFill/>
        </c:spPr>
        <c:crossAx val="537312880"/>
        <c:crosses val="autoZero"/>
        <c:crossBetween val="between"/>
      </c:valAx>
      <c:spPr>
        <a:ln>
          <a:solidFill>
            <a:schemeClr val="bg1">
              <a:lumMod val="85000"/>
            </a:schemeClr>
          </a:solidFill>
        </a:ln>
      </c:spPr>
    </c:plotArea>
    <c:legend>
      <c:legendPos val="r"/>
      <c:layout>
        <c:manualLayout>
          <c:xMode val="edge"/>
          <c:yMode val="edge"/>
          <c:x val="0.71599990973350558"/>
          <c:y val="4.9234060425091791E-2"/>
          <c:w val="0.24706026330042077"/>
          <c:h val="0.91805652870419818"/>
        </c:manualLayout>
      </c:layout>
      <c:overlay val="0"/>
      <c:txPr>
        <a:bodyPr/>
        <a:lstStyle/>
        <a:p>
          <a:pPr>
            <a:spcAft>
              <a:spcPts val="600"/>
            </a:spcAft>
            <a:defRPr sz="1000">
              <a:latin typeface="Lato" panose="020F0502020204030203" pitchFamily="34" charset="0"/>
              <a:ea typeface="Lato" panose="020F0502020204030203" pitchFamily="34" charset="0"/>
              <a:cs typeface="Lato" panose="020F0502020204030203" pitchFamily="34" charset="0"/>
            </a:defRPr>
          </a:pPr>
          <a:endParaRPr lang="pl-PL"/>
        </a:p>
      </c:txPr>
    </c:legend>
    <c:plotVisOnly val="1"/>
    <c:dispBlanksAs val="zero"/>
    <c:showDLblsOverMax val="0"/>
  </c:chart>
  <c:spPr>
    <a:ln>
      <a:noFill/>
    </a:ln>
  </c:spPr>
  <c:txPr>
    <a:bodyPr/>
    <a:lstStyle/>
    <a:p>
      <a:pPr>
        <a:defRPr sz="900">
          <a:latin typeface="Calibri" panose="020F0502020204030204" pitchFamily="34" charset="0"/>
          <a:cs typeface="Calibri" panose="020F0502020204030204" pitchFamily="34" charset="0"/>
        </a:defRPr>
      </a:pPr>
      <a:endParaRPr lang="pl-PL"/>
    </a:p>
  </c:txPr>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669210522436071E-2"/>
          <c:y val="3.9332272551260136E-2"/>
          <c:w val="0.59464742313925911"/>
          <c:h val="0.9159095123307992"/>
        </c:manualLayout>
      </c:layout>
      <c:barChart>
        <c:barDir val="col"/>
        <c:grouping val="stacked"/>
        <c:varyColors val="0"/>
        <c:ser>
          <c:idx val="0"/>
          <c:order val="0"/>
          <c:tx>
            <c:strRef>
              <c:f>a_ELE_cieplo!$AX$80</c:f>
              <c:strCache>
                <c:ptCount val="1"/>
                <c:pt idx="0">
                  <c:v>EL_Węgiel brunatny</c:v>
                </c:pt>
              </c:strCache>
            </c:strRef>
          </c:tx>
          <c:spPr>
            <a:solidFill>
              <a:srgbClr val="993300">
                <a:alpha val="70000"/>
              </a:srgbClr>
            </a:solid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a_ELE_cieplo!$AY$80:$BH$80</c:f>
              <c:numCache>
                <c:formatCode>#,##0</c:formatCode>
                <c:ptCount val="8"/>
                <c:pt idx="0">
                  <c:v>8196.5</c:v>
                </c:pt>
                <c:pt idx="1">
                  <c:v>8144.8</c:v>
                </c:pt>
                <c:pt idx="2">
                  <c:v>8643</c:v>
                </c:pt>
                <c:pt idx="3">
                  <c:v>7445</c:v>
                </c:pt>
                <c:pt idx="4">
                  <c:v>7007</c:v>
                </c:pt>
              </c:numCache>
              <c:extLst/>
            </c:numRef>
          </c:val>
          <c:extLst>
            <c:ext xmlns:c16="http://schemas.microsoft.com/office/drawing/2014/chart" uri="{C3380CC4-5D6E-409C-BE32-E72D297353CC}">
              <c16:uniqueId val="{00000003-37F2-40C7-A418-33E64E9CC0D5}"/>
            </c:ext>
          </c:extLst>
        </c:ser>
        <c:ser>
          <c:idx val="2"/>
          <c:order val="1"/>
          <c:tx>
            <c:strRef>
              <c:f>a_ELE_cieplo!$AX$81</c:f>
              <c:strCache>
                <c:ptCount val="1"/>
                <c:pt idx="0">
                  <c:v>EL_Węgiel kamienny</c:v>
                </c:pt>
              </c:strCache>
            </c:strRef>
          </c:tx>
          <c:spPr>
            <a:solidFill>
              <a:schemeClr val="tx1">
                <a:alpha val="70000"/>
              </a:schemeClr>
            </a:solid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a_ELE_cieplo!$AY$81:$BH$81</c:f>
              <c:numCache>
                <c:formatCode>#,##0</c:formatCode>
                <c:ptCount val="8"/>
                <c:pt idx="0">
                  <c:v>14612.7</c:v>
                </c:pt>
                <c:pt idx="1">
                  <c:v>14654.8</c:v>
                </c:pt>
                <c:pt idx="2">
                  <c:v>13617</c:v>
                </c:pt>
                <c:pt idx="3">
                  <c:v>15889</c:v>
                </c:pt>
                <c:pt idx="4">
                  <c:v>14465</c:v>
                </c:pt>
              </c:numCache>
              <c:extLst/>
            </c:numRef>
          </c:val>
          <c:extLst>
            <c:ext xmlns:c16="http://schemas.microsoft.com/office/drawing/2014/chart" uri="{C3380CC4-5D6E-409C-BE32-E72D297353CC}">
              <c16:uniqueId val="{00000007-37F2-40C7-A418-33E64E9CC0D5}"/>
            </c:ext>
          </c:extLst>
        </c:ser>
        <c:ser>
          <c:idx val="21"/>
          <c:order val="2"/>
          <c:tx>
            <c:strRef>
              <c:f>a_ELE_cieplo!$AX$82</c:f>
              <c:strCache>
                <c:ptCount val="1"/>
                <c:pt idx="0">
                  <c:v>EL_Węgiel kamienny/brunatny</c:v>
                </c:pt>
              </c:strCache>
            </c:strRef>
          </c:tx>
          <c:spPr>
            <a:pattFill prst="dkDnDiag">
              <a:fgClr>
                <a:schemeClr val="accent2">
                  <a:lumMod val="75000"/>
                </a:schemeClr>
              </a:fgClr>
              <a:bgClr>
                <a:schemeClr val="accent3">
                  <a:lumMod val="50000"/>
                </a:schemeClr>
              </a:bgClr>
            </a:patt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a_ELE_cieplo!$AY$82:$BH$82</c:f>
              <c:numCache>
                <c:formatCode>General</c:formatCode>
                <c:ptCount val="8"/>
                <c:pt idx="5" formatCode="#,##0">
                  <c:v>14033</c:v>
                </c:pt>
              </c:numCache>
              <c:extLst/>
            </c:numRef>
          </c:val>
          <c:extLst>
            <c:ext xmlns:c16="http://schemas.microsoft.com/office/drawing/2014/chart" uri="{C3380CC4-5D6E-409C-BE32-E72D297353CC}">
              <c16:uniqueId val="{0000000A-37F2-40C7-A418-33E64E9CC0D5}"/>
            </c:ext>
          </c:extLst>
        </c:ser>
        <c:ser>
          <c:idx val="4"/>
          <c:order val="3"/>
          <c:tx>
            <c:strRef>
              <c:f>a_ELE_cieplo!$AX$84</c:f>
              <c:strCache>
                <c:ptCount val="1"/>
                <c:pt idx="0">
                  <c:v>EL_Paliwa gaz. kopalne i odn.</c:v>
                </c:pt>
              </c:strCache>
            </c:strRef>
          </c:tx>
          <c:spPr>
            <a:solidFill>
              <a:schemeClr val="accent2"/>
            </a:solid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a_ELE_cieplo!$AY$84:$BH$84</c:f>
              <c:numCache>
                <c:formatCode>#,##0</c:formatCode>
                <c:ptCount val="8"/>
                <c:pt idx="0">
                  <c:v>0</c:v>
                </c:pt>
                <c:pt idx="1">
                  <c:v>0</c:v>
                </c:pt>
                <c:pt idx="2">
                  <c:v>0</c:v>
                </c:pt>
                <c:pt idx="3">
                  <c:v>0</c:v>
                </c:pt>
                <c:pt idx="4">
                  <c:v>1915</c:v>
                </c:pt>
                <c:pt idx="5">
                  <c:v>6059</c:v>
                </c:pt>
              </c:numCache>
              <c:extLst/>
            </c:numRef>
          </c:val>
          <c:extLst>
            <c:ext xmlns:c16="http://schemas.microsoft.com/office/drawing/2014/chart" uri="{C3380CC4-5D6E-409C-BE32-E72D297353CC}">
              <c16:uniqueId val="{0000000C-37F2-40C7-A418-33E64E9CC0D5}"/>
            </c:ext>
          </c:extLst>
        </c:ser>
        <c:ser>
          <c:idx val="20"/>
          <c:order val="4"/>
          <c:tx>
            <c:strRef>
              <c:f>a_ELE_cieplo!$AX$83</c:f>
              <c:strCache>
                <c:ptCount val="1"/>
                <c:pt idx="0">
                  <c:v>EL_Węgiel/Paliwa gaz. kopalne i odn.</c:v>
                </c:pt>
              </c:strCache>
            </c:strRef>
          </c:tx>
          <c:spPr>
            <a:pattFill prst="dkUpDiag">
              <a:fgClr>
                <a:schemeClr val="bg2">
                  <a:lumMod val="50000"/>
                </a:schemeClr>
              </a:fgClr>
              <a:bgClr>
                <a:schemeClr val="accent2"/>
              </a:bgClr>
            </a:pattFill>
            <a:ln>
              <a:noFill/>
            </a:ln>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a_ELE_cieplo!$AY$83:$BH$83</c:f>
              <c:numCache>
                <c:formatCode>General</c:formatCode>
                <c:ptCount val="8"/>
                <c:pt idx="6" formatCode="#,##0">
                  <c:v>17117</c:v>
                </c:pt>
                <c:pt idx="7" formatCode="#,##0">
                  <c:v>12680</c:v>
                </c:pt>
              </c:numCache>
              <c:extLst/>
            </c:numRef>
          </c:val>
          <c:extLst>
            <c:ext xmlns:c16="http://schemas.microsoft.com/office/drawing/2014/chart" uri="{C3380CC4-5D6E-409C-BE32-E72D297353CC}">
              <c16:uniqueId val="{00000010-37F2-40C7-A418-33E64E9CC0D5}"/>
            </c:ext>
          </c:extLst>
        </c:ser>
        <c:ser>
          <c:idx val="11"/>
          <c:order val="5"/>
          <c:tx>
            <c:strRef>
              <c:f>a_ELE_cieplo!$AX$91</c:f>
              <c:strCache>
                <c:ptCount val="1"/>
                <c:pt idx="0">
                  <c:v>EC_Paliwa gaz. kopalne i odn.</c:v>
                </c:pt>
              </c:strCache>
            </c:strRef>
          </c:tx>
          <c:spPr>
            <a:solidFill>
              <a:srgbClr val="FFC000">
                <a:alpha val="70000"/>
              </a:srgbClr>
            </a:solid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a_ELE_cieplo!$AY$91:$BH$91</c:f>
              <c:numCache>
                <c:formatCode>#,##0</c:formatCode>
                <c:ptCount val="8"/>
                <c:pt idx="0">
                  <c:v>760.4</c:v>
                </c:pt>
                <c:pt idx="1">
                  <c:v>806.8</c:v>
                </c:pt>
                <c:pt idx="2">
                  <c:v>927.6</c:v>
                </c:pt>
                <c:pt idx="3">
                  <c:v>2688</c:v>
                </c:pt>
                <c:pt idx="4">
                  <c:v>5433.56</c:v>
                </c:pt>
                <c:pt idx="5">
                  <c:v>6869.66</c:v>
                </c:pt>
                <c:pt idx="6">
                  <c:v>7561.4800000000005</c:v>
                </c:pt>
                <c:pt idx="7">
                  <c:v>9227.89</c:v>
                </c:pt>
              </c:numCache>
              <c:extLst/>
            </c:numRef>
          </c:val>
          <c:extLst>
            <c:ext xmlns:c16="http://schemas.microsoft.com/office/drawing/2014/chart" uri="{C3380CC4-5D6E-409C-BE32-E72D297353CC}">
              <c16:uniqueId val="{00000011-37F2-40C7-A418-33E64E9CC0D5}"/>
            </c:ext>
          </c:extLst>
        </c:ser>
        <c:ser>
          <c:idx val="5"/>
          <c:order val="6"/>
          <c:tx>
            <c:strRef>
              <c:f>a_ELE_cieplo!$B$50</c:f>
              <c:strCache>
                <c:ptCount val="1"/>
                <c:pt idx="0">
                  <c:v>EL_Jądrowe systemowe</c:v>
                </c:pt>
              </c:strCache>
            </c:strRef>
          </c:tx>
          <c:spPr>
            <a:solidFill>
              <a:srgbClr val="C00000">
                <a:alpha val="70000"/>
              </a:srgbClr>
            </a:solidFill>
            <a:ln w="25400">
              <a:noFill/>
            </a:ln>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a_ELE_cieplo!$C$50:$L$50</c:f>
              <c:numCache>
                <c:formatCode>#,##0</c:formatCode>
                <c:ptCount val="8"/>
                <c:pt idx="0">
                  <c:v>0</c:v>
                </c:pt>
                <c:pt idx="1">
                  <c:v>0</c:v>
                </c:pt>
                <c:pt idx="2">
                  <c:v>0</c:v>
                </c:pt>
                <c:pt idx="3">
                  <c:v>0</c:v>
                </c:pt>
                <c:pt idx="4">
                  <c:v>0</c:v>
                </c:pt>
                <c:pt idx="5">
                  <c:v>0</c:v>
                </c:pt>
                <c:pt idx="6">
                  <c:v>0</c:v>
                </c:pt>
                <c:pt idx="7">
                  <c:v>3510</c:v>
                </c:pt>
              </c:numCache>
              <c:extLst/>
            </c:numRef>
          </c:val>
          <c:extLst>
            <c:ext xmlns:c16="http://schemas.microsoft.com/office/drawing/2014/chart" uri="{C3380CC4-5D6E-409C-BE32-E72D297353CC}">
              <c16:uniqueId val="{00000012-37F2-40C7-A418-33E64E9CC0D5}"/>
            </c:ext>
          </c:extLst>
        </c:ser>
        <c:ser>
          <c:idx val="6"/>
          <c:order val="7"/>
          <c:tx>
            <c:strRef>
              <c:f>a_ELE_cieplo!$B$51</c:f>
              <c:strCache>
                <c:ptCount val="1"/>
                <c:pt idx="0">
                  <c:v>EL_Jądrowe_SMR</c:v>
                </c:pt>
              </c:strCache>
              <c:extLst xmlns:c15="http://schemas.microsoft.com/office/drawing/2012/chart"/>
            </c:strRef>
          </c:tx>
          <c:spPr>
            <a:solidFill>
              <a:srgbClr val="FF0101"/>
            </a:solidFill>
            <a:ln w="25400">
              <a:noFill/>
            </a:ln>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xmlns:c15="http://schemas.microsoft.com/office/drawing/2012/chart"/>
            </c:numRef>
          </c:cat>
          <c:val>
            <c:numRef>
              <c:f>a_ELE_cieplo!$C$51:$L$51</c:f>
              <c:numCache>
                <c:formatCode>#,##0</c:formatCode>
                <c:ptCount val="8"/>
                <c:pt idx="0">
                  <c:v>0</c:v>
                </c:pt>
                <c:pt idx="1">
                  <c:v>0</c:v>
                </c:pt>
                <c:pt idx="2">
                  <c:v>0</c:v>
                </c:pt>
                <c:pt idx="3">
                  <c:v>0</c:v>
                </c:pt>
                <c:pt idx="4">
                  <c:v>0</c:v>
                </c:pt>
                <c:pt idx="5">
                  <c:v>0</c:v>
                </c:pt>
                <c:pt idx="6">
                  <c:v>0</c:v>
                </c:pt>
                <c:pt idx="7">
                  <c:v>0</c:v>
                </c:pt>
              </c:numCache>
              <c:extLst xmlns:c15="http://schemas.microsoft.com/office/drawing/2012/chart"/>
            </c:numRef>
          </c:val>
          <c:extLst xmlns:c15="http://schemas.microsoft.com/office/drawing/2012/chart">
            <c:ext xmlns:c16="http://schemas.microsoft.com/office/drawing/2014/chart" uri="{C3380CC4-5D6E-409C-BE32-E72D297353CC}">
              <c16:uniqueId val="{00000013-37F2-40C7-A418-33E64E9CC0D5}"/>
            </c:ext>
          </c:extLst>
        </c:ser>
        <c:ser>
          <c:idx val="9"/>
          <c:order val="8"/>
          <c:tx>
            <c:strRef>
              <c:f>a_ELE_cieplo!$B$54</c:f>
              <c:strCache>
                <c:ptCount val="1"/>
                <c:pt idx="0">
                  <c:v>EC_Przemysłowe</c:v>
                </c:pt>
              </c:strCache>
            </c:strRef>
          </c:tx>
          <c:spPr>
            <a:solidFill>
              <a:schemeClr val="bg1">
                <a:lumMod val="85000"/>
              </a:schemeClr>
            </a:solidFill>
            <a:ln w="25400">
              <a:noFill/>
            </a:ln>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a_ELE_cieplo!$C$54:$L$54</c:f>
              <c:numCache>
                <c:formatCode>#,##0</c:formatCode>
                <c:ptCount val="8"/>
                <c:pt idx="0">
                  <c:v>6140</c:v>
                </c:pt>
                <c:pt idx="1">
                  <c:v>6126.4110000000001</c:v>
                </c:pt>
                <c:pt idx="2">
                  <c:v>1604.5</c:v>
                </c:pt>
                <c:pt idx="3">
                  <c:v>1944.6000000000001</c:v>
                </c:pt>
                <c:pt idx="4">
                  <c:v>1809.22</c:v>
                </c:pt>
                <c:pt idx="5">
                  <c:v>1754.08</c:v>
                </c:pt>
                <c:pt idx="6">
                  <c:v>1672.1999999999998</c:v>
                </c:pt>
                <c:pt idx="7">
                  <c:v>935.45999999999992</c:v>
                </c:pt>
              </c:numCache>
              <c:extLst/>
            </c:numRef>
          </c:val>
          <c:extLst>
            <c:ext xmlns:c16="http://schemas.microsoft.com/office/drawing/2014/chart" uri="{C3380CC4-5D6E-409C-BE32-E72D297353CC}">
              <c16:uniqueId val="{00000014-37F2-40C7-A418-33E64E9CC0D5}"/>
            </c:ext>
          </c:extLst>
        </c:ser>
        <c:ser>
          <c:idx val="10"/>
          <c:order val="9"/>
          <c:tx>
            <c:strRef>
              <c:f>a_ELE_cieplo!$B$55</c:f>
              <c:strCache>
                <c:ptCount val="1"/>
                <c:pt idx="0">
                  <c:v>EC_WK</c:v>
                </c:pt>
              </c:strCache>
            </c:strRef>
          </c:tx>
          <c:spPr>
            <a:solidFill>
              <a:schemeClr val="bg1">
                <a:lumMod val="50000"/>
                <a:alpha val="70000"/>
              </a:schemeClr>
            </a:solidFill>
            <a:ln w="25400">
              <a:noFill/>
            </a:ln>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a_ELE_cieplo!$C$55:$L$55</c:f>
              <c:numCache>
                <c:formatCode>General</c:formatCode>
                <c:ptCount val="8"/>
                <c:pt idx="2" formatCode="#,##0">
                  <c:v>4968.2</c:v>
                </c:pt>
                <c:pt idx="3" formatCode="#,##0">
                  <c:v>5225.7</c:v>
                </c:pt>
                <c:pt idx="4" formatCode="#,##0">
                  <c:v>4037.2</c:v>
                </c:pt>
                <c:pt idx="5" formatCode="#,##0">
                  <c:v>3238.2</c:v>
                </c:pt>
                <c:pt idx="6" formatCode="#,##0">
                  <c:v>2187.1999999999998</c:v>
                </c:pt>
                <c:pt idx="7" formatCode="#,##0">
                  <c:v>0</c:v>
                </c:pt>
              </c:numCache>
              <c:extLst/>
            </c:numRef>
          </c:val>
          <c:extLst>
            <c:ext xmlns:c16="http://schemas.microsoft.com/office/drawing/2014/chart" uri="{C3380CC4-5D6E-409C-BE32-E72D297353CC}">
              <c16:uniqueId val="{00000015-37F2-40C7-A418-33E64E9CC0D5}"/>
            </c:ext>
          </c:extLst>
        </c:ser>
        <c:ser>
          <c:idx val="8"/>
          <c:order val="10"/>
          <c:tx>
            <c:strRef>
              <c:f>a_ELE_cieplo!$B$53</c:f>
              <c:strCache>
                <c:ptCount val="1"/>
                <c:pt idx="0">
                  <c:v>EL_Szczytowo-pompowe</c:v>
                </c:pt>
              </c:strCache>
            </c:strRef>
          </c:tx>
          <c:spPr>
            <a:solidFill>
              <a:schemeClr val="accent1">
                <a:lumMod val="75000"/>
                <a:alpha val="70000"/>
              </a:schemeClr>
            </a:solidFill>
            <a:ln w="25400">
              <a:noFill/>
            </a:ln>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a_ELE_cieplo!$C$53:$L$53</c:f>
              <c:numCache>
                <c:formatCode>#,##0</c:formatCode>
                <c:ptCount val="8"/>
                <c:pt idx="0">
                  <c:v>1679.04</c:v>
                </c:pt>
                <c:pt idx="1">
                  <c:v>1679.04</c:v>
                </c:pt>
                <c:pt idx="2">
                  <c:v>1705</c:v>
                </c:pt>
                <c:pt idx="3">
                  <c:v>1705</c:v>
                </c:pt>
                <c:pt idx="4">
                  <c:v>1767</c:v>
                </c:pt>
                <c:pt idx="5">
                  <c:v>2510</c:v>
                </c:pt>
                <c:pt idx="6">
                  <c:v>2510</c:v>
                </c:pt>
                <c:pt idx="7">
                  <c:v>4235</c:v>
                </c:pt>
              </c:numCache>
              <c:extLst/>
            </c:numRef>
          </c:val>
          <c:extLst>
            <c:ext xmlns:c16="http://schemas.microsoft.com/office/drawing/2014/chart" uri="{C3380CC4-5D6E-409C-BE32-E72D297353CC}">
              <c16:uniqueId val="{00000016-37F2-40C7-A418-33E64E9CC0D5}"/>
            </c:ext>
          </c:extLst>
        </c:ser>
        <c:ser>
          <c:idx val="7"/>
          <c:order val="11"/>
          <c:tx>
            <c:strRef>
              <c:f>a_ELE_cieplo!$B$52</c:f>
              <c:strCache>
                <c:ptCount val="1"/>
                <c:pt idx="0">
                  <c:v>EL_Wodne</c:v>
                </c:pt>
              </c:strCache>
            </c:strRef>
          </c:tx>
          <c:spPr>
            <a:solidFill>
              <a:schemeClr val="accent5">
                <a:alpha val="70000"/>
              </a:schemeClr>
            </a:solidFill>
            <a:ln w="25400">
              <a:noFill/>
            </a:ln>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a_ELE_cieplo!$C$52:$L$52</c:f>
              <c:numCache>
                <c:formatCode>#,##0</c:formatCode>
                <c:ptCount val="8"/>
                <c:pt idx="0">
                  <c:v>914</c:v>
                </c:pt>
                <c:pt idx="1">
                  <c:v>934.65099999999995</c:v>
                </c:pt>
                <c:pt idx="2">
                  <c:v>964</c:v>
                </c:pt>
                <c:pt idx="3">
                  <c:v>987</c:v>
                </c:pt>
                <c:pt idx="4">
                  <c:v>1008</c:v>
                </c:pt>
                <c:pt idx="5">
                  <c:v>1118</c:v>
                </c:pt>
                <c:pt idx="6">
                  <c:v>1148</c:v>
                </c:pt>
                <c:pt idx="7">
                  <c:v>1178</c:v>
                </c:pt>
              </c:numCache>
              <c:extLst/>
            </c:numRef>
          </c:val>
          <c:extLst>
            <c:ext xmlns:c16="http://schemas.microsoft.com/office/drawing/2014/chart" uri="{C3380CC4-5D6E-409C-BE32-E72D297353CC}">
              <c16:uniqueId val="{00000017-37F2-40C7-A418-33E64E9CC0D5}"/>
            </c:ext>
          </c:extLst>
        </c:ser>
        <c:ser>
          <c:idx val="12"/>
          <c:order val="12"/>
          <c:tx>
            <c:strRef>
              <c:f>a_ELE_cieplo!$B$57</c:f>
              <c:strCache>
                <c:ptCount val="1"/>
                <c:pt idx="0">
                  <c:v>EL i EC_Biomasa</c:v>
                </c:pt>
              </c:strCache>
            </c:strRef>
          </c:tx>
          <c:spPr>
            <a:solidFill>
              <a:schemeClr val="accent6">
                <a:lumMod val="40000"/>
                <a:lumOff val="60000"/>
              </a:schemeClr>
            </a:solid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a_ELE_cieplo!$C$57:$L$57</c:f>
              <c:numCache>
                <c:formatCode>#,##0</c:formatCode>
                <c:ptCount val="8"/>
                <c:pt idx="0">
                  <c:v>102.179</c:v>
                </c:pt>
                <c:pt idx="1">
                  <c:v>139.99200000000002</c:v>
                </c:pt>
                <c:pt idx="2">
                  <c:v>512.5</c:v>
                </c:pt>
                <c:pt idx="3">
                  <c:v>533.5</c:v>
                </c:pt>
                <c:pt idx="4">
                  <c:v>637.5</c:v>
                </c:pt>
                <c:pt idx="5">
                  <c:v>702</c:v>
                </c:pt>
                <c:pt idx="6">
                  <c:v>710</c:v>
                </c:pt>
                <c:pt idx="7">
                  <c:v>610.5</c:v>
                </c:pt>
              </c:numCache>
              <c:extLst/>
            </c:numRef>
          </c:val>
          <c:extLst>
            <c:ext xmlns:c16="http://schemas.microsoft.com/office/drawing/2014/chart" uri="{C3380CC4-5D6E-409C-BE32-E72D297353CC}">
              <c16:uniqueId val="{00000018-37F2-40C7-A418-33E64E9CC0D5}"/>
            </c:ext>
          </c:extLst>
        </c:ser>
        <c:ser>
          <c:idx val="13"/>
          <c:order val="13"/>
          <c:tx>
            <c:strRef>
              <c:f>a_ELE_cieplo!$B$58</c:f>
              <c:strCache>
                <c:ptCount val="1"/>
                <c:pt idx="0">
                  <c:v>EC_Biogaz</c:v>
                </c:pt>
              </c:strCache>
            </c:strRef>
          </c:tx>
          <c:spPr>
            <a:solidFill>
              <a:srgbClr val="00B050"/>
            </a:solid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a_ELE_cieplo!$C$58:$L$58</c:f>
              <c:numCache>
                <c:formatCode>General</c:formatCode>
                <c:ptCount val="8"/>
                <c:pt idx="2" formatCode="#,##0">
                  <c:v>216</c:v>
                </c:pt>
                <c:pt idx="3" formatCode="#,##0">
                  <c:v>241.35</c:v>
                </c:pt>
                <c:pt idx="4" formatCode="#,##0">
                  <c:v>350.37</c:v>
                </c:pt>
                <c:pt idx="5" formatCode="#,##0">
                  <c:v>486.37</c:v>
                </c:pt>
                <c:pt idx="6" formatCode="#,##0">
                  <c:v>511.41999999999996</c:v>
                </c:pt>
                <c:pt idx="7" formatCode="#,##0">
                  <c:v>449.16999999999996</c:v>
                </c:pt>
              </c:numCache>
              <c:extLst/>
            </c:numRef>
          </c:val>
          <c:extLst>
            <c:ext xmlns:c16="http://schemas.microsoft.com/office/drawing/2014/chart" uri="{C3380CC4-5D6E-409C-BE32-E72D297353CC}">
              <c16:uniqueId val="{00000019-37F2-40C7-A418-33E64E9CC0D5}"/>
            </c:ext>
          </c:extLst>
        </c:ser>
        <c:ser>
          <c:idx val="14"/>
          <c:order val="14"/>
          <c:tx>
            <c:strRef>
              <c:f>a_ELE_cieplo!$B$59</c:f>
              <c:strCache>
                <c:ptCount val="1"/>
                <c:pt idx="0">
                  <c:v>BECCS</c:v>
                </c:pt>
              </c:strCache>
            </c:strRef>
          </c:tx>
          <c:spPr>
            <a:solidFill>
              <a:schemeClr val="accent5">
                <a:lumMod val="40000"/>
                <a:lumOff val="60000"/>
              </a:schemeClr>
            </a:solid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a_ELE_cieplo!$C$59:$L$59</c:f>
              <c:numCache>
                <c:formatCode>#,##0</c:formatCode>
                <c:ptCount val="8"/>
                <c:pt idx="0">
                  <c:v>0</c:v>
                </c:pt>
                <c:pt idx="1">
                  <c:v>0</c:v>
                </c:pt>
                <c:pt idx="2">
                  <c:v>0</c:v>
                </c:pt>
                <c:pt idx="3">
                  <c:v>0</c:v>
                </c:pt>
                <c:pt idx="4">
                  <c:v>0</c:v>
                </c:pt>
                <c:pt idx="5">
                  <c:v>0</c:v>
                </c:pt>
                <c:pt idx="6">
                  <c:v>0</c:v>
                </c:pt>
                <c:pt idx="7">
                  <c:v>0</c:v>
                </c:pt>
              </c:numCache>
              <c:extLst/>
            </c:numRef>
          </c:val>
          <c:extLst>
            <c:ext xmlns:c16="http://schemas.microsoft.com/office/drawing/2014/chart" uri="{C3380CC4-5D6E-409C-BE32-E72D297353CC}">
              <c16:uniqueId val="{0000001A-37F2-40C7-A418-33E64E9CC0D5}"/>
            </c:ext>
          </c:extLst>
        </c:ser>
        <c:ser>
          <c:idx val="15"/>
          <c:order val="15"/>
          <c:tx>
            <c:strRef>
              <c:f>a_ELE_cieplo!$B$60</c:f>
              <c:strCache>
                <c:ptCount val="1"/>
                <c:pt idx="0">
                  <c:v>EL_Wiatrowe na lądzie</c:v>
                </c:pt>
              </c:strCache>
            </c:strRef>
          </c:tx>
          <c:spPr>
            <a:solidFill>
              <a:srgbClr val="006600">
                <a:alpha val="70000"/>
              </a:srgbClr>
            </a:solid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a_ELE_cieplo!$C$60:$L$60</c:f>
              <c:numCache>
                <c:formatCode>#,##0</c:formatCode>
                <c:ptCount val="8"/>
                <c:pt idx="0">
                  <c:v>120.926</c:v>
                </c:pt>
                <c:pt idx="1">
                  <c:v>1107.51</c:v>
                </c:pt>
                <c:pt idx="2">
                  <c:v>4886</c:v>
                </c:pt>
                <c:pt idx="3">
                  <c:v>6499</c:v>
                </c:pt>
                <c:pt idx="4">
                  <c:v>11315</c:v>
                </c:pt>
                <c:pt idx="5">
                  <c:v>16647</c:v>
                </c:pt>
                <c:pt idx="6">
                  <c:v>26411.25</c:v>
                </c:pt>
                <c:pt idx="7">
                  <c:v>34584.5</c:v>
                </c:pt>
              </c:numCache>
              <c:extLst/>
            </c:numRef>
          </c:val>
          <c:extLst>
            <c:ext xmlns:c16="http://schemas.microsoft.com/office/drawing/2014/chart" uri="{C3380CC4-5D6E-409C-BE32-E72D297353CC}">
              <c16:uniqueId val="{0000001C-37F2-40C7-A418-33E64E9CC0D5}"/>
            </c:ext>
          </c:extLst>
        </c:ser>
        <c:ser>
          <c:idx val="16"/>
          <c:order val="16"/>
          <c:tx>
            <c:strRef>
              <c:f>a_ELE_cieplo!$B$61</c:f>
              <c:strCache>
                <c:ptCount val="1"/>
                <c:pt idx="0">
                  <c:v>EL_Wiatrowe na morzu</c:v>
                </c:pt>
              </c:strCache>
            </c:strRef>
          </c:tx>
          <c:spPr>
            <a:solidFill>
              <a:srgbClr val="92D050">
                <a:alpha val="70000"/>
              </a:srgbClr>
            </a:solid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a_ELE_cieplo!$C$61:$L$61</c:f>
              <c:numCache>
                <c:formatCode>#,##0</c:formatCode>
                <c:ptCount val="8"/>
                <c:pt idx="0">
                  <c:v>0</c:v>
                </c:pt>
                <c:pt idx="1">
                  <c:v>0</c:v>
                </c:pt>
                <c:pt idx="2">
                  <c:v>0</c:v>
                </c:pt>
                <c:pt idx="3">
                  <c:v>0</c:v>
                </c:pt>
                <c:pt idx="4">
                  <c:v>0</c:v>
                </c:pt>
                <c:pt idx="5">
                  <c:v>5873</c:v>
                </c:pt>
                <c:pt idx="6">
                  <c:v>13633</c:v>
                </c:pt>
                <c:pt idx="7">
                  <c:v>18033</c:v>
                </c:pt>
              </c:numCache>
              <c:extLst/>
            </c:numRef>
          </c:val>
          <c:extLst>
            <c:ext xmlns:c16="http://schemas.microsoft.com/office/drawing/2014/chart" uri="{C3380CC4-5D6E-409C-BE32-E72D297353CC}">
              <c16:uniqueId val="{00000020-37F2-40C7-A418-33E64E9CC0D5}"/>
            </c:ext>
          </c:extLst>
        </c:ser>
        <c:ser>
          <c:idx val="1"/>
          <c:order val="18"/>
          <c:tx>
            <c:strRef>
              <c:f>a_ELE_cieplo!$B$63</c:f>
              <c:strCache>
                <c:ptCount val="1"/>
                <c:pt idx="0">
                  <c:v>Fotowoltaika</c:v>
                </c:pt>
              </c:strCache>
            </c:strRef>
          </c:tx>
          <c:spPr>
            <a:solidFill>
              <a:srgbClr val="FFFF66">
                <a:alpha val="70000"/>
              </a:srgbClr>
            </a:solid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a_ELE_cieplo!$C$63:$L$63</c:f>
              <c:numCache>
                <c:formatCode>#,##0</c:formatCode>
                <c:ptCount val="8"/>
                <c:pt idx="0">
                  <c:v>0</c:v>
                </c:pt>
                <c:pt idx="1">
                  <c:v>0</c:v>
                </c:pt>
                <c:pt idx="2">
                  <c:v>108.12</c:v>
                </c:pt>
                <c:pt idx="3">
                  <c:v>3960</c:v>
                </c:pt>
                <c:pt idx="4">
                  <c:v>22497.120000000003</c:v>
                </c:pt>
                <c:pt idx="5">
                  <c:v>31747.120000000003</c:v>
                </c:pt>
                <c:pt idx="6">
                  <c:v>41372</c:v>
                </c:pt>
                <c:pt idx="7">
                  <c:v>51214</c:v>
                </c:pt>
              </c:numCache>
              <c:extLst/>
            </c:numRef>
          </c:val>
          <c:extLst>
            <c:ext xmlns:c16="http://schemas.microsoft.com/office/drawing/2014/chart" uri="{C3380CC4-5D6E-409C-BE32-E72D297353CC}">
              <c16:uniqueId val="{00000024-37F2-40C7-A418-33E64E9CC0D5}"/>
            </c:ext>
          </c:extLst>
        </c:ser>
        <c:ser>
          <c:idx val="3"/>
          <c:order val="19"/>
          <c:tx>
            <c:strRef>
              <c:f>a_ELE_cieplo!$AX$99</c:f>
              <c:strCache>
                <c:ptCount val="1"/>
                <c:pt idx="0">
                  <c:v>Turbiny szcz._Paliwa gaz. kopalne i odn.</c:v>
                </c:pt>
              </c:strCache>
            </c:strRef>
          </c:tx>
          <c:spPr>
            <a:solidFill>
              <a:srgbClr val="DE8400">
                <a:alpha val="70000"/>
              </a:srgbClr>
            </a:solid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a_ELE_cieplo!$C$64:$L$64</c:f>
              <c:numCache>
                <c:formatCode>#,##0</c:formatCode>
                <c:ptCount val="8"/>
                <c:pt idx="0">
                  <c:v>0</c:v>
                </c:pt>
                <c:pt idx="1">
                  <c:v>0</c:v>
                </c:pt>
                <c:pt idx="2">
                  <c:v>0</c:v>
                </c:pt>
                <c:pt idx="3">
                  <c:v>0</c:v>
                </c:pt>
                <c:pt idx="4">
                  <c:v>0</c:v>
                </c:pt>
                <c:pt idx="5">
                  <c:v>0</c:v>
                </c:pt>
                <c:pt idx="6">
                  <c:v>1521.64</c:v>
                </c:pt>
                <c:pt idx="7">
                  <c:v>6983.1</c:v>
                </c:pt>
              </c:numCache>
              <c:extLst/>
            </c:numRef>
          </c:val>
          <c:extLst>
            <c:ext xmlns:c16="http://schemas.microsoft.com/office/drawing/2014/chart" uri="{C3380CC4-5D6E-409C-BE32-E72D297353CC}">
              <c16:uniqueId val="{00000025-37F2-40C7-A418-33E64E9CC0D5}"/>
            </c:ext>
          </c:extLst>
        </c:ser>
        <c:ser>
          <c:idx val="18"/>
          <c:order val="20"/>
          <c:tx>
            <c:strRef>
              <c:f>a_ELE_cieplo!$B$65</c:f>
              <c:strCache>
                <c:ptCount val="1"/>
                <c:pt idx="0">
                  <c:v>Magazyny energii</c:v>
                </c:pt>
              </c:strCache>
            </c:strRef>
          </c:tx>
          <c:spPr>
            <a:solidFill>
              <a:srgbClr val="FF99CC">
                <a:alpha val="70000"/>
              </a:srgbClr>
            </a:solid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a_ELE_cieplo!$C$65:$L$65</c:f>
              <c:numCache>
                <c:formatCode>#,##0</c:formatCode>
                <c:ptCount val="8"/>
                <c:pt idx="0">
                  <c:v>0</c:v>
                </c:pt>
                <c:pt idx="1">
                  <c:v>0</c:v>
                </c:pt>
                <c:pt idx="2">
                  <c:v>0</c:v>
                </c:pt>
                <c:pt idx="3">
                  <c:v>0</c:v>
                </c:pt>
                <c:pt idx="4">
                  <c:v>483.33</c:v>
                </c:pt>
                <c:pt idx="5">
                  <c:v>2750</c:v>
                </c:pt>
                <c:pt idx="6">
                  <c:v>6753.33</c:v>
                </c:pt>
                <c:pt idx="7">
                  <c:v>8500</c:v>
                </c:pt>
              </c:numCache>
              <c:extLst/>
            </c:numRef>
          </c:val>
          <c:extLst>
            <c:ext xmlns:c16="http://schemas.microsoft.com/office/drawing/2014/chart" uri="{C3380CC4-5D6E-409C-BE32-E72D297353CC}">
              <c16:uniqueId val="{00000026-37F2-40C7-A418-33E64E9CC0D5}"/>
            </c:ext>
          </c:extLst>
        </c:ser>
        <c:ser>
          <c:idx val="19"/>
          <c:order val="21"/>
          <c:tx>
            <c:strRef>
              <c:f>a_ELE_cieplo!$B$66</c:f>
              <c:strCache>
                <c:ptCount val="1"/>
                <c:pt idx="0">
                  <c:v>DSR</c:v>
                </c:pt>
              </c:strCache>
            </c:strRef>
          </c:tx>
          <c:spPr>
            <a:solidFill>
              <a:srgbClr val="7030A0">
                <a:alpha val="70000"/>
              </a:srgbClr>
            </a:solidFill>
          </c:spPr>
          <c:invertIfNegative val="0"/>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a_ELE_cieplo!$C$66:$L$66</c:f>
              <c:numCache>
                <c:formatCode>#,##0</c:formatCode>
                <c:ptCount val="8"/>
                <c:pt idx="0">
                  <c:v>0</c:v>
                </c:pt>
                <c:pt idx="1">
                  <c:v>0</c:v>
                </c:pt>
                <c:pt idx="2">
                  <c:v>150</c:v>
                </c:pt>
                <c:pt idx="3">
                  <c:v>615</c:v>
                </c:pt>
                <c:pt idx="4">
                  <c:v>1907.5</c:v>
                </c:pt>
                <c:pt idx="5">
                  <c:v>2810</c:v>
                </c:pt>
                <c:pt idx="6">
                  <c:v>3265</c:v>
                </c:pt>
                <c:pt idx="7">
                  <c:v>3625</c:v>
                </c:pt>
              </c:numCache>
              <c:extLst/>
            </c:numRef>
          </c:val>
          <c:extLst>
            <c:ext xmlns:c16="http://schemas.microsoft.com/office/drawing/2014/chart" uri="{C3380CC4-5D6E-409C-BE32-E72D297353CC}">
              <c16:uniqueId val="{00000027-37F2-40C7-A418-33E64E9CC0D5}"/>
            </c:ext>
          </c:extLst>
        </c:ser>
        <c:dLbls>
          <c:showLegendKey val="0"/>
          <c:showVal val="0"/>
          <c:showCatName val="0"/>
          <c:showSerName val="0"/>
          <c:showPercent val="0"/>
          <c:showBubbleSize val="0"/>
        </c:dLbls>
        <c:gapWidth val="89"/>
        <c:overlap val="100"/>
        <c:axId val="542378592"/>
        <c:axId val="542378984"/>
        <c:extLst>
          <c:ext xmlns:c15="http://schemas.microsoft.com/office/drawing/2012/chart" uri="{02D57815-91ED-43cb-92C2-25804820EDAC}">
            <c15:filteredBarSeries>
              <c15:ser>
                <c:idx val="17"/>
                <c:order val="17"/>
                <c:tx>
                  <c:strRef>
                    <c:extLst>
                      <c:ext uri="{02D57815-91ED-43cb-92C2-25804820EDAC}">
                        <c15:formulaRef>
                          <c15:sqref>a_ELE_cieplo!$B$62</c15:sqref>
                        </c15:formulaRef>
                      </c:ext>
                    </c:extLst>
                    <c:strCache>
                      <c:ptCount val="1"/>
                      <c:pt idx="0">
                        <c:v>EL_Geotermalne</c:v>
                      </c:pt>
                    </c:strCache>
                  </c:strRef>
                </c:tx>
                <c:spPr>
                  <a:solidFill>
                    <a:srgbClr val="FF33CC"/>
                  </a:solidFill>
                </c:spPr>
                <c:invertIfNegative val="0"/>
                <c:cat>
                  <c:numRef>
                    <c:extLst>
                      <c:ext uri="{02D57815-91ED-43cb-92C2-25804820EDAC}">
                        <c15:formulaRef>
                          <c15:sqref>a_ELE_cieplo!$AY$79:$BH$79</c15:sqref>
                        </c15:formulaRef>
                      </c:ext>
                    </c:extLst>
                    <c:numCache>
                      <c:formatCode>General</c:formatCode>
                      <c:ptCount val="8"/>
                      <c:pt idx="0">
                        <c:v>2005</c:v>
                      </c:pt>
                      <c:pt idx="1">
                        <c:v>2010</c:v>
                      </c:pt>
                      <c:pt idx="2">
                        <c:v>2015</c:v>
                      </c:pt>
                      <c:pt idx="3">
                        <c:v>2020</c:v>
                      </c:pt>
                      <c:pt idx="4">
                        <c:v>2025</c:v>
                      </c:pt>
                      <c:pt idx="5">
                        <c:v>2030</c:v>
                      </c:pt>
                      <c:pt idx="6">
                        <c:v>2035</c:v>
                      </c:pt>
                      <c:pt idx="7">
                        <c:v>2040</c:v>
                      </c:pt>
                    </c:numCache>
                  </c:numRef>
                </c:cat>
                <c:val>
                  <c:numRef>
                    <c:extLst>
                      <c:ext uri="{02D57815-91ED-43cb-92C2-25804820EDAC}">
                        <c15:formulaRef>
                          <c15:sqref>a_ELE_cieplo!$C$62:$L$62</c15:sqref>
                        </c15:formulaRef>
                      </c:ext>
                    </c:extLst>
                    <c:numCache>
                      <c:formatCode>#,##0</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29-37F2-40C7-A418-33E64E9CC0D5}"/>
                  </c:ext>
                </c:extLst>
              </c15:ser>
            </c15:filteredBarSeries>
          </c:ext>
        </c:extLst>
      </c:barChart>
      <c:lineChart>
        <c:grouping val="standard"/>
        <c:varyColors val="0"/>
        <c:ser>
          <c:idx val="22"/>
          <c:order val="22"/>
          <c:tx>
            <c:v>Suma</c:v>
          </c:tx>
          <c:spPr>
            <a:ln>
              <a:noFill/>
            </a:ln>
          </c:spPr>
          <c:marker>
            <c:symbol val="none"/>
          </c:marker>
          <c:cat>
            <c:numRef>
              <c:f>a_ELE_cieplo!$AY$79:$BH$79</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a_ELE_cieplo!$AY$102:$BH$102</c:f>
              <c:numCache>
                <c:formatCode>General</c:formatCode>
                <c:ptCount val="8"/>
                <c:pt idx="0">
                  <c:v>32525.745000000003</c:v>
                </c:pt>
                <c:pt idx="1">
                  <c:v>33594.004000000001</c:v>
                </c:pt>
                <c:pt idx="2">
                  <c:v>38301.920000000006</c:v>
                </c:pt>
                <c:pt idx="3">
                  <c:v>47733.149999999994</c:v>
                </c:pt>
                <c:pt idx="4">
                  <c:v>74632.800000000003</c:v>
                </c:pt>
                <c:pt idx="5">
                  <c:v>96597.430000000008</c:v>
                </c:pt>
                <c:pt idx="6">
                  <c:v>126373.52</c:v>
                </c:pt>
                <c:pt idx="7">
                  <c:v>155765.62</c:v>
                </c:pt>
              </c:numCache>
              <c:extLst/>
            </c:numRef>
          </c:val>
          <c:smooth val="0"/>
          <c:extLst>
            <c:ext xmlns:c16="http://schemas.microsoft.com/office/drawing/2014/chart" uri="{C3380CC4-5D6E-409C-BE32-E72D297353CC}">
              <c16:uniqueId val="{00000028-37F2-40C7-A418-33E64E9CC0D5}"/>
            </c:ext>
          </c:extLst>
        </c:ser>
        <c:dLbls>
          <c:showLegendKey val="0"/>
          <c:showVal val="0"/>
          <c:showCatName val="0"/>
          <c:showSerName val="0"/>
          <c:showPercent val="0"/>
          <c:showBubbleSize val="0"/>
        </c:dLbls>
        <c:marker val="1"/>
        <c:smooth val="0"/>
        <c:axId val="542378592"/>
        <c:axId val="542378984"/>
      </c:lineChart>
      <c:catAx>
        <c:axId val="542378592"/>
        <c:scaling>
          <c:orientation val="minMax"/>
        </c:scaling>
        <c:delete val="0"/>
        <c:axPos val="b"/>
        <c:numFmt formatCode="General" sourceLinked="1"/>
        <c:majorTickMark val="out"/>
        <c:minorTickMark val="none"/>
        <c:tickLblPos val="nextTo"/>
        <c:spPr>
          <a:ln>
            <a:solidFill>
              <a:schemeClr val="bg1">
                <a:lumMod val="85000"/>
              </a:schemeClr>
            </a:solidFill>
          </a:ln>
        </c:spPr>
        <c:crossAx val="542378984"/>
        <c:crosses val="autoZero"/>
        <c:auto val="1"/>
        <c:lblAlgn val="ctr"/>
        <c:lblOffset val="100"/>
        <c:noMultiLvlLbl val="0"/>
      </c:catAx>
      <c:valAx>
        <c:axId val="542378984"/>
        <c:scaling>
          <c:orientation val="minMax"/>
          <c:max val="160000"/>
        </c:scaling>
        <c:delete val="0"/>
        <c:axPos val="l"/>
        <c:majorGridlines/>
        <c:title>
          <c:tx>
            <c:rich>
              <a:bodyPr rot="-5400000" vert="horz"/>
              <a:lstStyle/>
              <a:p>
                <a:pPr>
                  <a:defRPr sz="1000" b="0">
                    <a:latin typeface="Lato" panose="020F0502020204030203" pitchFamily="34" charset="0"/>
                    <a:ea typeface="Lato" panose="020F0502020204030203" pitchFamily="34" charset="0"/>
                    <a:cs typeface="Lato" panose="020F0502020204030203" pitchFamily="34" charset="0"/>
                  </a:defRPr>
                </a:pPr>
                <a:r>
                  <a:rPr lang="pl-PL" sz="1000" b="0">
                    <a:latin typeface="Lato" panose="020F0502020204030203" pitchFamily="34" charset="0"/>
                    <a:ea typeface="Lato" panose="020F0502020204030203" pitchFamily="34" charset="0"/>
                    <a:cs typeface="Lato" panose="020F0502020204030203" pitchFamily="34" charset="0"/>
                  </a:rPr>
                  <a:t>[GW</a:t>
                </a:r>
                <a:r>
                  <a:rPr lang="en-US" sz="1000" b="0">
                    <a:latin typeface="Lato" panose="020F0502020204030203" pitchFamily="34" charset="0"/>
                    <a:ea typeface="Lato" panose="020F0502020204030203" pitchFamily="34" charset="0"/>
                    <a:cs typeface="Lato" panose="020F0502020204030203" pitchFamily="34" charset="0"/>
                  </a:rPr>
                  <a:t>]</a:t>
                </a:r>
              </a:p>
            </c:rich>
          </c:tx>
          <c:layout>
            <c:manualLayout>
              <c:xMode val="edge"/>
              <c:yMode val="edge"/>
              <c:x val="7.8836568821840751E-3"/>
              <c:y val="0.46976797101883205"/>
            </c:manualLayout>
          </c:layout>
          <c:overlay val="0"/>
        </c:title>
        <c:numFmt formatCode="#,##0" sourceLinked="0"/>
        <c:majorTickMark val="out"/>
        <c:minorTickMark val="none"/>
        <c:tickLblPos val="nextTo"/>
        <c:spPr>
          <a:noFill/>
          <a:ln>
            <a:solidFill>
              <a:schemeClr val="bg1">
                <a:lumMod val="85000"/>
              </a:schemeClr>
            </a:solidFill>
          </a:ln>
        </c:spPr>
        <c:crossAx val="542378592"/>
        <c:crosses val="autoZero"/>
        <c:crossBetween val="between"/>
        <c:dispUnits>
          <c:builtInUnit val="thousands"/>
        </c:dispUnits>
      </c:valAx>
      <c:spPr>
        <a:ln>
          <a:noFill/>
        </a:ln>
      </c:spPr>
    </c:plotArea>
    <c:legend>
      <c:legendPos val="r"/>
      <c:legendEntry>
        <c:idx val="6"/>
        <c:delete val="1"/>
      </c:legendEntry>
      <c:legendEntry>
        <c:idx val="21"/>
        <c:delete val="1"/>
      </c:legendEntry>
      <c:layout>
        <c:manualLayout>
          <c:xMode val="edge"/>
          <c:yMode val="edge"/>
          <c:x val="0.69532336165787845"/>
          <c:y val="1.9455037393338384E-2"/>
          <c:w val="0.26657263559939137"/>
          <c:h val="0.96039106513359473"/>
        </c:manualLayout>
      </c:layout>
      <c:overlay val="0"/>
      <c:txPr>
        <a:bodyPr/>
        <a:lstStyle/>
        <a:p>
          <a:pPr>
            <a:defRPr>
              <a:latin typeface="Lato" panose="020F0502020204030203" pitchFamily="34" charset="0"/>
              <a:ea typeface="Lato" panose="020F0502020204030203" pitchFamily="34" charset="0"/>
              <a:cs typeface="Lato" panose="020F0502020204030203" pitchFamily="34" charset="0"/>
            </a:defRPr>
          </a:pPr>
          <a:endParaRPr lang="pl-PL"/>
        </a:p>
      </c:txPr>
    </c:legend>
    <c:plotVisOnly val="1"/>
    <c:dispBlanksAs val="zero"/>
    <c:showDLblsOverMax val="0"/>
  </c:chart>
  <c:spPr>
    <a:ln>
      <a:noFill/>
    </a:ln>
  </c:spPr>
  <c:txPr>
    <a:bodyPr/>
    <a:lstStyle/>
    <a:p>
      <a:pPr>
        <a:defRPr sz="900">
          <a:solidFill>
            <a:schemeClr val="tx1">
              <a:lumMod val="65000"/>
              <a:lumOff val="35000"/>
            </a:schemeClr>
          </a:solidFill>
          <a:latin typeface="+mn-lt"/>
          <a:cs typeface="Calibri" panose="020F0502020204030204" pitchFamily="34" charset="0"/>
        </a:defRPr>
      </a:pPr>
      <a:endParaRPr lang="pl-PL"/>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'RYS5.1'!$C$1</c:f>
              <c:strCache>
                <c:ptCount val="1"/>
                <c:pt idx="0">
                  <c:v>Energia elektryczna</c:v>
                </c:pt>
              </c:strCache>
            </c:strRef>
          </c:tx>
          <c:spPr>
            <a:solidFill>
              <a:schemeClr val="accent1"/>
            </a:solidFill>
            <a:ln>
              <a:noFill/>
            </a:ln>
            <a:effectLst/>
          </c:spPr>
          <c:invertIfNegative val="0"/>
          <c:cat>
            <c:multiLvlStrRef>
              <c:f>'RYS5.1'!$A$2:$B$31</c:f>
              <c:multiLvlStrCache>
                <c:ptCount val="29"/>
                <c:lvl>
                  <c:pt idx="0">
                    <c:v>1</c:v>
                  </c:pt>
                  <c:pt idx="1">
                    <c:v>2</c:v>
                  </c:pt>
                  <c:pt idx="2">
                    <c:v>3</c:v>
                  </c:pt>
                  <c:pt idx="3">
                    <c:v>4</c:v>
                  </c:pt>
                  <c:pt idx="4">
                    <c:v>5</c:v>
                  </c:pt>
                  <c:pt idx="6">
                    <c:v>1</c:v>
                  </c:pt>
                  <c:pt idx="7">
                    <c:v>2</c:v>
                  </c:pt>
                  <c:pt idx="8">
                    <c:v>3</c:v>
                  </c:pt>
                  <c:pt idx="9">
                    <c:v>4</c:v>
                  </c:pt>
                  <c:pt idx="10">
                    <c:v>5</c:v>
                  </c:pt>
                  <c:pt idx="12">
                    <c:v>1</c:v>
                  </c:pt>
                  <c:pt idx="13">
                    <c:v>2</c:v>
                  </c:pt>
                  <c:pt idx="14">
                    <c:v>3</c:v>
                  </c:pt>
                  <c:pt idx="15">
                    <c:v>4</c:v>
                  </c:pt>
                  <c:pt idx="16">
                    <c:v>5</c:v>
                  </c:pt>
                  <c:pt idx="18">
                    <c:v>1</c:v>
                  </c:pt>
                  <c:pt idx="19">
                    <c:v>2</c:v>
                  </c:pt>
                  <c:pt idx="20">
                    <c:v>3</c:v>
                  </c:pt>
                  <c:pt idx="21">
                    <c:v>4</c:v>
                  </c:pt>
                  <c:pt idx="22">
                    <c:v>5</c:v>
                  </c:pt>
                  <c:pt idx="24">
                    <c:v>1</c:v>
                  </c:pt>
                  <c:pt idx="25">
                    <c:v>2</c:v>
                  </c:pt>
                  <c:pt idx="26">
                    <c:v>3</c:v>
                  </c:pt>
                  <c:pt idx="27">
                    <c:v>4</c:v>
                  </c:pt>
                  <c:pt idx="28">
                    <c:v>5</c:v>
                  </c:pt>
                </c:lvl>
                <c:lvl>
                  <c:pt idx="0">
                    <c:v>2020</c:v>
                  </c:pt>
                  <c:pt idx="6">
                    <c:v>2025</c:v>
                  </c:pt>
                  <c:pt idx="12">
                    <c:v>2030</c:v>
                  </c:pt>
                  <c:pt idx="18">
                    <c:v>2035</c:v>
                  </c:pt>
                  <c:pt idx="24">
                    <c:v>2040</c:v>
                  </c:pt>
                </c:lvl>
              </c:multiLvlStrCache>
              <c:extLst/>
            </c:multiLvlStrRef>
          </c:cat>
          <c:val>
            <c:numRef>
              <c:f>'RYS5.1'!$C$2:$C$31</c:f>
              <c:numCache>
                <c:formatCode>0%</c:formatCode>
                <c:ptCount val="30"/>
                <c:pt idx="0">
                  <c:v>4.4239368796043309E-2</c:v>
                </c:pt>
                <c:pt idx="1">
                  <c:v>4.1343577438268379E-2</c:v>
                </c:pt>
                <c:pt idx="2">
                  <c:v>3.93494023815424E-2</c:v>
                </c:pt>
                <c:pt idx="3">
                  <c:v>3.5042880581830083E-2</c:v>
                </c:pt>
                <c:pt idx="4">
                  <c:v>2.7055134736047131E-2</c:v>
                </c:pt>
                <c:pt idx="6">
                  <c:v>6.6205143247044934E-2</c:v>
                </c:pt>
                <c:pt idx="7">
                  <c:v>6.1871530745950865E-2</c:v>
                </c:pt>
                <c:pt idx="8">
                  <c:v>5.8887205949209293E-2</c:v>
                </c:pt>
                <c:pt idx="9">
                  <c:v>5.2442405754140151E-2</c:v>
                </c:pt>
                <c:pt idx="10">
                  <c:v>4.0488576566858753E-2</c:v>
                </c:pt>
                <c:pt idx="12">
                  <c:v>5.0615999643272472E-2</c:v>
                </c:pt>
                <c:pt idx="13">
                  <c:v>4.7302810998835106E-2</c:v>
                </c:pt>
                <c:pt idx="14">
                  <c:v>4.5021196981573343E-2</c:v>
                </c:pt>
                <c:pt idx="15">
                  <c:v>4.0093936222430702E-2</c:v>
                </c:pt>
                <c:pt idx="16">
                  <c:v>3.0954842426931937E-2</c:v>
                </c:pt>
                <c:pt idx="18">
                  <c:v>4.1893364837386635E-2</c:v>
                </c:pt>
                <c:pt idx="19">
                  <c:v>3.9151136655888111E-2</c:v>
                </c:pt>
                <c:pt idx="20">
                  <c:v>3.7262712262081901E-2</c:v>
                </c:pt>
                <c:pt idx="21">
                  <c:v>3.3184564362475272E-2</c:v>
                </c:pt>
                <c:pt idx="22">
                  <c:v>2.5620406915101524E-2</c:v>
                </c:pt>
                <c:pt idx="24">
                  <c:v>4.0406161535991782E-2</c:v>
                </c:pt>
                <c:pt idx="25">
                  <c:v>3.7761281725065363E-2</c:v>
                </c:pt>
                <c:pt idx="26">
                  <c:v>3.5939895894616491E-2</c:v>
                </c:pt>
                <c:pt idx="27">
                  <c:v>3.2006521160006601E-2</c:v>
                </c:pt>
                <c:pt idx="28">
                  <c:v>2.4710889288739487E-2</c:v>
                </c:pt>
              </c:numCache>
              <c:extLst/>
            </c:numRef>
          </c:val>
          <c:extLst>
            <c:ext xmlns:c16="http://schemas.microsoft.com/office/drawing/2014/chart" uri="{C3380CC4-5D6E-409C-BE32-E72D297353CC}">
              <c16:uniqueId val="{00000000-1617-4810-88EB-102DF2371ABF}"/>
            </c:ext>
          </c:extLst>
        </c:ser>
        <c:ser>
          <c:idx val="1"/>
          <c:order val="1"/>
          <c:tx>
            <c:strRef>
              <c:f>'RYS5.1'!$D$1</c:f>
              <c:strCache>
                <c:ptCount val="1"/>
                <c:pt idx="0">
                  <c:v>Gaz</c:v>
                </c:pt>
              </c:strCache>
            </c:strRef>
          </c:tx>
          <c:spPr>
            <a:solidFill>
              <a:schemeClr val="accent2"/>
            </a:solidFill>
            <a:ln>
              <a:noFill/>
            </a:ln>
            <a:effectLst/>
          </c:spPr>
          <c:invertIfNegative val="0"/>
          <c:cat>
            <c:multiLvlStrRef>
              <c:f>'RYS5.1'!$A$2:$B$31</c:f>
              <c:multiLvlStrCache>
                <c:ptCount val="29"/>
                <c:lvl>
                  <c:pt idx="0">
                    <c:v>1</c:v>
                  </c:pt>
                  <c:pt idx="1">
                    <c:v>2</c:v>
                  </c:pt>
                  <c:pt idx="2">
                    <c:v>3</c:v>
                  </c:pt>
                  <c:pt idx="3">
                    <c:v>4</c:v>
                  </c:pt>
                  <c:pt idx="4">
                    <c:v>5</c:v>
                  </c:pt>
                  <c:pt idx="6">
                    <c:v>1</c:v>
                  </c:pt>
                  <c:pt idx="7">
                    <c:v>2</c:v>
                  </c:pt>
                  <c:pt idx="8">
                    <c:v>3</c:v>
                  </c:pt>
                  <c:pt idx="9">
                    <c:v>4</c:v>
                  </c:pt>
                  <c:pt idx="10">
                    <c:v>5</c:v>
                  </c:pt>
                  <c:pt idx="12">
                    <c:v>1</c:v>
                  </c:pt>
                  <c:pt idx="13">
                    <c:v>2</c:v>
                  </c:pt>
                  <c:pt idx="14">
                    <c:v>3</c:v>
                  </c:pt>
                  <c:pt idx="15">
                    <c:v>4</c:v>
                  </c:pt>
                  <c:pt idx="16">
                    <c:v>5</c:v>
                  </c:pt>
                  <c:pt idx="18">
                    <c:v>1</c:v>
                  </c:pt>
                  <c:pt idx="19">
                    <c:v>2</c:v>
                  </c:pt>
                  <c:pt idx="20">
                    <c:v>3</c:v>
                  </c:pt>
                  <c:pt idx="21">
                    <c:v>4</c:v>
                  </c:pt>
                  <c:pt idx="22">
                    <c:v>5</c:v>
                  </c:pt>
                  <c:pt idx="24">
                    <c:v>1</c:v>
                  </c:pt>
                  <c:pt idx="25">
                    <c:v>2</c:v>
                  </c:pt>
                  <c:pt idx="26">
                    <c:v>3</c:v>
                  </c:pt>
                  <c:pt idx="27">
                    <c:v>4</c:v>
                  </c:pt>
                  <c:pt idx="28">
                    <c:v>5</c:v>
                  </c:pt>
                </c:lvl>
                <c:lvl>
                  <c:pt idx="0">
                    <c:v>2020</c:v>
                  </c:pt>
                  <c:pt idx="6">
                    <c:v>2025</c:v>
                  </c:pt>
                  <c:pt idx="12">
                    <c:v>2030</c:v>
                  </c:pt>
                  <c:pt idx="18">
                    <c:v>2035</c:v>
                  </c:pt>
                  <c:pt idx="24">
                    <c:v>2040</c:v>
                  </c:pt>
                </c:lvl>
              </c:multiLvlStrCache>
              <c:extLst/>
            </c:multiLvlStrRef>
          </c:cat>
          <c:val>
            <c:numRef>
              <c:f>'RYS5.1'!$D$2:$D$31</c:f>
              <c:numCache>
                <c:formatCode>0%</c:formatCode>
                <c:ptCount val="30"/>
                <c:pt idx="0">
                  <c:v>2.5182366051699715E-2</c:v>
                </c:pt>
                <c:pt idx="1">
                  <c:v>2.3935805119143238E-2</c:v>
                </c:pt>
                <c:pt idx="2">
                  <c:v>2.2158969621525779E-2</c:v>
                </c:pt>
                <c:pt idx="3">
                  <c:v>2.0388266615125064E-2</c:v>
                </c:pt>
                <c:pt idx="4">
                  <c:v>1.9157039147803322E-2</c:v>
                </c:pt>
                <c:pt idx="6">
                  <c:v>2.2570911205097875E-2</c:v>
                </c:pt>
                <c:pt idx="7">
                  <c:v>2.1453620793914403E-2</c:v>
                </c:pt>
                <c:pt idx="8">
                  <c:v>1.9861046205789771E-2</c:v>
                </c:pt>
                <c:pt idx="9">
                  <c:v>1.8273968158952589E-2</c:v>
                </c:pt>
                <c:pt idx="10">
                  <c:v>1.7170421106179889E-2</c:v>
                </c:pt>
                <c:pt idx="12">
                  <c:v>2.217822946153351E-2</c:v>
                </c:pt>
                <c:pt idx="13">
                  <c:v>2.1080377323920142E-2</c:v>
                </c:pt>
                <c:pt idx="14">
                  <c:v>1.9515509856714925E-2</c:v>
                </c:pt>
                <c:pt idx="15">
                  <c:v>1.7956043303669098E-2</c:v>
                </c:pt>
                <c:pt idx="16">
                  <c:v>1.6871695421760632E-2</c:v>
                </c:pt>
                <c:pt idx="18">
                  <c:v>2.0419226031640654E-2</c:v>
                </c:pt>
                <c:pt idx="19">
                  <c:v>1.9408446925665204E-2</c:v>
                </c:pt>
                <c:pt idx="20">
                  <c:v>1.7967692487722127E-2</c:v>
                </c:pt>
                <c:pt idx="21">
                  <c:v>1.6531910605734852E-2</c:v>
                </c:pt>
                <c:pt idx="22">
                  <c:v>1.5533564703686059E-2</c:v>
                </c:pt>
                <c:pt idx="24">
                  <c:v>2.4753808715330936E-2</c:v>
                </c:pt>
                <c:pt idx="25">
                  <c:v>2.3528461946359446E-2</c:v>
                </c:pt>
                <c:pt idx="26">
                  <c:v>2.1781864905543909E-2</c:v>
                </c:pt>
                <c:pt idx="27">
                  <c:v>2.0041295992276675E-2</c:v>
                </c:pt>
                <c:pt idx="28">
                  <c:v>1.8831021741295931E-2</c:v>
                </c:pt>
              </c:numCache>
              <c:extLst/>
            </c:numRef>
          </c:val>
          <c:extLst>
            <c:ext xmlns:c16="http://schemas.microsoft.com/office/drawing/2014/chart" uri="{C3380CC4-5D6E-409C-BE32-E72D297353CC}">
              <c16:uniqueId val="{00000001-1617-4810-88EB-102DF2371ABF}"/>
            </c:ext>
          </c:extLst>
        </c:ser>
        <c:ser>
          <c:idx val="2"/>
          <c:order val="2"/>
          <c:tx>
            <c:strRef>
              <c:f>'RYS5.1'!$E$1</c:f>
              <c:strCache>
                <c:ptCount val="1"/>
                <c:pt idx="0">
                  <c:v>Paliwa płynne</c:v>
                </c:pt>
              </c:strCache>
            </c:strRef>
          </c:tx>
          <c:spPr>
            <a:solidFill>
              <a:schemeClr val="accent3"/>
            </a:solidFill>
            <a:ln>
              <a:noFill/>
            </a:ln>
            <a:effectLst/>
          </c:spPr>
          <c:invertIfNegative val="0"/>
          <c:cat>
            <c:multiLvlStrRef>
              <c:f>'RYS5.1'!$A$2:$B$31</c:f>
              <c:multiLvlStrCache>
                <c:ptCount val="29"/>
                <c:lvl>
                  <c:pt idx="0">
                    <c:v>1</c:v>
                  </c:pt>
                  <c:pt idx="1">
                    <c:v>2</c:v>
                  </c:pt>
                  <c:pt idx="2">
                    <c:v>3</c:v>
                  </c:pt>
                  <c:pt idx="3">
                    <c:v>4</c:v>
                  </c:pt>
                  <c:pt idx="4">
                    <c:v>5</c:v>
                  </c:pt>
                  <c:pt idx="6">
                    <c:v>1</c:v>
                  </c:pt>
                  <c:pt idx="7">
                    <c:v>2</c:v>
                  </c:pt>
                  <c:pt idx="8">
                    <c:v>3</c:v>
                  </c:pt>
                  <c:pt idx="9">
                    <c:v>4</c:v>
                  </c:pt>
                  <c:pt idx="10">
                    <c:v>5</c:v>
                  </c:pt>
                  <c:pt idx="12">
                    <c:v>1</c:v>
                  </c:pt>
                  <c:pt idx="13">
                    <c:v>2</c:v>
                  </c:pt>
                  <c:pt idx="14">
                    <c:v>3</c:v>
                  </c:pt>
                  <c:pt idx="15">
                    <c:v>4</c:v>
                  </c:pt>
                  <c:pt idx="16">
                    <c:v>5</c:v>
                  </c:pt>
                  <c:pt idx="18">
                    <c:v>1</c:v>
                  </c:pt>
                  <c:pt idx="19">
                    <c:v>2</c:v>
                  </c:pt>
                  <c:pt idx="20">
                    <c:v>3</c:v>
                  </c:pt>
                  <c:pt idx="21">
                    <c:v>4</c:v>
                  </c:pt>
                  <c:pt idx="22">
                    <c:v>5</c:v>
                  </c:pt>
                  <c:pt idx="24">
                    <c:v>1</c:v>
                  </c:pt>
                  <c:pt idx="25">
                    <c:v>2</c:v>
                  </c:pt>
                  <c:pt idx="26">
                    <c:v>3</c:v>
                  </c:pt>
                  <c:pt idx="27">
                    <c:v>4</c:v>
                  </c:pt>
                  <c:pt idx="28">
                    <c:v>5</c:v>
                  </c:pt>
                </c:lvl>
                <c:lvl>
                  <c:pt idx="0">
                    <c:v>2020</c:v>
                  </c:pt>
                  <c:pt idx="6">
                    <c:v>2025</c:v>
                  </c:pt>
                  <c:pt idx="12">
                    <c:v>2030</c:v>
                  </c:pt>
                  <c:pt idx="18">
                    <c:v>2035</c:v>
                  </c:pt>
                  <c:pt idx="24">
                    <c:v>2040</c:v>
                  </c:pt>
                </c:lvl>
              </c:multiLvlStrCache>
              <c:extLst/>
            </c:multiLvlStrRef>
          </c:cat>
          <c:val>
            <c:numRef>
              <c:f>'RYS5.1'!$E$2:$E$31</c:f>
              <c:numCache>
                <c:formatCode>0%</c:formatCode>
                <c:ptCount val="30"/>
                <c:pt idx="0">
                  <c:v>1.5378645212908207E-3</c:v>
                </c:pt>
                <c:pt idx="1">
                  <c:v>1.3178377075764717E-3</c:v>
                </c:pt>
                <c:pt idx="2">
                  <c:v>1.2658071153115655E-3</c:v>
                </c:pt>
                <c:pt idx="3">
                  <c:v>1.1800078890437321E-3</c:v>
                </c:pt>
                <c:pt idx="4">
                  <c:v>1.0742597441067308E-3</c:v>
                </c:pt>
                <c:pt idx="6">
                  <c:v>1.9967062194200511E-3</c:v>
                </c:pt>
                <c:pt idx="7">
                  <c:v>1.7110315703853865E-3</c:v>
                </c:pt>
                <c:pt idx="8">
                  <c:v>1.6434769804087312E-3</c:v>
                </c:pt>
                <c:pt idx="9">
                  <c:v>1.5320784493036536E-3</c:v>
                </c:pt>
                <c:pt idx="10">
                  <c:v>1.3947789825660931E-3</c:v>
                </c:pt>
                <c:pt idx="12">
                  <c:v>1.6887071414748043E-3</c:v>
                </c:pt>
                <c:pt idx="13">
                  <c:v>1.4470988291096197E-3</c:v>
                </c:pt>
                <c:pt idx="14">
                  <c:v>1.3899647763263741E-3</c:v>
                </c:pt>
                <c:pt idx="15">
                  <c:v>1.2957498671938789E-3</c:v>
                </c:pt>
                <c:pt idx="16">
                  <c:v>1.1796293344157798E-3</c:v>
                </c:pt>
                <c:pt idx="18">
                  <c:v>1.4583345170518683E-3</c:v>
                </c:pt>
                <c:pt idx="19">
                  <c:v>1.2496862956550645E-3</c:v>
                </c:pt>
                <c:pt idx="20">
                  <c:v>1.2003464431569551E-3</c:v>
                </c:pt>
                <c:pt idx="21">
                  <c:v>1.1189842870824392E-3</c:v>
                </c:pt>
                <c:pt idx="22">
                  <c:v>1.018704862113073E-3</c:v>
                </c:pt>
                <c:pt idx="24">
                  <c:v>1.5320421086896052E-3</c:v>
                </c:pt>
                <c:pt idx="25">
                  <c:v>1.3128483247220508E-3</c:v>
                </c:pt>
                <c:pt idx="26">
                  <c:v>1.2610147222256566E-3</c:v>
                </c:pt>
                <c:pt idx="27">
                  <c:v>1.1755403350377817E-3</c:v>
                </c:pt>
                <c:pt idx="28">
                  <c:v>1.0701925565330063E-3</c:v>
                </c:pt>
              </c:numCache>
              <c:extLst/>
            </c:numRef>
          </c:val>
          <c:extLst>
            <c:ext xmlns:c16="http://schemas.microsoft.com/office/drawing/2014/chart" uri="{C3380CC4-5D6E-409C-BE32-E72D297353CC}">
              <c16:uniqueId val="{00000002-1617-4810-88EB-102DF2371ABF}"/>
            </c:ext>
          </c:extLst>
        </c:ser>
        <c:ser>
          <c:idx val="3"/>
          <c:order val="3"/>
          <c:tx>
            <c:strRef>
              <c:f>'RYS5.1'!$F$1</c:f>
              <c:strCache>
                <c:ptCount val="1"/>
                <c:pt idx="0">
                  <c:v>Paliwa stałe</c:v>
                </c:pt>
              </c:strCache>
            </c:strRef>
          </c:tx>
          <c:spPr>
            <a:solidFill>
              <a:schemeClr val="accent4"/>
            </a:solidFill>
            <a:ln>
              <a:noFill/>
            </a:ln>
            <a:effectLst/>
          </c:spPr>
          <c:invertIfNegative val="0"/>
          <c:cat>
            <c:multiLvlStrRef>
              <c:f>'RYS5.1'!$A$2:$B$31</c:f>
              <c:multiLvlStrCache>
                <c:ptCount val="29"/>
                <c:lvl>
                  <c:pt idx="0">
                    <c:v>1</c:v>
                  </c:pt>
                  <c:pt idx="1">
                    <c:v>2</c:v>
                  </c:pt>
                  <c:pt idx="2">
                    <c:v>3</c:v>
                  </c:pt>
                  <c:pt idx="3">
                    <c:v>4</c:v>
                  </c:pt>
                  <c:pt idx="4">
                    <c:v>5</c:v>
                  </c:pt>
                  <c:pt idx="6">
                    <c:v>1</c:v>
                  </c:pt>
                  <c:pt idx="7">
                    <c:v>2</c:v>
                  </c:pt>
                  <c:pt idx="8">
                    <c:v>3</c:v>
                  </c:pt>
                  <c:pt idx="9">
                    <c:v>4</c:v>
                  </c:pt>
                  <c:pt idx="10">
                    <c:v>5</c:v>
                  </c:pt>
                  <c:pt idx="12">
                    <c:v>1</c:v>
                  </c:pt>
                  <c:pt idx="13">
                    <c:v>2</c:v>
                  </c:pt>
                  <c:pt idx="14">
                    <c:v>3</c:v>
                  </c:pt>
                  <c:pt idx="15">
                    <c:v>4</c:v>
                  </c:pt>
                  <c:pt idx="16">
                    <c:v>5</c:v>
                  </c:pt>
                  <c:pt idx="18">
                    <c:v>1</c:v>
                  </c:pt>
                  <c:pt idx="19">
                    <c:v>2</c:v>
                  </c:pt>
                  <c:pt idx="20">
                    <c:v>3</c:v>
                  </c:pt>
                  <c:pt idx="21">
                    <c:v>4</c:v>
                  </c:pt>
                  <c:pt idx="22">
                    <c:v>5</c:v>
                  </c:pt>
                  <c:pt idx="24">
                    <c:v>1</c:v>
                  </c:pt>
                  <c:pt idx="25">
                    <c:v>2</c:v>
                  </c:pt>
                  <c:pt idx="26">
                    <c:v>3</c:v>
                  </c:pt>
                  <c:pt idx="27">
                    <c:v>4</c:v>
                  </c:pt>
                  <c:pt idx="28">
                    <c:v>5</c:v>
                  </c:pt>
                </c:lvl>
                <c:lvl>
                  <c:pt idx="0">
                    <c:v>2020</c:v>
                  </c:pt>
                  <c:pt idx="6">
                    <c:v>2025</c:v>
                  </c:pt>
                  <c:pt idx="12">
                    <c:v>2030</c:v>
                  </c:pt>
                  <c:pt idx="18">
                    <c:v>2035</c:v>
                  </c:pt>
                  <c:pt idx="24">
                    <c:v>2040</c:v>
                  </c:pt>
                </c:lvl>
              </c:multiLvlStrCache>
              <c:extLst/>
            </c:multiLvlStrRef>
          </c:cat>
          <c:val>
            <c:numRef>
              <c:f>'RYS5.1'!$F$2:$F$31</c:f>
              <c:numCache>
                <c:formatCode>0%</c:formatCode>
                <c:ptCount val="30"/>
                <c:pt idx="0">
                  <c:v>1.0919239185343261E-2</c:v>
                </c:pt>
                <c:pt idx="1">
                  <c:v>1.5857927257032532E-2</c:v>
                </c:pt>
                <c:pt idx="2">
                  <c:v>1.8786417983930929E-2</c:v>
                </c:pt>
                <c:pt idx="3">
                  <c:v>2.2055273957887575E-2</c:v>
                </c:pt>
                <c:pt idx="4">
                  <c:v>2.7070309829395948E-2</c:v>
                </c:pt>
                <c:pt idx="6">
                  <c:v>6.9404444067178474E-3</c:v>
                </c:pt>
                <c:pt idx="7">
                  <c:v>1.0079554139719123E-2</c:v>
                </c:pt>
                <c:pt idx="8">
                  <c:v>1.1940950042916209E-2</c:v>
                </c:pt>
                <c:pt idx="9">
                  <c:v>1.4018687582658585E-2</c:v>
                </c:pt>
                <c:pt idx="10">
                  <c:v>1.7206325207688358E-2</c:v>
                </c:pt>
                <c:pt idx="12">
                  <c:v>8.5756061702144115E-3</c:v>
                </c:pt>
                <c:pt idx="13">
                  <c:v>1.2454287017978202E-2</c:v>
                </c:pt>
                <c:pt idx="14">
                  <c:v>1.4754225935033446E-2</c:v>
                </c:pt>
                <c:pt idx="15">
                  <c:v>1.7321476361915968E-2</c:v>
                </c:pt>
                <c:pt idx="16">
                  <c:v>2.1260118224554293E-2</c:v>
                </c:pt>
                <c:pt idx="18">
                  <c:v>5.3257849681669451E-3</c:v>
                </c:pt>
                <c:pt idx="19">
                  <c:v>7.7345966306107388E-3</c:v>
                </c:pt>
                <c:pt idx="20">
                  <c:v>9.1629481510780934E-3</c:v>
                </c:pt>
                <c:pt idx="21">
                  <c:v>1.0757310515863467E-2</c:v>
                </c:pt>
                <c:pt idx="22">
                  <c:v>1.320336030064595E-2</c:v>
                </c:pt>
                <c:pt idx="24">
                  <c:v>5.2527848063750474E-3</c:v>
                </c:pt>
                <c:pt idx="25">
                  <c:v>7.6285790559612703E-3</c:v>
                </c:pt>
                <c:pt idx="26">
                  <c:v>9.0373522621119452E-3</c:v>
                </c:pt>
                <c:pt idx="27">
                  <c:v>1.0609860813557144E-2</c:v>
                </c:pt>
                <c:pt idx="28">
                  <c:v>1.3022382765145561E-2</c:v>
                </c:pt>
              </c:numCache>
              <c:extLst/>
            </c:numRef>
          </c:val>
          <c:extLst>
            <c:ext xmlns:c16="http://schemas.microsoft.com/office/drawing/2014/chart" uri="{C3380CC4-5D6E-409C-BE32-E72D297353CC}">
              <c16:uniqueId val="{00000003-1617-4810-88EB-102DF2371ABF}"/>
            </c:ext>
          </c:extLst>
        </c:ser>
        <c:ser>
          <c:idx val="4"/>
          <c:order val="4"/>
          <c:tx>
            <c:strRef>
              <c:f>'RYS5.1'!$G$1</c:f>
              <c:strCache>
                <c:ptCount val="1"/>
                <c:pt idx="0">
                  <c:v>Ciepło</c:v>
                </c:pt>
              </c:strCache>
            </c:strRef>
          </c:tx>
          <c:spPr>
            <a:solidFill>
              <a:schemeClr val="accent5"/>
            </a:solidFill>
            <a:ln>
              <a:noFill/>
            </a:ln>
            <a:effectLst/>
          </c:spPr>
          <c:invertIfNegative val="0"/>
          <c:cat>
            <c:multiLvlStrRef>
              <c:f>'RYS5.1'!$A$2:$B$31</c:f>
              <c:multiLvlStrCache>
                <c:ptCount val="29"/>
                <c:lvl>
                  <c:pt idx="0">
                    <c:v>1</c:v>
                  </c:pt>
                  <c:pt idx="1">
                    <c:v>2</c:v>
                  </c:pt>
                  <c:pt idx="2">
                    <c:v>3</c:v>
                  </c:pt>
                  <c:pt idx="3">
                    <c:v>4</c:v>
                  </c:pt>
                  <c:pt idx="4">
                    <c:v>5</c:v>
                  </c:pt>
                  <c:pt idx="6">
                    <c:v>1</c:v>
                  </c:pt>
                  <c:pt idx="7">
                    <c:v>2</c:v>
                  </c:pt>
                  <c:pt idx="8">
                    <c:v>3</c:v>
                  </c:pt>
                  <c:pt idx="9">
                    <c:v>4</c:v>
                  </c:pt>
                  <c:pt idx="10">
                    <c:v>5</c:v>
                  </c:pt>
                  <c:pt idx="12">
                    <c:v>1</c:v>
                  </c:pt>
                  <c:pt idx="13">
                    <c:v>2</c:v>
                  </c:pt>
                  <c:pt idx="14">
                    <c:v>3</c:v>
                  </c:pt>
                  <c:pt idx="15">
                    <c:v>4</c:v>
                  </c:pt>
                  <c:pt idx="16">
                    <c:v>5</c:v>
                  </c:pt>
                  <c:pt idx="18">
                    <c:v>1</c:v>
                  </c:pt>
                  <c:pt idx="19">
                    <c:v>2</c:v>
                  </c:pt>
                  <c:pt idx="20">
                    <c:v>3</c:v>
                  </c:pt>
                  <c:pt idx="21">
                    <c:v>4</c:v>
                  </c:pt>
                  <c:pt idx="22">
                    <c:v>5</c:v>
                  </c:pt>
                  <c:pt idx="24">
                    <c:v>1</c:v>
                  </c:pt>
                  <c:pt idx="25">
                    <c:v>2</c:v>
                  </c:pt>
                  <c:pt idx="26">
                    <c:v>3</c:v>
                  </c:pt>
                  <c:pt idx="27">
                    <c:v>4</c:v>
                  </c:pt>
                  <c:pt idx="28">
                    <c:v>5</c:v>
                  </c:pt>
                </c:lvl>
                <c:lvl>
                  <c:pt idx="0">
                    <c:v>2020</c:v>
                  </c:pt>
                  <c:pt idx="6">
                    <c:v>2025</c:v>
                  </c:pt>
                  <c:pt idx="12">
                    <c:v>2030</c:v>
                  </c:pt>
                  <c:pt idx="18">
                    <c:v>2035</c:v>
                  </c:pt>
                  <c:pt idx="24">
                    <c:v>2040</c:v>
                  </c:pt>
                </c:lvl>
              </c:multiLvlStrCache>
              <c:extLst/>
            </c:multiLvlStrRef>
          </c:cat>
          <c:val>
            <c:numRef>
              <c:f>'RYS5.1'!$G$2:$G$31</c:f>
              <c:numCache>
                <c:formatCode>0%</c:formatCode>
                <c:ptCount val="30"/>
                <c:pt idx="0">
                  <c:v>2.419802426935859E-2</c:v>
                </c:pt>
                <c:pt idx="1">
                  <c:v>2.7587161482000789E-2</c:v>
                </c:pt>
                <c:pt idx="2">
                  <c:v>2.2244097100363014E-2</c:v>
                </c:pt>
                <c:pt idx="3">
                  <c:v>1.7787781927191292E-2</c:v>
                </c:pt>
                <c:pt idx="4">
                  <c:v>1.2622445368975254E-2</c:v>
                </c:pt>
                <c:pt idx="6">
                  <c:v>3.6212850830539843E-2</c:v>
                </c:pt>
                <c:pt idx="7">
                  <c:v>4.1284765750513465E-2</c:v>
                </c:pt>
                <c:pt idx="8">
                  <c:v>3.3288757841916219E-2</c:v>
                </c:pt>
                <c:pt idx="9">
                  <c:v>2.6619788721809767E-2</c:v>
                </c:pt>
                <c:pt idx="10">
                  <c:v>1.8889754228494926E-2</c:v>
                </c:pt>
                <c:pt idx="12">
                  <c:v>2.7685910109443011E-2</c:v>
                </c:pt>
                <c:pt idx="13">
                  <c:v>3.1563555125965981E-2</c:v>
                </c:pt>
                <c:pt idx="14">
                  <c:v>2.5450345281544606E-2</c:v>
                </c:pt>
                <c:pt idx="15">
                  <c:v>2.0351700039668026E-2</c:v>
                </c:pt>
                <c:pt idx="16">
                  <c:v>1.4441835579499039E-2</c:v>
                </c:pt>
                <c:pt idx="18">
                  <c:v>2.2914808385576298E-2</c:v>
                </c:pt>
                <c:pt idx="19">
                  <c:v>2.6124220400195318E-2</c:v>
                </c:pt>
                <c:pt idx="20">
                  <c:v>2.1064497542901375E-2</c:v>
                </c:pt>
                <c:pt idx="21">
                  <c:v>1.6844499779353671E-2</c:v>
                </c:pt>
                <c:pt idx="22">
                  <c:v>1.19530798782499E-2</c:v>
                </c:pt>
                <c:pt idx="24">
                  <c:v>2.2101338786890662E-2</c:v>
                </c:pt>
                <c:pt idx="25">
                  <c:v>2.5196817529207386E-2</c:v>
                </c:pt>
                <c:pt idx="26">
                  <c:v>2.0316713486652219E-2</c:v>
                </c:pt>
                <c:pt idx="27">
                  <c:v>1.624652452051642E-2</c:v>
                </c:pt>
                <c:pt idx="28">
                  <c:v>1.1528748724002164E-2</c:v>
                </c:pt>
              </c:numCache>
              <c:extLst/>
            </c:numRef>
          </c:val>
          <c:extLst>
            <c:ext xmlns:c16="http://schemas.microsoft.com/office/drawing/2014/chart" uri="{C3380CC4-5D6E-409C-BE32-E72D297353CC}">
              <c16:uniqueId val="{00000004-1617-4810-88EB-102DF2371ABF}"/>
            </c:ext>
          </c:extLst>
        </c:ser>
        <c:ser>
          <c:idx val="5"/>
          <c:order val="5"/>
          <c:tx>
            <c:strRef>
              <c:f>'RYS5.1'!$H$1</c:f>
              <c:strCache>
                <c:ptCount val="1"/>
                <c:pt idx="0">
                  <c:v>ON i benzyna</c:v>
                </c:pt>
              </c:strCache>
            </c:strRef>
          </c:tx>
          <c:spPr>
            <a:solidFill>
              <a:schemeClr val="accent6"/>
            </a:solidFill>
            <a:ln>
              <a:noFill/>
            </a:ln>
            <a:effectLst/>
          </c:spPr>
          <c:invertIfNegative val="0"/>
          <c:cat>
            <c:multiLvlStrRef>
              <c:f>'RYS5.1'!$A$2:$B$31</c:f>
              <c:multiLvlStrCache>
                <c:ptCount val="29"/>
                <c:lvl>
                  <c:pt idx="0">
                    <c:v>1</c:v>
                  </c:pt>
                  <c:pt idx="1">
                    <c:v>2</c:v>
                  </c:pt>
                  <c:pt idx="2">
                    <c:v>3</c:v>
                  </c:pt>
                  <c:pt idx="3">
                    <c:v>4</c:v>
                  </c:pt>
                  <c:pt idx="4">
                    <c:v>5</c:v>
                  </c:pt>
                  <c:pt idx="6">
                    <c:v>1</c:v>
                  </c:pt>
                  <c:pt idx="7">
                    <c:v>2</c:v>
                  </c:pt>
                  <c:pt idx="8">
                    <c:v>3</c:v>
                  </c:pt>
                  <c:pt idx="9">
                    <c:v>4</c:v>
                  </c:pt>
                  <c:pt idx="10">
                    <c:v>5</c:v>
                  </c:pt>
                  <c:pt idx="12">
                    <c:v>1</c:v>
                  </c:pt>
                  <c:pt idx="13">
                    <c:v>2</c:v>
                  </c:pt>
                  <c:pt idx="14">
                    <c:v>3</c:v>
                  </c:pt>
                  <c:pt idx="15">
                    <c:v>4</c:v>
                  </c:pt>
                  <c:pt idx="16">
                    <c:v>5</c:v>
                  </c:pt>
                  <c:pt idx="18">
                    <c:v>1</c:v>
                  </c:pt>
                  <c:pt idx="19">
                    <c:v>2</c:v>
                  </c:pt>
                  <c:pt idx="20">
                    <c:v>3</c:v>
                  </c:pt>
                  <c:pt idx="21">
                    <c:v>4</c:v>
                  </c:pt>
                  <c:pt idx="22">
                    <c:v>5</c:v>
                  </c:pt>
                  <c:pt idx="24">
                    <c:v>1</c:v>
                  </c:pt>
                  <c:pt idx="25">
                    <c:v>2</c:v>
                  </c:pt>
                  <c:pt idx="26">
                    <c:v>3</c:v>
                  </c:pt>
                  <c:pt idx="27">
                    <c:v>4</c:v>
                  </c:pt>
                  <c:pt idx="28">
                    <c:v>5</c:v>
                  </c:pt>
                </c:lvl>
                <c:lvl>
                  <c:pt idx="0">
                    <c:v>2020</c:v>
                  </c:pt>
                  <c:pt idx="6">
                    <c:v>2025</c:v>
                  </c:pt>
                  <c:pt idx="12">
                    <c:v>2030</c:v>
                  </c:pt>
                  <c:pt idx="18">
                    <c:v>2035</c:v>
                  </c:pt>
                  <c:pt idx="24">
                    <c:v>2040</c:v>
                  </c:pt>
                </c:lvl>
              </c:multiLvlStrCache>
              <c:extLst/>
            </c:multiLvlStrRef>
          </c:cat>
          <c:val>
            <c:numRef>
              <c:f>'RYS5.1'!$H$2:$H$31</c:f>
              <c:numCache>
                <c:formatCode>0%</c:formatCode>
                <c:ptCount val="30"/>
                <c:pt idx="0">
                  <c:v>1.2239606455629191E-2</c:v>
                </c:pt>
                <c:pt idx="1">
                  <c:v>2.7869573442980307E-2</c:v>
                </c:pt>
                <c:pt idx="2">
                  <c:v>4.1111659411557554E-2</c:v>
                </c:pt>
                <c:pt idx="3">
                  <c:v>4.9243204660582338E-2</c:v>
                </c:pt>
                <c:pt idx="4">
                  <c:v>4.9282367838816343E-2</c:v>
                </c:pt>
                <c:pt idx="6">
                  <c:v>1.58914507714214E-2</c:v>
                </c:pt>
                <c:pt idx="7">
                  <c:v>3.618481983021142E-2</c:v>
                </c:pt>
                <c:pt idx="8">
                  <c:v>5.3377852796054247E-2</c:v>
                </c:pt>
                <c:pt idx="9">
                  <c:v>6.3935549359985161E-2</c:v>
                </c:pt>
                <c:pt idx="10">
                  <c:v>6.3986397377134588E-2</c:v>
                </c:pt>
                <c:pt idx="12">
                  <c:v>1.3440137635214658E-2</c:v>
                </c:pt>
                <c:pt idx="13">
                  <c:v>3.0603181913263843E-2</c:v>
                </c:pt>
                <c:pt idx="14">
                  <c:v>4.5144128032750329E-2</c:v>
                </c:pt>
                <c:pt idx="15">
                  <c:v>5.4073262129509227E-2</c:v>
                </c:pt>
                <c:pt idx="16">
                  <c:v>5.4116266658094825E-2</c:v>
                </c:pt>
                <c:pt idx="18">
                  <c:v>1.1606640456464156E-2</c:v>
                </c:pt>
                <c:pt idx="19">
                  <c:v>2.6428310403634286E-2</c:v>
                </c:pt>
                <c:pt idx="20">
                  <c:v>3.8985587574925824E-2</c:v>
                </c:pt>
                <c:pt idx="21">
                  <c:v>4.6696613448432824E-2</c:v>
                </c:pt>
                <c:pt idx="22">
                  <c:v>4.673375131969873E-2</c:v>
                </c:pt>
                <c:pt idx="24">
                  <c:v>1.2193266847767399E-2</c:v>
                </c:pt>
                <c:pt idx="25">
                  <c:v>2.7764058195467664E-2</c:v>
                </c:pt>
                <c:pt idx="26">
                  <c:v>4.0956009131249485E-2</c:v>
                </c:pt>
                <c:pt idx="27">
                  <c:v>4.9056768045802147E-2</c:v>
                </c:pt>
                <c:pt idx="28">
                  <c:v>4.9095782950778467E-2</c:v>
                </c:pt>
              </c:numCache>
              <c:extLst/>
            </c:numRef>
          </c:val>
          <c:extLst>
            <c:ext xmlns:c16="http://schemas.microsoft.com/office/drawing/2014/chart" uri="{C3380CC4-5D6E-409C-BE32-E72D297353CC}">
              <c16:uniqueId val="{00000005-1617-4810-88EB-102DF2371ABF}"/>
            </c:ext>
          </c:extLst>
        </c:ser>
        <c:dLbls>
          <c:showLegendKey val="0"/>
          <c:showVal val="0"/>
          <c:showCatName val="0"/>
          <c:showSerName val="0"/>
          <c:showPercent val="0"/>
          <c:showBubbleSize val="0"/>
        </c:dLbls>
        <c:gapWidth val="150"/>
        <c:overlap val="100"/>
        <c:axId val="951772984"/>
        <c:axId val="1021538456"/>
      </c:barChart>
      <c:catAx>
        <c:axId val="951772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1021538456"/>
        <c:crosses val="autoZero"/>
        <c:auto val="1"/>
        <c:lblAlgn val="ctr"/>
        <c:lblOffset val="100"/>
        <c:noMultiLvlLbl val="0"/>
      </c:catAx>
      <c:valAx>
        <c:axId val="1021538456"/>
        <c:scaling>
          <c:orientation val="minMax"/>
          <c:max val="0.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951772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100"/>
      </a:pPr>
      <a:endParaRPr lang="pl-PL"/>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'RYS5.2'!$C$1</c:f>
              <c:strCache>
                <c:ptCount val="1"/>
                <c:pt idx="0">
                  <c:v>Energia elektryczna</c:v>
                </c:pt>
              </c:strCache>
            </c:strRef>
          </c:tx>
          <c:spPr>
            <a:solidFill>
              <a:schemeClr val="accent1"/>
            </a:solidFill>
            <a:ln>
              <a:noFill/>
            </a:ln>
            <a:effectLst/>
          </c:spPr>
          <c:invertIfNegative val="0"/>
          <c:cat>
            <c:multiLvlStrRef>
              <c:f>'RYS5.2'!$A$2:$B$31</c:f>
              <c:multiLvlStrCache>
                <c:ptCount val="29"/>
                <c:lvl>
                  <c:pt idx="0">
                    <c:v>1</c:v>
                  </c:pt>
                  <c:pt idx="1">
                    <c:v>2</c:v>
                  </c:pt>
                  <c:pt idx="2">
                    <c:v>3</c:v>
                  </c:pt>
                  <c:pt idx="3">
                    <c:v>4</c:v>
                  </c:pt>
                  <c:pt idx="4">
                    <c:v>5</c:v>
                  </c:pt>
                  <c:pt idx="6">
                    <c:v>1</c:v>
                  </c:pt>
                  <c:pt idx="7">
                    <c:v>2</c:v>
                  </c:pt>
                  <c:pt idx="8">
                    <c:v>3</c:v>
                  </c:pt>
                  <c:pt idx="9">
                    <c:v>4</c:v>
                  </c:pt>
                  <c:pt idx="10">
                    <c:v>5</c:v>
                  </c:pt>
                  <c:pt idx="12">
                    <c:v>1</c:v>
                  </c:pt>
                  <c:pt idx="13">
                    <c:v>2</c:v>
                  </c:pt>
                  <c:pt idx="14">
                    <c:v>3</c:v>
                  </c:pt>
                  <c:pt idx="15">
                    <c:v>4</c:v>
                  </c:pt>
                  <c:pt idx="16">
                    <c:v>5</c:v>
                  </c:pt>
                  <c:pt idx="18">
                    <c:v>1</c:v>
                  </c:pt>
                  <c:pt idx="19">
                    <c:v>2</c:v>
                  </c:pt>
                  <c:pt idx="20">
                    <c:v>3</c:v>
                  </c:pt>
                  <c:pt idx="21">
                    <c:v>4</c:v>
                  </c:pt>
                  <c:pt idx="22">
                    <c:v>5</c:v>
                  </c:pt>
                  <c:pt idx="24">
                    <c:v>1</c:v>
                  </c:pt>
                  <c:pt idx="25">
                    <c:v>2</c:v>
                  </c:pt>
                  <c:pt idx="26">
                    <c:v>3</c:v>
                  </c:pt>
                  <c:pt idx="27">
                    <c:v>4</c:v>
                  </c:pt>
                  <c:pt idx="28">
                    <c:v>5</c:v>
                  </c:pt>
                </c:lvl>
                <c:lvl>
                  <c:pt idx="0">
                    <c:v>2020</c:v>
                  </c:pt>
                  <c:pt idx="6">
                    <c:v>2025</c:v>
                  </c:pt>
                  <c:pt idx="12">
                    <c:v>2030</c:v>
                  </c:pt>
                  <c:pt idx="18">
                    <c:v>2035</c:v>
                  </c:pt>
                  <c:pt idx="24">
                    <c:v>2040</c:v>
                  </c:pt>
                </c:lvl>
              </c:multiLvlStrCache>
              <c:extLst/>
            </c:multiLvlStrRef>
          </c:cat>
          <c:val>
            <c:numRef>
              <c:f>'RYS5.2'!$C$2:$C$31</c:f>
              <c:numCache>
                <c:formatCode>0%</c:formatCode>
                <c:ptCount val="30"/>
                <c:pt idx="0">
                  <c:v>4.4239368796043309E-2</c:v>
                </c:pt>
                <c:pt idx="1">
                  <c:v>4.1343577438268379E-2</c:v>
                </c:pt>
                <c:pt idx="2">
                  <c:v>3.93494023815424E-2</c:v>
                </c:pt>
                <c:pt idx="3">
                  <c:v>3.5042880581830083E-2</c:v>
                </c:pt>
                <c:pt idx="4">
                  <c:v>2.7055134736047131E-2</c:v>
                </c:pt>
                <c:pt idx="6">
                  <c:v>6.8237019041689023E-2</c:v>
                </c:pt>
                <c:pt idx="7">
                  <c:v>6.3770405358020921E-2</c:v>
                </c:pt>
                <c:pt idx="8">
                  <c:v>6.0694489832516359E-2</c:v>
                </c:pt>
                <c:pt idx="9">
                  <c:v>5.4051894830647783E-2</c:v>
                </c:pt>
                <c:pt idx="10">
                  <c:v>4.1731195412630463E-2</c:v>
                </c:pt>
                <c:pt idx="12">
                  <c:v>4.7716131109617206E-2</c:v>
                </c:pt>
                <c:pt idx="13">
                  <c:v>4.4592760142668803E-2</c:v>
                </c:pt>
                <c:pt idx="14">
                  <c:v>4.2441863304584278E-2</c:v>
                </c:pt>
                <c:pt idx="15">
                  <c:v>3.7796892898951447E-2</c:v>
                </c:pt>
                <c:pt idx="16">
                  <c:v>2.9181391854963486E-2</c:v>
                </c:pt>
                <c:pt idx="18">
                  <c:v>4.0173780533697551E-2</c:v>
                </c:pt>
                <c:pt idx="19">
                  <c:v>3.7544111764801533E-2</c:v>
                </c:pt>
                <c:pt idx="20">
                  <c:v>3.5733200957189633E-2</c:v>
                </c:pt>
                <c:pt idx="21">
                  <c:v>3.1822447563694102E-2</c:v>
                </c:pt>
                <c:pt idx="22">
                  <c:v>2.4568773804313083E-2</c:v>
                </c:pt>
                <c:pt idx="24">
                  <c:v>3.8036295294002799E-2</c:v>
                </c:pt>
                <c:pt idx="25">
                  <c:v>3.5546540620920754E-2</c:v>
                </c:pt>
                <c:pt idx="26">
                  <c:v>3.3831981091935165E-2</c:v>
                </c:pt>
                <c:pt idx="27">
                  <c:v>3.0129303153217185E-2</c:v>
                </c:pt>
                <c:pt idx="28">
                  <c:v>2.3261568192432254E-2</c:v>
                </c:pt>
              </c:numCache>
              <c:extLst/>
            </c:numRef>
          </c:val>
          <c:extLst>
            <c:ext xmlns:c16="http://schemas.microsoft.com/office/drawing/2014/chart" uri="{C3380CC4-5D6E-409C-BE32-E72D297353CC}">
              <c16:uniqueId val="{00000000-F4CC-4316-90EC-99D7FF6F7E69}"/>
            </c:ext>
          </c:extLst>
        </c:ser>
        <c:ser>
          <c:idx val="1"/>
          <c:order val="1"/>
          <c:tx>
            <c:strRef>
              <c:f>'RYS5.2'!$D$1</c:f>
              <c:strCache>
                <c:ptCount val="1"/>
                <c:pt idx="0">
                  <c:v>Gaz</c:v>
                </c:pt>
              </c:strCache>
            </c:strRef>
          </c:tx>
          <c:spPr>
            <a:solidFill>
              <a:schemeClr val="accent2"/>
            </a:solidFill>
            <a:ln>
              <a:noFill/>
            </a:ln>
            <a:effectLst/>
          </c:spPr>
          <c:invertIfNegative val="0"/>
          <c:cat>
            <c:multiLvlStrRef>
              <c:f>'RYS5.2'!$A$2:$B$31</c:f>
              <c:multiLvlStrCache>
                <c:ptCount val="29"/>
                <c:lvl>
                  <c:pt idx="0">
                    <c:v>1</c:v>
                  </c:pt>
                  <c:pt idx="1">
                    <c:v>2</c:v>
                  </c:pt>
                  <c:pt idx="2">
                    <c:v>3</c:v>
                  </c:pt>
                  <c:pt idx="3">
                    <c:v>4</c:v>
                  </c:pt>
                  <c:pt idx="4">
                    <c:v>5</c:v>
                  </c:pt>
                  <c:pt idx="6">
                    <c:v>1</c:v>
                  </c:pt>
                  <c:pt idx="7">
                    <c:v>2</c:v>
                  </c:pt>
                  <c:pt idx="8">
                    <c:v>3</c:v>
                  </c:pt>
                  <c:pt idx="9">
                    <c:v>4</c:v>
                  </c:pt>
                  <c:pt idx="10">
                    <c:v>5</c:v>
                  </c:pt>
                  <c:pt idx="12">
                    <c:v>1</c:v>
                  </c:pt>
                  <c:pt idx="13">
                    <c:v>2</c:v>
                  </c:pt>
                  <c:pt idx="14">
                    <c:v>3</c:v>
                  </c:pt>
                  <c:pt idx="15">
                    <c:v>4</c:v>
                  </c:pt>
                  <c:pt idx="16">
                    <c:v>5</c:v>
                  </c:pt>
                  <c:pt idx="18">
                    <c:v>1</c:v>
                  </c:pt>
                  <c:pt idx="19">
                    <c:v>2</c:v>
                  </c:pt>
                  <c:pt idx="20">
                    <c:v>3</c:v>
                  </c:pt>
                  <c:pt idx="21">
                    <c:v>4</c:v>
                  </c:pt>
                  <c:pt idx="22">
                    <c:v>5</c:v>
                  </c:pt>
                  <c:pt idx="24">
                    <c:v>1</c:v>
                  </c:pt>
                  <c:pt idx="25">
                    <c:v>2</c:v>
                  </c:pt>
                  <c:pt idx="26">
                    <c:v>3</c:v>
                  </c:pt>
                  <c:pt idx="27">
                    <c:v>4</c:v>
                  </c:pt>
                  <c:pt idx="28">
                    <c:v>5</c:v>
                  </c:pt>
                </c:lvl>
                <c:lvl>
                  <c:pt idx="0">
                    <c:v>2020</c:v>
                  </c:pt>
                  <c:pt idx="6">
                    <c:v>2025</c:v>
                  </c:pt>
                  <c:pt idx="12">
                    <c:v>2030</c:v>
                  </c:pt>
                  <c:pt idx="18">
                    <c:v>2035</c:v>
                  </c:pt>
                  <c:pt idx="24">
                    <c:v>2040</c:v>
                  </c:pt>
                </c:lvl>
              </c:multiLvlStrCache>
              <c:extLst/>
            </c:multiLvlStrRef>
          </c:cat>
          <c:val>
            <c:numRef>
              <c:f>'RYS5.2'!$D$2:$D$31</c:f>
              <c:numCache>
                <c:formatCode>0%</c:formatCode>
                <c:ptCount val="30"/>
                <c:pt idx="0">
                  <c:v>2.5182366051699715E-2</c:v>
                </c:pt>
                <c:pt idx="1">
                  <c:v>2.3935805119143238E-2</c:v>
                </c:pt>
                <c:pt idx="2">
                  <c:v>2.2158969621525779E-2</c:v>
                </c:pt>
                <c:pt idx="3">
                  <c:v>2.0388266615125064E-2</c:v>
                </c:pt>
                <c:pt idx="4">
                  <c:v>1.9157039147803322E-2</c:v>
                </c:pt>
                <c:pt idx="6">
                  <c:v>2.4770733312289017E-2</c:v>
                </c:pt>
                <c:pt idx="7">
                  <c:v>2.3544548753043019E-2</c:v>
                </c:pt>
                <c:pt idx="8">
                  <c:v>2.1796757534341408E-2</c:v>
                </c:pt>
                <c:pt idx="9">
                  <c:v>2.0054998564720674E-2</c:v>
                </c:pt>
                <c:pt idx="10">
                  <c:v>1.8843896828800458E-2</c:v>
                </c:pt>
                <c:pt idx="12">
                  <c:v>2.1317715457536714E-2</c:v>
                </c:pt>
                <c:pt idx="13">
                  <c:v>2.0262459918555024E-2</c:v>
                </c:pt>
                <c:pt idx="14">
                  <c:v>1.8758309217413779E-2</c:v>
                </c:pt>
                <c:pt idx="15">
                  <c:v>1.7259349875278909E-2</c:v>
                </c:pt>
                <c:pt idx="16">
                  <c:v>1.6217074627671788E-2</c:v>
                </c:pt>
                <c:pt idx="18">
                  <c:v>1.3436445890356469E-2</c:v>
                </c:pt>
                <c:pt idx="19">
                  <c:v>1.2771323777329409E-2</c:v>
                </c:pt>
                <c:pt idx="20">
                  <c:v>1.1823265363327038E-2</c:v>
                </c:pt>
                <c:pt idx="21">
                  <c:v>1.0878479036079249E-2</c:v>
                </c:pt>
                <c:pt idx="22">
                  <c:v>1.0221538333627957E-2</c:v>
                </c:pt>
                <c:pt idx="24">
                  <c:v>1.3143022653053869E-2</c:v>
                </c:pt>
                <c:pt idx="25">
                  <c:v>1.2492425384260059E-2</c:v>
                </c:pt>
                <c:pt idx="26">
                  <c:v>1.1565070538095388E-2</c:v>
                </c:pt>
                <c:pt idx="27">
                  <c:v>1.0640916323309664E-2</c:v>
                </c:pt>
                <c:pt idx="28">
                  <c:v>9.9983218005849205E-3</c:v>
                </c:pt>
              </c:numCache>
              <c:extLst/>
            </c:numRef>
          </c:val>
          <c:extLst>
            <c:ext xmlns:c16="http://schemas.microsoft.com/office/drawing/2014/chart" uri="{C3380CC4-5D6E-409C-BE32-E72D297353CC}">
              <c16:uniqueId val="{00000001-F4CC-4316-90EC-99D7FF6F7E69}"/>
            </c:ext>
          </c:extLst>
        </c:ser>
        <c:ser>
          <c:idx val="2"/>
          <c:order val="2"/>
          <c:tx>
            <c:strRef>
              <c:f>'RYS5.2'!$E$1</c:f>
              <c:strCache>
                <c:ptCount val="1"/>
                <c:pt idx="0">
                  <c:v>Paliwa płynne</c:v>
                </c:pt>
              </c:strCache>
            </c:strRef>
          </c:tx>
          <c:spPr>
            <a:solidFill>
              <a:schemeClr val="accent3"/>
            </a:solidFill>
            <a:ln>
              <a:noFill/>
            </a:ln>
            <a:effectLst/>
          </c:spPr>
          <c:invertIfNegative val="0"/>
          <c:cat>
            <c:multiLvlStrRef>
              <c:f>'RYS5.2'!$A$2:$B$31</c:f>
              <c:multiLvlStrCache>
                <c:ptCount val="29"/>
                <c:lvl>
                  <c:pt idx="0">
                    <c:v>1</c:v>
                  </c:pt>
                  <c:pt idx="1">
                    <c:v>2</c:v>
                  </c:pt>
                  <c:pt idx="2">
                    <c:v>3</c:v>
                  </c:pt>
                  <c:pt idx="3">
                    <c:v>4</c:v>
                  </c:pt>
                  <c:pt idx="4">
                    <c:v>5</c:v>
                  </c:pt>
                  <c:pt idx="6">
                    <c:v>1</c:v>
                  </c:pt>
                  <c:pt idx="7">
                    <c:v>2</c:v>
                  </c:pt>
                  <c:pt idx="8">
                    <c:v>3</c:v>
                  </c:pt>
                  <c:pt idx="9">
                    <c:v>4</c:v>
                  </c:pt>
                  <c:pt idx="10">
                    <c:v>5</c:v>
                  </c:pt>
                  <c:pt idx="12">
                    <c:v>1</c:v>
                  </c:pt>
                  <c:pt idx="13">
                    <c:v>2</c:v>
                  </c:pt>
                  <c:pt idx="14">
                    <c:v>3</c:v>
                  </c:pt>
                  <c:pt idx="15">
                    <c:v>4</c:v>
                  </c:pt>
                  <c:pt idx="16">
                    <c:v>5</c:v>
                  </c:pt>
                  <c:pt idx="18">
                    <c:v>1</c:v>
                  </c:pt>
                  <c:pt idx="19">
                    <c:v>2</c:v>
                  </c:pt>
                  <c:pt idx="20">
                    <c:v>3</c:v>
                  </c:pt>
                  <c:pt idx="21">
                    <c:v>4</c:v>
                  </c:pt>
                  <c:pt idx="22">
                    <c:v>5</c:v>
                  </c:pt>
                  <c:pt idx="24">
                    <c:v>1</c:v>
                  </c:pt>
                  <c:pt idx="25">
                    <c:v>2</c:v>
                  </c:pt>
                  <c:pt idx="26">
                    <c:v>3</c:v>
                  </c:pt>
                  <c:pt idx="27">
                    <c:v>4</c:v>
                  </c:pt>
                  <c:pt idx="28">
                    <c:v>5</c:v>
                  </c:pt>
                </c:lvl>
                <c:lvl>
                  <c:pt idx="0">
                    <c:v>2020</c:v>
                  </c:pt>
                  <c:pt idx="6">
                    <c:v>2025</c:v>
                  </c:pt>
                  <c:pt idx="12">
                    <c:v>2030</c:v>
                  </c:pt>
                  <c:pt idx="18">
                    <c:v>2035</c:v>
                  </c:pt>
                  <c:pt idx="24">
                    <c:v>2040</c:v>
                  </c:pt>
                </c:lvl>
              </c:multiLvlStrCache>
              <c:extLst/>
            </c:multiLvlStrRef>
          </c:cat>
          <c:val>
            <c:numRef>
              <c:f>'RYS5.2'!$E$2:$E$31</c:f>
              <c:numCache>
                <c:formatCode>0%</c:formatCode>
                <c:ptCount val="30"/>
                <c:pt idx="0">
                  <c:v>1.5378645212908207E-3</c:v>
                </c:pt>
                <c:pt idx="1">
                  <c:v>1.3178377075764717E-3</c:v>
                </c:pt>
                <c:pt idx="2">
                  <c:v>1.2658071153115655E-3</c:v>
                </c:pt>
                <c:pt idx="3">
                  <c:v>1.1800078890437321E-3</c:v>
                </c:pt>
                <c:pt idx="4">
                  <c:v>1.0742597441067308E-3</c:v>
                </c:pt>
                <c:pt idx="6">
                  <c:v>1.9739743423788595E-3</c:v>
                </c:pt>
                <c:pt idx="7">
                  <c:v>1.6915520100508194E-3</c:v>
                </c:pt>
                <c:pt idx="8">
                  <c:v>1.6247665079940504E-3</c:v>
                </c:pt>
                <c:pt idx="9">
                  <c:v>1.5146362143928279E-3</c:v>
                </c:pt>
                <c:pt idx="10">
                  <c:v>1.3788998592263858E-3</c:v>
                </c:pt>
                <c:pt idx="12">
                  <c:v>1.6676999394502794E-3</c:v>
                </c:pt>
                <c:pt idx="13">
                  <c:v>1.4290971894493469E-3</c:v>
                </c:pt>
                <c:pt idx="14">
                  <c:v>1.3726738736315701E-3</c:v>
                </c:pt>
                <c:pt idx="15">
                  <c:v>1.2796309804047694E-3</c:v>
                </c:pt>
                <c:pt idx="16">
                  <c:v>1.1649549654067838E-3</c:v>
                </c:pt>
                <c:pt idx="18">
                  <c:v>1.4438572400201505E-3</c:v>
                </c:pt>
                <c:pt idx="19">
                  <c:v>1.2372803253557991E-3</c:v>
                </c:pt>
                <c:pt idx="20">
                  <c:v>1.188430282777819E-3</c:v>
                </c:pt>
                <c:pt idx="21">
                  <c:v>1.1078758306008764E-3</c:v>
                </c:pt>
                <c:pt idx="22">
                  <c:v>1.0085919063200614E-3</c:v>
                </c:pt>
                <c:pt idx="24">
                  <c:v>1.4288071982665887E-3</c:v>
                </c:pt>
                <c:pt idx="25">
                  <c:v>1.2243835374730816E-3</c:v>
                </c:pt>
                <c:pt idx="26">
                  <c:v>1.1760426831722277E-3</c:v>
                </c:pt>
                <c:pt idx="27">
                  <c:v>1.0963278900939103E-3</c:v>
                </c:pt>
                <c:pt idx="28">
                  <c:v>9.9807885150987141E-4</c:v>
                </c:pt>
              </c:numCache>
              <c:extLst/>
            </c:numRef>
          </c:val>
          <c:extLst>
            <c:ext xmlns:c16="http://schemas.microsoft.com/office/drawing/2014/chart" uri="{C3380CC4-5D6E-409C-BE32-E72D297353CC}">
              <c16:uniqueId val="{00000002-F4CC-4316-90EC-99D7FF6F7E69}"/>
            </c:ext>
          </c:extLst>
        </c:ser>
        <c:ser>
          <c:idx val="3"/>
          <c:order val="3"/>
          <c:tx>
            <c:strRef>
              <c:f>'RYS5.2'!$F$1</c:f>
              <c:strCache>
                <c:ptCount val="1"/>
                <c:pt idx="0">
                  <c:v>Paliwa stałe</c:v>
                </c:pt>
              </c:strCache>
            </c:strRef>
          </c:tx>
          <c:spPr>
            <a:solidFill>
              <a:schemeClr val="accent4"/>
            </a:solidFill>
            <a:ln>
              <a:noFill/>
            </a:ln>
            <a:effectLst/>
          </c:spPr>
          <c:invertIfNegative val="0"/>
          <c:cat>
            <c:multiLvlStrRef>
              <c:f>'RYS5.2'!$A$2:$B$31</c:f>
              <c:multiLvlStrCache>
                <c:ptCount val="29"/>
                <c:lvl>
                  <c:pt idx="0">
                    <c:v>1</c:v>
                  </c:pt>
                  <c:pt idx="1">
                    <c:v>2</c:v>
                  </c:pt>
                  <c:pt idx="2">
                    <c:v>3</c:v>
                  </c:pt>
                  <c:pt idx="3">
                    <c:v>4</c:v>
                  </c:pt>
                  <c:pt idx="4">
                    <c:v>5</c:v>
                  </c:pt>
                  <c:pt idx="6">
                    <c:v>1</c:v>
                  </c:pt>
                  <c:pt idx="7">
                    <c:v>2</c:v>
                  </c:pt>
                  <c:pt idx="8">
                    <c:v>3</c:v>
                  </c:pt>
                  <c:pt idx="9">
                    <c:v>4</c:v>
                  </c:pt>
                  <c:pt idx="10">
                    <c:v>5</c:v>
                  </c:pt>
                  <c:pt idx="12">
                    <c:v>1</c:v>
                  </c:pt>
                  <c:pt idx="13">
                    <c:v>2</c:v>
                  </c:pt>
                  <c:pt idx="14">
                    <c:v>3</c:v>
                  </c:pt>
                  <c:pt idx="15">
                    <c:v>4</c:v>
                  </c:pt>
                  <c:pt idx="16">
                    <c:v>5</c:v>
                  </c:pt>
                  <c:pt idx="18">
                    <c:v>1</c:v>
                  </c:pt>
                  <c:pt idx="19">
                    <c:v>2</c:v>
                  </c:pt>
                  <c:pt idx="20">
                    <c:v>3</c:v>
                  </c:pt>
                  <c:pt idx="21">
                    <c:v>4</c:v>
                  </c:pt>
                  <c:pt idx="22">
                    <c:v>5</c:v>
                  </c:pt>
                  <c:pt idx="24">
                    <c:v>1</c:v>
                  </c:pt>
                  <c:pt idx="25">
                    <c:v>2</c:v>
                  </c:pt>
                  <c:pt idx="26">
                    <c:v>3</c:v>
                  </c:pt>
                  <c:pt idx="27">
                    <c:v>4</c:v>
                  </c:pt>
                  <c:pt idx="28">
                    <c:v>5</c:v>
                  </c:pt>
                </c:lvl>
                <c:lvl>
                  <c:pt idx="0">
                    <c:v>2020</c:v>
                  </c:pt>
                  <c:pt idx="6">
                    <c:v>2025</c:v>
                  </c:pt>
                  <c:pt idx="12">
                    <c:v>2030</c:v>
                  </c:pt>
                  <c:pt idx="18">
                    <c:v>2035</c:v>
                  </c:pt>
                  <c:pt idx="24">
                    <c:v>2040</c:v>
                  </c:pt>
                </c:lvl>
              </c:multiLvlStrCache>
              <c:extLst/>
            </c:multiLvlStrRef>
          </c:cat>
          <c:val>
            <c:numRef>
              <c:f>'RYS5.2'!$F$2:$F$31</c:f>
              <c:numCache>
                <c:formatCode>0%</c:formatCode>
                <c:ptCount val="30"/>
                <c:pt idx="0">
                  <c:v>1.0919239185343261E-2</c:v>
                </c:pt>
                <c:pt idx="1">
                  <c:v>1.5857927257032532E-2</c:v>
                </c:pt>
                <c:pt idx="2">
                  <c:v>1.8786417983930929E-2</c:v>
                </c:pt>
                <c:pt idx="3">
                  <c:v>2.2055273957887575E-2</c:v>
                </c:pt>
                <c:pt idx="4">
                  <c:v>2.7070309829395948E-2</c:v>
                </c:pt>
                <c:pt idx="6">
                  <c:v>6.3631872418639136E-3</c:v>
                </c:pt>
                <c:pt idx="7">
                  <c:v>9.2412079900036793E-3</c:v>
                </c:pt>
                <c:pt idx="8">
                  <c:v>1.0947786123792481E-2</c:v>
                </c:pt>
                <c:pt idx="9">
                  <c:v>1.2852712124213059E-2</c:v>
                </c:pt>
                <c:pt idx="10">
                  <c:v>1.5775224556938815E-2</c:v>
                </c:pt>
                <c:pt idx="12">
                  <c:v>6.9508741943749477E-3</c:v>
                </c:pt>
                <c:pt idx="13">
                  <c:v>1.0094701240278529E-2</c:v>
                </c:pt>
                <c:pt idx="14">
                  <c:v>1.1958894365509027E-2</c:v>
                </c:pt>
                <c:pt idx="15">
                  <c:v>1.4039754235764665E-2</c:v>
                </c:pt>
                <c:pt idx="16">
                  <c:v>1.7232182099229987E-2</c:v>
                </c:pt>
                <c:pt idx="18">
                  <c:v>2.1454725193407304E-3</c:v>
                </c:pt>
                <c:pt idx="19">
                  <c:v>3.1158532720242885E-3</c:v>
                </c:pt>
                <c:pt idx="20">
                  <c:v>3.6912593301806338E-3</c:v>
                </c:pt>
                <c:pt idx="21">
                  <c:v>4.3335422349475277E-3</c:v>
                </c:pt>
                <c:pt idx="22">
                  <c:v>5.3189242256883934E-3</c:v>
                </c:pt>
                <c:pt idx="24">
                  <c:v>7.4716623177358628E-5</c:v>
                </c:pt>
                <c:pt idx="25">
                  <c:v>1.0851037834468104E-4</c:v>
                </c:pt>
                <c:pt idx="26">
                  <c:v>1.2854903986734078E-4</c:v>
                </c:pt>
                <c:pt idx="27">
                  <c:v>1.5091670448952557E-4</c:v>
                </c:pt>
                <c:pt idx="28">
                  <c:v>1.8523288156671521E-4</c:v>
                </c:pt>
              </c:numCache>
              <c:extLst/>
            </c:numRef>
          </c:val>
          <c:extLst>
            <c:ext xmlns:c16="http://schemas.microsoft.com/office/drawing/2014/chart" uri="{C3380CC4-5D6E-409C-BE32-E72D297353CC}">
              <c16:uniqueId val="{00000003-F4CC-4316-90EC-99D7FF6F7E69}"/>
            </c:ext>
          </c:extLst>
        </c:ser>
        <c:ser>
          <c:idx val="4"/>
          <c:order val="4"/>
          <c:tx>
            <c:strRef>
              <c:f>'RYS5.2'!$G$1</c:f>
              <c:strCache>
                <c:ptCount val="1"/>
                <c:pt idx="0">
                  <c:v>Ciepło</c:v>
                </c:pt>
              </c:strCache>
            </c:strRef>
          </c:tx>
          <c:spPr>
            <a:solidFill>
              <a:schemeClr val="accent5"/>
            </a:solidFill>
            <a:ln>
              <a:noFill/>
            </a:ln>
            <a:effectLst/>
          </c:spPr>
          <c:invertIfNegative val="0"/>
          <c:cat>
            <c:multiLvlStrRef>
              <c:f>'RYS5.2'!$A$2:$B$31</c:f>
              <c:multiLvlStrCache>
                <c:ptCount val="29"/>
                <c:lvl>
                  <c:pt idx="0">
                    <c:v>1</c:v>
                  </c:pt>
                  <c:pt idx="1">
                    <c:v>2</c:v>
                  </c:pt>
                  <c:pt idx="2">
                    <c:v>3</c:v>
                  </c:pt>
                  <c:pt idx="3">
                    <c:v>4</c:v>
                  </c:pt>
                  <c:pt idx="4">
                    <c:v>5</c:v>
                  </c:pt>
                  <c:pt idx="6">
                    <c:v>1</c:v>
                  </c:pt>
                  <c:pt idx="7">
                    <c:v>2</c:v>
                  </c:pt>
                  <c:pt idx="8">
                    <c:v>3</c:v>
                  </c:pt>
                  <c:pt idx="9">
                    <c:v>4</c:v>
                  </c:pt>
                  <c:pt idx="10">
                    <c:v>5</c:v>
                  </c:pt>
                  <c:pt idx="12">
                    <c:v>1</c:v>
                  </c:pt>
                  <c:pt idx="13">
                    <c:v>2</c:v>
                  </c:pt>
                  <c:pt idx="14">
                    <c:v>3</c:v>
                  </c:pt>
                  <c:pt idx="15">
                    <c:v>4</c:v>
                  </c:pt>
                  <c:pt idx="16">
                    <c:v>5</c:v>
                  </c:pt>
                  <c:pt idx="18">
                    <c:v>1</c:v>
                  </c:pt>
                  <c:pt idx="19">
                    <c:v>2</c:v>
                  </c:pt>
                  <c:pt idx="20">
                    <c:v>3</c:v>
                  </c:pt>
                  <c:pt idx="21">
                    <c:v>4</c:v>
                  </c:pt>
                  <c:pt idx="22">
                    <c:v>5</c:v>
                  </c:pt>
                  <c:pt idx="24">
                    <c:v>1</c:v>
                  </c:pt>
                  <c:pt idx="25">
                    <c:v>2</c:v>
                  </c:pt>
                  <c:pt idx="26">
                    <c:v>3</c:v>
                  </c:pt>
                  <c:pt idx="27">
                    <c:v>4</c:v>
                  </c:pt>
                  <c:pt idx="28">
                    <c:v>5</c:v>
                  </c:pt>
                </c:lvl>
                <c:lvl>
                  <c:pt idx="0">
                    <c:v>2020</c:v>
                  </c:pt>
                  <c:pt idx="6">
                    <c:v>2025</c:v>
                  </c:pt>
                  <c:pt idx="12">
                    <c:v>2030</c:v>
                  </c:pt>
                  <c:pt idx="18">
                    <c:v>2035</c:v>
                  </c:pt>
                  <c:pt idx="24">
                    <c:v>2040</c:v>
                  </c:pt>
                </c:lvl>
              </c:multiLvlStrCache>
              <c:extLst/>
            </c:multiLvlStrRef>
          </c:cat>
          <c:val>
            <c:numRef>
              <c:f>'RYS5.2'!$G$2:$G$31</c:f>
              <c:numCache>
                <c:formatCode>0%</c:formatCode>
                <c:ptCount val="30"/>
                <c:pt idx="0">
                  <c:v>2.419802426935859E-2</c:v>
                </c:pt>
                <c:pt idx="1">
                  <c:v>2.7587161482000789E-2</c:v>
                </c:pt>
                <c:pt idx="2">
                  <c:v>2.2244097100363014E-2</c:v>
                </c:pt>
                <c:pt idx="3">
                  <c:v>1.7787781927191292E-2</c:v>
                </c:pt>
                <c:pt idx="4">
                  <c:v>1.2622445368975254E-2</c:v>
                </c:pt>
                <c:pt idx="6">
                  <c:v>3.7324245073477529E-2</c:v>
                </c:pt>
                <c:pt idx="7">
                  <c:v>4.2551820122754602E-2</c:v>
                </c:pt>
                <c:pt idx="8">
                  <c:v>3.4310409906626115E-2</c:v>
                </c:pt>
                <c:pt idx="9">
                  <c:v>2.7436766100146594E-2</c:v>
                </c:pt>
                <c:pt idx="10">
                  <c:v>1.9469492183904726E-2</c:v>
                </c:pt>
                <c:pt idx="12">
                  <c:v>2.6099741701868098E-2</c:v>
                </c:pt>
                <c:pt idx="13">
                  <c:v>2.9755230466467771E-2</c:v>
                </c:pt>
                <c:pt idx="14">
                  <c:v>2.3992255824203976E-2</c:v>
                </c:pt>
                <c:pt idx="15">
                  <c:v>1.9185719816668164E-2</c:v>
                </c:pt>
                <c:pt idx="16">
                  <c:v>1.3614440588579826E-2</c:v>
                </c:pt>
                <c:pt idx="18">
                  <c:v>2.19742311611201E-2</c:v>
                </c:pt>
                <c:pt idx="19">
                  <c:v>2.5051907409327612E-2</c:v>
                </c:pt>
                <c:pt idx="20">
                  <c:v>2.0199869469208303E-2</c:v>
                </c:pt>
                <c:pt idx="21">
                  <c:v>1.6153088680328716E-2</c:v>
                </c:pt>
                <c:pt idx="22">
                  <c:v>1.146244541574816E-2</c:v>
                </c:pt>
                <c:pt idx="24">
                  <c:v>2.0805070725219948E-2</c:v>
                </c:pt>
                <c:pt idx="25">
                  <c:v>2.371899620201115E-2</c:v>
                </c:pt>
                <c:pt idx="26">
                  <c:v>1.9125115680528222E-2</c:v>
                </c:pt>
                <c:pt idx="27">
                  <c:v>1.5293647816884909E-2</c:v>
                </c:pt>
                <c:pt idx="28">
                  <c:v>1.0852574809559696E-2</c:v>
                </c:pt>
              </c:numCache>
              <c:extLst/>
            </c:numRef>
          </c:val>
          <c:extLst>
            <c:ext xmlns:c16="http://schemas.microsoft.com/office/drawing/2014/chart" uri="{C3380CC4-5D6E-409C-BE32-E72D297353CC}">
              <c16:uniqueId val="{00000004-F4CC-4316-90EC-99D7FF6F7E69}"/>
            </c:ext>
          </c:extLst>
        </c:ser>
        <c:ser>
          <c:idx val="5"/>
          <c:order val="5"/>
          <c:tx>
            <c:strRef>
              <c:f>'RYS5.2'!$H$1</c:f>
              <c:strCache>
                <c:ptCount val="1"/>
                <c:pt idx="0">
                  <c:v>ON i benzyna</c:v>
                </c:pt>
              </c:strCache>
            </c:strRef>
          </c:tx>
          <c:spPr>
            <a:solidFill>
              <a:schemeClr val="accent6"/>
            </a:solidFill>
            <a:ln>
              <a:noFill/>
            </a:ln>
            <a:effectLst/>
          </c:spPr>
          <c:invertIfNegative val="0"/>
          <c:cat>
            <c:multiLvlStrRef>
              <c:f>'RYS5.2'!$A$2:$B$31</c:f>
              <c:multiLvlStrCache>
                <c:ptCount val="29"/>
                <c:lvl>
                  <c:pt idx="0">
                    <c:v>1</c:v>
                  </c:pt>
                  <c:pt idx="1">
                    <c:v>2</c:v>
                  </c:pt>
                  <c:pt idx="2">
                    <c:v>3</c:v>
                  </c:pt>
                  <c:pt idx="3">
                    <c:v>4</c:v>
                  </c:pt>
                  <c:pt idx="4">
                    <c:v>5</c:v>
                  </c:pt>
                  <c:pt idx="6">
                    <c:v>1</c:v>
                  </c:pt>
                  <c:pt idx="7">
                    <c:v>2</c:v>
                  </c:pt>
                  <c:pt idx="8">
                    <c:v>3</c:v>
                  </c:pt>
                  <c:pt idx="9">
                    <c:v>4</c:v>
                  </c:pt>
                  <c:pt idx="10">
                    <c:v>5</c:v>
                  </c:pt>
                  <c:pt idx="12">
                    <c:v>1</c:v>
                  </c:pt>
                  <c:pt idx="13">
                    <c:v>2</c:v>
                  </c:pt>
                  <c:pt idx="14">
                    <c:v>3</c:v>
                  </c:pt>
                  <c:pt idx="15">
                    <c:v>4</c:v>
                  </c:pt>
                  <c:pt idx="16">
                    <c:v>5</c:v>
                  </c:pt>
                  <c:pt idx="18">
                    <c:v>1</c:v>
                  </c:pt>
                  <c:pt idx="19">
                    <c:v>2</c:v>
                  </c:pt>
                  <c:pt idx="20">
                    <c:v>3</c:v>
                  </c:pt>
                  <c:pt idx="21">
                    <c:v>4</c:v>
                  </c:pt>
                  <c:pt idx="22">
                    <c:v>5</c:v>
                  </c:pt>
                  <c:pt idx="24">
                    <c:v>1</c:v>
                  </c:pt>
                  <c:pt idx="25">
                    <c:v>2</c:v>
                  </c:pt>
                  <c:pt idx="26">
                    <c:v>3</c:v>
                  </c:pt>
                  <c:pt idx="27">
                    <c:v>4</c:v>
                  </c:pt>
                  <c:pt idx="28">
                    <c:v>5</c:v>
                  </c:pt>
                </c:lvl>
                <c:lvl>
                  <c:pt idx="0">
                    <c:v>2020</c:v>
                  </c:pt>
                  <c:pt idx="6">
                    <c:v>2025</c:v>
                  </c:pt>
                  <c:pt idx="12">
                    <c:v>2030</c:v>
                  </c:pt>
                  <c:pt idx="18">
                    <c:v>2035</c:v>
                  </c:pt>
                  <c:pt idx="24">
                    <c:v>2040</c:v>
                  </c:pt>
                </c:lvl>
              </c:multiLvlStrCache>
              <c:extLst/>
            </c:multiLvlStrRef>
          </c:cat>
          <c:val>
            <c:numRef>
              <c:f>'RYS5.2'!$H$2:$H$31</c:f>
              <c:numCache>
                <c:formatCode>0%</c:formatCode>
                <c:ptCount val="30"/>
                <c:pt idx="0">
                  <c:v>1.2239606455629191E-2</c:v>
                </c:pt>
                <c:pt idx="1">
                  <c:v>2.7869573442980307E-2</c:v>
                </c:pt>
                <c:pt idx="2">
                  <c:v>4.1111659411557554E-2</c:v>
                </c:pt>
                <c:pt idx="3">
                  <c:v>4.9243204660582338E-2</c:v>
                </c:pt>
                <c:pt idx="4">
                  <c:v>4.9282367838816343E-2</c:v>
                </c:pt>
                <c:pt idx="6">
                  <c:v>1.5710531564865803E-2</c:v>
                </c:pt>
                <c:pt idx="7">
                  <c:v>3.5772866951446429E-2</c:v>
                </c:pt>
                <c:pt idx="8">
                  <c:v>5.2770162603735835E-2</c:v>
                </c:pt>
                <c:pt idx="9">
                  <c:v>6.3207663087845242E-2</c:v>
                </c:pt>
                <c:pt idx="10">
                  <c:v>6.3257932216191512E-2</c:v>
                </c:pt>
                <c:pt idx="12">
                  <c:v>1.3272944828595862E-2</c:v>
                </c:pt>
                <c:pt idx="13">
                  <c:v>3.0222484035428279E-2</c:v>
                </c:pt>
                <c:pt idx="14">
                  <c:v>4.4582543495968678E-2</c:v>
                </c:pt>
                <c:pt idx="15">
                  <c:v>5.3400600829168157E-2</c:v>
                </c:pt>
                <c:pt idx="16">
                  <c:v>5.3443070389435222E-2</c:v>
                </c:pt>
                <c:pt idx="18">
                  <c:v>1.1491418230472098E-2</c:v>
                </c:pt>
                <c:pt idx="19">
                  <c:v>2.6165949493486516E-2</c:v>
                </c:pt>
                <c:pt idx="20">
                  <c:v>3.8598567213707552E-2</c:v>
                </c:pt>
                <c:pt idx="21">
                  <c:v>4.6233043669735789E-2</c:v>
                </c:pt>
                <c:pt idx="22">
                  <c:v>4.6269812863414764E-2</c:v>
                </c:pt>
                <c:pt idx="24">
                  <c:v>1.1371637465876676E-2</c:v>
                </c:pt>
                <c:pt idx="25">
                  <c:v>2.5893208794833322E-2</c:v>
                </c:pt>
                <c:pt idx="26">
                  <c:v>3.8196235160307415E-2</c:v>
                </c:pt>
                <c:pt idx="27">
                  <c:v>4.5751133673139405E-2</c:v>
                </c:pt>
                <c:pt idx="28">
                  <c:v>4.5787519603234704E-2</c:v>
                </c:pt>
              </c:numCache>
              <c:extLst/>
            </c:numRef>
          </c:val>
          <c:extLst>
            <c:ext xmlns:c16="http://schemas.microsoft.com/office/drawing/2014/chart" uri="{C3380CC4-5D6E-409C-BE32-E72D297353CC}">
              <c16:uniqueId val="{00000005-F4CC-4316-90EC-99D7FF6F7E69}"/>
            </c:ext>
          </c:extLst>
        </c:ser>
        <c:dLbls>
          <c:showLegendKey val="0"/>
          <c:showVal val="0"/>
          <c:showCatName val="0"/>
          <c:showSerName val="0"/>
          <c:showPercent val="0"/>
          <c:showBubbleSize val="0"/>
        </c:dLbls>
        <c:gapWidth val="150"/>
        <c:overlap val="100"/>
        <c:axId val="1021536496"/>
        <c:axId val="1021544336"/>
      </c:barChart>
      <c:catAx>
        <c:axId val="1021536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1021544336"/>
        <c:crosses val="autoZero"/>
        <c:auto val="1"/>
        <c:lblAlgn val="ctr"/>
        <c:lblOffset val="100"/>
        <c:noMultiLvlLbl val="0"/>
      </c:catAx>
      <c:valAx>
        <c:axId val="1021544336"/>
        <c:scaling>
          <c:orientation val="minMax"/>
          <c:max val="0.2"/>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crossAx val="1021536496"/>
        <c:crosses val="autoZero"/>
        <c:crossBetween val="between"/>
      </c:valAx>
      <c:spPr>
        <a:noFill/>
        <a:ln>
          <a:noFill/>
        </a:ln>
        <a:effectLst/>
      </c:spPr>
    </c:plotArea>
    <c:legend>
      <c:legendPos val="b"/>
      <c:layout>
        <c:manualLayout>
          <c:xMode val="edge"/>
          <c:yMode val="edge"/>
          <c:x val="1.2517361111111109E-2"/>
          <c:y val="0.90863222222222217"/>
          <c:w val="0.97717013888888893"/>
          <c:h val="9.1367777777777784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1100"/>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Całkowity udział OZE</c:v>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2"/>
              <c:layout>
                <c:manualLayout>
                  <c:x val="-5.3333333333333378E-2"/>
                  <c:y val="-9.09263055142033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C59-41C2-86DF-41ED823BE3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'rys_4.8_rys_4.9'!$B$2:$I$2</c:f>
              <c:numCache>
                <c:formatCode>General</c:formatCode>
                <c:ptCount val="8"/>
                <c:pt idx="0">
                  <c:v>2015</c:v>
                </c:pt>
                <c:pt idx="1">
                  <c:v>2016</c:v>
                </c:pt>
                <c:pt idx="2">
                  <c:v>2017</c:v>
                </c:pt>
                <c:pt idx="3">
                  <c:v>2018</c:v>
                </c:pt>
                <c:pt idx="4">
                  <c:v>2019</c:v>
                </c:pt>
                <c:pt idx="5">
                  <c:v>2020</c:v>
                </c:pt>
                <c:pt idx="6">
                  <c:v>2021</c:v>
                </c:pt>
                <c:pt idx="7">
                  <c:v>2022</c:v>
                </c:pt>
              </c:numCache>
            </c:numRef>
          </c:xVal>
          <c:yVal>
            <c:numRef>
              <c:f>'rys_4.8_rys_4.9'!$B$6:$I$6</c:f>
              <c:numCache>
                <c:formatCode>0.00%</c:formatCode>
                <c:ptCount val="8"/>
                <c:pt idx="0">
                  <c:v>0.11825744470704702</c:v>
                </c:pt>
                <c:pt idx="1">
                  <c:v>0.1136257344720365</c:v>
                </c:pt>
                <c:pt idx="2">
                  <c:v>0.11045327723986251</c:v>
                </c:pt>
                <c:pt idx="3">
                  <c:v>0.14936026473073774</c:v>
                </c:pt>
                <c:pt idx="4">
                  <c:v>0.15377432532315402</c:v>
                </c:pt>
                <c:pt idx="5">
                  <c:v>0.16106233837490966</c:v>
                </c:pt>
                <c:pt idx="6">
                  <c:v>0.15613074024700788</c:v>
                </c:pt>
                <c:pt idx="7">
                  <c:v>0.16809638378700337</c:v>
                </c:pt>
              </c:numCache>
            </c:numRef>
          </c:yVal>
          <c:smooth val="1"/>
          <c:extLst>
            <c:ext xmlns:c16="http://schemas.microsoft.com/office/drawing/2014/chart" uri="{C3380CC4-5D6E-409C-BE32-E72D297353CC}">
              <c16:uniqueId val="{00000001-2C59-41C2-86DF-41ED823BE32B}"/>
            </c:ext>
          </c:extLst>
        </c:ser>
        <c:dLbls>
          <c:dLblPos val="t"/>
          <c:showLegendKey val="0"/>
          <c:showVal val="1"/>
          <c:showCatName val="0"/>
          <c:showSerName val="0"/>
          <c:showPercent val="0"/>
          <c:showBubbleSize val="0"/>
        </c:dLbls>
        <c:axId val="951786312"/>
        <c:axId val="951787096"/>
      </c:scatterChart>
      <c:valAx>
        <c:axId val="951786312"/>
        <c:scaling>
          <c:orientation val="minMax"/>
          <c:max val="2022"/>
          <c:min val="201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951787096"/>
        <c:crosses val="autoZero"/>
        <c:crossBetween val="midCat"/>
      </c:valAx>
      <c:valAx>
        <c:axId val="951787096"/>
        <c:scaling>
          <c:orientation val="minMax"/>
          <c:max val="0.17"/>
          <c:min val="0.1"/>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951786312"/>
        <c:crosses val="autoZero"/>
        <c:crossBetween val="midCat"/>
        <c:minorUnit val="2.0000000000000005E-3"/>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a:latin typeface="Calibri" panose="020F0502020204030204" pitchFamily="34" charset="0"/>
          <a:cs typeface="Calibri" panose="020F0502020204030204" pitchFamily="34"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elektroenergetyka</c:v>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Lbl>
              <c:idx val="7"/>
              <c:layout>
                <c:manualLayout>
                  <c:x val="-5.867093536384875E-2"/>
                  <c:y val="0.1376919080211343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67B-4AB8-B441-AB8F730D63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'rys_4.8_rys_4.9'!$B$2:$I$2</c:f>
              <c:numCache>
                <c:formatCode>General</c:formatCode>
                <c:ptCount val="8"/>
                <c:pt idx="0">
                  <c:v>2015</c:v>
                </c:pt>
                <c:pt idx="1">
                  <c:v>2016</c:v>
                </c:pt>
                <c:pt idx="2">
                  <c:v>2017</c:v>
                </c:pt>
                <c:pt idx="3">
                  <c:v>2018</c:v>
                </c:pt>
                <c:pt idx="4">
                  <c:v>2019</c:v>
                </c:pt>
                <c:pt idx="5">
                  <c:v>2020</c:v>
                </c:pt>
                <c:pt idx="6">
                  <c:v>2021</c:v>
                </c:pt>
                <c:pt idx="7">
                  <c:v>2022</c:v>
                </c:pt>
              </c:numCache>
            </c:numRef>
          </c:xVal>
          <c:yVal>
            <c:numRef>
              <c:f>'rys_4.8_rys_4.9'!$B$3:$I$3</c:f>
              <c:numCache>
                <c:formatCode>0.00%</c:formatCode>
                <c:ptCount val="8"/>
                <c:pt idx="0">
                  <c:v>0.13144165670253502</c:v>
                </c:pt>
                <c:pt idx="1">
                  <c:v>0.13180683520423872</c:v>
                </c:pt>
                <c:pt idx="2">
                  <c:v>0.1301577841952293</c:v>
                </c:pt>
                <c:pt idx="3">
                  <c:v>0.13027358370038364</c:v>
                </c:pt>
                <c:pt idx="4">
                  <c:v>0.14355872108067544</c:v>
                </c:pt>
                <c:pt idx="5">
                  <c:v>0.162364772794278</c:v>
                </c:pt>
                <c:pt idx="6">
                  <c:v>0.17165629743805871</c:v>
                </c:pt>
                <c:pt idx="7">
                  <c:v>0.21009321048339336</c:v>
                </c:pt>
              </c:numCache>
            </c:numRef>
          </c:yVal>
          <c:smooth val="1"/>
          <c:extLst>
            <c:ext xmlns:c16="http://schemas.microsoft.com/office/drawing/2014/chart" uri="{C3380CC4-5D6E-409C-BE32-E72D297353CC}">
              <c16:uniqueId val="{00000001-367B-4AB8-B441-AB8F730D630E}"/>
            </c:ext>
          </c:extLst>
        </c:ser>
        <c:ser>
          <c:idx val="1"/>
          <c:order val="1"/>
          <c:tx>
            <c:v>transport</c:v>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Lbl>
              <c:idx val="7"/>
              <c:layout>
                <c:manualLayout>
                  <c:x val="-6.8229548229548409E-2"/>
                  <c:y val="-9.442071814470413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67B-4AB8-B441-AB8F730D63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'rys_4.8_rys_4.9'!$B$2:$I$2</c:f>
              <c:numCache>
                <c:formatCode>General</c:formatCode>
                <c:ptCount val="8"/>
                <c:pt idx="0">
                  <c:v>2015</c:v>
                </c:pt>
                <c:pt idx="1">
                  <c:v>2016</c:v>
                </c:pt>
                <c:pt idx="2">
                  <c:v>2017</c:v>
                </c:pt>
                <c:pt idx="3">
                  <c:v>2018</c:v>
                </c:pt>
                <c:pt idx="4">
                  <c:v>2019</c:v>
                </c:pt>
                <c:pt idx="5">
                  <c:v>2020</c:v>
                </c:pt>
                <c:pt idx="6">
                  <c:v>2021</c:v>
                </c:pt>
                <c:pt idx="7">
                  <c:v>2022</c:v>
                </c:pt>
              </c:numCache>
            </c:numRef>
          </c:xVal>
          <c:yVal>
            <c:numRef>
              <c:f>'rys_4.8_rys_4.9'!$B$4:$I$4</c:f>
              <c:numCache>
                <c:formatCode>0.00%</c:formatCode>
                <c:ptCount val="8"/>
                <c:pt idx="0">
                  <c:v>4.8194282058564575E-2</c:v>
                </c:pt>
                <c:pt idx="1">
                  <c:v>3.1216131993372913E-2</c:v>
                </c:pt>
                <c:pt idx="2">
                  <c:v>3.4749884362055075E-2</c:v>
                </c:pt>
                <c:pt idx="3">
                  <c:v>4.9503341120092061E-2</c:v>
                </c:pt>
                <c:pt idx="4">
                  <c:v>5.4207440190772865E-2</c:v>
                </c:pt>
                <c:pt idx="5">
                  <c:v>5.7704266632946824E-2</c:v>
                </c:pt>
                <c:pt idx="6">
                  <c:v>5.6648945967181959E-2</c:v>
                </c:pt>
                <c:pt idx="7">
                  <c:v>5.5297611538934352E-2</c:v>
                </c:pt>
              </c:numCache>
            </c:numRef>
          </c:yVal>
          <c:smooth val="1"/>
          <c:extLst>
            <c:ext xmlns:c16="http://schemas.microsoft.com/office/drawing/2014/chart" uri="{C3380CC4-5D6E-409C-BE32-E72D297353CC}">
              <c16:uniqueId val="{00000003-367B-4AB8-B441-AB8F730D630E}"/>
            </c:ext>
          </c:extLst>
        </c:ser>
        <c:ser>
          <c:idx val="2"/>
          <c:order val="2"/>
          <c:tx>
            <c:v>ciepłownictwo i chłodnictwo (systemy sieciowe i niesieciowe)</c:v>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Lbl>
              <c:idx val="7"/>
              <c:layout>
                <c:manualLayout>
                  <c:x val="-7.9755799755799758E-2"/>
                  <c:y val="-2.85228712228080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7B-4AB8-B441-AB8F730D63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'rys_4.8_rys_4.9'!$B$2:$I$2</c:f>
              <c:numCache>
                <c:formatCode>General</c:formatCode>
                <c:ptCount val="8"/>
                <c:pt idx="0">
                  <c:v>2015</c:v>
                </c:pt>
                <c:pt idx="1">
                  <c:v>2016</c:v>
                </c:pt>
                <c:pt idx="2">
                  <c:v>2017</c:v>
                </c:pt>
                <c:pt idx="3">
                  <c:v>2018</c:v>
                </c:pt>
                <c:pt idx="4">
                  <c:v>2019</c:v>
                </c:pt>
                <c:pt idx="5">
                  <c:v>2020</c:v>
                </c:pt>
                <c:pt idx="6">
                  <c:v>2021</c:v>
                </c:pt>
                <c:pt idx="7">
                  <c:v>2022</c:v>
                </c:pt>
              </c:numCache>
            </c:numRef>
          </c:xVal>
          <c:yVal>
            <c:numRef>
              <c:f>'rys_4.8_rys_4.9'!$B$5:$I$5</c:f>
              <c:numCache>
                <c:formatCode>0.00%</c:formatCode>
                <c:ptCount val="8"/>
                <c:pt idx="0">
                  <c:v>0.14794544883913371</c:v>
                </c:pt>
                <c:pt idx="1">
                  <c:v>0.14918338048742688</c:v>
                </c:pt>
                <c:pt idx="2">
                  <c:v>0.14779144388439033</c:v>
                </c:pt>
                <c:pt idx="3">
                  <c:v>0.21473579109407276</c:v>
                </c:pt>
                <c:pt idx="4">
                  <c:v>0.22005710707114209</c:v>
                </c:pt>
                <c:pt idx="5">
                  <c:v>0.22154977360718617</c:v>
                </c:pt>
                <c:pt idx="6">
                  <c:v>0.21004470960800334</c:v>
                </c:pt>
                <c:pt idx="7">
                  <c:v>0.22711175169426362</c:v>
                </c:pt>
              </c:numCache>
            </c:numRef>
          </c:yVal>
          <c:smooth val="1"/>
          <c:extLst>
            <c:ext xmlns:c16="http://schemas.microsoft.com/office/drawing/2014/chart" uri="{C3380CC4-5D6E-409C-BE32-E72D297353CC}">
              <c16:uniqueId val="{00000005-367B-4AB8-B441-AB8F730D630E}"/>
            </c:ext>
          </c:extLst>
        </c:ser>
        <c:dLbls>
          <c:showLegendKey val="0"/>
          <c:showVal val="0"/>
          <c:showCatName val="0"/>
          <c:showSerName val="0"/>
          <c:showPercent val="0"/>
          <c:showBubbleSize val="0"/>
        </c:dLbls>
        <c:axId val="951787880"/>
        <c:axId val="951765536"/>
      </c:scatterChart>
      <c:valAx>
        <c:axId val="951787880"/>
        <c:scaling>
          <c:orientation val="minMax"/>
          <c:max val="2022"/>
          <c:min val="201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51765536"/>
        <c:crosses val="autoZero"/>
        <c:crossBetween val="midCat"/>
      </c:valAx>
      <c:valAx>
        <c:axId val="9517655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5178788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cked"/>
        <c:varyColors val="0"/>
        <c:ser>
          <c:idx val="0"/>
          <c:order val="0"/>
          <c:tx>
            <c:strRef>
              <c:f>OZE_wykr!$A$20</c:f>
              <c:strCache>
                <c:ptCount val="1"/>
                <c:pt idx="0">
                  <c:v>OZE w transpocie</c:v>
                </c:pt>
              </c:strCache>
            </c:strRef>
          </c:tx>
          <c:spPr>
            <a:solidFill>
              <a:srgbClr val="438016">
                <a:alpha val="69804"/>
              </a:srgbClr>
            </a:solidFill>
            <a:ln w="25400">
              <a:noFill/>
            </a:ln>
            <a:effectLst/>
          </c:spPr>
          <c:cat>
            <c:numRef>
              <c:f>OZE_wykr!$B$19:$I$19</c:f>
              <c:numCache>
                <c:formatCode>General</c:formatCode>
                <c:ptCount val="8"/>
                <c:pt idx="0">
                  <c:v>2005</c:v>
                </c:pt>
                <c:pt idx="1">
                  <c:v>2010</c:v>
                </c:pt>
                <c:pt idx="2">
                  <c:v>2015</c:v>
                </c:pt>
                <c:pt idx="3">
                  <c:v>2020</c:v>
                </c:pt>
                <c:pt idx="4">
                  <c:v>2025</c:v>
                </c:pt>
                <c:pt idx="5">
                  <c:v>2030</c:v>
                </c:pt>
                <c:pt idx="6">
                  <c:v>2035</c:v>
                </c:pt>
                <c:pt idx="7">
                  <c:v>2040</c:v>
                </c:pt>
              </c:numCache>
            </c:numRef>
          </c:cat>
          <c:val>
            <c:numRef>
              <c:f>OZE_wykr!$B$20:$I$20</c:f>
              <c:numCache>
                <c:formatCode>0</c:formatCode>
                <c:ptCount val="8"/>
                <c:pt idx="0">
                  <c:v>178</c:v>
                </c:pt>
                <c:pt idx="1">
                  <c:v>993</c:v>
                </c:pt>
                <c:pt idx="2">
                  <c:v>824</c:v>
                </c:pt>
                <c:pt idx="3">
                  <c:v>1291</c:v>
                </c:pt>
                <c:pt idx="4">
                  <c:v>1917.4122469715021</c:v>
                </c:pt>
                <c:pt idx="5">
                  <c:v>2529.0035473811249</c:v>
                </c:pt>
                <c:pt idx="6">
                  <c:v>3348.2806192727849</c:v>
                </c:pt>
                <c:pt idx="7">
                  <c:v>4211.1495576067928</c:v>
                </c:pt>
              </c:numCache>
            </c:numRef>
          </c:val>
          <c:extLst>
            <c:ext xmlns:c16="http://schemas.microsoft.com/office/drawing/2014/chart" uri="{C3380CC4-5D6E-409C-BE32-E72D297353CC}">
              <c16:uniqueId val="{00000000-0185-44AA-989B-B64F13F55B7D}"/>
            </c:ext>
          </c:extLst>
        </c:ser>
        <c:ser>
          <c:idx val="1"/>
          <c:order val="1"/>
          <c:tx>
            <c:strRef>
              <c:f>OZE_wykr!$A$21</c:f>
              <c:strCache>
                <c:ptCount val="1"/>
                <c:pt idx="0">
                  <c:v>OZE w ciepłownictwie</c:v>
                </c:pt>
              </c:strCache>
            </c:strRef>
          </c:tx>
          <c:spPr>
            <a:solidFill>
              <a:srgbClr val="00B050">
                <a:alpha val="70000"/>
              </a:srgbClr>
            </a:solidFill>
            <a:ln w="25400">
              <a:noFill/>
            </a:ln>
            <a:effectLst/>
          </c:spPr>
          <c:cat>
            <c:numRef>
              <c:f>OZE_wykr!$B$19:$I$19</c:f>
              <c:numCache>
                <c:formatCode>General</c:formatCode>
                <c:ptCount val="8"/>
                <c:pt idx="0">
                  <c:v>2005</c:v>
                </c:pt>
                <c:pt idx="1">
                  <c:v>2010</c:v>
                </c:pt>
                <c:pt idx="2">
                  <c:v>2015</c:v>
                </c:pt>
                <c:pt idx="3">
                  <c:v>2020</c:v>
                </c:pt>
                <c:pt idx="4">
                  <c:v>2025</c:v>
                </c:pt>
                <c:pt idx="5">
                  <c:v>2030</c:v>
                </c:pt>
                <c:pt idx="6">
                  <c:v>2035</c:v>
                </c:pt>
                <c:pt idx="7">
                  <c:v>2040</c:v>
                </c:pt>
              </c:numCache>
            </c:numRef>
          </c:cat>
          <c:val>
            <c:numRef>
              <c:f>OZE_wykr!$B$21:$I$21</c:f>
              <c:numCache>
                <c:formatCode>0</c:formatCode>
                <c:ptCount val="8"/>
                <c:pt idx="0">
                  <c:v>3868</c:v>
                </c:pt>
                <c:pt idx="1">
                  <c:v>4677</c:v>
                </c:pt>
                <c:pt idx="2">
                  <c:v>5224</c:v>
                </c:pt>
                <c:pt idx="3">
                  <c:v>8507</c:v>
                </c:pt>
                <c:pt idx="4">
                  <c:v>9040.1200228141661</c:v>
                </c:pt>
                <c:pt idx="5">
                  <c:v>10766.463075871918</c:v>
                </c:pt>
                <c:pt idx="6">
                  <c:v>12709.298469617826</c:v>
                </c:pt>
                <c:pt idx="7">
                  <c:v>15198.835040900032</c:v>
                </c:pt>
              </c:numCache>
            </c:numRef>
          </c:val>
          <c:extLst>
            <c:ext xmlns:c16="http://schemas.microsoft.com/office/drawing/2014/chart" uri="{C3380CC4-5D6E-409C-BE32-E72D297353CC}">
              <c16:uniqueId val="{00000001-0185-44AA-989B-B64F13F55B7D}"/>
            </c:ext>
          </c:extLst>
        </c:ser>
        <c:ser>
          <c:idx val="2"/>
          <c:order val="2"/>
          <c:tx>
            <c:strRef>
              <c:f>OZE_wykr!$A$22</c:f>
              <c:strCache>
                <c:ptCount val="1"/>
                <c:pt idx="0">
                  <c:v>OZE w elektroenegetyce</c:v>
                </c:pt>
              </c:strCache>
            </c:strRef>
          </c:tx>
          <c:spPr>
            <a:solidFill>
              <a:srgbClr val="92D050">
                <a:alpha val="70000"/>
              </a:srgbClr>
            </a:solidFill>
            <a:ln w="25400">
              <a:noFill/>
            </a:ln>
            <a:effectLst/>
          </c:spPr>
          <c:cat>
            <c:numRef>
              <c:f>OZE_wykr!$B$19:$I$19</c:f>
              <c:numCache>
                <c:formatCode>General</c:formatCode>
                <c:ptCount val="8"/>
                <c:pt idx="0">
                  <c:v>2005</c:v>
                </c:pt>
                <c:pt idx="1">
                  <c:v>2010</c:v>
                </c:pt>
                <c:pt idx="2">
                  <c:v>2015</c:v>
                </c:pt>
                <c:pt idx="3">
                  <c:v>2020</c:v>
                </c:pt>
                <c:pt idx="4">
                  <c:v>2025</c:v>
                </c:pt>
                <c:pt idx="5">
                  <c:v>2030</c:v>
                </c:pt>
                <c:pt idx="6">
                  <c:v>2035</c:v>
                </c:pt>
                <c:pt idx="7">
                  <c:v>2040</c:v>
                </c:pt>
              </c:numCache>
            </c:numRef>
          </c:cat>
          <c:val>
            <c:numRef>
              <c:f>OZE_wykr!$B$22:$I$22</c:f>
              <c:numCache>
                <c:formatCode>0</c:formatCode>
                <c:ptCount val="8"/>
                <c:pt idx="0">
                  <c:v>257</c:v>
                </c:pt>
                <c:pt idx="1">
                  <c:v>824</c:v>
                </c:pt>
                <c:pt idx="2">
                  <c:v>1818</c:v>
                </c:pt>
                <c:pt idx="3">
                  <c:v>2292</c:v>
                </c:pt>
                <c:pt idx="4">
                  <c:v>4669.549841763529</c:v>
                </c:pt>
                <c:pt idx="5">
                  <c:v>8343.4256910197673</c:v>
                </c:pt>
                <c:pt idx="6">
                  <c:v>13551.291751052084</c:v>
                </c:pt>
                <c:pt idx="7">
                  <c:v>18468.704073754987</c:v>
                </c:pt>
              </c:numCache>
            </c:numRef>
          </c:val>
          <c:extLst>
            <c:ext xmlns:c16="http://schemas.microsoft.com/office/drawing/2014/chart" uri="{C3380CC4-5D6E-409C-BE32-E72D297353CC}">
              <c16:uniqueId val="{00000002-0185-44AA-989B-B64F13F55B7D}"/>
            </c:ext>
          </c:extLst>
        </c:ser>
        <c:dLbls>
          <c:showLegendKey val="0"/>
          <c:showVal val="0"/>
          <c:showCatName val="0"/>
          <c:showSerName val="0"/>
          <c:showPercent val="0"/>
          <c:showBubbleSize val="0"/>
        </c:dLbls>
        <c:axId val="951772984"/>
        <c:axId val="951773376"/>
      </c:areaChart>
      <c:lineChart>
        <c:grouping val="standard"/>
        <c:varyColors val="0"/>
        <c:dLbls>
          <c:showLegendKey val="0"/>
          <c:showVal val="0"/>
          <c:showCatName val="0"/>
          <c:showSerName val="0"/>
          <c:showPercent val="0"/>
          <c:showBubbleSize val="0"/>
        </c:dLbls>
        <c:marker val="1"/>
        <c:smooth val="0"/>
        <c:axId val="951772984"/>
        <c:axId val="951773376"/>
        <c:extLst>
          <c:ext xmlns:c15="http://schemas.microsoft.com/office/drawing/2012/chart" uri="{02D57815-91ED-43cb-92C2-25804820EDAC}">
            <c15:filteredLineSeries>
              <c15:ser>
                <c:idx val="4"/>
                <c:order val="4"/>
                <c:tx>
                  <c:strRef>
                    <c:extLst>
                      <c:ext uri="{02D57815-91ED-43cb-92C2-25804820EDAC}">
                        <c15:formulaRef>
                          <c15:sqref>OZE_wykr!$A$31</c15:sqref>
                        </c15:formulaRef>
                      </c:ext>
                    </c:extLst>
                    <c:strCache>
                      <c:ptCount val="1"/>
                      <c:pt idx="0">
                        <c:v>OZE - transport (KPEiK 2019)</c:v>
                      </c:pt>
                    </c:strCache>
                  </c:strRef>
                </c:tx>
                <c:spPr>
                  <a:ln w="28575" cap="rnd">
                    <a:solidFill>
                      <a:srgbClr val="FFC000"/>
                    </a:solidFill>
                    <a:prstDash val="sysDot"/>
                    <a:round/>
                  </a:ln>
                  <a:effectLst/>
                </c:spPr>
                <c:marker>
                  <c:symbol val="none"/>
                </c:marker>
                <c:cat>
                  <c:numRef>
                    <c:extLst>
                      <c:ext uri="{02D57815-91ED-43cb-92C2-25804820EDAC}">
                        <c15:formulaRef>
                          <c15:sqref>OZE_wykr!$B$19:$I$19</c15:sqref>
                        </c15:formulaRef>
                      </c:ext>
                    </c:extLst>
                    <c:numCache>
                      <c:formatCode>General</c:formatCode>
                      <c:ptCount val="8"/>
                      <c:pt idx="0">
                        <c:v>2005</c:v>
                      </c:pt>
                      <c:pt idx="1">
                        <c:v>2010</c:v>
                      </c:pt>
                      <c:pt idx="2">
                        <c:v>2015</c:v>
                      </c:pt>
                      <c:pt idx="3">
                        <c:v>2020</c:v>
                      </c:pt>
                      <c:pt idx="4">
                        <c:v>2025</c:v>
                      </c:pt>
                      <c:pt idx="5">
                        <c:v>2030</c:v>
                      </c:pt>
                      <c:pt idx="6">
                        <c:v>2035</c:v>
                      </c:pt>
                      <c:pt idx="7">
                        <c:v>2040</c:v>
                      </c:pt>
                    </c:numCache>
                  </c:numRef>
                </c:cat>
                <c:val>
                  <c:numRef>
                    <c:extLst>
                      <c:ext uri="{02D57815-91ED-43cb-92C2-25804820EDAC}">
                        <c15:formulaRef>
                          <c15:sqref>OZE_wykr!$B$31:$G$31</c15:sqref>
                        </c15:formulaRef>
                      </c:ext>
                    </c:extLst>
                    <c:numCache>
                      <c:formatCode>0</c:formatCode>
                      <c:ptCount val="6"/>
                      <c:pt idx="0">
                        <c:v>95.163551280213994</c:v>
                      </c:pt>
                      <c:pt idx="1">
                        <c:v>916.18889653195765</c:v>
                      </c:pt>
                      <c:pt idx="2">
                        <c:v>721.23143594153055</c:v>
                      </c:pt>
                      <c:pt idx="3">
                        <c:v>1612.9681989602047</c:v>
                      </c:pt>
                      <c:pt idx="4">
                        <c:v>1677.2291499912094</c:v>
                      </c:pt>
                      <c:pt idx="5">
                        <c:v>1707.7455079770668</c:v>
                      </c:pt>
                    </c:numCache>
                  </c:numRef>
                </c:val>
                <c:smooth val="0"/>
                <c:extLst>
                  <c:ext xmlns:c16="http://schemas.microsoft.com/office/drawing/2014/chart" uri="{C3380CC4-5D6E-409C-BE32-E72D297353CC}">
                    <c16:uniqueId val="{00000009-0185-44AA-989B-B64F13F55B7D}"/>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OZE_wykr!$A$32</c15:sqref>
                        </c15:formulaRef>
                      </c:ext>
                    </c:extLst>
                    <c:strCache>
                      <c:ptCount val="1"/>
                      <c:pt idx="0">
                        <c:v>OZE - ciepłownictwo (KPEiK 2019)</c:v>
                      </c:pt>
                    </c:strCache>
                  </c:strRef>
                </c:tx>
                <c:spPr>
                  <a:ln w="28575" cap="rnd">
                    <a:solidFill>
                      <a:schemeClr val="accent4">
                        <a:lumMod val="75000"/>
                      </a:schemeClr>
                    </a:solidFill>
                    <a:prstDash val="sysDot"/>
                    <a:round/>
                  </a:ln>
                  <a:effectLst/>
                </c:spPr>
                <c:marker>
                  <c:symbol val="none"/>
                </c:marker>
                <c:cat>
                  <c:numRef>
                    <c:extLst xmlns:c15="http://schemas.microsoft.com/office/drawing/2012/chart">
                      <c:ext xmlns:c15="http://schemas.microsoft.com/office/drawing/2012/chart" uri="{02D57815-91ED-43cb-92C2-25804820EDAC}">
                        <c15:formulaRef>
                          <c15:sqref>OZE_wykr!$B$19:$I$19</c15:sqref>
                        </c15:formulaRef>
                      </c:ext>
                    </c:extLst>
                    <c:numCache>
                      <c:formatCode>General</c:formatCode>
                      <c:ptCount val="8"/>
                      <c:pt idx="0">
                        <c:v>2005</c:v>
                      </c:pt>
                      <c:pt idx="1">
                        <c:v>2010</c:v>
                      </c:pt>
                      <c:pt idx="2">
                        <c:v>2015</c:v>
                      </c:pt>
                      <c:pt idx="3">
                        <c:v>2020</c:v>
                      </c:pt>
                      <c:pt idx="4">
                        <c:v>2025</c:v>
                      </c:pt>
                      <c:pt idx="5">
                        <c:v>2030</c:v>
                      </c:pt>
                      <c:pt idx="6">
                        <c:v>2035</c:v>
                      </c:pt>
                      <c:pt idx="7">
                        <c:v>2040</c:v>
                      </c:pt>
                    </c:numCache>
                  </c:numRef>
                </c:cat>
                <c:val>
                  <c:numRef>
                    <c:extLst xmlns:c15="http://schemas.microsoft.com/office/drawing/2012/chart">
                      <c:ext xmlns:c15="http://schemas.microsoft.com/office/drawing/2012/chart" uri="{02D57815-91ED-43cb-92C2-25804820EDAC}">
                        <c15:formulaRef>
                          <c15:sqref>OZE_wykr!$B$32:$G$32</c15:sqref>
                        </c15:formulaRef>
                      </c:ext>
                    </c:extLst>
                    <c:numCache>
                      <c:formatCode>0</c:formatCode>
                      <c:ptCount val="6"/>
                      <c:pt idx="0">
                        <c:v>4045.6077194993791</c:v>
                      </c:pt>
                      <c:pt idx="1">
                        <c:v>5634.6215004784144</c:v>
                      </c:pt>
                      <c:pt idx="2">
                        <c:v>5940.6837734051951</c:v>
                      </c:pt>
                      <c:pt idx="3">
                        <c:v>7453.840868390439</c:v>
                      </c:pt>
                      <c:pt idx="4">
                        <c:v>9521.0955268129419</c:v>
                      </c:pt>
                      <c:pt idx="5">
                        <c:v>11556.252862507943</c:v>
                      </c:pt>
                    </c:numCache>
                  </c:numRef>
                </c:val>
                <c:smooth val="0"/>
                <c:extLst xmlns:c15="http://schemas.microsoft.com/office/drawing/2012/chart">
                  <c:ext xmlns:c16="http://schemas.microsoft.com/office/drawing/2014/chart" uri="{C3380CC4-5D6E-409C-BE32-E72D297353CC}">
                    <c16:uniqueId val="{0000000A-0185-44AA-989B-B64F13F55B7D}"/>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OZE_wykr!$A$33</c15:sqref>
                        </c15:formulaRef>
                      </c:ext>
                    </c:extLst>
                    <c:strCache>
                      <c:ptCount val="1"/>
                      <c:pt idx="0">
                        <c:v>OZE - en. elektr. (KPEiK 2019)</c:v>
                      </c:pt>
                    </c:strCache>
                  </c:strRef>
                </c:tx>
                <c:spPr>
                  <a:ln w="28575" cap="rnd">
                    <a:solidFill>
                      <a:schemeClr val="accent2"/>
                    </a:solidFill>
                    <a:prstDash val="sysDot"/>
                    <a:round/>
                  </a:ln>
                  <a:effectLst/>
                </c:spPr>
                <c:marker>
                  <c:symbol val="none"/>
                </c:marker>
                <c:cat>
                  <c:numRef>
                    <c:extLst xmlns:c15="http://schemas.microsoft.com/office/drawing/2012/chart">
                      <c:ext xmlns:c15="http://schemas.microsoft.com/office/drawing/2012/chart" uri="{02D57815-91ED-43cb-92C2-25804820EDAC}">
                        <c15:formulaRef>
                          <c15:sqref>OZE_wykr!$B$19:$I$19</c15:sqref>
                        </c15:formulaRef>
                      </c:ext>
                    </c:extLst>
                    <c:numCache>
                      <c:formatCode>General</c:formatCode>
                      <c:ptCount val="8"/>
                      <c:pt idx="0">
                        <c:v>2005</c:v>
                      </c:pt>
                      <c:pt idx="1">
                        <c:v>2010</c:v>
                      </c:pt>
                      <c:pt idx="2">
                        <c:v>2015</c:v>
                      </c:pt>
                      <c:pt idx="3">
                        <c:v>2020</c:v>
                      </c:pt>
                      <c:pt idx="4">
                        <c:v>2025</c:v>
                      </c:pt>
                      <c:pt idx="5">
                        <c:v>2030</c:v>
                      </c:pt>
                      <c:pt idx="6">
                        <c:v>2035</c:v>
                      </c:pt>
                      <c:pt idx="7">
                        <c:v>2040</c:v>
                      </c:pt>
                    </c:numCache>
                  </c:numRef>
                </c:cat>
                <c:val>
                  <c:numRef>
                    <c:extLst xmlns:c15="http://schemas.microsoft.com/office/drawing/2012/chart">
                      <c:ext xmlns:c15="http://schemas.microsoft.com/office/drawing/2012/chart" uri="{02D57815-91ED-43cb-92C2-25804820EDAC}">
                        <c15:formulaRef>
                          <c15:sqref>OZE_wykr!$B$33:$G$33</c15:sqref>
                        </c15:formulaRef>
                      </c:ext>
                    </c:extLst>
                    <c:numCache>
                      <c:formatCode>0</c:formatCode>
                      <c:ptCount val="6"/>
                      <c:pt idx="0">
                        <c:v>4377.7175385928913</c:v>
                      </c:pt>
                      <c:pt idx="1">
                        <c:v>6560.2660843423564</c:v>
                      </c:pt>
                      <c:pt idx="2">
                        <c:v>7942.2871243367017</c:v>
                      </c:pt>
                      <c:pt idx="3">
                        <c:v>13167.39559877902</c:v>
                      </c:pt>
                      <c:pt idx="4">
                        <c:v>14961.046897703123</c:v>
                      </c:pt>
                      <c:pt idx="5">
                        <c:v>18788.426477691566</c:v>
                      </c:pt>
                    </c:numCache>
                  </c:numRef>
                </c:val>
                <c:smooth val="0"/>
                <c:extLst xmlns:c15="http://schemas.microsoft.com/office/drawing/2012/chart">
                  <c:ext xmlns:c16="http://schemas.microsoft.com/office/drawing/2014/chart" uri="{C3380CC4-5D6E-409C-BE32-E72D297353CC}">
                    <c16:uniqueId val="{0000000B-0185-44AA-989B-B64F13F55B7D}"/>
                  </c:ext>
                </c:extLst>
              </c15:ser>
            </c15:filteredLineSeries>
          </c:ext>
        </c:extLst>
      </c:lineChart>
      <c:lineChart>
        <c:grouping val="standard"/>
        <c:varyColors val="0"/>
        <c:ser>
          <c:idx val="3"/>
          <c:order val="3"/>
          <c:tx>
            <c:strRef>
              <c:f>OZE_wykr!$A$23</c:f>
              <c:strCache>
                <c:ptCount val="1"/>
                <c:pt idx="0">
                  <c:v>OZE w finalnym zużyciu energii brutto [%]</c:v>
                </c:pt>
              </c:strCache>
            </c:strRef>
          </c:tx>
          <c:spPr>
            <a:ln w="28575" cap="rnd">
              <a:solidFill>
                <a:srgbClr val="006600"/>
              </a:solidFill>
              <a:round/>
            </a:ln>
            <a:effectLst/>
          </c:spPr>
          <c:marker>
            <c:symbol val="circle"/>
            <c:size val="6"/>
            <c:spPr>
              <a:solidFill>
                <a:srgbClr val="006600"/>
              </a:solidFill>
              <a:ln w="9525">
                <a:solidFill>
                  <a:srgbClr val="006600"/>
                </a:solidFill>
              </a:ln>
              <a:effectLst/>
            </c:spPr>
          </c:marker>
          <c:dLbls>
            <c:dLbl>
              <c:idx val="5"/>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Lato" panose="020F0502020204030203" pitchFamily="34" charset="-18"/>
                      <a:ea typeface="+mn-ea"/>
                      <a:cs typeface="+mn-cs"/>
                    </a:defRPr>
                  </a:pPr>
                  <a:endParaRPr lang="pl-PL"/>
                </a:p>
              </c:txPr>
              <c:dLblPos val="t"/>
              <c:showLegendKey val="0"/>
              <c:showVal val="1"/>
              <c:showCatName val="0"/>
              <c:showSerName val="0"/>
              <c:showPercent val="0"/>
              <c:showBubbleSize val="0"/>
              <c:extLst>
                <c:ext xmlns:c16="http://schemas.microsoft.com/office/drawing/2014/chart" uri="{C3380CC4-5D6E-409C-BE32-E72D297353CC}">
                  <c16:uniqueId val="{00000003-0185-44AA-989B-B64F13F55B7D}"/>
                </c:ext>
              </c:extLst>
            </c:dLbl>
            <c:dLbl>
              <c:idx val="7"/>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Lato" panose="020F0502020204030203" pitchFamily="34" charset="-18"/>
                      <a:ea typeface="+mn-ea"/>
                      <a:cs typeface="+mn-cs"/>
                    </a:defRPr>
                  </a:pPr>
                  <a:endParaRPr lang="pl-PL"/>
                </a:p>
              </c:txPr>
              <c:dLblPos val="t"/>
              <c:showLegendKey val="0"/>
              <c:showVal val="1"/>
              <c:showCatName val="0"/>
              <c:showSerName val="0"/>
              <c:showPercent val="0"/>
              <c:showBubbleSize val="0"/>
              <c:extLst>
                <c:ext xmlns:c16="http://schemas.microsoft.com/office/drawing/2014/chart" uri="{C3380CC4-5D6E-409C-BE32-E72D297353CC}">
                  <c16:uniqueId val="{00000004-0185-44AA-989B-B64F13F55B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Lato" panose="020F0502020204030203" pitchFamily="34" charset="-18"/>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OZE_wykr!$B$19:$I$19</c:f>
              <c:numCache>
                <c:formatCode>General</c:formatCode>
                <c:ptCount val="8"/>
                <c:pt idx="0">
                  <c:v>2005</c:v>
                </c:pt>
                <c:pt idx="1">
                  <c:v>2010</c:v>
                </c:pt>
                <c:pt idx="2">
                  <c:v>2015</c:v>
                </c:pt>
                <c:pt idx="3">
                  <c:v>2020</c:v>
                </c:pt>
                <c:pt idx="4">
                  <c:v>2025</c:v>
                </c:pt>
                <c:pt idx="5">
                  <c:v>2030</c:v>
                </c:pt>
                <c:pt idx="6">
                  <c:v>2035</c:v>
                </c:pt>
                <c:pt idx="7">
                  <c:v>2040</c:v>
                </c:pt>
              </c:numCache>
            </c:numRef>
          </c:cat>
          <c:val>
            <c:numRef>
              <c:f>OZE_wykr!$B$23:$I$23</c:f>
              <c:numCache>
                <c:formatCode>0.0%</c:formatCode>
                <c:ptCount val="8"/>
                <c:pt idx="0">
                  <c:v>6.9000000000000006E-2</c:v>
                </c:pt>
                <c:pt idx="1">
                  <c:v>9.2999999999999999E-2</c:v>
                </c:pt>
                <c:pt idx="2">
                  <c:v>0.11899999999999999</c:v>
                </c:pt>
                <c:pt idx="3">
                  <c:v>0.161</c:v>
                </c:pt>
                <c:pt idx="4">
                  <c:v>0.21589131579279949</c:v>
                </c:pt>
                <c:pt idx="5">
                  <c:v>0.32094757419908421</c:v>
                </c:pt>
                <c:pt idx="6">
                  <c:v>0.46505002156766778</c:v>
                </c:pt>
                <c:pt idx="7">
                  <c:v>0.61733830758421659</c:v>
                </c:pt>
              </c:numCache>
            </c:numRef>
          </c:val>
          <c:smooth val="0"/>
          <c:extLst>
            <c:ext xmlns:c16="http://schemas.microsoft.com/office/drawing/2014/chart" uri="{C3380CC4-5D6E-409C-BE32-E72D297353CC}">
              <c16:uniqueId val="{00000005-0185-44AA-989B-B64F13F55B7D}"/>
            </c:ext>
          </c:extLst>
        </c:ser>
        <c:dLbls>
          <c:showLegendKey val="0"/>
          <c:showVal val="0"/>
          <c:showCatName val="0"/>
          <c:showSerName val="0"/>
          <c:showPercent val="0"/>
          <c:showBubbleSize val="0"/>
        </c:dLbls>
        <c:marker val="1"/>
        <c:smooth val="0"/>
        <c:axId val="951771808"/>
        <c:axId val="951773768"/>
      </c:lineChart>
      <c:catAx>
        <c:axId val="9517729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951773376"/>
        <c:crosses val="autoZero"/>
        <c:auto val="1"/>
        <c:lblAlgn val="ctr"/>
        <c:lblOffset val="100"/>
        <c:noMultiLvlLbl val="0"/>
      </c:catAx>
      <c:valAx>
        <c:axId val="951773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Lato" panose="020F0502020204030203" pitchFamily="34" charset="-18"/>
                    <a:ea typeface="+mn-ea"/>
                    <a:cs typeface="+mn-cs"/>
                  </a:defRPr>
                </a:pPr>
                <a:r>
                  <a:rPr lang="en-US"/>
                  <a:t>[ktoe]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title>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951772984"/>
        <c:crosses val="autoZero"/>
        <c:crossBetween val="between"/>
      </c:valAx>
      <c:valAx>
        <c:axId val="951773768"/>
        <c:scaling>
          <c:orientation val="minMax"/>
          <c:max val="0.8"/>
        </c:scaling>
        <c:delete val="0"/>
        <c:axPos val="r"/>
        <c:numFmt formatCode="0%" sourceLinked="0"/>
        <c:majorTickMark val="none"/>
        <c:minorTickMark val="none"/>
        <c:tickLblPos val="nextTo"/>
        <c:spPr>
          <a:noFill/>
          <a:ln>
            <a:solidFill>
              <a:schemeClr val="bg1">
                <a:lumMod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crossAx val="951771808"/>
        <c:crosses val="max"/>
        <c:crossBetween val="between"/>
      </c:valAx>
      <c:catAx>
        <c:axId val="951771808"/>
        <c:scaling>
          <c:orientation val="minMax"/>
        </c:scaling>
        <c:delete val="1"/>
        <c:axPos val="b"/>
        <c:numFmt formatCode="General" sourceLinked="1"/>
        <c:majorTickMark val="out"/>
        <c:minorTickMark val="none"/>
        <c:tickLblPos val="nextTo"/>
        <c:crossAx val="95177376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Lato" panose="020F0502020204030203" pitchFamily="34" charset="-18"/>
              <a:ea typeface="+mn-ea"/>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a:latin typeface="Lato" panose="020F0502020204030203" pitchFamily="34" charset="-18"/>
        </a:defRPr>
      </a:pPr>
      <a:endParaRPr lang="pl-PL"/>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31719188993711"/>
          <c:y val="3.7168440614968747E-2"/>
          <c:w val="0.5560783714323082"/>
          <c:h val="0.87895220649370176"/>
        </c:manualLayout>
      </c:layout>
      <c:barChart>
        <c:barDir val="col"/>
        <c:grouping val="stacked"/>
        <c:varyColors val="0"/>
        <c:ser>
          <c:idx val="0"/>
          <c:order val="0"/>
          <c:tx>
            <c:strRef>
              <c:f>OZE!$B$24</c:f>
              <c:strCache>
                <c:ptCount val="1"/>
                <c:pt idx="0">
                  <c:v>Elektrownie wodne* </c:v>
                </c:pt>
              </c:strCache>
            </c:strRef>
          </c:tx>
          <c:spPr>
            <a:solidFill>
              <a:schemeClr val="accent1"/>
            </a:solidFill>
            <a:ln>
              <a:noFill/>
            </a:ln>
            <a:effectLst/>
          </c:spPr>
          <c:invertIfNegative val="0"/>
          <c:cat>
            <c:numRef>
              <c:f>OZE!$C$22:$J$22</c:f>
              <c:numCache>
                <c:formatCode>General</c:formatCode>
                <c:ptCount val="8"/>
                <c:pt idx="0">
                  <c:v>2005</c:v>
                </c:pt>
                <c:pt idx="1">
                  <c:v>2010</c:v>
                </c:pt>
                <c:pt idx="2">
                  <c:v>2015</c:v>
                </c:pt>
                <c:pt idx="3">
                  <c:v>2020</c:v>
                </c:pt>
                <c:pt idx="4">
                  <c:v>2025</c:v>
                </c:pt>
                <c:pt idx="5">
                  <c:v>2030</c:v>
                </c:pt>
                <c:pt idx="6">
                  <c:v>2035</c:v>
                </c:pt>
                <c:pt idx="7">
                  <c:v>2040</c:v>
                </c:pt>
              </c:numCache>
              <c:extLst/>
            </c:numRef>
          </c:cat>
          <c:val>
            <c:numRef>
              <c:f>OZE!$C$24:$J$24</c:f>
              <c:numCache>
                <c:formatCode>#,##0</c:formatCode>
                <c:ptCount val="8"/>
                <c:pt idx="0">
                  <c:v>164</c:v>
                </c:pt>
                <c:pt idx="1">
                  <c:v>189</c:v>
                </c:pt>
                <c:pt idx="2">
                  <c:v>198</c:v>
                </c:pt>
                <c:pt idx="3">
                  <c:v>200</c:v>
                </c:pt>
                <c:pt idx="4">
                  <c:v>223.24667927773004</c:v>
                </c:pt>
                <c:pt idx="5">
                  <c:v>247.71140842648322</c:v>
                </c:pt>
                <c:pt idx="6">
                  <c:v>253.91797764402412</c:v>
                </c:pt>
                <c:pt idx="7">
                  <c:v>260.12454686156491</c:v>
                </c:pt>
              </c:numCache>
              <c:extLst/>
            </c:numRef>
          </c:val>
          <c:extLst>
            <c:ext xmlns:c16="http://schemas.microsoft.com/office/drawing/2014/chart" uri="{C3380CC4-5D6E-409C-BE32-E72D297353CC}">
              <c16:uniqueId val="{00000000-7B3F-44E1-A08C-7E8E1989B3AA}"/>
            </c:ext>
          </c:extLst>
        </c:ser>
        <c:ser>
          <c:idx val="1"/>
          <c:order val="1"/>
          <c:tx>
            <c:strRef>
              <c:f>OZE!$B$25</c:f>
              <c:strCache>
                <c:ptCount val="1"/>
                <c:pt idx="0">
                  <c:v>Elektrownie wiatrowe*</c:v>
                </c:pt>
              </c:strCache>
            </c:strRef>
          </c:tx>
          <c:spPr>
            <a:solidFill>
              <a:schemeClr val="accent1">
                <a:lumMod val="60000"/>
                <a:lumOff val="40000"/>
              </a:schemeClr>
            </a:solidFill>
            <a:ln>
              <a:noFill/>
            </a:ln>
            <a:effectLst/>
          </c:spPr>
          <c:invertIfNegative val="0"/>
          <c:cat>
            <c:numRef>
              <c:f>OZE!$C$22:$J$22</c:f>
              <c:numCache>
                <c:formatCode>General</c:formatCode>
                <c:ptCount val="8"/>
                <c:pt idx="0">
                  <c:v>2005</c:v>
                </c:pt>
                <c:pt idx="1">
                  <c:v>2010</c:v>
                </c:pt>
                <c:pt idx="2">
                  <c:v>2015</c:v>
                </c:pt>
                <c:pt idx="3">
                  <c:v>2020</c:v>
                </c:pt>
                <c:pt idx="4">
                  <c:v>2025</c:v>
                </c:pt>
                <c:pt idx="5">
                  <c:v>2030</c:v>
                </c:pt>
                <c:pt idx="6">
                  <c:v>2035</c:v>
                </c:pt>
                <c:pt idx="7">
                  <c:v>2040</c:v>
                </c:pt>
              </c:numCache>
              <c:extLst/>
            </c:numRef>
          </c:cat>
          <c:val>
            <c:numRef>
              <c:f>OZE!$C$25:$J$25</c:f>
              <c:numCache>
                <c:formatCode>#,##0</c:formatCode>
                <c:ptCount val="8"/>
                <c:pt idx="0">
                  <c:v>17</c:v>
                </c:pt>
                <c:pt idx="1">
                  <c:v>146</c:v>
                </c:pt>
                <c:pt idx="2">
                  <c:v>833</c:v>
                </c:pt>
                <c:pt idx="3">
                  <c:v>1294</c:v>
                </c:pt>
                <c:pt idx="4">
                  <c:v>2363.8065348237319</c:v>
                </c:pt>
                <c:pt idx="5">
                  <c:v>5332.7912295786746</c:v>
                </c:pt>
                <c:pt idx="6">
                  <c:v>10053.986827171108</c:v>
                </c:pt>
                <c:pt idx="7">
                  <c:v>13565.293104041271</c:v>
                </c:pt>
              </c:numCache>
              <c:extLst/>
            </c:numRef>
          </c:val>
          <c:extLst>
            <c:ext xmlns:c16="http://schemas.microsoft.com/office/drawing/2014/chart" uri="{C3380CC4-5D6E-409C-BE32-E72D297353CC}">
              <c16:uniqueId val="{00000001-7B3F-44E1-A08C-7E8E1989B3AA}"/>
            </c:ext>
          </c:extLst>
        </c:ser>
        <c:ser>
          <c:idx val="2"/>
          <c:order val="2"/>
          <c:tx>
            <c:strRef>
              <c:f>OZE!$B$26</c:f>
              <c:strCache>
                <c:ptCount val="1"/>
                <c:pt idx="0">
                  <c:v>Elektrownie fotowoltaiczne</c:v>
                </c:pt>
              </c:strCache>
            </c:strRef>
          </c:tx>
          <c:spPr>
            <a:solidFill>
              <a:srgbClr val="FFFF00"/>
            </a:solidFill>
            <a:ln>
              <a:noFill/>
            </a:ln>
            <a:effectLst/>
          </c:spPr>
          <c:invertIfNegative val="0"/>
          <c:cat>
            <c:numRef>
              <c:f>OZE!$C$22:$J$22</c:f>
              <c:numCache>
                <c:formatCode>General</c:formatCode>
                <c:ptCount val="8"/>
                <c:pt idx="0">
                  <c:v>2005</c:v>
                </c:pt>
                <c:pt idx="1">
                  <c:v>2010</c:v>
                </c:pt>
                <c:pt idx="2">
                  <c:v>2015</c:v>
                </c:pt>
                <c:pt idx="3">
                  <c:v>2020</c:v>
                </c:pt>
                <c:pt idx="4">
                  <c:v>2025</c:v>
                </c:pt>
                <c:pt idx="5">
                  <c:v>2030</c:v>
                </c:pt>
                <c:pt idx="6">
                  <c:v>2035</c:v>
                </c:pt>
                <c:pt idx="7">
                  <c:v>2040</c:v>
                </c:pt>
              </c:numCache>
              <c:extLst/>
            </c:numRef>
          </c:cat>
          <c:val>
            <c:numRef>
              <c:f>OZE!$C$26:$J$26</c:f>
              <c:numCache>
                <c:formatCode>#,##0</c:formatCode>
                <c:ptCount val="8"/>
                <c:pt idx="0">
                  <c:v>0</c:v>
                </c:pt>
                <c:pt idx="1">
                  <c:v>0</c:v>
                </c:pt>
                <c:pt idx="2">
                  <c:v>5</c:v>
                </c:pt>
                <c:pt idx="3">
                  <c:v>168</c:v>
                </c:pt>
                <c:pt idx="4">
                  <c:v>1440.3533963886498</c:v>
                </c:pt>
                <c:pt idx="5">
                  <c:v>2267.8457437661218</c:v>
                </c:pt>
                <c:pt idx="6">
                  <c:v>3115.0047807394662</c:v>
                </c:pt>
                <c:pt idx="7">
                  <c:v>4026.0523129836629</c:v>
                </c:pt>
              </c:numCache>
              <c:extLst/>
            </c:numRef>
          </c:val>
          <c:extLst>
            <c:ext xmlns:c16="http://schemas.microsoft.com/office/drawing/2014/chart" uri="{C3380CC4-5D6E-409C-BE32-E72D297353CC}">
              <c16:uniqueId val="{00000002-7B3F-44E1-A08C-7E8E1989B3AA}"/>
            </c:ext>
          </c:extLst>
        </c:ser>
        <c:ser>
          <c:idx val="3"/>
          <c:order val="3"/>
          <c:tx>
            <c:strRef>
              <c:f>OZE!$B$27</c:f>
              <c:strCache>
                <c:ptCount val="1"/>
                <c:pt idx="0">
                  <c:v>Elektrownie biomasowe</c:v>
                </c:pt>
              </c:strCache>
            </c:strRef>
          </c:tx>
          <c:spPr>
            <a:solidFill>
              <a:srgbClr val="92D050"/>
            </a:solidFill>
            <a:ln>
              <a:noFill/>
            </a:ln>
            <a:effectLst/>
          </c:spPr>
          <c:invertIfNegative val="0"/>
          <c:cat>
            <c:numRef>
              <c:f>OZE!$C$22:$J$22</c:f>
              <c:numCache>
                <c:formatCode>General</c:formatCode>
                <c:ptCount val="8"/>
                <c:pt idx="0">
                  <c:v>2005</c:v>
                </c:pt>
                <c:pt idx="1">
                  <c:v>2010</c:v>
                </c:pt>
                <c:pt idx="2">
                  <c:v>2015</c:v>
                </c:pt>
                <c:pt idx="3">
                  <c:v>2020</c:v>
                </c:pt>
                <c:pt idx="4">
                  <c:v>2025</c:v>
                </c:pt>
                <c:pt idx="5">
                  <c:v>2030</c:v>
                </c:pt>
                <c:pt idx="6">
                  <c:v>2035</c:v>
                </c:pt>
                <c:pt idx="7">
                  <c:v>2040</c:v>
                </c:pt>
              </c:numCache>
              <c:extLst/>
            </c:numRef>
          </c:cat>
          <c:val>
            <c:numRef>
              <c:f>OZE!$C$27:$J$27</c:f>
              <c:numCache>
                <c:formatCode>#,##0</c:formatCode>
                <c:ptCount val="8"/>
                <c:pt idx="0">
                  <c:v>120</c:v>
                </c:pt>
                <c:pt idx="1">
                  <c:v>508</c:v>
                </c:pt>
                <c:pt idx="2">
                  <c:v>776</c:v>
                </c:pt>
                <c:pt idx="3">
                  <c:v>596</c:v>
                </c:pt>
                <c:pt idx="4">
                  <c:v>532.34991756505565</c:v>
                </c:pt>
                <c:pt idx="5">
                  <c:v>485.61562747171098</c:v>
                </c:pt>
                <c:pt idx="6">
                  <c:v>386.21061938435082</c:v>
                </c:pt>
                <c:pt idx="7">
                  <c:v>350.36704643164222</c:v>
                </c:pt>
              </c:numCache>
              <c:extLst/>
            </c:numRef>
          </c:val>
          <c:extLst>
            <c:ext xmlns:c16="http://schemas.microsoft.com/office/drawing/2014/chart" uri="{C3380CC4-5D6E-409C-BE32-E72D297353CC}">
              <c16:uniqueId val="{00000003-7B3F-44E1-A08C-7E8E1989B3AA}"/>
            </c:ext>
          </c:extLst>
        </c:ser>
        <c:ser>
          <c:idx val="6"/>
          <c:order val="5"/>
          <c:tx>
            <c:strRef>
              <c:f>OZE!$B$29</c:f>
              <c:strCache>
                <c:ptCount val="1"/>
                <c:pt idx="0">
                  <c:v>Elektrownie geotermalne</c:v>
                </c:pt>
              </c:strCache>
            </c:strRef>
          </c:tx>
          <c:spPr>
            <a:solidFill>
              <a:srgbClr val="FF0000"/>
            </a:solidFill>
            <a:ln>
              <a:noFill/>
            </a:ln>
            <a:effectLst/>
          </c:spPr>
          <c:invertIfNegative val="0"/>
          <c:cat>
            <c:strLit>
              <c:ptCount val="8"/>
              <c:pt idx="0">
                <c:v>2005</c:v>
              </c:pt>
              <c:pt idx="1">
                <c:v>2010</c:v>
              </c:pt>
              <c:pt idx="2">
                <c:v>2015</c:v>
              </c:pt>
              <c:pt idx="3">
                <c:v>2020</c:v>
              </c:pt>
              <c:pt idx="4">
                <c:v>2025</c:v>
              </c:pt>
              <c:pt idx="5">
                <c:v>2030</c:v>
              </c:pt>
              <c:pt idx="6">
                <c:v>2035</c:v>
              </c:pt>
              <c:pt idx="7">
                <c:v>2040</c:v>
              </c:pt>
              <c:extLst>
                <c:ext xmlns:c15="http://schemas.microsoft.com/office/drawing/2012/chart" uri="{02D57815-91ED-43cb-92C2-25804820EDAC}">
                  <c15:autoCat val="1"/>
                </c:ext>
              </c:extLst>
            </c:strLit>
          </c:cat>
          <c:val>
            <c:numRef>
              <c:f>OZE!$C$29:$J$29</c:f>
              <c:numCache>
                <c:formatCode>#,##0</c:formatCode>
                <c:ptCount val="8"/>
                <c:pt idx="0">
                  <c:v>0</c:v>
                </c:pt>
                <c:pt idx="1">
                  <c:v>0</c:v>
                </c:pt>
                <c:pt idx="2">
                  <c:v>0</c:v>
                </c:pt>
                <c:pt idx="3">
                  <c:v>0</c:v>
                </c:pt>
                <c:pt idx="4">
                  <c:v>0</c:v>
                </c:pt>
                <c:pt idx="5">
                  <c:v>0</c:v>
                </c:pt>
                <c:pt idx="6">
                  <c:v>0</c:v>
                </c:pt>
                <c:pt idx="7">
                  <c:v>0</c:v>
                </c:pt>
              </c:numCache>
              <c:extLst/>
            </c:numRef>
          </c:val>
          <c:extLst>
            <c:ext xmlns:c16="http://schemas.microsoft.com/office/drawing/2014/chart" uri="{C3380CC4-5D6E-409C-BE32-E72D297353CC}">
              <c16:uniqueId val="{00000004-7B3F-44E1-A08C-7E8E1989B3AA}"/>
            </c:ext>
          </c:extLst>
        </c:ser>
        <c:ser>
          <c:idx val="5"/>
          <c:order val="6"/>
          <c:tx>
            <c:strRef>
              <c:f>OZE!$B$31</c:f>
              <c:strCache>
                <c:ptCount val="1"/>
                <c:pt idx="0">
                  <c:v>Odnawialne odpady komunalne </c:v>
                </c:pt>
              </c:strCache>
            </c:strRef>
          </c:tx>
          <c:spPr>
            <a:solidFill>
              <a:schemeClr val="accent4">
                <a:lumMod val="75000"/>
              </a:schemeClr>
            </a:solidFill>
            <a:ln>
              <a:noFill/>
            </a:ln>
            <a:effectLst/>
          </c:spPr>
          <c:invertIfNegative val="0"/>
          <c:cat>
            <c:numRef>
              <c:f>OZE!$C$22:$J$22</c:f>
              <c:numCache>
                <c:formatCode>General</c:formatCode>
                <c:ptCount val="8"/>
                <c:pt idx="0">
                  <c:v>2005</c:v>
                </c:pt>
                <c:pt idx="1">
                  <c:v>2010</c:v>
                </c:pt>
                <c:pt idx="2">
                  <c:v>2015</c:v>
                </c:pt>
                <c:pt idx="3">
                  <c:v>2020</c:v>
                </c:pt>
                <c:pt idx="4">
                  <c:v>2025</c:v>
                </c:pt>
                <c:pt idx="5">
                  <c:v>2030</c:v>
                </c:pt>
                <c:pt idx="6">
                  <c:v>2035</c:v>
                </c:pt>
                <c:pt idx="7">
                  <c:v>2040</c:v>
                </c:pt>
              </c:numCache>
              <c:extLst/>
            </c:numRef>
          </c:cat>
          <c:val>
            <c:numRef>
              <c:f>OZE!$C$31:$J$31</c:f>
              <c:numCache>
                <c:formatCode>#,##0</c:formatCode>
                <c:ptCount val="8"/>
                <c:pt idx="0">
                  <c:v>0</c:v>
                </c:pt>
                <c:pt idx="1">
                  <c:v>0</c:v>
                </c:pt>
                <c:pt idx="2">
                  <c:v>0</c:v>
                </c:pt>
                <c:pt idx="3">
                  <c:v>16</c:v>
                </c:pt>
                <c:pt idx="4">
                  <c:v>25.997897871023213</c:v>
                </c:pt>
                <c:pt idx="5">
                  <c:v>32.366330496990535</c:v>
                </c:pt>
                <c:pt idx="6">
                  <c:v>31.598095821152189</c:v>
                </c:pt>
                <c:pt idx="7">
                  <c:v>27.520922166809967</c:v>
                </c:pt>
              </c:numCache>
              <c:extLst/>
            </c:numRef>
          </c:val>
          <c:extLst>
            <c:ext xmlns:c16="http://schemas.microsoft.com/office/drawing/2014/chart" uri="{C3380CC4-5D6E-409C-BE32-E72D297353CC}">
              <c16:uniqueId val="{00000005-7B3F-44E1-A08C-7E8E1989B3AA}"/>
            </c:ext>
          </c:extLst>
        </c:ser>
        <c:ser>
          <c:idx val="7"/>
          <c:order val="7"/>
          <c:tx>
            <c:strRef>
              <c:f>OZE!$B$30</c:f>
              <c:strCache>
                <c:ptCount val="1"/>
                <c:pt idx="0">
                  <c:v>Elektrownie na gazy odnawialne (biometan/biogaz/wodór)</c:v>
                </c:pt>
              </c:strCache>
            </c:strRef>
          </c:tx>
          <c:spPr>
            <a:solidFill>
              <a:schemeClr val="accent2">
                <a:lumMod val="60000"/>
              </a:schemeClr>
            </a:solidFill>
            <a:ln>
              <a:noFill/>
            </a:ln>
            <a:effectLst/>
          </c:spPr>
          <c:invertIfNegative val="0"/>
          <c:cat>
            <c:strLit>
              <c:ptCount val="8"/>
              <c:pt idx="0">
                <c:v>2005</c:v>
              </c:pt>
              <c:pt idx="1">
                <c:v>2010</c:v>
              </c:pt>
              <c:pt idx="2">
                <c:v>2015</c:v>
              </c:pt>
              <c:pt idx="3">
                <c:v>2020</c:v>
              </c:pt>
              <c:pt idx="4">
                <c:v>2025</c:v>
              </c:pt>
              <c:pt idx="5">
                <c:v>2030</c:v>
              </c:pt>
              <c:pt idx="6">
                <c:v>2035</c:v>
              </c:pt>
              <c:pt idx="7">
                <c:v>2040</c:v>
              </c:pt>
              <c:extLst>
                <c:ext xmlns:c15="http://schemas.microsoft.com/office/drawing/2012/chart" uri="{02D57815-91ED-43cb-92C2-25804820EDAC}">
                  <c15:autoCat val="1"/>
                </c:ext>
              </c:extLst>
            </c:strLit>
          </c:cat>
          <c:val>
            <c:numRef>
              <c:f>OZE!$C$30:$J$30</c:f>
              <c:numCache>
                <c:formatCode>#,##0</c:formatCode>
                <c:ptCount val="8"/>
                <c:pt idx="0">
                  <c:v>10</c:v>
                </c:pt>
                <c:pt idx="1">
                  <c:v>34</c:v>
                </c:pt>
                <c:pt idx="2">
                  <c:v>78</c:v>
                </c:pt>
                <c:pt idx="3">
                  <c:v>106</c:v>
                </c:pt>
                <c:pt idx="4">
                  <c:v>178.67643198624248</c:v>
                </c:pt>
                <c:pt idx="5">
                  <c:v>250.43235631986238</c:v>
                </c:pt>
                <c:pt idx="6">
                  <c:v>383.81179243336197</c:v>
                </c:pt>
                <c:pt idx="7">
                  <c:v>1479.3979516766979</c:v>
                </c:pt>
              </c:numCache>
              <c:extLst/>
            </c:numRef>
          </c:val>
          <c:extLst>
            <c:ext xmlns:c16="http://schemas.microsoft.com/office/drawing/2014/chart" uri="{C3380CC4-5D6E-409C-BE32-E72D297353CC}">
              <c16:uniqueId val="{00000006-7B3F-44E1-A08C-7E8E1989B3AA}"/>
            </c:ext>
          </c:extLst>
        </c:ser>
        <c:dLbls>
          <c:showLegendKey val="0"/>
          <c:showVal val="0"/>
          <c:showCatName val="0"/>
          <c:showSerName val="0"/>
          <c:showPercent val="0"/>
          <c:showBubbleSize val="0"/>
        </c:dLbls>
        <c:gapWidth val="150"/>
        <c:overlap val="100"/>
        <c:axId val="951772592"/>
        <c:axId val="951778080"/>
        <c:extLst>
          <c:ext xmlns:c15="http://schemas.microsoft.com/office/drawing/2012/chart" uri="{02D57815-91ED-43cb-92C2-25804820EDAC}">
            <c15:filteredBarSeries>
              <c15:ser>
                <c:idx val="4"/>
                <c:order val="4"/>
                <c:tx>
                  <c:strRef>
                    <c:extLst>
                      <c:ext uri="{02D57815-91ED-43cb-92C2-25804820EDAC}">
                        <c15:formulaRef>
                          <c15:sqref>OZE!$B$28</c15:sqref>
                        </c15:formulaRef>
                      </c:ext>
                    </c:extLst>
                    <c:strCache>
                      <c:ptCount val="1"/>
                      <c:pt idx="0">
                        <c:v>Elektrownie biogazowe</c:v>
                      </c:pt>
                    </c:strCache>
                  </c:strRef>
                </c:tx>
                <c:spPr>
                  <a:solidFill>
                    <a:schemeClr val="bg2">
                      <a:lumMod val="50000"/>
                    </a:schemeClr>
                  </a:solidFill>
                  <a:ln>
                    <a:noFill/>
                  </a:ln>
                  <a:effectLst/>
                </c:spPr>
                <c:invertIfNegative val="0"/>
                <c:cat>
                  <c:numRef>
                    <c:extLst>
                      <c:ext uri="{02D57815-91ED-43cb-92C2-25804820EDAC}">
                        <c15:formulaRef>
                          <c15:sqref>OZE!$C$22:$J$22</c15:sqref>
                        </c15:formulaRef>
                      </c:ext>
                    </c:extLst>
                    <c:numCache>
                      <c:formatCode>General</c:formatCode>
                      <c:ptCount val="8"/>
                      <c:pt idx="0">
                        <c:v>2005</c:v>
                      </c:pt>
                      <c:pt idx="1">
                        <c:v>2010</c:v>
                      </c:pt>
                      <c:pt idx="2">
                        <c:v>2015</c:v>
                      </c:pt>
                      <c:pt idx="3">
                        <c:v>2020</c:v>
                      </c:pt>
                      <c:pt idx="4">
                        <c:v>2025</c:v>
                      </c:pt>
                      <c:pt idx="5">
                        <c:v>2030</c:v>
                      </c:pt>
                      <c:pt idx="6">
                        <c:v>2035</c:v>
                      </c:pt>
                      <c:pt idx="7">
                        <c:v>2040</c:v>
                      </c:pt>
                    </c:numCache>
                  </c:numRef>
                </c:cat>
                <c:val>
                  <c:numRef>
                    <c:extLst>
                      <c:ext uri="{02D57815-91ED-43cb-92C2-25804820EDAC}">
                        <c15:formulaRef>
                          <c15:sqref>OZE!$C$28:$J$28</c15:sqref>
                        </c15:formulaRef>
                      </c:ext>
                    </c:extLst>
                    <c:numCache>
                      <c:formatCode>#,##0</c:formatCode>
                      <c:ptCount val="8"/>
                      <c:pt idx="0">
                        <c:v>10</c:v>
                      </c:pt>
                      <c:pt idx="1">
                        <c:v>34</c:v>
                      </c:pt>
                      <c:pt idx="2">
                        <c:v>78</c:v>
                      </c:pt>
                      <c:pt idx="3">
                        <c:v>106</c:v>
                      </c:pt>
                      <c:pt idx="4">
                        <c:v>178.67643198624248</c:v>
                      </c:pt>
                      <c:pt idx="5">
                        <c:v>250.43235631986238</c:v>
                      </c:pt>
                      <c:pt idx="6">
                        <c:v>295.57362304385208</c:v>
                      </c:pt>
                      <c:pt idx="7">
                        <c:v>344.14507377472052</c:v>
                      </c:pt>
                    </c:numCache>
                  </c:numRef>
                </c:val>
                <c:extLst>
                  <c:ext xmlns:c16="http://schemas.microsoft.com/office/drawing/2014/chart" uri="{C3380CC4-5D6E-409C-BE32-E72D297353CC}">
                    <c16:uniqueId val="{00000007-7B3F-44E1-A08C-7E8E1989B3AA}"/>
                  </c:ext>
                </c:extLst>
              </c15:ser>
            </c15:filteredBarSeries>
          </c:ext>
        </c:extLst>
      </c:barChart>
      <c:catAx>
        <c:axId val="951772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951778080"/>
        <c:crosses val="autoZero"/>
        <c:auto val="1"/>
        <c:lblAlgn val="ctr"/>
        <c:lblOffset val="100"/>
        <c:noMultiLvlLbl val="0"/>
      </c:catAx>
      <c:valAx>
        <c:axId val="95177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a:t>[ktoe]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951772592"/>
        <c:crosses val="autoZero"/>
        <c:crossBetween val="between"/>
      </c:valAx>
      <c:spPr>
        <a:noFill/>
        <a:ln>
          <a:noFill/>
        </a:ln>
        <a:effectLst/>
      </c:spPr>
    </c:plotArea>
    <c:legend>
      <c:legendPos val="b"/>
      <c:layout>
        <c:manualLayout>
          <c:xMode val="edge"/>
          <c:yMode val="edge"/>
          <c:x val="0.69725457321637074"/>
          <c:y val="7.886041614286303E-2"/>
          <c:w val="0.30274526920876937"/>
          <c:h val="0.81058834954297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a:latin typeface="Calibri" panose="020F0502020204030204" pitchFamily="34" charset="0"/>
          <a:cs typeface="Calibri" panose="020F0502020204030204" pitchFamily="34" charset="0"/>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OZE!$B$46</c:f>
              <c:strCache>
                <c:ptCount val="1"/>
                <c:pt idx="0">
                  <c:v>Geotermia</c:v>
                </c:pt>
              </c:strCache>
            </c:strRef>
          </c:tx>
          <c:spPr>
            <a:solidFill>
              <a:schemeClr val="accent1"/>
            </a:solidFill>
            <a:ln>
              <a:noFill/>
            </a:ln>
            <a:effectLst/>
          </c:spPr>
          <c:invertIfNegative val="0"/>
          <c:cat>
            <c:numRef>
              <c:f>OZE!$C$22:$J$22</c:f>
              <c:numCache>
                <c:formatCode>General</c:formatCode>
                <c:ptCount val="8"/>
                <c:pt idx="0">
                  <c:v>2005</c:v>
                </c:pt>
                <c:pt idx="1">
                  <c:v>2010</c:v>
                </c:pt>
                <c:pt idx="2">
                  <c:v>2015</c:v>
                </c:pt>
                <c:pt idx="3">
                  <c:v>2020</c:v>
                </c:pt>
                <c:pt idx="4">
                  <c:v>2025</c:v>
                </c:pt>
                <c:pt idx="5">
                  <c:v>2030</c:v>
                </c:pt>
                <c:pt idx="6">
                  <c:v>2035</c:v>
                </c:pt>
                <c:pt idx="7">
                  <c:v>2040</c:v>
                </c:pt>
              </c:numCache>
              <c:extLst/>
            </c:numRef>
          </c:cat>
          <c:val>
            <c:numRef>
              <c:f>OZE!$C$46:$J$46</c:f>
              <c:numCache>
                <c:formatCode>#,##0</c:formatCode>
                <c:ptCount val="8"/>
                <c:pt idx="0">
                  <c:v>11</c:v>
                </c:pt>
                <c:pt idx="1">
                  <c:v>13</c:v>
                </c:pt>
                <c:pt idx="2">
                  <c:v>22</c:v>
                </c:pt>
                <c:pt idx="3">
                  <c:v>26</c:v>
                </c:pt>
                <c:pt idx="4">
                  <c:v>77.773993376580279</c:v>
                </c:pt>
                <c:pt idx="5">
                  <c:v>96.511389664511995</c:v>
                </c:pt>
                <c:pt idx="6">
                  <c:v>153.41512270290539</c:v>
                </c:pt>
                <c:pt idx="7">
                  <c:v>204.49245611910345</c:v>
                </c:pt>
              </c:numCache>
              <c:extLst/>
            </c:numRef>
          </c:val>
          <c:extLst>
            <c:ext xmlns:c16="http://schemas.microsoft.com/office/drawing/2014/chart" uri="{C3380CC4-5D6E-409C-BE32-E72D297353CC}">
              <c16:uniqueId val="{00000000-F2B6-4110-B1A4-A2FBD17E9EE9}"/>
            </c:ext>
          </c:extLst>
        </c:ser>
        <c:ser>
          <c:idx val="1"/>
          <c:order val="1"/>
          <c:tx>
            <c:strRef>
              <c:f>OZE!$B$47</c:f>
              <c:strCache>
                <c:ptCount val="1"/>
                <c:pt idx="0">
                  <c:v>Słońce (kolektory słoneczne)</c:v>
                </c:pt>
              </c:strCache>
            </c:strRef>
          </c:tx>
          <c:spPr>
            <a:solidFill>
              <a:srgbClr val="FFFF00"/>
            </a:solidFill>
            <a:ln>
              <a:noFill/>
            </a:ln>
            <a:effectLst/>
          </c:spPr>
          <c:invertIfNegative val="0"/>
          <c:cat>
            <c:numRef>
              <c:f>OZE!$C$22:$J$22</c:f>
              <c:numCache>
                <c:formatCode>General</c:formatCode>
                <c:ptCount val="8"/>
                <c:pt idx="0">
                  <c:v>2005</c:v>
                </c:pt>
                <c:pt idx="1">
                  <c:v>2010</c:v>
                </c:pt>
                <c:pt idx="2">
                  <c:v>2015</c:v>
                </c:pt>
                <c:pt idx="3">
                  <c:v>2020</c:v>
                </c:pt>
                <c:pt idx="4">
                  <c:v>2025</c:v>
                </c:pt>
                <c:pt idx="5">
                  <c:v>2030</c:v>
                </c:pt>
                <c:pt idx="6">
                  <c:v>2035</c:v>
                </c:pt>
                <c:pt idx="7">
                  <c:v>2040</c:v>
                </c:pt>
              </c:numCache>
              <c:extLst/>
            </c:numRef>
          </c:cat>
          <c:val>
            <c:numRef>
              <c:f>OZE!$C$47:$J$47</c:f>
              <c:numCache>
                <c:formatCode>#,##0</c:formatCode>
                <c:ptCount val="8"/>
                <c:pt idx="0">
                  <c:v>0</c:v>
                </c:pt>
                <c:pt idx="1">
                  <c:v>10</c:v>
                </c:pt>
                <c:pt idx="2">
                  <c:v>45</c:v>
                </c:pt>
                <c:pt idx="3">
                  <c:v>80</c:v>
                </c:pt>
                <c:pt idx="4">
                  <c:v>267.06142037222958</c:v>
                </c:pt>
                <c:pt idx="5">
                  <c:v>428.29053936014185</c:v>
                </c:pt>
                <c:pt idx="6">
                  <c:v>513.20353195885036</c:v>
                </c:pt>
                <c:pt idx="7">
                  <c:v>557.22930299123107</c:v>
                </c:pt>
              </c:numCache>
              <c:extLst/>
            </c:numRef>
          </c:val>
          <c:extLst>
            <c:ext xmlns:c16="http://schemas.microsoft.com/office/drawing/2014/chart" uri="{C3380CC4-5D6E-409C-BE32-E72D297353CC}">
              <c16:uniqueId val="{00000001-F2B6-4110-B1A4-A2FBD17E9EE9}"/>
            </c:ext>
          </c:extLst>
        </c:ser>
        <c:ser>
          <c:idx val="2"/>
          <c:order val="2"/>
          <c:tx>
            <c:strRef>
              <c:f>OZE!$B$48</c:f>
              <c:strCache>
                <c:ptCount val="1"/>
                <c:pt idx="0">
                  <c:v>Biomasa stała</c:v>
                </c:pt>
              </c:strCache>
            </c:strRef>
          </c:tx>
          <c:spPr>
            <a:solidFill>
              <a:srgbClr val="92D050"/>
            </a:solidFill>
            <a:ln>
              <a:noFill/>
            </a:ln>
            <a:effectLst/>
          </c:spPr>
          <c:invertIfNegative val="0"/>
          <c:cat>
            <c:numRef>
              <c:f>OZE!$C$22:$J$22</c:f>
              <c:numCache>
                <c:formatCode>General</c:formatCode>
                <c:ptCount val="8"/>
                <c:pt idx="0">
                  <c:v>2005</c:v>
                </c:pt>
                <c:pt idx="1">
                  <c:v>2010</c:v>
                </c:pt>
                <c:pt idx="2">
                  <c:v>2015</c:v>
                </c:pt>
                <c:pt idx="3">
                  <c:v>2020</c:v>
                </c:pt>
                <c:pt idx="4">
                  <c:v>2025</c:v>
                </c:pt>
                <c:pt idx="5">
                  <c:v>2030</c:v>
                </c:pt>
                <c:pt idx="6">
                  <c:v>2035</c:v>
                </c:pt>
                <c:pt idx="7">
                  <c:v>2040</c:v>
                </c:pt>
              </c:numCache>
              <c:extLst/>
            </c:numRef>
          </c:cat>
          <c:val>
            <c:numRef>
              <c:f>OZE!$C$48:$J$48</c:f>
              <c:numCache>
                <c:formatCode>#,##0</c:formatCode>
                <c:ptCount val="8"/>
                <c:pt idx="0">
                  <c:v>3814</c:v>
                </c:pt>
                <c:pt idx="1">
                  <c:v>4555</c:v>
                </c:pt>
                <c:pt idx="2">
                  <c:v>4896</c:v>
                </c:pt>
                <c:pt idx="3">
                  <c:v>7892</c:v>
                </c:pt>
                <c:pt idx="4">
                  <c:v>7096.3945650238302</c:v>
                </c:pt>
                <c:pt idx="5">
                  <c:v>7058.8351689736874</c:v>
                </c:pt>
                <c:pt idx="6">
                  <c:v>6599.9327508643828</c:v>
                </c:pt>
                <c:pt idx="7">
                  <c:v>5937.2463729510855</c:v>
                </c:pt>
              </c:numCache>
              <c:extLst/>
            </c:numRef>
          </c:val>
          <c:extLst>
            <c:ext xmlns:c16="http://schemas.microsoft.com/office/drawing/2014/chart" uri="{C3380CC4-5D6E-409C-BE32-E72D297353CC}">
              <c16:uniqueId val="{00000002-F2B6-4110-B1A4-A2FBD17E9EE9}"/>
            </c:ext>
          </c:extLst>
        </c:ser>
        <c:ser>
          <c:idx val="4"/>
          <c:order val="4"/>
          <c:tx>
            <c:strRef>
              <c:f>OZE!$B$50</c:f>
              <c:strCache>
                <c:ptCount val="1"/>
                <c:pt idx="0">
                  <c:v>Pompy ciepła</c:v>
                </c:pt>
              </c:strCache>
            </c:strRef>
          </c:tx>
          <c:spPr>
            <a:solidFill>
              <a:srgbClr val="C0504D">
                <a:lumMod val="60000"/>
                <a:lumOff val="40000"/>
              </a:srgbClr>
            </a:solidFill>
            <a:ln>
              <a:noFill/>
            </a:ln>
            <a:effectLst/>
          </c:spPr>
          <c:invertIfNegative val="0"/>
          <c:cat>
            <c:numRef>
              <c:f>OZE!$C$22:$J$22</c:f>
              <c:numCache>
                <c:formatCode>General</c:formatCode>
                <c:ptCount val="8"/>
                <c:pt idx="0">
                  <c:v>2005</c:v>
                </c:pt>
                <c:pt idx="1">
                  <c:v>2010</c:v>
                </c:pt>
                <c:pt idx="2">
                  <c:v>2015</c:v>
                </c:pt>
                <c:pt idx="3">
                  <c:v>2020</c:v>
                </c:pt>
                <c:pt idx="4">
                  <c:v>2025</c:v>
                </c:pt>
                <c:pt idx="5">
                  <c:v>2030</c:v>
                </c:pt>
                <c:pt idx="6">
                  <c:v>2035</c:v>
                </c:pt>
                <c:pt idx="7">
                  <c:v>2040</c:v>
                </c:pt>
              </c:numCache>
              <c:extLst/>
            </c:numRef>
          </c:cat>
          <c:val>
            <c:numRef>
              <c:f>OZE!$C$50:$J$50</c:f>
              <c:numCache>
                <c:formatCode>#,##0</c:formatCode>
                <c:ptCount val="8"/>
                <c:pt idx="0">
                  <c:v>0</c:v>
                </c:pt>
                <c:pt idx="1">
                  <c:v>45</c:v>
                </c:pt>
                <c:pt idx="2">
                  <c:v>133</c:v>
                </c:pt>
                <c:pt idx="3">
                  <c:v>298</c:v>
                </c:pt>
                <c:pt idx="4">
                  <c:v>1255.2688489023624</c:v>
                </c:pt>
                <c:pt idx="5">
                  <c:v>1861.4113999682463</c:v>
                </c:pt>
                <c:pt idx="6">
                  <c:v>3112.8128703280527</c:v>
                </c:pt>
                <c:pt idx="7">
                  <c:v>4431.5288423965376</c:v>
                </c:pt>
              </c:numCache>
              <c:extLst/>
            </c:numRef>
          </c:val>
          <c:extLst>
            <c:ext xmlns:c16="http://schemas.microsoft.com/office/drawing/2014/chart" uri="{C3380CC4-5D6E-409C-BE32-E72D297353CC}">
              <c16:uniqueId val="{00000003-F2B6-4110-B1A4-A2FBD17E9EE9}"/>
            </c:ext>
          </c:extLst>
        </c:ser>
        <c:ser>
          <c:idx val="5"/>
          <c:order val="5"/>
          <c:tx>
            <c:strRef>
              <c:f>OZE!$B$52</c:f>
              <c:strCache>
                <c:ptCount val="1"/>
                <c:pt idx="0">
                  <c:v>Odnawialne odpady komunalne </c:v>
                </c:pt>
              </c:strCache>
            </c:strRef>
          </c:tx>
          <c:spPr>
            <a:solidFill>
              <a:srgbClr val="993366"/>
            </a:solidFill>
            <a:ln>
              <a:noFill/>
            </a:ln>
            <a:effectLst/>
          </c:spPr>
          <c:invertIfNegative val="0"/>
          <c:cat>
            <c:numRef>
              <c:f>OZE!$C$22:$J$22</c:f>
              <c:numCache>
                <c:formatCode>General</c:formatCode>
                <c:ptCount val="8"/>
                <c:pt idx="0">
                  <c:v>2005</c:v>
                </c:pt>
                <c:pt idx="1">
                  <c:v>2010</c:v>
                </c:pt>
                <c:pt idx="2">
                  <c:v>2015</c:v>
                </c:pt>
                <c:pt idx="3">
                  <c:v>2020</c:v>
                </c:pt>
                <c:pt idx="4">
                  <c:v>2025</c:v>
                </c:pt>
                <c:pt idx="5">
                  <c:v>2030</c:v>
                </c:pt>
                <c:pt idx="6">
                  <c:v>2035</c:v>
                </c:pt>
                <c:pt idx="7">
                  <c:v>2040</c:v>
                </c:pt>
              </c:numCache>
              <c:extLst/>
            </c:numRef>
          </c:cat>
          <c:val>
            <c:numRef>
              <c:f>OZE!$C$52:$J$52</c:f>
              <c:numCache>
                <c:formatCode>#,##0</c:formatCode>
                <c:ptCount val="8"/>
                <c:pt idx="0">
                  <c:v>1</c:v>
                </c:pt>
                <c:pt idx="1">
                  <c:v>3</c:v>
                </c:pt>
                <c:pt idx="2">
                  <c:v>40</c:v>
                </c:pt>
                <c:pt idx="3">
                  <c:v>97</c:v>
                </c:pt>
                <c:pt idx="4">
                  <c:v>152.61028689443455</c:v>
                </c:pt>
                <c:pt idx="5">
                  <c:v>196.71544399477082</c:v>
                </c:pt>
                <c:pt idx="6">
                  <c:v>208.95850656508179</c:v>
                </c:pt>
                <c:pt idx="7">
                  <c:v>270.88376063774945</c:v>
                </c:pt>
              </c:numCache>
              <c:extLst/>
            </c:numRef>
          </c:val>
          <c:extLst>
            <c:ext xmlns:c16="http://schemas.microsoft.com/office/drawing/2014/chart" uri="{C3380CC4-5D6E-409C-BE32-E72D297353CC}">
              <c16:uniqueId val="{00000004-F2B6-4110-B1A4-A2FBD17E9EE9}"/>
            </c:ext>
          </c:extLst>
        </c:ser>
        <c:ser>
          <c:idx val="6"/>
          <c:order val="6"/>
          <c:tx>
            <c:strRef>
              <c:f>OZE!$B$51</c:f>
              <c:strCache>
                <c:ptCount val="1"/>
                <c:pt idx="0">
                  <c:v>Gazy odnawialne (biometan/biogaz/wodór)</c:v>
                </c:pt>
              </c:strCache>
            </c:strRef>
          </c:tx>
          <c:spPr>
            <a:solidFill>
              <a:schemeClr val="accent1">
                <a:lumMod val="60000"/>
              </a:schemeClr>
            </a:solidFill>
            <a:ln>
              <a:noFill/>
            </a:ln>
            <a:effectLst/>
          </c:spPr>
          <c:invertIfNegative val="0"/>
          <c:cat>
            <c:strLit>
              <c:ptCount val="8"/>
              <c:pt idx="0">
                <c:v>2005</c:v>
              </c:pt>
              <c:pt idx="1">
                <c:v>2010</c:v>
              </c:pt>
              <c:pt idx="2">
                <c:v>2015</c:v>
              </c:pt>
              <c:pt idx="3">
                <c:v>2020</c:v>
              </c:pt>
              <c:pt idx="4">
                <c:v>2025</c:v>
              </c:pt>
              <c:pt idx="5">
                <c:v>2030</c:v>
              </c:pt>
              <c:pt idx="6">
                <c:v>2035</c:v>
              </c:pt>
              <c:pt idx="7">
                <c:v>2040</c:v>
              </c:pt>
              <c:extLst>
                <c:ext xmlns:c15="http://schemas.microsoft.com/office/drawing/2012/chart" uri="{02D57815-91ED-43cb-92C2-25804820EDAC}">
                  <c15:autoCat val="1"/>
                </c:ext>
              </c:extLst>
            </c:strLit>
          </c:cat>
          <c:val>
            <c:numRef>
              <c:f>OZE!$C$51:$J$51</c:f>
              <c:numCache>
                <c:formatCode>#,##0</c:formatCode>
                <c:ptCount val="8"/>
                <c:pt idx="0">
                  <c:v>41</c:v>
                </c:pt>
                <c:pt idx="1">
                  <c:v>51</c:v>
                </c:pt>
                <c:pt idx="2">
                  <c:v>88</c:v>
                </c:pt>
                <c:pt idx="3">
                  <c:v>114</c:v>
                </c:pt>
                <c:pt idx="4">
                  <c:v>191.01090824472894</c:v>
                </c:pt>
                <c:pt idx="5">
                  <c:v>1124.6991339105566</c:v>
                </c:pt>
                <c:pt idx="6">
                  <c:v>2120.9756871985533</c:v>
                </c:pt>
                <c:pt idx="7">
                  <c:v>3797.4543058043259</c:v>
                </c:pt>
              </c:numCache>
              <c:extLst/>
            </c:numRef>
          </c:val>
          <c:extLst>
            <c:ext xmlns:c16="http://schemas.microsoft.com/office/drawing/2014/chart" uri="{C3380CC4-5D6E-409C-BE32-E72D297353CC}">
              <c16:uniqueId val="{00000005-F2B6-4110-B1A4-A2FBD17E9EE9}"/>
            </c:ext>
          </c:extLst>
        </c:ser>
        <c:dLbls>
          <c:showLegendKey val="0"/>
          <c:showVal val="0"/>
          <c:showCatName val="0"/>
          <c:showSerName val="0"/>
          <c:showPercent val="0"/>
          <c:showBubbleSize val="0"/>
        </c:dLbls>
        <c:gapWidth val="150"/>
        <c:overlap val="100"/>
        <c:axId val="744089200"/>
        <c:axId val="744085672"/>
        <c:extLst>
          <c:ext xmlns:c15="http://schemas.microsoft.com/office/drawing/2012/chart" uri="{02D57815-91ED-43cb-92C2-25804820EDAC}">
            <c15:filteredBarSeries>
              <c15:ser>
                <c:idx val="3"/>
                <c:order val="3"/>
                <c:tx>
                  <c:strRef>
                    <c:extLst>
                      <c:ext uri="{02D57815-91ED-43cb-92C2-25804820EDAC}">
                        <c15:formulaRef>
                          <c15:sqref>OZE!$B$49</c15:sqref>
                        </c15:formulaRef>
                      </c:ext>
                    </c:extLst>
                    <c:strCache>
                      <c:ptCount val="1"/>
                      <c:pt idx="0">
                        <c:v>Biogaz</c:v>
                      </c:pt>
                    </c:strCache>
                  </c:strRef>
                </c:tx>
                <c:spPr>
                  <a:solidFill>
                    <a:srgbClr val="EEECE1">
                      <a:lumMod val="50000"/>
                    </a:srgbClr>
                  </a:solidFill>
                  <a:ln>
                    <a:noFill/>
                  </a:ln>
                  <a:effectLst/>
                </c:spPr>
                <c:invertIfNegative val="0"/>
                <c:cat>
                  <c:numRef>
                    <c:extLst>
                      <c:ext uri="{02D57815-91ED-43cb-92C2-25804820EDAC}">
                        <c15:formulaRef>
                          <c15:sqref>OZE!$C$22:$J$22</c15:sqref>
                        </c15:formulaRef>
                      </c:ext>
                    </c:extLst>
                    <c:numCache>
                      <c:formatCode>General</c:formatCode>
                      <c:ptCount val="8"/>
                      <c:pt idx="0">
                        <c:v>2005</c:v>
                      </c:pt>
                      <c:pt idx="1">
                        <c:v>2010</c:v>
                      </c:pt>
                      <c:pt idx="2">
                        <c:v>2015</c:v>
                      </c:pt>
                      <c:pt idx="3">
                        <c:v>2020</c:v>
                      </c:pt>
                      <c:pt idx="4">
                        <c:v>2025</c:v>
                      </c:pt>
                      <c:pt idx="5">
                        <c:v>2030</c:v>
                      </c:pt>
                      <c:pt idx="6">
                        <c:v>2035</c:v>
                      </c:pt>
                      <c:pt idx="7">
                        <c:v>2040</c:v>
                      </c:pt>
                    </c:numCache>
                  </c:numRef>
                </c:cat>
                <c:val>
                  <c:numRef>
                    <c:extLst>
                      <c:ext uri="{02D57815-91ED-43cb-92C2-25804820EDAC}">
                        <c15:formulaRef>
                          <c15:sqref>OZE!$C$49:$J$49</c15:sqref>
                        </c15:formulaRef>
                      </c:ext>
                    </c:extLst>
                    <c:numCache>
                      <c:formatCode>#,##0</c:formatCode>
                      <c:ptCount val="8"/>
                      <c:pt idx="0">
                        <c:v>41</c:v>
                      </c:pt>
                      <c:pt idx="1">
                        <c:v>51</c:v>
                      </c:pt>
                      <c:pt idx="2">
                        <c:v>88</c:v>
                      </c:pt>
                      <c:pt idx="3">
                        <c:v>114</c:v>
                      </c:pt>
                      <c:pt idx="4">
                        <c:v>191.01090824472894</c:v>
                      </c:pt>
                      <c:pt idx="5">
                        <c:v>1121.1697221458508</c:v>
                      </c:pt>
                      <c:pt idx="6">
                        <c:v>2022.5116912448839</c:v>
                      </c:pt>
                      <c:pt idx="7">
                        <c:v>2711.9572351489151</c:v>
                      </c:pt>
                    </c:numCache>
                  </c:numRef>
                </c:val>
                <c:extLst>
                  <c:ext xmlns:c16="http://schemas.microsoft.com/office/drawing/2014/chart" uri="{C3380CC4-5D6E-409C-BE32-E72D297353CC}">
                    <c16:uniqueId val="{00000006-F2B6-4110-B1A4-A2FBD17E9EE9}"/>
                  </c:ext>
                </c:extLst>
              </c15:ser>
            </c15:filteredBarSeries>
          </c:ext>
        </c:extLst>
      </c:barChart>
      <c:catAx>
        <c:axId val="744089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744085672"/>
        <c:crosses val="autoZero"/>
        <c:auto val="1"/>
        <c:lblAlgn val="ctr"/>
        <c:lblOffset val="100"/>
        <c:noMultiLvlLbl val="0"/>
      </c:catAx>
      <c:valAx>
        <c:axId val="7440856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r>
                  <a:rPr lang="en-US"/>
                  <a:t>[ktoe]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crossAx val="744089200"/>
        <c:crosses val="autoZero"/>
        <c:crossBetween val="between"/>
      </c:valAx>
      <c:spPr>
        <a:noFill/>
        <a:ln>
          <a:noFill/>
        </a:ln>
        <a:effectLst/>
      </c:spPr>
    </c:plotArea>
    <c:legend>
      <c:legendPos val="b"/>
      <c:layout>
        <c:manualLayout>
          <c:xMode val="edge"/>
          <c:yMode val="edge"/>
          <c:x val="4.9267178311681814E-2"/>
          <c:y val="0.80633137856417514"/>
          <c:w val="0.93540873247458334"/>
          <c:h val="0.1836049275069515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pl-PL"/>
        </a:p>
      </c:txPr>
    </c:legend>
    <c:plotVisOnly val="1"/>
    <c:dispBlanksAs val="gap"/>
    <c:showDLblsOverMax val="0"/>
  </c:chart>
  <c:spPr>
    <a:solidFill>
      <a:schemeClr val="bg1"/>
    </a:solidFill>
    <a:ln w="9525" cap="flat" cmpd="sng" algn="ctr">
      <a:noFill/>
      <a:round/>
    </a:ln>
    <a:effectLst/>
  </c:spPr>
  <c:txPr>
    <a:bodyPr/>
    <a:lstStyle/>
    <a:p>
      <a:pPr>
        <a:defRPr sz="900">
          <a:latin typeface="Calibri" panose="020F0502020204030204" pitchFamily="34" charset="0"/>
          <a:cs typeface="Calibri" panose="020F0502020204030204" pitchFamily="34" charset="0"/>
        </a:defRPr>
      </a:pPr>
      <a:endParaRPr lang="pl-PL"/>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4"/>
          <c:order val="4"/>
          <c:tx>
            <c:strRef>
              <c:f>transport!$B$9</c:f>
              <c:strCache>
                <c:ptCount val="1"/>
                <c:pt idx="0">
                  <c:v>Energia elektryczna</c:v>
                </c:pt>
              </c:strCache>
            </c:strRef>
          </c:tx>
          <c:spPr>
            <a:solidFill>
              <a:schemeClr val="accent5"/>
            </a:solidFill>
            <a:ln>
              <a:noFill/>
            </a:ln>
            <a:effectLst/>
          </c:spPr>
          <c:invertIfNegative val="0"/>
          <c:cat>
            <c:numRef>
              <c:f>transport!$C$4:$J$4</c:f>
              <c:numCache>
                <c:formatCode>0</c:formatCode>
                <c:ptCount val="8"/>
                <c:pt idx="0">
                  <c:v>2005</c:v>
                </c:pt>
                <c:pt idx="1">
                  <c:v>2010</c:v>
                </c:pt>
                <c:pt idx="2">
                  <c:v>2015</c:v>
                </c:pt>
                <c:pt idx="3">
                  <c:v>2020</c:v>
                </c:pt>
                <c:pt idx="4">
                  <c:v>2025</c:v>
                </c:pt>
                <c:pt idx="5">
                  <c:v>2030</c:v>
                </c:pt>
                <c:pt idx="6">
                  <c:v>2035</c:v>
                </c:pt>
                <c:pt idx="7">
                  <c:v>2040</c:v>
                </c:pt>
              </c:numCache>
            </c:numRef>
          </c:cat>
          <c:val>
            <c:numRef>
              <c:f>transport!$C$9:$J$9</c:f>
              <c:numCache>
                <c:formatCode>#,##0</c:formatCode>
                <c:ptCount val="8"/>
                <c:pt idx="0">
                  <c:v>342.99226139294927</c:v>
                </c:pt>
                <c:pt idx="1">
                  <c:v>287.01633705932932</c:v>
                </c:pt>
                <c:pt idx="2">
                  <c:v>267.15391229578682</c:v>
                </c:pt>
                <c:pt idx="3">
                  <c:v>272.90499999999997</c:v>
                </c:pt>
                <c:pt idx="4">
                  <c:v>373.37202295055602</c:v>
                </c:pt>
                <c:pt idx="5">
                  <c:v>624.95918856255503</c:v>
                </c:pt>
                <c:pt idx="6">
                  <c:v>1024.6971019064563</c:v>
                </c:pt>
                <c:pt idx="7">
                  <c:v>1592.2257729445837</c:v>
                </c:pt>
              </c:numCache>
            </c:numRef>
          </c:val>
          <c:extLst>
            <c:ext xmlns:c16="http://schemas.microsoft.com/office/drawing/2014/chart" uri="{C3380CC4-5D6E-409C-BE32-E72D297353CC}">
              <c16:uniqueId val="{00000000-6442-4620-85D5-75C3271DF85D}"/>
            </c:ext>
          </c:extLst>
        </c:ser>
        <c:ser>
          <c:idx val="7"/>
          <c:order val="7"/>
          <c:tx>
            <c:strRef>
              <c:f>transport!$B$12</c:f>
              <c:strCache>
                <c:ptCount val="1"/>
                <c:pt idx="0">
                  <c:v>Bioetanol</c:v>
                </c:pt>
              </c:strCache>
            </c:strRef>
          </c:tx>
          <c:spPr>
            <a:solidFill>
              <a:srgbClr val="93CDDD"/>
            </a:solidFill>
            <a:ln>
              <a:noFill/>
            </a:ln>
            <a:effectLst/>
          </c:spPr>
          <c:invertIfNegative val="0"/>
          <c:cat>
            <c:numRef>
              <c:f>transport!$C$4:$J$4</c:f>
              <c:numCache>
                <c:formatCode>0</c:formatCode>
                <c:ptCount val="8"/>
                <c:pt idx="0">
                  <c:v>2005</c:v>
                </c:pt>
                <c:pt idx="1">
                  <c:v>2010</c:v>
                </c:pt>
                <c:pt idx="2">
                  <c:v>2015</c:v>
                </c:pt>
                <c:pt idx="3">
                  <c:v>2020</c:v>
                </c:pt>
                <c:pt idx="4">
                  <c:v>2025</c:v>
                </c:pt>
                <c:pt idx="5">
                  <c:v>2030</c:v>
                </c:pt>
                <c:pt idx="6">
                  <c:v>2035</c:v>
                </c:pt>
                <c:pt idx="7">
                  <c:v>2040</c:v>
                </c:pt>
              </c:numCache>
            </c:numRef>
          </c:cat>
          <c:val>
            <c:numRef>
              <c:f>transport!$C$12:$J$12</c:f>
              <c:numCache>
                <c:formatCode>#,##0</c:formatCode>
                <c:ptCount val="8"/>
                <c:pt idx="0">
                  <c:v>34.178847807394668</c:v>
                </c:pt>
                <c:pt idx="1">
                  <c:v>169.63313270278016</c:v>
                </c:pt>
                <c:pt idx="2">
                  <c:v>153.48237317282889</c:v>
                </c:pt>
                <c:pt idx="3">
                  <c:v>183.01599999999999</c:v>
                </c:pt>
                <c:pt idx="4">
                  <c:v>416.1078</c:v>
                </c:pt>
                <c:pt idx="5">
                  <c:v>424.49680009003612</c:v>
                </c:pt>
                <c:pt idx="6">
                  <c:v>435.21587624118843</c:v>
                </c:pt>
                <c:pt idx="7">
                  <c:v>446.20562249753323</c:v>
                </c:pt>
              </c:numCache>
            </c:numRef>
          </c:val>
          <c:extLst>
            <c:ext xmlns:c16="http://schemas.microsoft.com/office/drawing/2014/chart" uri="{C3380CC4-5D6E-409C-BE32-E72D297353CC}">
              <c16:uniqueId val="{00000001-6442-4620-85D5-75C3271DF85D}"/>
            </c:ext>
          </c:extLst>
        </c:ser>
        <c:ser>
          <c:idx val="8"/>
          <c:order val="8"/>
          <c:tx>
            <c:strRef>
              <c:f>transport!$B$13</c:f>
              <c:strCache>
                <c:ptCount val="1"/>
                <c:pt idx="0">
                  <c:v>Biodiesel</c:v>
                </c:pt>
              </c:strCache>
            </c:strRef>
          </c:tx>
          <c:spPr>
            <a:solidFill>
              <a:srgbClr val="B3A2C7"/>
            </a:solidFill>
            <a:ln>
              <a:noFill/>
            </a:ln>
            <a:effectLst/>
          </c:spPr>
          <c:invertIfNegative val="0"/>
          <c:cat>
            <c:numRef>
              <c:f>transport!$C$4:$J$4</c:f>
              <c:numCache>
                <c:formatCode>0</c:formatCode>
                <c:ptCount val="8"/>
                <c:pt idx="0">
                  <c:v>2005</c:v>
                </c:pt>
                <c:pt idx="1">
                  <c:v>2010</c:v>
                </c:pt>
                <c:pt idx="2">
                  <c:v>2015</c:v>
                </c:pt>
                <c:pt idx="3">
                  <c:v>2020</c:v>
                </c:pt>
                <c:pt idx="4">
                  <c:v>2025</c:v>
                </c:pt>
                <c:pt idx="5">
                  <c:v>2030</c:v>
                </c:pt>
                <c:pt idx="6">
                  <c:v>2035</c:v>
                </c:pt>
                <c:pt idx="7">
                  <c:v>2040</c:v>
                </c:pt>
              </c:numCache>
            </c:numRef>
          </c:cat>
          <c:val>
            <c:numRef>
              <c:f>transport!$C$13:$J$13</c:f>
              <c:numCache>
                <c:formatCode>#,##0</c:formatCode>
                <c:ptCount val="8"/>
                <c:pt idx="0">
                  <c:v>13.256</c:v>
                </c:pt>
                <c:pt idx="1">
                  <c:v>697.7916881627973</c:v>
                </c:pt>
                <c:pt idx="2">
                  <c:v>499.94539982803093</c:v>
                </c:pt>
                <c:pt idx="3">
                  <c:v>856.51535779115295</c:v>
                </c:pt>
                <c:pt idx="4">
                  <c:v>1346.9664000000002</c:v>
                </c:pt>
                <c:pt idx="5">
                  <c:v>1374.1221064079923</c:v>
                </c:pt>
                <c:pt idx="6">
                  <c:v>1306.7764505416299</c:v>
                </c:pt>
                <c:pt idx="7">
                  <c:v>1242.7314019087294</c:v>
                </c:pt>
              </c:numCache>
            </c:numRef>
          </c:val>
          <c:extLst>
            <c:ext xmlns:c16="http://schemas.microsoft.com/office/drawing/2014/chart" uri="{C3380CC4-5D6E-409C-BE32-E72D297353CC}">
              <c16:uniqueId val="{00000002-6442-4620-85D5-75C3271DF85D}"/>
            </c:ext>
          </c:extLst>
        </c:ser>
        <c:ser>
          <c:idx val="9"/>
          <c:order val="9"/>
          <c:tx>
            <c:strRef>
              <c:f>transport!$B$14</c:f>
              <c:strCache>
                <c:ptCount val="1"/>
                <c:pt idx="0">
                  <c:v>Wodór</c:v>
                </c:pt>
              </c:strCache>
            </c:strRef>
          </c:tx>
          <c:spPr>
            <a:solidFill>
              <a:schemeClr val="accent2">
                <a:lumMod val="20000"/>
                <a:lumOff val="80000"/>
              </a:schemeClr>
            </a:solidFill>
            <a:ln>
              <a:noFill/>
            </a:ln>
            <a:effectLst/>
          </c:spPr>
          <c:invertIfNegative val="0"/>
          <c:cat>
            <c:numRef>
              <c:f>transport!$C$4:$J$4</c:f>
              <c:numCache>
                <c:formatCode>0</c:formatCode>
                <c:ptCount val="8"/>
                <c:pt idx="0">
                  <c:v>2005</c:v>
                </c:pt>
                <c:pt idx="1">
                  <c:v>2010</c:v>
                </c:pt>
                <c:pt idx="2">
                  <c:v>2015</c:v>
                </c:pt>
                <c:pt idx="3">
                  <c:v>2020</c:v>
                </c:pt>
                <c:pt idx="4">
                  <c:v>2025</c:v>
                </c:pt>
                <c:pt idx="5">
                  <c:v>2030</c:v>
                </c:pt>
                <c:pt idx="6">
                  <c:v>2035</c:v>
                </c:pt>
                <c:pt idx="7">
                  <c:v>2040</c:v>
                </c:pt>
              </c:numCache>
            </c:numRef>
          </c:cat>
          <c:val>
            <c:numRef>
              <c:f>transport!$C$14:$J$14</c:f>
              <c:numCache>
                <c:formatCode>#,##0</c:formatCode>
                <c:ptCount val="8"/>
                <c:pt idx="0">
                  <c:v>0</c:v>
                </c:pt>
                <c:pt idx="1">
                  <c:v>0</c:v>
                </c:pt>
                <c:pt idx="2">
                  <c:v>0</c:v>
                </c:pt>
                <c:pt idx="3">
                  <c:v>0</c:v>
                </c:pt>
                <c:pt idx="4">
                  <c:v>4.6507191609109793</c:v>
                </c:pt>
                <c:pt idx="5">
                  <c:v>26.688521317424023</c:v>
                </c:pt>
                <c:pt idx="6">
                  <c:v>128.28914107769441</c:v>
                </c:pt>
                <c:pt idx="7">
                  <c:v>402.60248887699697</c:v>
                </c:pt>
              </c:numCache>
            </c:numRef>
          </c:val>
          <c:extLst>
            <c:ext xmlns:c16="http://schemas.microsoft.com/office/drawing/2014/chart" uri="{C3380CC4-5D6E-409C-BE32-E72D297353CC}">
              <c16:uniqueId val="{00000003-6442-4620-85D5-75C3271DF85D}"/>
            </c:ext>
          </c:extLst>
        </c:ser>
        <c:ser>
          <c:idx val="10"/>
          <c:order val="10"/>
          <c:tx>
            <c:strRef>
              <c:f>transport!$B$15</c:f>
              <c:strCache>
                <c:ptCount val="1"/>
                <c:pt idx="0">
                  <c:v>Biometan</c:v>
                </c:pt>
              </c:strCache>
            </c:strRef>
          </c:tx>
          <c:spPr>
            <a:solidFill>
              <a:schemeClr val="accent2">
                <a:lumMod val="40000"/>
                <a:lumOff val="60000"/>
              </a:schemeClr>
            </a:solidFill>
            <a:ln>
              <a:noFill/>
            </a:ln>
            <a:effectLst/>
          </c:spPr>
          <c:invertIfNegative val="0"/>
          <c:cat>
            <c:numRef>
              <c:f>transport!$C$4:$J$4</c:f>
              <c:numCache>
                <c:formatCode>0</c:formatCode>
                <c:ptCount val="8"/>
                <c:pt idx="0">
                  <c:v>2005</c:v>
                </c:pt>
                <c:pt idx="1">
                  <c:v>2010</c:v>
                </c:pt>
                <c:pt idx="2">
                  <c:v>2015</c:v>
                </c:pt>
                <c:pt idx="3">
                  <c:v>2020</c:v>
                </c:pt>
                <c:pt idx="4">
                  <c:v>2025</c:v>
                </c:pt>
                <c:pt idx="5">
                  <c:v>2030</c:v>
                </c:pt>
                <c:pt idx="6">
                  <c:v>2035</c:v>
                </c:pt>
                <c:pt idx="7">
                  <c:v>2040</c:v>
                </c:pt>
              </c:numCache>
            </c:numRef>
          </c:cat>
          <c:val>
            <c:numRef>
              <c:f>transport!$C$15:$J$15</c:f>
              <c:numCache>
                <c:formatCode>#,##0</c:formatCode>
                <c:ptCount val="8"/>
                <c:pt idx="0">
                  <c:v>0</c:v>
                </c:pt>
                <c:pt idx="1">
                  <c:v>0</c:v>
                </c:pt>
                <c:pt idx="2">
                  <c:v>0</c:v>
                </c:pt>
                <c:pt idx="3">
                  <c:v>0</c:v>
                </c:pt>
                <c:pt idx="4">
                  <c:v>34.806311661686721</c:v>
                </c:pt>
                <c:pt idx="5">
                  <c:v>185.03167793082528</c:v>
                </c:pt>
                <c:pt idx="6">
                  <c:v>188.76080927089322</c:v>
                </c:pt>
                <c:pt idx="7">
                  <c:v>213.55823391687164</c:v>
                </c:pt>
              </c:numCache>
            </c:numRef>
          </c:val>
          <c:extLst>
            <c:ext xmlns:c16="http://schemas.microsoft.com/office/drawing/2014/chart" uri="{C3380CC4-5D6E-409C-BE32-E72D297353CC}">
              <c16:uniqueId val="{00000004-6442-4620-85D5-75C3271DF85D}"/>
            </c:ext>
          </c:extLst>
        </c:ser>
        <c:dLbls>
          <c:showLegendKey val="0"/>
          <c:showVal val="0"/>
          <c:showCatName val="0"/>
          <c:showSerName val="0"/>
          <c:showPercent val="0"/>
          <c:showBubbleSize val="0"/>
        </c:dLbls>
        <c:gapWidth val="150"/>
        <c:overlap val="100"/>
        <c:axId val="744092336"/>
        <c:axId val="744087240"/>
        <c:extLst>
          <c:ext xmlns:c15="http://schemas.microsoft.com/office/drawing/2012/chart" uri="{02D57815-91ED-43cb-92C2-25804820EDAC}">
            <c15:filteredBarSeries>
              <c15:ser>
                <c:idx val="0"/>
                <c:order val="0"/>
                <c:tx>
                  <c:strRef>
                    <c:extLst>
                      <c:ext uri="{02D57815-91ED-43cb-92C2-25804820EDAC}">
                        <c15:formulaRef>
                          <c15:sqref>transport!$B$5</c15:sqref>
                        </c15:formulaRef>
                      </c:ext>
                    </c:extLst>
                    <c:strCache>
                      <c:ptCount val="1"/>
                      <c:pt idx="0">
                        <c:v>Benzyna</c:v>
                      </c:pt>
                    </c:strCache>
                  </c:strRef>
                </c:tx>
                <c:spPr>
                  <a:solidFill>
                    <a:srgbClr val="FF9900"/>
                  </a:solidFill>
                  <a:ln>
                    <a:noFill/>
                  </a:ln>
                  <a:effectLst/>
                </c:spPr>
                <c:invertIfNegative val="0"/>
                <c:cat>
                  <c:numRef>
                    <c:extLst>
                      <c:ext uri="{02D57815-91ED-43cb-92C2-25804820EDAC}">
                        <c15:formulaRef>
                          <c15:sqref>transport!$C$4:$J$4</c15:sqref>
                        </c15:formulaRef>
                      </c:ext>
                    </c:extLst>
                    <c:numCache>
                      <c:formatCode>0</c:formatCode>
                      <c:ptCount val="8"/>
                      <c:pt idx="0">
                        <c:v>2005</c:v>
                      </c:pt>
                      <c:pt idx="1">
                        <c:v>2010</c:v>
                      </c:pt>
                      <c:pt idx="2">
                        <c:v>2015</c:v>
                      </c:pt>
                      <c:pt idx="3">
                        <c:v>2020</c:v>
                      </c:pt>
                      <c:pt idx="4">
                        <c:v>2025</c:v>
                      </c:pt>
                      <c:pt idx="5">
                        <c:v>2030</c:v>
                      </c:pt>
                      <c:pt idx="6">
                        <c:v>2035</c:v>
                      </c:pt>
                      <c:pt idx="7">
                        <c:v>2040</c:v>
                      </c:pt>
                    </c:numCache>
                  </c:numRef>
                </c:cat>
                <c:val>
                  <c:numRef>
                    <c:extLst>
                      <c:ext uri="{02D57815-91ED-43cb-92C2-25804820EDAC}">
                        <c15:formulaRef>
                          <c15:sqref>transport!$C$5:$J$5</c15:sqref>
                        </c15:formulaRef>
                      </c:ext>
                    </c:extLst>
                    <c:numCache>
                      <c:formatCode>#,##0</c:formatCode>
                      <c:ptCount val="8"/>
                      <c:pt idx="0">
                        <c:v>4173.0963982038784</c:v>
                      </c:pt>
                      <c:pt idx="1">
                        <c:v>4243.3361994840925</c:v>
                      </c:pt>
                      <c:pt idx="2">
                        <c:v>3654.1989108627113</c:v>
                      </c:pt>
                      <c:pt idx="3">
                        <c:v>4226.9260000000004</c:v>
                      </c:pt>
                      <c:pt idx="4">
                        <c:v>4514.2303929335367</c:v>
                      </c:pt>
                      <c:pt idx="5">
                        <c:v>4316.0447520746211</c:v>
                      </c:pt>
                      <c:pt idx="6">
                        <c:v>4316.8293651340373</c:v>
                      </c:pt>
                      <c:pt idx="7">
                        <c:v>3904.6172513453289</c:v>
                      </c:pt>
                    </c:numCache>
                  </c:numRef>
                </c:val>
                <c:extLst>
                  <c:ext xmlns:c16="http://schemas.microsoft.com/office/drawing/2014/chart" uri="{C3380CC4-5D6E-409C-BE32-E72D297353CC}">
                    <c16:uniqueId val="{00000005-6442-4620-85D5-75C3271DF85D}"/>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transport!$B$6</c15:sqref>
                        </c15:formulaRef>
                      </c:ext>
                    </c:extLst>
                    <c:strCache>
                      <c:ptCount val="1"/>
                      <c:pt idx="0">
                        <c:v>Olej napędowy</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transport!$C$4:$J$4</c15:sqref>
                        </c15:formulaRef>
                      </c:ext>
                    </c:extLst>
                    <c:numCache>
                      <c:formatCode>0</c:formatCode>
                      <c:ptCount val="8"/>
                      <c:pt idx="0">
                        <c:v>2005</c:v>
                      </c:pt>
                      <c:pt idx="1">
                        <c:v>2010</c:v>
                      </c:pt>
                      <c:pt idx="2">
                        <c:v>2015</c:v>
                      </c:pt>
                      <c:pt idx="3">
                        <c:v>2020</c:v>
                      </c:pt>
                      <c:pt idx="4">
                        <c:v>2025</c:v>
                      </c:pt>
                      <c:pt idx="5">
                        <c:v>2030</c:v>
                      </c:pt>
                      <c:pt idx="6">
                        <c:v>2035</c:v>
                      </c:pt>
                      <c:pt idx="7">
                        <c:v>2040</c:v>
                      </c:pt>
                    </c:numCache>
                  </c:numRef>
                </c:cat>
                <c:val>
                  <c:numRef>
                    <c:extLst xmlns:c15="http://schemas.microsoft.com/office/drawing/2012/chart">
                      <c:ext xmlns:c15="http://schemas.microsoft.com/office/drawing/2012/chart" uri="{02D57815-91ED-43cb-92C2-25804820EDAC}">
                        <c15:formulaRef>
                          <c15:sqref>transport!$C$6:$J$6</c15:sqref>
                        </c15:formulaRef>
                      </c:ext>
                    </c:extLst>
                    <c:numCache>
                      <c:formatCode>#,##0</c:formatCode>
                      <c:ptCount val="8"/>
                      <c:pt idx="0">
                        <c:v>5670.2732397057416</c:v>
                      </c:pt>
                      <c:pt idx="1">
                        <c:v>9740.1213337154841</c:v>
                      </c:pt>
                      <c:pt idx="2">
                        <c:v>9817.4500812076039</c:v>
                      </c:pt>
                      <c:pt idx="3">
                        <c:v>13965</c:v>
                      </c:pt>
                      <c:pt idx="4">
                        <c:v>14479.279491525482</c:v>
                      </c:pt>
                      <c:pt idx="5">
                        <c:v>12819.583828259798</c:v>
                      </c:pt>
                      <c:pt idx="6">
                        <c:v>11041.26500759151</c:v>
                      </c:pt>
                      <c:pt idx="7">
                        <c:v>9301.0281033628562</c:v>
                      </c:pt>
                    </c:numCache>
                  </c:numRef>
                </c:val>
                <c:extLst xmlns:c15="http://schemas.microsoft.com/office/drawing/2012/chart">
                  <c:ext xmlns:c16="http://schemas.microsoft.com/office/drawing/2014/chart" uri="{C3380CC4-5D6E-409C-BE32-E72D297353CC}">
                    <c16:uniqueId val="{00000006-6442-4620-85D5-75C3271DF85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transport!$B$7</c15:sqref>
                        </c15:formulaRef>
                      </c:ext>
                    </c:extLst>
                    <c:strCache>
                      <c:ptCount val="1"/>
                      <c:pt idx="0">
                        <c:v>LPG</c:v>
                      </c:pt>
                    </c:strCache>
                  </c:strRef>
                </c:tx>
                <c:spPr>
                  <a:solidFill>
                    <a:schemeClr val="accent4">
                      <a:lumMod val="40000"/>
                      <a:lumOff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transport!$C$4:$J$4</c15:sqref>
                        </c15:formulaRef>
                      </c:ext>
                    </c:extLst>
                    <c:numCache>
                      <c:formatCode>0</c:formatCode>
                      <c:ptCount val="8"/>
                      <c:pt idx="0">
                        <c:v>2005</c:v>
                      </c:pt>
                      <c:pt idx="1">
                        <c:v>2010</c:v>
                      </c:pt>
                      <c:pt idx="2">
                        <c:v>2015</c:v>
                      </c:pt>
                      <c:pt idx="3">
                        <c:v>2020</c:v>
                      </c:pt>
                      <c:pt idx="4">
                        <c:v>2025</c:v>
                      </c:pt>
                      <c:pt idx="5">
                        <c:v>2030</c:v>
                      </c:pt>
                      <c:pt idx="6">
                        <c:v>2035</c:v>
                      </c:pt>
                      <c:pt idx="7">
                        <c:v>2040</c:v>
                      </c:pt>
                    </c:numCache>
                  </c:numRef>
                </c:cat>
                <c:val>
                  <c:numRef>
                    <c:extLst xmlns:c15="http://schemas.microsoft.com/office/drawing/2012/chart">
                      <c:ext xmlns:c15="http://schemas.microsoft.com/office/drawing/2012/chart" uri="{02D57815-91ED-43cb-92C2-25804820EDAC}">
                        <c15:formulaRef>
                          <c15:sqref>transport!$C$7:$J$7</c15:sqref>
                        </c15:formulaRef>
                      </c:ext>
                    </c:extLst>
                    <c:numCache>
                      <c:formatCode>#,##0</c:formatCode>
                      <c:ptCount val="8"/>
                      <c:pt idx="0">
                        <c:v>1749.9689500334382</c:v>
                      </c:pt>
                      <c:pt idx="1">
                        <c:v>1823.8272666475589</c:v>
                      </c:pt>
                      <c:pt idx="2">
                        <c:v>1790.8665329129644</c:v>
                      </c:pt>
                      <c:pt idx="3">
                        <c:v>1906.2239999999999</c:v>
                      </c:pt>
                      <c:pt idx="4">
                        <c:v>1841.824509410782</c:v>
                      </c:pt>
                      <c:pt idx="5">
                        <c:v>1451.2201357491901</c:v>
                      </c:pt>
                      <c:pt idx="6">
                        <c:v>1196.7470957540511</c:v>
                      </c:pt>
                      <c:pt idx="7">
                        <c:v>1006.583415033016</c:v>
                      </c:pt>
                    </c:numCache>
                  </c:numRef>
                </c:val>
                <c:extLst xmlns:c15="http://schemas.microsoft.com/office/drawing/2012/chart">
                  <c:ext xmlns:c16="http://schemas.microsoft.com/office/drawing/2014/chart" uri="{C3380CC4-5D6E-409C-BE32-E72D297353CC}">
                    <c16:uniqueId val="{00000007-6442-4620-85D5-75C3271DF85D}"/>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transport!$B$8</c15:sqref>
                        </c15:formulaRef>
                      </c:ext>
                    </c:extLst>
                    <c:strCache>
                      <c:ptCount val="1"/>
                      <c:pt idx="0">
                        <c:v>CNG</c:v>
                      </c:pt>
                    </c:strCache>
                  </c:strRef>
                </c:tx>
                <c:spPr>
                  <a:solidFill>
                    <a:schemeClr val="accent4"/>
                  </a:solidFill>
                  <a:ln>
                    <a:noFill/>
                  </a:ln>
                  <a:effectLst/>
                </c:spPr>
                <c:invertIfNegative val="0"/>
                <c:cat>
                  <c:numRef>
                    <c:extLst xmlns:c15="http://schemas.microsoft.com/office/drawing/2012/chart">
                      <c:ext xmlns:c15="http://schemas.microsoft.com/office/drawing/2012/chart" uri="{02D57815-91ED-43cb-92C2-25804820EDAC}">
                        <c15:formulaRef>
                          <c15:sqref>transport!$C$4:$J$4</c15:sqref>
                        </c15:formulaRef>
                      </c:ext>
                    </c:extLst>
                    <c:numCache>
                      <c:formatCode>0</c:formatCode>
                      <c:ptCount val="8"/>
                      <c:pt idx="0">
                        <c:v>2005</c:v>
                      </c:pt>
                      <c:pt idx="1">
                        <c:v>2010</c:v>
                      </c:pt>
                      <c:pt idx="2">
                        <c:v>2015</c:v>
                      </c:pt>
                      <c:pt idx="3">
                        <c:v>2020</c:v>
                      </c:pt>
                      <c:pt idx="4">
                        <c:v>2025</c:v>
                      </c:pt>
                      <c:pt idx="5">
                        <c:v>2030</c:v>
                      </c:pt>
                      <c:pt idx="6">
                        <c:v>2035</c:v>
                      </c:pt>
                      <c:pt idx="7">
                        <c:v>2040</c:v>
                      </c:pt>
                    </c:numCache>
                  </c:numRef>
                </c:cat>
                <c:val>
                  <c:numRef>
                    <c:extLst xmlns:c15="http://schemas.microsoft.com/office/drawing/2012/chart">
                      <c:ext xmlns:c15="http://schemas.microsoft.com/office/drawing/2012/chart" uri="{02D57815-91ED-43cb-92C2-25804820EDAC}">
                        <c15:formulaRef>
                          <c15:sqref>transport!$C$8:$J$8</c15:sqref>
                        </c15:formulaRef>
                      </c:ext>
                    </c:extLst>
                    <c:numCache>
                      <c:formatCode>#,##0</c:formatCode>
                      <c:ptCount val="8"/>
                      <c:pt idx="0">
                        <c:v>2</c:v>
                      </c:pt>
                      <c:pt idx="1">
                        <c:v>10</c:v>
                      </c:pt>
                      <c:pt idx="2">
                        <c:v>16</c:v>
                      </c:pt>
                      <c:pt idx="3">
                        <c:v>21.6759241695</c:v>
                      </c:pt>
                      <c:pt idx="4">
                        <c:v>59.044252560421384</c:v>
                      </c:pt>
                      <c:pt idx="5">
                        <c:v>77.072240123503647</c:v>
                      </c:pt>
                      <c:pt idx="6">
                        <c:v>75.614268375554175</c:v>
                      </c:pt>
                      <c:pt idx="7">
                        <c:v>61.187179370026342</c:v>
                      </c:pt>
                    </c:numCache>
                  </c:numRef>
                </c:val>
                <c:extLst xmlns:c15="http://schemas.microsoft.com/office/drawing/2012/chart">
                  <c:ext xmlns:c16="http://schemas.microsoft.com/office/drawing/2014/chart" uri="{C3380CC4-5D6E-409C-BE32-E72D297353CC}">
                    <c16:uniqueId val="{00000008-6442-4620-85D5-75C3271DF85D}"/>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transport!$B$10</c15:sqref>
                        </c15:formulaRef>
                      </c:ext>
                    </c:extLst>
                    <c:strCache>
                      <c:ptCount val="1"/>
                      <c:pt idx="0">
                        <c:v>Paliwa lotnicze</c:v>
                      </c:pt>
                    </c:strCache>
                  </c:strRef>
                </c:tx>
                <c:spPr>
                  <a:solidFill>
                    <a:schemeClr val="accent4">
                      <a:lumMod val="50000"/>
                    </a:schemeClr>
                  </a:solidFill>
                  <a:ln>
                    <a:noFill/>
                  </a:ln>
                  <a:effectLst/>
                </c:spPr>
                <c:invertIfNegative val="0"/>
                <c:cat>
                  <c:numRef>
                    <c:extLst xmlns:c15="http://schemas.microsoft.com/office/drawing/2012/chart">
                      <c:ext xmlns:c15="http://schemas.microsoft.com/office/drawing/2012/chart" uri="{02D57815-91ED-43cb-92C2-25804820EDAC}">
                        <c15:formulaRef>
                          <c15:sqref>transport!$C$4:$J$4</c15:sqref>
                        </c15:formulaRef>
                      </c:ext>
                    </c:extLst>
                    <c:numCache>
                      <c:formatCode>0</c:formatCode>
                      <c:ptCount val="8"/>
                      <c:pt idx="0">
                        <c:v>2005</c:v>
                      </c:pt>
                      <c:pt idx="1">
                        <c:v>2010</c:v>
                      </c:pt>
                      <c:pt idx="2">
                        <c:v>2015</c:v>
                      </c:pt>
                      <c:pt idx="3">
                        <c:v>2020</c:v>
                      </c:pt>
                      <c:pt idx="4">
                        <c:v>2025</c:v>
                      </c:pt>
                      <c:pt idx="5">
                        <c:v>2030</c:v>
                      </c:pt>
                      <c:pt idx="6">
                        <c:v>2035</c:v>
                      </c:pt>
                      <c:pt idx="7">
                        <c:v>2040</c:v>
                      </c:pt>
                    </c:numCache>
                  </c:numRef>
                </c:cat>
                <c:val>
                  <c:numRef>
                    <c:extLst xmlns:c15="http://schemas.microsoft.com/office/drawing/2012/chart">
                      <c:ext xmlns:c15="http://schemas.microsoft.com/office/drawing/2012/chart" uri="{02D57815-91ED-43cb-92C2-25804820EDAC}">
                        <c15:formulaRef>
                          <c15:sqref>transport!$C$10:$J$10</c15:sqref>
                        </c15:formulaRef>
                      </c:ext>
                    </c:extLst>
                    <c:numCache>
                      <c:formatCode>#,##0</c:formatCode>
                      <c:ptCount val="8"/>
                      <c:pt idx="0">
                        <c:v>3.1742619661794205</c:v>
                      </c:pt>
                      <c:pt idx="1">
                        <c:v>4.2036877806439286</c:v>
                      </c:pt>
                      <c:pt idx="2">
                        <c:v>18.582210757619183</c:v>
                      </c:pt>
                      <c:pt idx="3">
                        <c:v>18.234999999999999</c:v>
                      </c:pt>
                      <c:pt idx="4">
                        <c:v>87.255677034100813</c:v>
                      </c:pt>
                      <c:pt idx="5">
                        <c:v>107.03824951716561</c:v>
                      </c:pt>
                      <c:pt idx="6">
                        <c:v>124.69959671223567</c:v>
                      </c:pt>
                      <c:pt idx="7">
                        <c:v>129.791697953772</c:v>
                      </c:pt>
                    </c:numCache>
                  </c:numRef>
                </c:val>
                <c:extLst xmlns:c15="http://schemas.microsoft.com/office/drawing/2012/chart">
                  <c:ext xmlns:c16="http://schemas.microsoft.com/office/drawing/2014/chart" uri="{C3380CC4-5D6E-409C-BE32-E72D297353CC}">
                    <c16:uniqueId val="{00000009-6442-4620-85D5-75C3271DF85D}"/>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transport!$B$11</c15:sqref>
                        </c15:formulaRef>
                      </c:ext>
                    </c:extLst>
                    <c:strCache>
                      <c:ptCount val="1"/>
                      <c:pt idx="0">
                        <c:v>Gaz ziemny (transport rur.)</c:v>
                      </c:pt>
                    </c:strCache>
                  </c:strRef>
                </c:tx>
                <c:spPr>
                  <a:solidFill>
                    <a:schemeClr val="accent1">
                      <a:lumMod val="75000"/>
                    </a:schemeClr>
                  </a:solidFill>
                  <a:ln>
                    <a:noFill/>
                  </a:ln>
                  <a:effectLst/>
                </c:spPr>
                <c:invertIfNegative val="0"/>
                <c:cat>
                  <c:numRef>
                    <c:extLst xmlns:c15="http://schemas.microsoft.com/office/drawing/2012/chart">
                      <c:ext xmlns:c15="http://schemas.microsoft.com/office/drawing/2012/chart" uri="{02D57815-91ED-43cb-92C2-25804820EDAC}">
                        <c15:formulaRef>
                          <c15:sqref>transport!$C$4:$J$4</c15:sqref>
                        </c15:formulaRef>
                      </c:ext>
                    </c:extLst>
                    <c:numCache>
                      <c:formatCode>0</c:formatCode>
                      <c:ptCount val="8"/>
                      <c:pt idx="0">
                        <c:v>2005</c:v>
                      </c:pt>
                      <c:pt idx="1">
                        <c:v>2010</c:v>
                      </c:pt>
                      <c:pt idx="2">
                        <c:v>2015</c:v>
                      </c:pt>
                      <c:pt idx="3">
                        <c:v>2020</c:v>
                      </c:pt>
                      <c:pt idx="4">
                        <c:v>2025</c:v>
                      </c:pt>
                      <c:pt idx="5">
                        <c:v>2030</c:v>
                      </c:pt>
                      <c:pt idx="6">
                        <c:v>2035</c:v>
                      </c:pt>
                      <c:pt idx="7">
                        <c:v>2040</c:v>
                      </c:pt>
                    </c:numCache>
                  </c:numRef>
                </c:cat>
                <c:val>
                  <c:numRef>
                    <c:extLst xmlns:c15="http://schemas.microsoft.com/office/drawing/2012/chart">
                      <c:ext xmlns:c15="http://schemas.microsoft.com/office/drawing/2012/chart" uri="{02D57815-91ED-43cb-92C2-25804820EDAC}">
                        <c15:formulaRef>
                          <c15:sqref>transport!$C$11:$J$11</c15:sqref>
                        </c15:formulaRef>
                      </c:ext>
                    </c:extLst>
                    <c:numCache>
                      <c:formatCode>#,##0</c:formatCode>
                      <c:ptCount val="8"/>
                      <c:pt idx="0">
                        <c:v>233.64058469475501</c:v>
                      </c:pt>
                      <c:pt idx="1">
                        <c:v>211.388650042992</c:v>
                      </c:pt>
                      <c:pt idx="2">
                        <c:v>343.39380911435899</c:v>
                      </c:pt>
                      <c:pt idx="3">
                        <c:v>328.10107583050001</c:v>
                      </c:pt>
                      <c:pt idx="4">
                        <c:v>70.35608035175062</c:v>
                      </c:pt>
                      <c:pt idx="5">
                        <c:v>67.122853959773991</c:v>
                      </c:pt>
                      <c:pt idx="6">
                        <c:v>64.037554535269351</c:v>
                      </c:pt>
                      <c:pt idx="7">
                        <c:v>61.093448421286197</c:v>
                      </c:pt>
                    </c:numCache>
                  </c:numRef>
                </c:val>
                <c:extLst xmlns:c15="http://schemas.microsoft.com/office/drawing/2012/chart">
                  <c:ext xmlns:c16="http://schemas.microsoft.com/office/drawing/2014/chart" uri="{C3380CC4-5D6E-409C-BE32-E72D297353CC}">
                    <c16:uniqueId val="{0000000A-6442-4620-85D5-75C3271DF85D}"/>
                  </c:ext>
                </c:extLst>
              </c15:ser>
            </c15:filteredBarSeries>
          </c:ext>
        </c:extLst>
      </c:barChart>
      <c:catAx>
        <c:axId val="744092336"/>
        <c:scaling>
          <c:orientation val="minMax"/>
        </c:scaling>
        <c:delete val="0"/>
        <c:axPos val="b"/>
        <c:numFmt formatCode="0"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44087240"/>
        <c:crosses val="autoZero"/>
        <c:auto val="1"/>
        <c:lblAlgn val="ctr"/>
        <c:lblOffset val="100"/>
        <c:noMultiLvlLbl val="0"/>
      </c:catAx>
      <c:valAx>
        <c:axId val="744087240"/>
        <c:scaling>
          <c:orientation val="minMax"/>
          <c:max val="4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[ktoe]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44092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mn-lt"/>
        </a:defRPr>
      </a:pPr>
      <a:endParaRPr lang="pl-PL"/>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a_OZE1!$A$70</c:f>
              <c:strCache>
                <c:ptCount val="1"/>
                <c:pt idx="0">
                  <c:v>Energia elektryczna </c:v>
                </c:pt>
              </c:strCache>
            </c:strRef>
          </c:tx>
          <c:spPr>
            <a:solidFill>
              <a:srgbClr val="C0504D">
                <a:lumMod val="60000"/>
                <a:lumOff val="40000"/>
              </a:srgbClr>
            </a:solidFill>
            <a:ln>
              <a:noFill/>
            </a:ln>
            <a:effectLst/>
          </c:spPr>
          <c:invertIfNegative val="0"/>
          <c:cat>
            <c:numRef>
              <c:f>(a_OZE1!$B$24:$E$24,a_OZE1!$J$24,a_OZE1!$O$24:$Q$24)</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(a_OZE1!$B$70:$E$70,a_OZE1!$J$70,a_OZE1!$O$70:$Q$70)</c:f>
              <c:numCache>
                <c:formatCode>General</c:formatCode>
                <c:ptCount val="8"/>
                <c:pt idx="0">
                  <c:v>54</c:v>
                </c:pt>
                <c:pt idx="1">
                  <c:v>53.3</c:v>
                </c:pt>
                <c:pt idx="2">
                  <c:v>72</c:v>
                </c:pt>
                <c:pt idx="3">
                  <c:v>88</c:v>
                </c:pt>
                <c:pt idx="4">
                  <c:v>95</c:v>
                </c:pt>
                <c:pt idx="5">
                  <c:v>273</c:v>
                </c:pt>
                <c:pt idx="6">
                  <c:v>673</c:v>
                </c:pt>
                <c:pt idx="7">
                  <c:v>1240</c:v>
                </c:pt>
              </c:numCache>
              <c:extLst/>
            </c:numRef>
          </c:val>
          <c:extLst>
            <c:ext xmlns:c16="http://schemas.microsoft.com/office/drawing/2014/chart" uri="{C3380CC4-5D6E-409C-BE32-E72D297353CC}">
              <c16:uniqueId val="{00000000-AEAC-4113-9EE8-945637355A3C}"/>
            </c:ext>
          </c:extLst>
        </c:ser>
        <c:ser>
          <c:idx val="1"/>
          <c:order val="1"/>
          <c:tx>
            <c:strRef>
              <c:f>a_OZE1!$A$71</c:f>
              <c:strCache>
                <c:ptCount val="1"/>
                <c:pt idx="0">
                  <c:v>Biopaliwa I generacji</c:v>
                </c:pt>
              </c:strCache>
            </c:strRef>
          </c:tx>
          <c:spPr>
            <a:solidFill>
              <a:srgbClr val="4BACC6">
                <a:lumMod val="60000"/>
                <a:lumOff val="40000"/>
              </a:srgbClr>
            </a:solidFill>
            <a:ln>
              <a:noFill/>
            </a:ln>
            <a:effectLst/>
          </c:spPr>
          <c:invertIfNegative val="0"/>
          <c:cat>
            <c:numRef>
              <c:f>(a_OZE1!$B$24:$E$24,a_OZE1!$J$24,a_OZE1!$O$24:$Q$24)</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(a_OZE1!$B$71:$E$71,a_OZE1!$J$71,a_OZE1!$O$71:$Q$71)</c:f>
              <c:numCache>
                <c:formatCode>General</c:formatCode>
                <c:ptCount val="8"/>
                <c:pt idx="0">
                  <c:v>50</c:v>
                </c:pt>
                <c:pt idx="1">
                  <c:v>867.4</c:v>
                </c:pt>
                <c:pt idx="2">
                  <c:v>653</c:v>
                </c:pt>
                <c:pt idx="3">
                  <c:v>1040</c:v>
                </c:pt>
                <c:pt idx="4">
                  <c:v>1653</c:v>
                </c:pt>
                <c:pt idx="5">
                  <c:v>1118</c:v>
                </c:pt>
                <c:pt idx="6">
                  <c:v>1002</c:v>
                </c:pt>
                <c:pt idx="7">
                  <c:v>868</c:v>
                </c:pt>
              </c:numCache>
              <c:extLst/>
            </c:numRef>
          </c:val>
          <c:extLst>
            <c:ext xmlns:c16="http://schemas.microsoft.com/office/drawing/2014/chart" uri="{C3380CC4-5D6E-409C-BE32-E72D297353CC}">
              <c16:uniqueId val="{00000001-AEAC-4113-9EE8-945637355A3C}"/>
            </c:ext>
          </c:extLst>
        </c:ser>
        <c:ser>
          <c:idx val="2"/>
          <c:order val="2"/>
          <c:tx>
            <c:strRef>
              <c:f>a_OZE1!$A$72</c:f>
              <c:strCache>
                <c:ptCount val="1"/>
                <c:pt idx="0">
                  <c:v>Biopaliwa II generacji </c:v>
                </c:pt>
              </c:strCache>
            </c:strRef>
          </c:tx>
          <c:spPr>
            <a:solidFill>
              <a:srgbClr val="8064A2">
                <a:lumMod val="60000"/>
                <a:lumOff val="40000"/>
              </a:srgbClr>
            </a:solidFill>
            <a:ln>
              <a:noFill/>
            </a:ln>
            <a:effectLst/>
          </c:spPr>
          <c:invertIfNegative val="0"/>
          <c:cat>
            <c:numRef>
              <c:f>(a_OZE1!$B$24:$E$24,a_OZE1!$J$24,a_OZE1!$O$24:$Q$24)</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(a_OZE1!$B$72:$E$72,a_OZE1!$J$72,a_OZE1!$O$72:$Q$72)</c:f>
              <c:numCache>
                <c:formatCode>General</c:formatCode>
                <c:ptCount val="8"/>
                <c:pt idx="0">
                  <c:v>0</c:v>
                </c:pt>
                <c:pt idx="1">
                  <c:v>0</c:v>
                </c:pt>
                <c:pt idx="2">
                  <c:v>0</c:v>
                </c:pt>
                <c:pt idx="3">
                  <c:v>0</c:v>
                </c:pt>
                <c:pt idx="4">
                  <c:v>100</c:v>
                </c:pt>
                <c:pt idx="5">
                  <c:v>670</c:v>
                </c:pt>
                <c:pt idx="6">
                  <c:v>730</c:v>
                </c:pt>
                <c:pt idx="7">
                  <c:v>810</c:v>
                </c:pt>
              </c:numCache>
              <c:extLst/>
            </c:numRef>
          </c:val>
          <c:extLst>
            <c:ext xmlns:c16="http://schemas.microsoft.com/office/drawing/2014/chart" uri="{C3380CC4-5D6E-409C-BE32-E72D297353CC}">
              <c16:uniqueId val="{00000002-AEAC-4113-9EE8-945637355A3C}"/>
            </c:ext>
          </c:extLst>
        </c:ser>
        <c:ser>
          <c:idx val="3"/>
          <c:order val="3"/>
          <c:tx>
            <c:strRef>
              <c:f>a_OZE1!$A$73</c:f>
              <c:strCache>
                <c:ptCount val="1"/>
                <c:pt idx="0">
                  <c:v>Biometan</c:v>
                </c:pt>
              </c:strCache>
            </c:strRef>
          </c:tx>
          <c:spPr>
            <a:solidFill>
              <a:schemeClr val="accent4"/>
            </a:solidFill>
            <a:ln>
              <a:noFill/>
            </a:ln>
            <a:effectLst/>
          </c:spPr>
          <c:invertIfNegative val="0"/>
          <c:cat>
            <c:numRef>
              <c:f>(a_OZE1!$B$24:$E$24,a_OZE1!$J$24,a_OZE1!$O$24:$Q$24)</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(a_OZE1!$B$73:$E$73,a_OZE1!$J$73,a_OZE1!$O$73:$Q$73)</c:f>
              <c:numCache>
                <c:formatCode>General</c:formatCode>
                <c:ptCount val="8"/>
                <c:pt idx="0">
                  <c:v>0</c:v>
                </c:pt>
                <c:pt idx="1">
                  <c:v>0</c:v>
                </c:pt>
                <c:pt idx="2">
                  <c:v>0</c:v>
                </c:pt>
                <c:pt idx="3">
                  <c:v>0</c:v>
                </c:pt>
                <c:pt idx="4">
                  <c:v>54</c:v>
                </c:pt>
                <c:pt idx="5">
                  <c:v>430</c:v>
                </c:pt>
                <c:pt idx="6">
                  <c:v>805</c:v>
                </c:pt>
                <c:pt idx="7">
                  <c:v>880</c:v>
                </c:pt>
              </c:numCache>
              <c:extLst/>
            </c:numRef>
          </c:val>
          <c:extLst>
            <c:ext xmlns:c16="http://schemas.microsoft.com/office/drawing/2014/chart" uri="{C3380CC4-5D6E-409C-BE32-E72D297353CC}">
              <c16:uniqueId val="{00000003-AEAC-4113-9EE8-945637355A3C}"/>
            </c:ext>
          </c:extLst>
        </c:ser>
        <c:ser>
          <c:idx val="4"/>
          <c:order val="4"/>
          <c:tx>
            <c:strRef>
              <c:f>a_OZE1!$A$74</c:f>
              <c:strCache>
                <c:ptCount val="1"/>
                <c:pt idx="0">
                  <c:v>Biowęglowodory</c:v>
                </c:pt>
              </c:strCache>
            </c:strRef>
          </c:tx>
          <c:spPr>
            <a:solidFill>
              <a:schemeClr val="accent5"/>
            </a:solidFill>
            <a:ln>
              <a:noFill/>
            </a:ln>
            <a:effectLst/>
          </c:spPr>
          <c:invertIfNegative val="0"/>
          <c:cat>
            <c:numRef>
              <c:f>(a_OZE1!$B$24:$E$24,a_OZE1!$J$24,a_OZE1!$O$24:$Q$24)</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(a_OZE1!$B$74:$E$74,a_OZE1!$J$74,a_OZE1!$O$74:$Q$74)</c:f>
              <c:numCache>
                <c:formatCode>General</c:formatCode>
                <c:ptCount val="8"/>
                <c:pt idx="0">
                  <c:v>0</c:v>
                </c:pt>
                <c:pt idx="1">
                  <c:v>0</c:v>
                </c:pt>
                <c:pt idx="2">
                  <c:v>0</c:v>
                </c:pt>
                <c:pt idx="3">
                  <c:v>0</c:v>
                </c:pt>
                <c:pt idx="4">
                  <c:v>10</c:v>
                </c:pt>
                <c:pt idx="5">
                  <c:v>10</c:v>
                </c:pt>
                <c:pt idx="6">
                  <c:v>10</c:v>
                </c:pt>
                <c:pt idx="7">
                  <c:v>11</c:v>
                </c:pt>
              </c:numCache>
              <c:extLst/>
            </c:numRef>
          </c:val>
          <c:extLst>
            <c:ext xmlns:c16="http://schemas.microsoft.com/office/drawing/2014/chart" uri="{C3380CC4-5D6E-409C-BE32-E72D297353CC}">
              <c16:uniqueId val="{00000004-AEAC-4113-9EE8-945637355A3C}"/>
            </c:ext>
          </c:extLst>
        </c:ser>
        <c:ser>
          <c:idx val="5"/>
          <c:order val="5"/>
          <c:tx>
            <c:strRef>
              <c:f>a_OZE1!$A$75</c:f>
              <c:strCache>
                <c:ptCount val="1"/>
                <c:pt idx="0">
                  <c:v>RNFBO</c:v>
                </c:pt>
              </c:strCache>
            </c:strRef>
          </c:tx>
          <c:spPr>
            <a:solidFill>
              <a:schemeClr val="accent6"/>
            </a:solidFill>
            <a:ln>
              <a:noFill/>
            </a:ln>
            <a:effectLst/>
          </c:spPr>
          <c:invertIfNegative val="0"/>
          <c:cat>
            <c:numRef>
              <c:f>(a_OZE1!$B$24:$E$24,a_OZE1!$J$24,a_OZE1!$O$24:$Q$24)</c:f>
              <c:numCache>
                <c:formatCode>General</c:formatCode>
                <c:ptCount val="8"/>
                <c:pt idx="0">
                  <c:v>2005</c:v>
                </c:pt>
                <c:pt idx="1">
                  <c:v>2010</c:v>
                </c:pt>
                <c:pt idx="2">
                  <c:v>2015</c:v>
                </c:pt>
                <c:pt idx="3">
                  <c:v>2020</c:v>
                </c:pt>
                <c:pt idx="4">
                  <c:v>2025</c:v>
                </c:pt>
                <c:pt idx="5">
                  <c:v>2030</c:v>
                </c:pt>
                <c:pt idx="6">
                  <c:v>2035</c:v>
                </c:pt>
                <c:pt idx="7">
                  <c:v>2040</c:v>
                </c:pt>
              </c:numCache>
              <c:extLst/>
            </c:numRef>
          </c:cat>
          <c:val>
            <c:numRef>
              <c:f>(a_OZE1!$B$75:$E$75,a_OZE1!$J$75,a_OZE1!$O$75:$Q$75)</c:f>
              <c:numCache>
                <c:formatCode>General</c:formatCode>
                <c:ptCount val="8"/>
                <c:pt idx="0">
                  <c:v>0</c:v>
                </c:pt>
                <c:pt idx="1">
                  <c:v>0</c:v>
                </c:pt>
                <c:pt idx="2">
                  <c:v>0</c:v>
                </c:pt>
                <c:pt idx="3">
                  <c:v>0</c:v>
                </c:pt>
                <c:pt idx="4">
                  <c:v>5</c:v>
                </c:pt>
                <c:pt idx="5">
                  <c:v>27</c:v>
                </c:pt>
                <c:pt idx="6">
                  <c:v>128</c:v>
                </c:pt>
                <c:pt idx="7">
                  <c:v>403</c:v>
                </c:pt>
              </c:numCache>
              <c:extLst/>
            </c:numRef>
          </c:val>
          <c:extLst>
            <c:ext xmlns:c16="http://schemas.microsoft.com/office/drawing/2014/chart" uri="{C3380CC4-5D6E-409C-BE32-E72D297353CC}">
              <c16:uniqueId val="{00000005-AEAC-4113-9EE8-945637355A3C}"/>
            </c:ext>
          </c:extLst>
        </c:ser>
        <c:dLbls>
          <c:showLegendKey val="0"/>
          <c:showVal val="0"/>
          <c:showCatName val="0"/>
          <c:showSerName val="0"/>
          <c:showPercent val="0"/>
          <c:showBubbleSize val="0"/>
        </c:dLbls>
        <c:gapWidth val="150"/>
        <c:overlap val="100"/>
        <c:axId val="744088416"/>
        <c:axId val="744089984"/>
        <c:extLst>
          <c:ext xmlns:c15="http://schemas.microsoft.com/office/drawing/2012/chart" uri="{02D57815-91ED-43cb-92C2-25804820EDAC}">
            <c15:filteredBarSeries>
              <c15:ser>
                <c:idx val="6"/>
                <c:order val="6"/>
                <c:tx>
                  <c:strRef>
                    <c:extLst>
                      <c:ext uri="{02D57815-91ED-43cb-92C2-25804820EDAC}">
                        <c15:formulaRef>
                          <c15:sqref>a_OZE1!$A$76</c15:sqref>
                        </c15:formulaRef>
                      </c:ext>
                    </c:extLst>
                    <c:strCache>
                      <c:ptCount val="1"/>
                      <c:pt idx="0">
                        <c:v>Paliwa weglowe z recyclingu</c:v>
                      </c:pt>
                    </c:strCache>
                  </c:strRef>
                </c:tx>
                <c:spPr>
                  <a:solidFill>
                    <a:schemeClr val="accent1">
                      <a:lumMod val="60000"/>
                    </a:schemeClr>
                  </a:solidFill>
                  <a:ln>
                    <a:noFill/>
                  </a:ln>
                  <a:effectLst/>
                </c:spPr>
                <c:invertIfNegative val="0"/>
                <c:cat>
                  <c:numRef>
                    <c:extLst>
                      <c:ext uri="{02D57815-91ED-43cb-92C2-25804820EDAC}">
                        <c15:formulaRef>
                          <c15:sqref>(a_OZE1!$B$24:$E$24,a_OZE1!$J$24,a_OZE1!$O$24:$Q$24)</c15:sqref>
                        </c15:formulaRef>
                      </c:ext>
                    </c:extLst>
                    <c:numCache>
                      <c:formatCode>General</c:formatCode>
                      <c:ptCount val="8"/>
                      <c:pt idx="0">
                        <c:v>2005</c:v>
                      </c:pt>
                      <c:pt idx="1">
                        <c:v>2010</c:v>
                      </c:pt>
                      <c:pt idx="2">
                        <c:v>2015</c:v>
                      </c:pt>
                      <c:pt idx="3">
                        <c:v>2020</c:v>
                      </c:pt>
                      <c:pt idx="4">
                        <c:v>2025</c:v>
                      </c:pt>
                      <c:pt idx="5">
                        <c:v>2030</c:v>
                      </c:pt>
                      <c:pt idx="6">
                        <c:v>2035</c:v>
                      </c:pt>
                      <c:pt idx="7">
                        <c:v>2040</c:v>
                      </c:pt>
                    </c:numCache>
                  </c:numRef>
                </c:cat>
                <c:val>
                  <c:numRef>
                    <c:extLst>
                      <c:ext uri="{02D57815-91ED-43cb-92C2-25804820EDAC}">
                        <c15:formulaRef>
                          <c15:sqref>(a_OZE1!$B$76:$E$76,a_OZE1!$J$76,a_OZE1!$O$76:$Q$76)</c15:sqref>
                        </c15:formulaRef>
                      </c:ext>
                    </c:extLst>
                    <c:numCache>
                      <c:formatCode>General</c:formatCode>
                      <c:ptCount val="8"/>
                      <c:pt idx="0">
                        <c:v>0</c:v>
                      </c:pt>
                      <c:pt idx="1">
                        <c:v>0</c:v>
                      </c:pt>
                      <c:pt idx="2">
                        <c:v>0</c:v>
                      </c:pt>
                      <c:pt idx="3">
                        <c:v>0</c:v>
                      </c:pt>
                      <c:pt idx="4">
                        <c:v>0</c:v>
                      </c:pt>
                      <c:pt idx="5">
                        <c:v>0</c:v>
                      </c:pt>
                      <c:pt idx="6">
                        <c:v>0</c:v>
                      </c:pt>
                      <c:pt idx="7">
                        <c:v>0</c:v>
                      </c:pt>
                    </c:numCache>
                  </c:numRef>
                </c:val>
                <c:extLst>
                  <c:ext xmlns:c16="http://schemas.microsoft.com/office/drawing/2014/chart" uri="{C3380CC4-5D6E-409C-BE32-E72D297353CC}">
                    <c16:uniqueId val="{00000006-AEAC-4113-9EE8-945637355A3C}"/>
                  </c:ext>
                </c:extLst>
              </c15:ser>
            </c15:filteredBarSeries>
          </c:ext>
        </c:extLst>
      </c:barChart>
      <c:catAx>
        <c:axId val="74408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l-PL"/>
          </a:p>
        </c:txPr>
        <c:crossAx val="744089984"/>
        <c:crosses val="autoZero"/>
        <c:auto val="1"/>
        <c:lblAlgn val="ctr"/>
        <c:lblOffset val="100"/>
        <c:noMultiLvlLbl val="0"/>
      </c:catAx>
      <c:valAx>
        <c:axId val="744089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a:t>[ktoe]</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pl-PL"/>
          </a:p>
        </c:txPr>
        <c:crossAx val="744088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withinLinear" id="14">
  <a:schemeClr val="accent1"/>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9">
  <a:schemeClr val="accent6"/>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withinLinear" id="15">
  <a:schemeClr val="accent2"/>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0.89402</cdr:x>
      <cdr:y>0.28011</cdr:y>
    </cdr:from>
    <cdr:to>
      <cdr:x>0.93</cdr:x>
      <cdr:y>0.33442</cdr:y>
    </cdr:to>
    <cdr:pic>
      <cdr:nvPicPr>
        <cdr:cNvPr id="2" name="Obraz 1" descr="Obraz zawierający czarne, ciemność&#10;&#10;Opis wygenerowany automatycznie"/>
        <cdr:cNvPicPr>
          <a:picLocks xmlns:a="http://schemas.openxmlformats.org/drawingml/2006/main" noChangeAspect="1"/>
        </cdr:cNvPicPr>
      </cdr:nvPicPr>
      <cdr:blipFill>
        <a:blip xmlns:a="http://schemas.openxmlformats.org/drawingml/2006/main" xmlns:r="http://schemas.openxmlformats.org/officeDocument/2006/relationships" r:embed="rId1" cstate="print">
          <a:duotone>
            <a:schemeClr val="bg2">
              <a:shade val="45000"/>
              <a:satMod val="135000"/>
            </a:schemeClr>
            <a:prstClr val="white"/>
          </a:duotone>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5364805" y="1216645"/>
          <a:ext cx="215907" cy="235890"/>
        </a:xfrm>
        <a:prstGeom xmlns:a="http://schemas.openxmlformats.org/drawingml/2006/main" prst="rect">
          <a:avLst/>
        </a:prstGeom>
        <a:noFill xmlns:a="http://schemas.openxmlformats.org/drawingml/2006/main"/>
      </cdr:spPr>
    </cdr:pic>
  </cdr:relSizeAnchor>
  <cdr:relSizeAnchor xmlns:cdr="http://schemas.openxmlformats.org/drawingml/2006/chartDrawing">
    <cdr:from>
      <cdr:x>0.88917</cdr:x>
      <cdr:y>0.51451</cdr:y>
    </cdr:from>
    <cdr:to>
      <cdr:x>0.93065</cdr:x>
      <cdr:y>0.5806</cdr:y>
    </cdr:to>
    <cdr:pic>
      <cdr:nvPicPr>
        <cdr:cNvPr id="3" name="Obraz 2" descr="Obraz zawierający czarne, ciemność&#10;&#10;Opis wygenerowany automatycznie"/>
        <cdr:cNvPicPr>
          <a:picLocks xmlns:a="http://schemas.openxmlformats.org/drawingml/2006/main" noChangeAspect="1"/>
        </cdr:cNvPicPr>
      </cdr:nvPicPr>
      <cdr:blipFill>
        <a:blip xmlns:a="http://schemas.openxmlformats.org/drawingml/2006/main" xmlns:r="http://schemas.openxmlformats.org/officeDocument/2006/relationships" r:embed="rId2" cstate="print">
          <a:duotone>
            <a:schemeClr val="bg2">
              <a:shade val="45000"/>
              <a:satMod val="135000"/>
            </a:schemeClr>
            <a:prstClr val="white"/>
          </a:duotone>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5335661" y="2234738"/>
          <a:ext cx="248911" cy="287055"/>
        </a:xfrm>
        <a:prstGeom xmlns:a="http://schemas.openxmlformats.org/drawingml/2006/main" prst="rect">
          <a:avLst/>
        </a:prstGeom>
        <a:noFill xmlns:a="http://schemas.openxmlformats.org/drawingml/2006/main"/>
      </cdr:spPr>
    </cdr:pic>
  </cdr:relSizeAnchor>
  <cdr:relSizeAnchor xmlns:cdr="http://schemas.openxmlformats.org/drawingml/2006/chartDrawing">
    <cdr:from>
      <cdr:x>0.88682</cdr:x>
      <cdr:y>0.60139</cdr:y>
    </cdr:from>
    <cdr:to>
      <cdr:x>0.93455</cdr:x>
      <cdr:y>0.683</cdr:y>
    </cdr:to>
    <cdr:pic>
      <cdr:nvPicPr>
        <cdr:cNvPr id="4" name="Obraz 3" descr="Obraz zawierający czarne, ciemność&#10;&#10;Opis wygenerowany automatycznie"/>
        <cdr:cNvPicPr>
          <a:picLocks xmlns:a="http://schemas.openxmlformats.org/drawingml/2006/main" noChangeAspect="1"/>
        </cdr:cNvPicPr>
      </cdr:nvPicPr>
      <cdr:blipFill>
        <a:blip xmlns:a="http://schemas.openxmlformats.org/drawingml/2006/main" xmlns:r="http://schemas.openxmlformats.org/officeDocument/2006/relationships" r:embed="rId3" cstate="print">
          <a:duotone>
            <a:schemeClr val="bg2">
              <a:shade val="45000"/>
              <a:satMod val="135000"/>
            </a:schemeClr>
            <a:prstClr val="white"/>
          </a:duotone>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flipH="1">
          <a:off x="5321610" y="2612077"/>
          <a:ext cx="286416" cy="354465"/>
        </a:xfrm>
        <a:prstGeom xmlns:a="http://schemas.openxmlformats.org/drawingml/2006/main" prst="rect">
          <a:avLst/>
        </a:prstGeom>
        <a:noFill xmlns:a="http://schemas.openxmlformats.org/drawingml/2006/main"/>
      </cdr:spPr>
    </cdr:pic>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5">
    <a:majorFont>
      <a:latin typeface="Lato"/>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5">
    <a:majorFont>
      <a:latin typeface="Lato"/>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5">
    <a:majorFont>
      <a:latin typeface="Lato"/>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5">
    <a:majorFont>
      <a:latin typeface="Lato"/>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5">
    <a:majorFont>
      <a:latin typeface="Lato"/>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2007–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2007–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5">
    <a:majorFont>
      <a:latin typeface="Lato"/>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5">
    <a:majorFont>
      <a:latin typeface="Lato"/>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5">
    <a:majorFont>
      <a:latin typeface="Lato"/>
      <a:ea typeface=""/>
      <a:cs typeface=""/>
    </a:majorFont>
    <a:minorFont>
      <a:latin typeface="Lato"/>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A0E0BFCF9A9445871829823D8E485C" ma:contentTypeVersion="4" ma:contentTypeDescription="Create a new document." ma:contentTypeScope="" ma:versionID="5fcd3d1ed85ffbe4c4a24d1edcb8ddcb">
  <xsd:schema xmlns:xsd="http://www.w3.org/2001/XMLSchema" xmlns:xs="http://www.w3.org/2001/XMLSchema" xmlns:p="http://schemas.microsoft.com/office/2006/metadata/properties" xmlns:ns2="9514f94e-7ec7-4d9d-a31a-1b013c5f895a" targetNamespace="http://schemas.microsoft.com/office/2006/metadata/properties" ma:root="true" ma:fieldsID="ac6876465c5816637dbc360cde17c7cb" ns2:_="">
    <xsd:import namespace="9514f94e-7ec7-4d9d-a31a-1b013c5f89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4f94e-7ec7-4d9d-a31a-1b013c5f8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EC599C-22D7-415B-939B-CB01E743CCFB}">
  <ds:schemaRefs>
    <ds:schemaRef ds:uri="http://schemas.microsoft.com/office/2006/documentManagement/types"/>
    <ds:schemaRef ds:uri="http://purl.org/dc/elements/1.1/"/>
    <ds:schemaRef ds:uri="http://schemas.openxmlformats.org/package/2006/metadata/core-properties"/>
    <ds:schemaRef ds:uri="9514f94e-7ec7-4d9d-a31a-1b013c5f895a"/>
    <ds:schemaRef ds:uri="http://schemas.microsoft.com/office/2006/metadata/properties"/>
    <ds:schemaRef ds:uri="http://purl.org/dc/term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8193598-B1FF-40FF-8C67-09C06116E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4f94e-7ec7-4d9d-a31a-1b013c5f8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2C3CF-B86B-4FDE-899F-FEA15AB05705}">
  <ds:schemaRefs>
    <ds:schemaRef ds:uri="http://schemas.openxmlformats.org/officeDocument/2006/bibliography"/>
  </ds:schemaRefs>
</ds:datastoreItem>
</file>

<file path=customXml/itemProps4.xml><?xml version="1.0" encoding="utf-8"?>
<ds:datastoreItem xmlns:ds="http://schemas.openxmlformats.org/officeDocument/2006/customXml" ds:itemID="{39AC58C5-1185-4B0E-852B-12AC0351AD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55091</Words>
  <Characters>330546</Characters>
  <Application>Microsoft Office Word</Application>
  <DocSecurity>0</DocSecurity>
  <Lines>2754</Lines>
  <Paragraphs>769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384868</CharactersWithSpaces>
  <SharedDoc>false</SharedDoc>
  <HLinks>
    <vt:vector size="1380" baseType="variant">
      <vt:variant>
        <vt:i4>1835062</vt:i4>
      </vt:variant>
      <vt:variant>
        <vt:i4>2168</vt:i4>
      </vt:variant>
      <vt:variant>
        <vt:i4>0</vt:i4>
      </vt:variant>
      <vt:variant>
        <vt:i4>5</vt:i4>
      </vt:variant>
      <vt:variant>
        <vt:lpwstr/>
      </vt:variant>
      <vt:variant>
        <vt:lpwstr>_Toc202967055</vt:lpwstr>
      </vt:variant>
      <vt:variant>
        <vt:i4>1835062</vt:i4>
      </vt:variant>
      <vt:variant>
        <vt:i4>2162</vt:i4>
      </vt:variant>
      <vt:variant>
        <vt:i4>0</vt:i4>
      </vt:variant>
      <vt:variant>
        <vt:i4>5</vt:i4>
      </vt:variant>
      <vt:variant>
        <vt:lpwstr/>
      </vt:variant>
      <vt:variant>
        <vt:lpwstr>_Toc202967054</vt:lpwstr>
      </vt:variant>
      <vt:variant>
        <vt:i4>1835062</vt:i4>
      </vt:variant>
      <vt:variant>
        <vt:i4>2156</vt:i4>
      </vt:variant>
      <vt:variant>
        <vt:i4>0</vt:i4>
      </vt:variant>
      <vt:variant>
        <vt:i4>5</vt:i4>
      </vt:variant>
      <vt:variant>
        <vt:lpwstr/>
      </vt:variant>
      <vt:variant>
        <vt:lpwstr>_Toc202967053</vt:lpwstr>
      </vt:variant>
      <vt:variant>
        <vt:i4>1835062</vt:i4>
      </vt:variant>
      <vt:variant>
        <vt:i4>2150</vt:i4>
      </vt:variant>
      <vt:variant>
        <vt:i4>0</vt:i4>
      </vt:variant>
      <vt:variant>
        <vt:i4>5</vt:i4>
      </vt:variant>
      <vt:variant>
        <vt:lpwstr/>
      </vt:variant>
      <vt:variant>
        <vt:lpwstr>_Toc202967052</vt:lpwstr>
      </vt:variant>
      <vt:variant>
        <vt:i4>1835062</vt:i4>
      </vt:variant>
      <vt:variant>
        <vt:i4>2144</vt:i4>
      </vt:variant>
      <vt:variant>
        <vt:i4>0</vt:i4>
      </vt:variant>
      <vt:variant>
        <vt:i4>5</vt:i4>
      </vt:variant>
      <vt:variant>
        <vt:lpwstr/>
      </vt:variant>
      <vt:variant>
        <vt:lpwstr>_Toc202967051</vt:lpwstr>
      </vt:variant>
      <vt:variant>
        <vt:i4>1835062</vt:i4>
      </vt:variant>
      <vt:variant>
        <vt:i4>2138</vt:i4>
      </vt:variant>
      <vt:variant>
        <vt:i4>0</vt:i4>
      </vt:variant>
      <vt:variant>
        <vt:i4>5</vt:i4>
      </vt:variant>
      <vt:variant>
        <vt:lpwstr/>
      </vt:variant>
      <vt:variant>
        <vt:lpwstr>_Toc202967050</vt:lpwstr>
      </vt:variant>
      <vt:variant>
        <vt:i4>1900598</vt:i4>
      </vt:variant>
      <vt:variant>
        <vt:i4>2132</vt:i4>
      </vt:variant>
      <vt:variant>
        <vt:i4>0</vt:i4>
      </vt:variant>
      <vt:variant>
        <vt:i4>5</vt:i4>
      </vt:variant>
      <vt:variant>
        <vt:lpwstr/>
      </vt:variant>
      <vt:variant>
        <vt:lpwstr>_Toc202967049</vt:lpwstr>
      </vt:variant>
      <vt:variant>
        <vt:i4>1900598</vt:i4>
      </vt:variant>
      <vt:variant>
        <vt:i4>2126</vt:i4>
      </vt:variant>
      <vt:variant>
        <vt:i4>0</vt:i4>
      </vt:variant>
      <vt:variant>
        <vt:i4>5</vt:i4>
      </vt:variant>
      <vt:variant>
        <vt:lpwstr/>
      </vt:variant>
      <vt:variant>
        <vt:lpwstr>_Toc202967048</vt:lpwstr>
      </vt:variant>
      <vt:variant>
        <vt:i4>1900598</vt:i4>
      </vt:variant>
      <vt:variant>
        <vt:i4>2120</vt:i4>
      </vt:variant>
      <vt:variant>
        <vt:i4>0</vt:i4>
      </vt:variant>
      <vt:variant>
        <vt:i4>5</vt:i4>
      </vt:variant>
      <vt:variant>
        <vt:lpwstr/>
      </vt:variant>
      <vt:variant>
        <vt:lpwstr>_Toc202967047</vt:lpwstr>
      </vt:variant>
      <vt:variant>
        <vt:i4>1900598</vt:i4>
      </vt:variant>
      <vt:variant>
        <vt:i4>2114</vt:i4>
      </vt:variant>
      <vt:variant>
        <vt:i4>0</vt:i4>
      </vt:variant>
      <vt:variant>
        <vt:i4>5</vt:i4>
      </vt:variant>
      <vt:variant>
        <vt:lpwstr/>
      </vt:variant>
      <vt:variant>
        <vt:lpwstr>_Toc202967046</vt:lpwstr>
      </vt:variant>
      <vt:variant>
        <vt:i4>1900598</vt:i4>
      </vt:variant>
      <vt:variant>
        <vt:i4>2108</vt:i4>
      </vt:variant>
      <vt:variant>
        <vt:i4>0</vt:i4>
      </vt:variant>
      <vt:variant>
        <vt:i4>5</vt:i4>
      </vt:variant>
      <vt:variant>
        <vt:lpwstr/>
      </vt:variant>
      <vt:variant>
        <vt:lpwstr>_Toc202967045</vt:lpwstr>
      </vt:variant>
      <vt:variant>
        <vt:i4>1900598</vt:i4>
      </vt:variant>
      <vt:variant>
        <vt:i4>2102</vt:i4>
      </vt:variant>
      <vt:variant>
        <vt:i4>0</vt:i4>
      </vt:variant>
      <vt:variant>
        <vt:i4>5</vt:i4>
      </vt:variant>
      <vt:variant>
        <vt:lpwstr/>
      </vt:variant>
      <vt:variant>
        <vt:lpwstr>_Toc202967044</vt:lpwstr>
      </vt:variant>
      <vt:variant>
        <vt:i4>1900598</vt:i4>
      </vt:variant>
      <vt:variant>
        <vt:i4>2096</vt:i4>
      </vt:variant>
      <vt:variant>
        <vt:i4>0</vt:i4>
      </vt:variant>
      <vt:variant>
        <vt:i4>5</vt:i4>
      </vt:variant>
      <vt:variant>
        <vt:lpwstr/>
      </vt:variant>
      <vt:variant>
        <vt:lpwstr>_Toc202967043</vt:lpwstr>
      </vt:variant>
      <vt:variant>
        <vt:i4>1900598</vt:i4>
      </vt:variant>
      <vt:variant>
        <vt:i4>2090</vt:i4>
      </vt:variant>
      <vt:variant>
        <vt:i4>0</vt:i4>
      </vt:variant>
      <vt:variant>
        <vt:i4>5</vt:i4>
      </vt:variant>
      <vt:variant>
        <vt:lpwstr/>
      </vt:variant>
      <vt:variant>
        <vt:lpwstr>_Toc202967042</vt:lpwstr>
      </vt:variant>
      <vt:variant>
        <vt:i4>1900598</vt:i4>
      </vt:variant>
      <vt:variant>
        <vt:i4>2084</vt:i4>
      </vt:variant>
      <vt:variant>
        <vt:i4>0</vt:i4>
      </vt:variant>
      <vt:variant>
        <vt:i4>5</vt:i4>
      </vt:variant>
      <vt:variant>
        <vt:lpwstr/>
      </vt:variant>
      <vt:variant>
        <vt:lpwstr>_Toc202967041</vt:lpwstr>
      </vt:variant>
      <vt:variant>
        <vt:i4>1900598</vt:i4>
      </vt:variant>
      <vt:variant>
        <vt:i4>2078</vt:i4>
      </vt:variant>
      <vt:variant>
        <vt:i4>0</vt:i4>
      </vt:variant>
      <vt:variant>
        <vt:i4>5</vt:i4>
      </vt:variant>
      <vt:variant>
        <vt:lpwstr/>
      </vt:variant>
      <vt:variant>
        <vt:lpwstr>_Toc202967040</vt:lpwstr>
      </vt:variant>
      <vt:variant>
        <vt:i4>1703990</vt:i4>
      </vt:variant>
      <vt:variant>
        <vt:i4>2072</vt:i4>
      </vt:variant>
      <vt:variant>
        <vt:i4>0</vt:i4>
      </vt:variant>
      <vt:variant>
        <vt:i4>5</vt:i4>
      </vt:variant>
      <vt:variant>
        <vt:lpwstr/>
      </vt:variant>
      <vt:variant>
        <vt:lpwstr>_Toc202967039</vt:lpwstr>
      </vt:variant>
      <vt:variant>
        <vt:i4>1703990</vt:i4>
      </vt:variant>
      <vt:variant>
        <vt:i4>2066</vt:i4>
      </vt:variant>
      <vt:variant>
        <vt:i4>0</vt:i4>
      </vt:variant>
      <vt:variant>
        <vt:i4>5</vt:i4>
      </vt:variant>
      <vt:variant>
        <vt:lpwstr/>
      </vt:variant>
      <vt:variant>
        <vt:lpwstr>_Toc202967038</vt:lpwstr>
      </vt:variant>
      <vt:variant>
        <vt:i4>1703990</vt:i4>
      </vt:variant>
      <vt:variant>
        <vt:i4>2060</vt:i4>
      </vt:variant>
      <vt:variant>
        <vt:i4>0</vt:i4>
      </vt:variant>
      <vt:variant>
        <vt:i4>5</vt:i4>
      </vt:variant>
      <vt:variant>
        <vt:lpwstr/>
      </vt:variant>
      <vt:variant>
        <vt:lpwstr>_Toc202967037</vt:lpwstr>
      </vt:variant>
      <vt:variant>
        <vt:i4>1703990</vt:i4>
      </vt:variant>
      <vt:variant>
        <vt:i4>2054</vt:i4>
      </vt:variant>
      <vt:variant>
        <vt:i4>0</vt:i4>
      </vt:variant>
      <vt:variant>
        <vt:i4>5</vt:i4>
      </vt:variant>
      <vt:variant>
        <vt:lpwstr/>
      </vt:variant>
      <vt:variant>
        <vt:lpwstr>_Toc202967036</vt:lpwstr>
      </vt:variant>
      <vt:variant>
        <vt:i4>1703990</vt:i4>
      </vt:variant>
      <vt:variant>
        <vt:i4>2048</vt:i4>
      </vt:variant>
      <vt:variant>
        <vt:i4>0</vt:i4>
      </vt:variant>
      <vt:variant>
        <vt:i4>5</vt:i4>
      </vt:variant>
      <vt:variant>
        <vt:lpwstr/>
      </vt:variant>
      <vt:variant>
        <vt:lpwstr>_Toc202967035</vt:lpwstr>
      </vt:variant>
      <vt:variant>
        <vt:i4>1703990</vt:i4>
      </vt:variant>
      <vt:variant>
        <vt:i4>2042</vt:i4>
      </vt:variant>
      <vt:variant>
        <vt:i4>0</vt:i4>
      </vt:variant>
      <vt:variant>
        <vt:i4>5</vt:i4>
      </vt:variant>
      <vt:variant>
        <vt:lpwstr/>
      </vt:variant>
      <vt:variant>
        <vt:lpwstr>_Toc202967034</vt:lpwstr>
      </vt:variant>
      <vt:variant>
        <vt:i4>1703990</vt:i4>
      </vt:variant>
      <vt:variant>
        <vt:i4>2036</vt:i4>
      </vt:variant>
      <vt:variant>
        <vt:i4>0</vt:i4>
      </vt:variant>
      <vt:variant>
        <vt:i4>5</vt:i4>
      </vt:variant>
      <vt:variant>
        <vt:lpwstr/>
      </vt:variant>
      <vt:variant>
        <vt:lpwstr>_Toc202967033</vt:lpwstr>
      </vt:variant>
      <vt:variant>
        <vt:i4>1703990</vt:i4>
      </vt:variant>
      <vt:variant>
        <vt:i4>2030</vt:i4>
      </vt:variant>
      <vt:variant>
        <vt:i4>0</vt:i4>
      </vt:variant>
      <vt:variant>
        <vt:i4>5</vt:i4>
      </vt:variant>
      <vt:variant>
        <vt:lpwstr/>
      </vt:variant>
      <vt:variant>
        <vt:lpwstr>_Toc202967032</vt:lpwstr>
      </vt:variant>
      <vt:variant>
        <vt:i4>1703990</vt:i4>
      </vt:variant>
      <vt:variant>
        <vt:i4>2024</vt:i4>
      </vt:variant>
      <vt:variant>
        <vt:i4>0</vt:i4>
      </vt:variant>
      <vt:variant>
        <vt:i4>5</vt:i4>
      </vt:variant>
      <vt:variant>
        <vt:lpwstr/>
      </vt:variant>
      <vt:variant>
        <vt:lpwstr>_Toc202967031</vt:lpwstr>
      </vt:variant>
      <vt:variant>
        <vt:i4>1703990</vt:i4>
      </vt:variant>
      <vt:variant>
        <vt:i4>2015</vt:i4>
      </vt:variant>
      <vt:variant>
        <vt:i4>0</vt:i4>
      </vt:variant>
      <vt:variant>
        <vt:i4>5</vt:i4>
      </vt:variant>
      <vt:variant>
        <vt:lpwstr/>
      </vt:variant>
      <vt:variant>
        <vt:lpwstr>_Toc202967030</vt:lpwstr>
      </vt:variant>
      <vt:variant>
        <vt:i4>1769526</vt:i4>
      </vt:variant>
      <vt:variant>
        <vt:i4>2009</vt:i4>
      </vt:variant>
      <vt:variant>
        <vt:i4>0</vt:i4>
      </vt:variant>
      <vt:variant>
        <vt:i4>5</vt:i4>
      </vt:variant>
      <vt:variant>
        <vt:lpwstr/>
      </vt:variant>
      <vt:variant>
        <vt:lpwstr>_Toc202967029</vt:lpwstr>
      </vt:variant>
      <vt:variant>
        <vt:i4>1769526</vt:i4>
      </vt:variant>
      <vt:variant>
        <vt:i4>2003</vt:i4>
      </vt:variant>
      <vt:variant>
        <vt:i4>0</vt:i4>
      </vt:variant>
      <vt:variant>
        <vt:i4>5</vt:i4>
      </vt:variant>
      <vt:variant>
        <vt:lpwstr/>
      </vt:variant>
      <vt:variant>
        <vt:lpwstr>_Toc202967028</vt:lpwstr>
      </vt:variant>
      <vt:variant>
        <vt:i4>1769526</vt:i4>
      </vt:variant>
      <vt:variant>
        <vt:i4>1997</vt:i4>
      </vt:variant>
      <vt:variant>
        <vt:i4>0</vt:i4>
      </vt:variant>
      <vt:variant>
        <vt:i4>5</vt:i4>
      </vt:variant>
      <vt:variant>
        <vt:lpwstr/>
      </vt:variant>
      <vt:variant>
        <vt:lpwstr>_Toc202967027</vt:lpwstr>
      </vt:variant>
      <vt:variant>
        <vt:i4>1769526</vt:i4>
      </vt:variant>
      <vt:variant>
        <vt:i4>1991</vt:i4>
      </vt:variant>
      <vt:variant>
        <vt:i4>0</vt:i4>
      </vt:variant>
      <vt:variant>
        <vt:i4>5</vt:i4>
      </vt:variant>
      <vt:variant>
        <vt:lpwstr/>
      </vt:variant>
      <vt:variant>
        <vt:lpwstr>_Toc202967026</vt:lpwstr>
      </vt:variant>
      <vt:variant>
        <vt:i4>1769526</vt:i4>
      </vt:variant>
      <vt:variant>
        <vt:i4>1985</vt:i4>
      </vt:variant>
      <vt:variant>
        <vt:i4>0</vt:i4>
      </vt:variant>
      <vt:variant>
        <vt:i4>5</vt:i4>
      </vt:variant>
      <vt:variant>
        <vt:lpwstr/>
      </vt:variant>
      <vt:variant>
        <vt:lpwstr>_Toc202967025</vt:lpwstr>
      </vt:variant>
      <vt:variant>
        <vt:i4>1769526</vt:i4>
      </vt:variant>
      <vt:variant>
        <vt:i4>1979</vt:i4>
      </vt:variant>
      <vt:variant>
        <vt:i4>0</vt:i4>
      </vt:variant>
      <vt:variant>
        <vt:i4>5</vt:i4>
      </vt:variant>
      <vt:variant>
        <vt:lpwstr/>
      </vt:variant>
      <vt:variant>
        <vt:lpwstr>_Toc202967024</vt:lpwstr>
      </vt:variant>
      <vt:variant>
        <vt:i4>1769526</vt:i4>
      </vt:variant>
      <vt:variant>
        <vt:i4>1973</vt:i4>
      </vt:variant>
      <vt:variant>
        <vt:i4>0</vt:i4>
      </vt:variant>
      <vt:variant>
        <vt:i4>5</vt:i4>
      </vt:variant>
      <vt:variant>
        <vt:lpwstr/>
      </vt:variant>
      <vt:variant>
        <vt:lpwstr>_Toc202967023</vt:lpwstr>
      </vt:variant>
      <vt:variant>
        <vt:i4>1769526</vt:i4>
      </vt:variant>
      <vt:variant>
        <vt:i4>1967</vt:i4>
      </vt:variant>
      <vt:variant>
        <vt:i4>0</vt:i4>
      </vt:variant>
      <vt:variant>
        <vt:i4>5</vt:i4>
      </vt:variant>
      <vt:variant>
        <vt:lpwstr/>
      </vt:variant>
      <vt:variant>
        <vt:lpwstr>_Toc202967022</vt:lpwstr>
      </vt:variant>
      <vt:variant>
        <vt:i4>1769526</vt:i4>
      </vt:variant>
      <vt:variant>
        <vt:i4>1961</vt:i4>
      </vt:variant>
      <vt:variant>
        <vt:i4>0</vt:i4>
      </vt:variant>
      <vt:variant>
        <vt:i4>5</vt:i4>
      </vt:variant>
      <vt:variant>
        <vt:lpwstr/>
      </vt:variant>
      <vt:variant>
        <vt:lpwstr>_Toc202967021</vt:lpwstr>
      </vt:variant>
      <vt:variant>
        <vt:i4>1769526</vt:i4>
      </vt:variant>
      <vt:variant>
        <vt:i4>1955</vt:i4>
      </vt:variant>
      <vt:variant>
        <vt:i4>0</vt:i4>
      </vt:variant>
      <vt:variant>
        <vt:i4>5</vt:i4>
      </vt:variant>
      <vt:variant>
        <vt:lpwstr/>
      </vt:variant>
      <vt:variant>
        <vt:lpwstr>_Toc202967020</vt:lpwstr>
      </vt:variant>
      <vt:variant>
        <vt:i4>1572918</vt:i4>
      </vt:variant>
      <vt:variant>
        <vt:i4>1949</vt:i4>
      </vt:variant>
      <vt:variant>
        <vt:i4>0</vt:i4>
      </vt:variant>
      <vt:variant>
        <vt:i4>5</vt:i4>
      </vt:variant>
      <vt:variant>
        <vt:lpwstr/>
      </vt:variant>
      <vt:variant>
        <vt:lpwstr>_Toc202967019</vt:lpwstr>
      </vt:variant>
      <vt:variant>
        <vt:i4>1572918</vt:i4>
      </vt:variant>
      <vt:variant>
        <vt:i4>1943</vt:i4>
      </vt:variant>
      <vt:variant>
        <vt:i4>0</vt:i4>
      </vt:variant>
      <vt:variant>
        <vt:i4>5</vt:i4>
      </vt:variant>
      <vt:variant>
        <vt:lpwstr/>
      </vt:variant>
      <vt:variant>
        <vt:lpwstr>_Toc202967018</vt:lpwstr>
      </vt:variant>
      <vt:variant>
        <vt:i4>1572918</vt:i4>
      </vt:variant>
      <vt:variant>
        <vt:i4>1937</vt:i4>
      </vt:variant>
      <vt:variant>
        <vt:i4>0</vt:i4>
      </vt:variant>
      <vt:variant>
        <vt:i4>5</vt:i4>
      </vt:variant>
      <vt:variant>
        <vt:lpwstr/>
      </vt:variant>
      <vt:variant>
        <vt:lpwstr>_Toc202967017</vt:lpwstr>
      </vt:variant>
      <vt:variant>
        <vt:i4>1572918</vt:i4>
      </vt:variant>
      <vt:variant>
        <vt:i4>1931</vt:i4>
      </vt:variant>
      <vt:variant>
        <vt:i4>0</vt:i4>
      </vt:variant>
      <vt:variant>
        <vt:i4>5</vt:i4>
      </vt:variant>
      <vt:variant>
        <vt:lpwstr/>
      </vt:variant>
      <vt:variant>
        <vt:lpwstr>_Toc202967016</vt:lpwstr>
      </vt:variant>
      <vt:variant>
        <vt:i4>1572918</vt:i4>
      </vt:variant>
      <vt:variant>
        <vt:i4>1925</vt:i4>
      </vt:variant>
      <vt:variant>
        <vt:i4>0</vt:i4>
      </vt:variant>
      <vt:variant>
        <vt:i4>5</vt:i4>
      </vt:variant>
      <vt:variant>
        <vt:lpwstr/>
      </vt:variant>
      <vt:variant>
        <vt:lpwstr>_Toc202967015</vt:lpwstr>
      </vt:variant>
      <vt:variant>
        <vt:i4>1572918</vt:i4>
      </vt:variant>
      <vt:variant>
        <vt:i4>1919</vt:i4>
      </vt:variant>
      <vt:variant>
        <vt:i4>0</vt:i4>
      </vt:variant>
      <vt:variant>
        <vt:i4>5</vt:i4>
      </vt:variant>
      <vt:variant>
        <vt:lpwstr/>
      </vt:variant>
      <vt:variant>
        <vt:lpwstr>_Toc202967014</vt:lpwstr>
      </vt:variant>
      <vt:variant>
        <vt:i4>1572918</vt:i4>
      </vt:variant>
      <vt:variant>
        <vt:i4>1913</vt:i4>
      </vt:variant>
      <vt:variant>
        <vt:i4>0</vt:i4>
      </vt:variant>
      <vt:variant>
        <vt:i4>5</vt:i4>
      </vt:variant>
      <vt:variant>
        <vt:lpwstr/>
      </vt:variant>
      <vt:variant>
        <vt:lpwstr>_Toc202967013</vt:lpwstr>
      </vt:variant>
      <vt:variant>
        <vt:i4>1572918</vt:i4>
      </vt:variant>
      <vt:variant>
        <vt:i4>1907</vt:i4>
      </vt:variant>
      <vt:variant>
        <vt:i4>0</vt:i4>
      </vt:variant>
      <vt:variant>
        <vt:i4>5</vt:i4>
      </vt:variant>
      <vt:variant>
        <vt:lpwstr/>
      </vt:variant>
      <vt:variant>
        <vt:lpwstr>_Toc202967012</vt:lpwstr>
      </vt:variant>
      <vt:variant>
        <vt:i4>1572918</vt:i4>
      </vt:variant>
      <vt:variant>
        <vt:i4>1901</vt:i4>
      </vt:variant>
      <vt:variant>
        <vt:i4>0</vt:i4>
      </vt:variant>
      <vt:variant>
        <vt:i4>5</vt:i4>
      </vt:variant>
      <vt:variant>
        <vt:lpwstr/>
      </vt:variant>
      <vt:variant>
        <vt:lpwstr>_Toc202967011</vt:lpwstr>
      </vt:variant>
      <vt:variant>
        <vt:i4>1572918</vt:i4>
      </vt:variant>
      <vt:variant>
        <vt:i4>1895</vt:i4>
      </vt:variant>
      <vt:variant>
        <vt:i4>0</vt:i4>
      </vt:variant>
      <vt:variant>
        <vt:i4>5</vt:i4>
      </vt:variant>
      <vt:variant>
        <vt:lpwstr/>
      </vt:variant>
      <vt:variant>
        <vt:lpwstr>_Toc202967010</vt:lpwstr>
      </vt:variant>
      <vt:variant>
        <vt:i4>1638454</vt:i4>
      </vt:variant>
      <vt:variant>
        <vt:i4>1889</vt:i4>
      </vt:variant>
      <vt:variant>
        <vt:i4>0</vt:i4>
      </vt:variant>
      <vt:variant>
        <vt:i4>5</vt:i4>
      </vt:variant>
      <vt:variant>
        <vt:lpwstr/>
      </vt:variant>
      <vt:variant>
        <vt:lpwstr>_Toc202967009</vt:lpwstr>
      </vt:variant>
      <vt:variant>
        <vt:i4>1638454</vt:i4>
      </vt:variant>
      <vt:variant>
        <vt:i4>1883</vt:i4>
      </vt:variant>
      <vt:variant>
        <vt:i4>0</vt:i4>
      </vt:variant>
      <vt:variant>
        <vt:i4>5</vt:i4>
      </vt:variant>
      <vt:variant>
        <vt:lpwstr/>
      </vt:variant>
      <vt:variant>
        <vt:lpwstr>_Toc202967008</vt:lpwstr>
      </vt:variant>
      <vt:variant>
        <vt:i4>1638454</vt:i4>
      </vt:variant>
      <vt:variant>
        <vt:i4>1877</vt:i4>
      </vt:variant>
      <vt:variant>
        <vt:i4>0</vt:i4>
      </vt:variant>
      <vt:variant>
        <vt:i4>5</vt:i4>
      </vt:variant>
      <vt:variant>
        <vt:lpwstr/>
      </vt:variant>
      <vt:variant>
        <vt:lpwstr>_Toc202967007</vt:lpwstr>
      </vt:variant>
      <vt:variant>
        <vt:i4>1638454</vt:i4>
      </vt:variant>
      <vt:variant>
        <vt:i4>1871</vt:i4>
      </vt:variant>
      <vt:variant>
        <vt:i4>0</vt:i4>
      </vt:variant>
      <vt:variant>
        <vt:i4>5</vt:i4>
      </vt:variant>
      <vt:variant>
        <vt:lpwstr/>
      </vt:variant>
      <vt:variant>
        <vt:lpwstr>_Toc202967006</vt:lpwstr>
      </vt:variant>
      <vt:variant>
        <vt:i4>1638454</vt:i4>
      </vt:variant>
      <vt:variant>
        <vt:i4>1865</vt:i4>
      </vt:variant>
      <vt:variant>
        <vt:i4>0</vt:i4>
      </vt:variant>
      <vt:variant>
        <vt:i4>5</vt:i4>
      </vt:variant>
      <vt:variant>
        <vt:lpwstr/>
      </vt:variant>
      <vt:variant>
        <vt:lpwstr>_Toc202967005</vt:lpwstr>
      </vt:variant>
      <vt:variant>
        <vt:i4>1638454</vt:i4>
      </vt:variant>
      <vt:variant>
        <vt:i4>1859</vt:i4>
      </vt:variant>
      <vt:variant>
        <vt:i4>0</vt:i4>
      </vt:variant>
      <vt:variant>
        <vt:i4>5</vt:i4>
      </vt:variant>
      <vt:variant>
        <vt:lpwstr/>
      </vt:variant>
      <vt:variant>
        <vt:lpwstr>_Toc202967004</vt:lpwstr>
      </vt:variant>
      <vt:variant>
        <vt:i4>1638454</vt:i4>
      </vt:variant>
      <vt:variant>
        <vt:i4>1853</vt:i4>
      </vt:variant>
      <vt:variant>
        <vt:i4>0</vt:i4>
      </vt:variant>
      <vt:variant>
        <vt:i4>5</vt:i4>
      </vt:variant>
      <vt:variant>
        <vt:lpwstr/>
      </vt:variant>
      <vt:variant>
        <vt:lpwstr>_Toc202967003</vt:lpwstr>
      </vt:variant>
      <vt:variant>
        <vt:i4>1638454</vt:i4>
      </vt:variant>
      <vt:variant>
        <vt:i4>1847</vt:i4>
      </vt:variant>
      <vt:variant>
        <vt:i4>0</vt:i4>
      </vt:variant>
      <vt:variant>
        <vt:i4>5</vt:i4>
      </vt:variant>
      <vt:variant>
        <vt:lpwstr/>
      </vt:variant>
      <vt:variant>
        <vt:lpwstr>_Toc202967002</vt:lpwstr>
      </vt:variant>
      <vt:variant>
        <vt:i4>1638454</vt:i4>
      </vt:variant>
      <vt:variant>
        <vt:i4>1841</vt:i4>
      </vt:variant>
      <vt:variant>
        <vt:i4>0</vt:i4>
      </vt:variant>
      <vt:variant>
        <vt:i4>5</vt:i4>
      </vt:variant>
      <vt:variant>
        <vt:lpwstr/>
      </vt:variant>
      <vt:variant>
        <vt:lpwstr>_Toc202967001</vt:lpwstr>
      </vt:variant>
      <vt:variant>
        <vt:i4>1638454</vt:i4>
      </vt:variant>
      <vt:variant>
        <vt:i4>1835</vt:i4>
      </vt:variant>
      <vt:variant>
        <vt:i4>0</vt:i4>
      </vt:variant>
      <vt:variant>
        <vt:i4>5</vt:i4>
      </vt:variant>
      <vt:variant>
        <vt:lpwstr/>
      </vt:variant>
      <vt:variant>
        <vt:lpwstr>_Toc202967000</vt:lpwstr>
      </vt:variant>
      <vt:variant>
        <vt:i4>1114175</vt:i4>
      </vt:variant>
      <vt:variant>
        <vt:i4>1829</vt:i4>
      </vt:variant>
      <vt:variant>
        <vt:i4>0</vt:i4>
      </vt:variant>
      <vt:variant>
        <vt:i4>5</vt:i4>
      </vt:variant>
      <vt:variant>
        <vt:lpwstr/>
      </vt:variant>
      <vt:variant>
        <vt:lpwstr>_Toc202966999</vt:lpwstr>
      </vt:variant>
      <vt:variant>
        <vt:i4>1114175</vt:i4>
      </vt:variant>
      <vt:variant>
        <vt:i4>1823</vt:i4>
      </vt:variant>
      <vt:variant>
        <vt:i4>0</vt:i4>
      </vt:variant>
      <vt:variant>
        <vt:i4>5</vt:i4>
      </vt:variant>
      <vt:variant>
        <vt:lpwstr/>
      </vt:variant>
      <vt:variant>
        <vt:lpwstr>_Toc202966998</vt:lpwstr>
      </vt:variant>
      <vt:variant>
        <vt:i4>1114175</vt:i4>
      </vt:variant>
      <vt:variant>
        <vt:i4>1817</vt:i4>
      </vt:variant>
      <vt:variant>
        <vt:i4>0</vt:i4>
      </vt:variant>
      <vt:variant>
        <vt:i4>5</vt:i4>
      </vt:variant>
      <vt:variant>
        <vt:lpwstr/>
      </vt:variant>
      <vt:variant>
        <vt:lpwstr>_Toc202966997</vt:lpwstr>
      </vt:variant>
      <vt:variant>
        <vt:i4>1114175</vt:i4>
      </vt:variant>
      <vt:variant>
        <vt:i4>1811</vt:i4>
      </vt:variant>
      <vt:variant>
        <vt:i4>0</vt:i4>
      </vt:variant>
      <vt:variant>
        <vt:i4>5</vt:i4>
      </vt:variant>
      <vt:variant>
        <vt:lpwstr/>
      </vt:variant>
      <vt:variant>
        <vt:lpwstr>_Toc202966996</vt:lpwstr>
      </vt:variant>
      <vt:variant>
        <vt:i4>1114175</vt:i4>
      </vt:variant>
      <vt:variant>
        <vt:i4>1805</vt:i4>
      </vt:variant>
      <vt:variant>
        <vt:i4>0</vt:i4>
      </vt:variant>
      <vt:variant>
        <vt:i4>5</vt:i4>
      </vt:variant>
      <vt:variant>
        <vt:lpwstr/>
      </vt:variant>
      <vt:variant>
        <vt:lpwstr>_Toc202966995</vt:lpwstr>
      </vt:variant>
      <vt:variant>
        <vt:i4>1114175</vt:i4>
      </vt:variant>
      <vt:variant>
        <vt:i4>1799</vt:i4>
      </vt:variant>
      <vt:variant>
        <vt:i4>0</vt:i4>
      </vt:variant>
      <vt:variant>
        <vt:i4>5</vt:i4>
      </vt:variant>
      <vt:variant>
        <vt:lpwstr/>
      </vt:variant>
      <vt:variant>
        <vt:lpwstr>_Toc202966994</vt:lpwstr>
      </vt:variant>
      <vt:variant>
        <vt:i4>1114175</vt:i4>
      </vt:variant>
      <vt:variant>
        <vt:i4>1793</vt:i4>
      </vt:variant>
      <vt:variant>
        <vt:i4>0</vt:i4>
      </vt:variant>
      <vt:variant>
        <vt:i4>5</vt:i4>
      </vt:variant>
      <vt:variant>
        <vt:lpwstr/>
      </vt:variant>
      <vt:variant>
        <vt:lpwstr>_Toc202966993</vt:lpwstr>
      </vt:variant>
      <vt:variant>
        <vt:i4>1114175</vt:i4>
      </vt:variant>
      <vt:variant>
        <vt:i4>1787</vt:i4>
      </vt:variant>
      <vt:variant>
        <vt:i4>0</vt:i4>
      </vt:variant>
      <vt:variant>
        <vt:i4>5</vt:i4>
      </vt:variant>
      <vt:variant>
        <vt:lpwstr/>
      </vt:variant>
      <vt:variant>
        <vt:lpwstr>_Toc202966992</vt:lpwstr>
      </vt:variant>
      <vt:variant>
        <vt:i4>1114175</vt:i4>
      </vt:variant>
      <vt:variant>
        <vt:i4>1781</vt:i4>
      </vt:variant>
      <vt:variant>
        <vt:i4>0</vt:i4>
      </vt:variant>
      <vt:variant>
        <vt:i4>5</vt:i4>
      </vt:variant>
      <vt:variant>
        <vt:lpwstr/>
      </vt:variant>
      <vt:variant>
        <vt:lpwstr>_Toc202966991</vt:lpwstr>
      </vt:variant>
      <vt:variant>
        <vt:i4>1114175</vt:i4>
      </vt:variant>
      <vt:variant>
        <vt:i4>1775</vt:i4>
      </vt:variant>
      <vt:variant>
        <vt:i4>0</vt:i4>
      </vt:variant>
      <vt:variant>
        <vt:i4>5</vt:i4>
      </vt:variant>
      <vt:variant>
        <vt:lpwstr/>
      </vt:variant>
      <vt:variant>
        <vt:lpwstr>_Toc202966990</vt:lpwstr>
      </vt:variant>
      <vt:variant>
        <vt:i4>1048639</vt:i4>
      </vt:variant>
      <vt:variant>
        <vt:i4>1769</vt:i4>
      </vt:variant>
      <vt:variant>
        <vt:i4>0</vt:i4>
      </vt:variant>
      <vt:variant>
        <vt:i4>5</vt:i4>
      </vt:variant>
      <vt:variant>
        <vt:lpwstr/>
      </vt:variant>
      <vt:variant>
        <vt:lpwstr>_Toc202966989</vt:lpwstr>
      </vt:variant>
      <vt:variant>
        <vt:i4>1048639</vt:i4>
      </vt:variant>
      <vt:variant>
        <vt:i4>1763</vt:i4>
      </vt:variant>
      <vt:variant>
        <vt:i4>0</vt:i4>
      </vt:variant>
      <vt:variant>
        <vt:i4>5</vt:i4>
      </vt:variant>
      <vt:variant>
        <vt:lpwstr/>
      </vt:variant>
      <vt:variant>
        <vt:lpwstr>_Toc202966988</vt:lpwstr>
      </vt:variant>
      <vt:variant>
        <vt:i4>1048639</vt:i4>
      </vt:variant>
      <vt:variant>
        <vt:i4>1757</vt:i4>
      </vt:variant>
      <vt:variant>
        <vt:i4>0</vt:i4>
      </vt:variant>
      <vt:variant>
        <vt:i4>5</vt:i4>
      </vt:variant>
      <vt:variant>
        <vt:lpwstr/>
      </vt:variant>
      <vt:variant>
        <vt:lpwstr>_Toc202966987</vt:lpwstr>
      </vt:variant>
      <vt:variant>
        <vt:i4>1048639</vt:i4>
      </vt:variant>
      <vt:variant>
        <vt:i4>1751</vt:i4>
      </vt:variant>
      <vt:variant>
        <vt:i4>0</vt:i4>
      </vt:variant>
      <vt:variant>
        <vt:i4>5</vt:i4>
      </vt:variant>
      <vt:variant>
        <vt:lpwstr/>
      </vt:variant>
      <vt:variant>
        <vt:lpwstr>_Toc202966986</vt:lpwstr>
      </vt:variant>
      <vt:variant>
        <vt:i4>1048639</vt:i4>
      </vt:variant>
      <vt:variant>
        <vt:i4>1745</vt:i4>
      </vt:variant>
      <vt:variant>
        <vt:i4>0</vt:i4>
      </vt:variant>
      <vt:variant>
        <vt:i4>5</vt:i4>
      </vt:variant>
      <vt:variant>
        <vt:lpwstr/>
      </vt:variant>
      <vt:variant>
        <vt:lpwstr>_Toc202966985</vt:lpwstr>
      </vt:variant>
      <vt:variant>
        <vt:i4>1048639</vt:i4>
      </vt:variant>
      <vt:variant>
        <vt:i4>1739</vt:i4>
      </vt:variant>
      <vt:variant>
        <vt:i4>0</vt:i4>
      </vt:variant>
      <vt:variant>
        <vt:i4>5</vt:i4>
      </vt:variant>
      <vt:variant>
        <vt:lpwstr/>
      </vt:variant>
      <vt:variant>
        <vt:lpwstr>_Toc202966984</vt:lpwstr>
      </vt:variant>
      <vt:variant>
        <vt:i4>1048639</vt:i4>
      </vt:variant>
      <vt:variant>
        <vt:i4>1733</vt:i4>
      </vt:variant>
      <vt:variant>
        <vt:i4>0</vt:i4>
      </vt:variant>
      <vt:variant>
        <vt:i4>5</vt:i4>
      </vt:variant>
      <vt:variant>
        <vt:lpwstr/>
      </vt:variant>
      <vt:variant>
        <vt:lpwstr>_Toc202966983</vt:lpwstr>
      </vt:variant>
      <vt:variant>
        <vt:i4>1048639</vt:i4>
      </vt:variant>
      <vt:variant>
        <vt:i4>1727</vt:i4>
      </vt:variant>
      <vt:variant>
        <vt:i4>0</vt:i4>
      </vt:variant>
      <vt:variant>
        <vt:i4>5</vt:i4>
      </vt:variant>
      <vt:variant>
        <vt:lpwstr/>
      </vt:variant>
      <vt:variant>
        <vt:lpwstr>_Toc202966982</vt:lpwstr>
      </vt:variant>
      <vt:variant>
        <vt:i4>1048639</vt:i4>
      </vt:variant>
      <vt:variant>
        <vt:i4>1721</vt:i4>
      </vt:variant>
      <vt:variant>
        <vt:i4>0</vt:i4>
      </vt:variant>
      <vt:variant>
        <vt:i4>5</vt:i4>
      </vt:variant>
      <vt:variant>
        <vt:lpwstr/>
      </vt:variant>
      <vt:variant>
        <vt:lpwstr>_Toc202966981</vt:lpwstr>
      </vt:variant>
      <vt:variant>
        <vt:i4>1048639</vt:i4>
      </vt:variant>
      <vt:variant>
        <vt:i4>1715</vt:i4>
      </vt:variant>
      <vt:variant>
        <vt:i4>0</vt:i4>
      </vt:variant>
      <vt:variant>
        <vt:i4>5</vt:i4>
      </vt:variant>
      <vt:variant>
        <vt:lpwstr/>
      </vt:variant>
      <vt:variant>
        <vt:lpwstr>_Toc202966980</vt:lpwstr>
      </vt:variant>
      <vt:variant>
        <vt:i4>2031679</vt:i4>
      </vt:variant>
      <vt:variant>
        <vt:i4>1709</vt:i4>
      </vt:variant>
      <vt:variant>
        <vt:i4>0</vt:i4>
      </vt:variant>
      <vt:variant>
        <vt:i4>5</vt:i4>
      </vt:variant>
      <vt:variant>
        <vt:lpwstr/>
      </vt:variant>
      <vt:variant>
        <vt:lpwstr>_Toc202966979</vt:lpwstr>
      </vt:variant>
      <vt:variant>
        <vt:i4>2031679</vt:i4>
      </vt:variant>
      <vt:variant>
        <vt:i4>1703</vt:i4>
      </vt:variant>
      <vt:variant>
        <vt:i4>0</vt:i4>
      </vt:variant>
      <vt:variant>
        <vt:i4>5</vt:i4>
      </vt:variant>
      <vt:variant>
        <vt:lpwstr/>
      </vt:variant>
      <vt:variant>
        <vt:lpwstr>_Toc202966978</vt:lpwstr>
      </vt:variant>
      <vt:variant>
        <vt:i4>2031679</vt:i4>
      </vt:variant>
      <vt:variant>
        <vt:i4>1697</vt:i4>
      </vt:variant>
      <vt:variant>
        <vt:i4>0</vt:i4>
      </vt:variant>
      <vt:variant>
        <vt:i4>5</vt:i4>
      </vt:variant>
      <vt:variant>
        <vt:lpwstr/>
      </vt:variant>
      <vt:variant>
        <vt:lpwstr>_Toc202966977</vt:lpwstr>
      </vt:variant>
      <vt:variant>
        <vt:i4>2031679</vt:i4>
      </vt:variant>
      <vt:variant>
        <vt:i4>1691</vt:i4>
      </vt:variant>
      <vt:variant>
        <vt:i4>0</vt:i4>
      </vt:variant>
      <vt:variant>
        <vt:i4>5</vt:i4>
      </vt:variant>
      <vt:variant>
        <vt:lpwstr/>
      </vt:variant>
      <vt:variant>
        <vt:lpwstr>_Toc202966976</vt:lpwstr>
      </vt:variant>
      <vt:variant>
        <vt:i4>2031679</vt:i4>
      </vt:variant>
      <vt:variant>
        <vt:i4>1685</vt:i4>
      </vt:variant>
      <vt:variant>
        <vt:i4>0</vt:i4>
      </vt:variant>
      <vt:variant>
        <vt:i4>5</vt:i4>
      </vt:variant>
      <vt:variant>
        <vt:lpwstr/>
      </vt:variant>
      <vt:variant>
        <vt:lpwstr>_Toc202966975</vt:lpwstr>
      </vt:variant>
      <vt:variant>
        <vt:i4>2031679</vt:i4>
      </vt:variant>
      <vt:variant>
        <vt:i4>1679</vt:i4>
      </vt:variant>
      <vt:variant>
        <vt:i4>0</vt:i4>
      </vt:variant>
      <vt:variant>
        <vt:i4>5</vt:i4>
      </vt:variant>
      <vt:variant>
        <vt:lpwstr/>
      </vt:variant>
      <vt:variant>
        <vt:lpwstr>_Toc202966974</vt:lpwstr>
      </vt:variant>
      <vt:variant>
        <vt:i4>2031679</vt:i4>
      </vt:variant>
      <vt:variant>
        <vt:i4>1673</vt:i4>
      </vt:variant>
      <vt:variant>
        <vt:i4>0</vt:i4>
      </vt:variant>
      <vt:variant>
        <vt:i4>5</vt:i4>
      </vt:variant>
      <vt:variant>
        <vt:lpwstr/>
      </vt:variant>
      <vt:variant>
        <vt:lpwstr>_Toc202966973</vt:lpwstr>
      </vt:variant>
      <vt:variant>
        <vt:i4>2031679</vt:i4>
      </vt:variant>
      <vt:variant>
        <vt:i4>1667</vt:i4>
      </vt:variant>
      <vt:variant>
        <vt:i4>0</vt:i4>
      </vt:variant>
      <vt:variant>
        <vt:i4>5</vt:i4>
      </vt:variant>
      <vt:variant>
        <vt:lpwstr/>
      </vt:variant>
      <vt:variant>
        <vt:lpwstr>_Toc202966972</vt:lpwstr>
      </vt:variant>
      <vt:variant>
        <vt:i4>2031679</vt:i4>
      </vt:variant>
      <vt:variant>
        <vt:i4>1661</vt:i4>
      </vt:variant>
      <vt:variant>
        <vt:i4>0</vt:i4>
      </vt:variant>
      <vt:variant>
        <vt:i4>5</vt:i4>
      </vt:variant>
      <vt:variant>
        <vt:lpwstr/>
      </vt:variant>
      <vt:variant>
        <vt:lpwstr>_Toc202966971</vt:lpwstr>
      </vt:variant>
      <vt:variant>
        <vt:i4>2031679</vt:i4>
      </vt:variant>
      <vt:variant>
        <vt:i4>1655</vt:i4>
      </vt:variant>
      <vt:variant>
        <vt:i4>0</vt:i4>
      </vt:variant>
      <vt:variant>
        <vt:i4>5</vt:i4>
      </vt:variant>
      <vt:variant>
        <vt:lpwstr/>
      </vt:variant>
      <vt:variant>
        <vt:lpwstr>_Toc202966970</vt:lpwstr>
      </vt:variant>
      <vt:variant>
        <vt:i4>1966143</vt:i4>
      </vt:variant>
      <vt:variant>
        <vt:i4>1649</vt:i4>
      </vt:variant>
      <vt:variant>
        <vt:i4>0</vt:i4>
      </vt:variant>
      <vt:variant>
        <vt:i4>5</vt:i4>
      </vt:variant>
      <vt:variant>
        <vt:lpwstr/>
      </vt:variant>
      <vt:variant>
        <vt:lpwstr>_Toc202966969</vt:lpwstr>
      </vt:variant>
      <vt:variant>
        <vt:i4>1966143</vt:i4>
      </vt:variant>
      <vt:variant>
        <vt:i4>1643</vt:i4>
      </vt:variant>
      <vt:variant>
        <vt:i4>0</vt:i4>
      </vt:variant>
      <vt:variant>
        <vt:i4>5</vt:i4>
      </vt:variant>
      <vt:variant>
        <vt:lpwstr/>
      </vt:variant>
      <vt:variant>
        <vt:lpwstr>_Toc202966968</vt:lpwstr>
      </vt:variant>
      <vt:variant>
        <vt:i4>1966143</vt:i4>
      </vt:variant>
      <vt:variant>
        <vt:i4>1637</vt:i4>
      </vt:variant>
      <vt:variant>
        <vt:i4>0</vt:i4>
      </vt:variant>
      <vt:variant>
        <vt:i4>5</vt:i4>
      </vt:variant>
      <vt:variant>
        <vt:lpwstr/>
      </vt:variant>
      <vt:variant>
        <vt:lpwstr>_Toc202966967</vt:lpwstr>
      </vt:variant>
      <vt:variant>
        <vt:i4>1966143</vt:i4>
      </vt:variant>
      <vt:variant>
        <vt:i4>1631</vt:i4>
      </vt:variant>
      <vt:variant>
        <vt:i4>0</vt:i4>
      </vt:variant>
      <vt:variant>
        <vt:i4>5</vt:i4>
      </vt:variant>
      <vt:variant>
        <vt:lpwstr/>
      </vt:variant>
      <vt:variant>
        <vt:lpwstr>_Toc202966966</vt:lpwstr>
      </vt:variant>
      <vt:variant>
        <vt:i4>1966143</vt:i4>
      </vt:variant>
      <vt:variant>
        <vt:i4>1625</vt:i4>
      </vt:variant>
      <vt:variant>
        <vt:i4>0</vt:i4>
      </vt:variant>
      <vt:variant>
        <vt:i4>5</vt:i4>
      </vt:variant>
      <vt:variant>
        <vt:lpwstr/>
      </vt:variant>
      <vt:variant>
        <vt:lpwstr>_Toc202966965</vt:lpwstr>
      </vt:variant>
      <vt:variant>
        <vt:i4>1966143</vt:i4>
      </vt:variant>
      <vt:variant>
        <vt:i4>1619</vt:i4>
      </vt:variant>
      <vt:variant>
        <vt:i4>0</vt:i4>
      </vt:variant>
      <vt:variant>
        <vt:i4>5</vt:i4>
      </vt:variant>
      <vt:variant>
        <vt:lpwstr/>
      </vt:variant>
      <vt:variant>
        <vt:lpwstr>_Toc202966964</vt:lpwstr>
      </vt:variant>
      <vt:variant>
        <vt:i4>1966143</vt:i4>
      </vt:variant>
      <vt:variant>
        <vt:i4>1613</vt:i4>
      </vt:variant>
      <vt:variant>
        <vt:i4>0</vt:i4>
      </vt:variant>
      <vt:variant>
        <vt:i4>5</vt:i4>
      </vt:variant>
      <vt:variant>
        <vt:lpwstr/>
      </vt:variant>
      <vt:variant>
        <vt:lpwstr>_Toc202966963</vt:lpwstr>
      </vt:variant>
      <vt:variant>
        <vt:i4>1966143</vt:i4>
      </vt:variant>
      <vt:variant>
        <vt:i4>1607</vt:i4>
      </vt:variant>
      <vt:variant>
        <vt:i4>0</vt:i4>
      </vt:variant>
      <vt:variant>
        <vt:i4>5</vt:i4>
      </vt:variant>
      <vt:variant>
        <vt:lpwstr/>
      </vt:variant>
      <vt:variant>
        <vt:lpwstr>_Toc202966962</vt:lpwstr>
      </vt:variant>
      <vt:variant>
        <vt:i4>1966143</vt:i4>
      </vt:variant>
      <vt:variant>
        <vt:i4>1601</vt:i4>
      </vt:variant>
      <vt:variant>
        <vt:i4>0</vt:i4>
      </vt:variant>
      <vt:variant>
        <vt:i4>5</vt:i4>
      </vt:variant>
      <vt:variant>
        <vt:lpwstr/>
      </vt:variant>
      <vt:variant>
        <vt:lpwstr>_Toc202966961</vt:lpwstr>
      </vt:variant>
      <vt:variant>
        <vt:i4>1966143</vt:i4>
      </vt:variant>
      <vt:variant>
        <vt:i4>1595</vt:i4>
      </vt:variant>
      <vt:variant>
        <vt:i4>0</vt:i4>
      </vt:variant>
      <vt:variant>
        <vt:i4>5</vt:i4>
      </vt:variant>
      <vt:variant>
        <vt:lpwstr/>
      </vt:variant>
      <vt:variant>
        <vt:lpwstr>_Toc202966960</vt:lpwstr>
      </vt:variant>
      <vt:variant>
        <vt:i4>1900607</vt:i4>
      </vt:variant>
      <vt:variant>
        <vt:i4>1589</vt:i4>
      </vt:variant>
      <vt:variant>
        <vt:i4>0</vt:i4>
      </vt:variant>
      <vt:variant>
        <vt:i4>5</vt:i4>
      </vt:variant>
      <vt:variant>
        <vt:lpwstr/>
      </vt:variant>
      <vt:variant>
        <vt:lpwstr>_Toc202966959</vt:lpwstr>
      </vt:variant>
      <vt:variant>
        <vt:i4>1900607</vt:i4>
      </vt:variant>
      <vt:variant>
        <vt:i4>1583</vt:i4>
      </vt:variant>
      <vt:variant>
        <vt:i4>0</vt:i4>
      </vt:variant>
      <vt:variant>
        <vt:i4>5</vt:i4>
      </vt:variant>
      <vt:variant>
        <vt:lpwstr/>
      </vt:variant>
      <vt:variant>
        <vt:lpwstr>_Toc202966958</vt:lpwstr>
      </vt:variant>
      <vt:variant>
        <vt:i4>1900607</vt:i4>
      </vt:variant>
      <vt:variant>
        <vt:i4>1577</vt:i4>
      </vt:variant>
      <vt:variant>
        <vt:i4>0</vt:i4>
      </vt:variant>
      <vt:variant>
        <vt:i4>5</vt:i4>
      </vt:variant>
      <vt:variant>
        <vt:lpwstr/>
      </vt:variant>
      <vt:variant>
        <vt:lpwstr>_Toc202966957</vt:lpwstr>
      </vt:variant>
      <vt:variant>
        <vt:i4>1900607</vt:i4>
      </vt:variant>
      <vt:variant>
        <vt:i4>1571</vt:i4>
      </vt:variant>
      <vt:variant>
        <vt:i4>0</vt:i4>
      </vt:variant>
      <vt:variant>
        <vt:i4>5</vt:i4>
      </vt:variant>
      <vt:variant>
        <vt:lpwstr/>
      </vt:variant>
      <vt:variant>
        <vt:lpwstr>_Toc202966956</vt:lpwstr>
      </vt:variant>
      <vt:variant>
        <vt:i4>1900607</vt:i4>
      </vt:variant>
      <vt:variant>
        <vt:i4>1565</vt:i4>
      </vt:variant>
      <vt:variant>
        <vt:i4>0</vt:i4>
      </vt:variant>
      <vt:variant>
        <vt:i4>5</vt:i4>
      </vt:variant>
      <vt:variant>
        <vt:lpwstr/>
      </vt:variant>
      <vt:variant>
        <vt:lpwstr>_Toc202966955</vt:lpwstr>
      </vt:variant>
      <vt:variant>
        <vt:i4>1900607</vt:i4>
      </vt:variant>
      <vt:variant>
        <vt:i4>1559</vt:i4>
      </vt:variant>
      <vt:variant>
        <vt:i4>0</vt:i4>
      </vt:variant>
      <vt:variant>
        <vt:i4>5</vt:i4>
      </vt:variant>
      <vt:variant>
        <vt:lpwstr/>
      </vt:variant>
      <vt:variant>
        <vt:lpwstr>_Toc202966954</vt:lpwstr>
      </vt:variant>
      <vt:variant>
        <vt:i4>1900607</vt:i4>
      </vt:variant>
      <vt:variant>
        <vt:i4>1553</vt:i4>
      </vt:variant>
      <vt:variant>
        <vt:i4>0</vt:i4>
      </vt:variant>
      <vt:variant>
        <vt:i4>5</vt:i4>
      </vt:variant>
      <vt:variant>
        <vt:lpwstr/>
      </vt:variant>
      <vt:variant>
        <vt:lpwstr>_Toc202966953</vt:lpwstr>
      </vt:variant>
      <vt:variant>
        <vt:i4>1900607</vt:i4>
      </vt:variant>
      <vt:variant>
        <vt:i4>1547</vt:i4>
      </vt:variant>
      <vt:variant>
        <vt:i4>0</vt:i4>
      </vt:variant>
      <vt:variant>
        <vt:i4>5</vt:i4>
      </vt:variant>
      <vt:variant>
        <vt:lpwstr/>
      </vt:variant>
      <vt:variant>
        <vt:lpwstr>_Toc202966952</vt:lpwstr>
      </vt:variant>
      <vt:variant>
        <vt:i4>1900607</vt:i4>
      </vt:variant>
      <vt:variant>
        <vt:i4>1541</vt:i4>
      </vt:variant>
      <vt:variant>
        <vt:i4>0</vt:i4>
      </vt:variant>
      <vt:variant>
        <vt:i4>5</vt:i4>
      </vt:variant>
      <vt:variant>
        <vt:lpwstr/>
      </vt:variant>
      <vt:variant>
        <vt:lpwstr>_Toc202966951</vt:lpwstr>
      </vt:variant>
      <vt:variant>
        <vt:i4>1900607</vt:i4>
      </vt:variant>
      <vt:variant>
        <vt:i4>1535</vt:i4>
      </vt:variant>
      <vt:variant>
        <vt:i4>0</vt:i4>
      </vt:variant>
      <vt:variant>
        <vt:i4>5</vt:i4>
      </vt:variant>
      <vt:variant>
        <vt:lpwstr/>
      </vt:variant>
      <vt:variant>
        <vt:lpwstr>_Toc202966950</vt:lpwstr>
      </vt:variant>
      <vt:variant>
        <vt:i4>1835071</vt:i4>
      </vt:variant>
      <vt:variant>
        <vt:i4>1529</vt:i4>
      </vt:variant>
      <vt:variant>
        <vt:i4>0</vt:i4>
      </vt:variant>
      <vt:variant>
        <vt:i4>5</vt:i4>
      </vt:variant>
      <vt:variant>
        <vt:lpwstr/>
      </vt:variant>
      <vt:variant>
        <vt:lpwstr>_Toc202966949</vt:lpwstr>
      </vt:variant>
      <vt:variant>
        <vt:i4>1835071</vt:i4>
      </vt:variant>
      <vt:variant>
        <vt:i4>1523</vt:i4>
      </vt:variant>
      <vt:variant>
        <vt:i4>0</vt:i4>
      </vt:variant>
      <vt:variant>
        <vt:i4>5</vt:i4>
      </vt:variant>
      <vt:variant>
        <vt:lpwstr/>
      </vt:variant>
      <vt:variant>
        <vt:lpwstr>_Toc202966948</vt:lpwstr>
      </vt:variant>
      <vt:variant>
        <vt:i4>1835071</vt:i4>
      </vt:variant>
      <vt:variant>
        <vt:i4>1517</vt:i4>
      </vt:variant>
      <vt:variant>
        <vt:i4>0</vt:i4>
      </vt:variant>
      <vt:variant>
        <vt:i4>5</vt:i4>
      </vt:variant>
      <vt:variant>
        <vt:lpwstr/>
      </vt:variant>
      <vt:variant>
        <vt:lpwstr>_Toc202966947</vt:lpwstr>
      </vt:variant>
      <vt:variant>
        <vt:i4>1835071</vt:i4>
      </vt:variant>
      <vt:variant>
        <vt:i4>1511</vt:i4>
      </vt:variant>
      <vt:variant>
        <vt:i4>0</vt:i4>
      </vt:variant>
      <vt:variant>
        <vt:i4>5</vt:i4>
      </vt:variant>
      <vt:variant>
        <vt:lpwstr/>
      </vt:variant>
      <vt:variant>
        <vt:lpwstr>_Toc202966946</vt:lpwstr>
      </vt:variant>
      <vt:variant>
        <vt:i4>7733289</vt:i4>
      </vt:variant>
      <vt:variant>
        <vt:i4>1506</vt:i4>
      </vt:variant>
      <vt:variant>
        <vt:i4>0</vt:i4>
      </vt:variant>
      <vt:variant>
        <vt:i4>5</vt:i4>
      </vt:variant>
      <vt:variant>
        <vt:lpwstr>https://eur-lex.europa.eu/legal-content/PL/ALL/?uri=CELEX%3A52019DC0640</vt:lpwstr>
      </vt:variant>
      <vt:variant>
        <vt:lpwstr/>
      </vt:variant>
      <vt:variant>
        <vt:i4>1769542</vt:i4>
      </vt:variant>
      <vt:variant>
        <vt:i4>1503</vt:i4>
      </vt:variant>
      <vt:variant>
        <vt:i4>0</vt:i4>
      </vt:variant>
      <vt:variant>
        <vt:i4>5</vt:i4>
      </vt:variant>
      <vt:variant>
        <vt:lpwstr>https://eur-lex.europa.eu/legal-content/PL/ALL/?uri=CELEX:32024R3012</vt:lpwstr>
      </vt:variant>
      <vt:variant>
        <vt:lpwstr/>
      </vt:variant>
      <vt:variant>
        <vt:i4>7274498</vt:i4>
      </vt:variant>
      <vt:variant>
        <vt:i4>1500</vt:i4>
      </vt:variant>
      <vt:variant>
        <vt:i4>0</vt:i4>
      </vt:variant>
      <vt:variant>
        <vt:i4>5</vt:i4>
      </vt:variant>
      <vt:variant>
        <vt:lpwstr>https://eur-lex.europa.eu/legal-content/PL/ALL/?uri=OJ:L_202401991</vt:lpwstr>
      </vt:variant>
      <vt:variant>
        <vt:lpwstr/>
      </vt:variant>
      <vt:variant>
        <vt:i4>3604606</vt:i4>
      </vt:variant>
      <vt:variant>
        <vt:i4>1497</vt:i4>
      </vt:variant>
      <vt:variant>
        <vt:i4>0</vt:i4>
      </vt:variant>
      <vt:variant>
        <vt:i4>5</vt:i4>
      </vt:variant>
      <vt:variant>
        <vt:lpwstr>https://eur-lex.europa.eu/eli/reg/2024/1787</vt:lpwstr>
      </vt:variant>
      <vt:variant>
        <vt:lpwstr/>
      </vt:variant>
      <vt:variant>
        <vt:i4>3932286</vt:i4>
      </vt:variant>
      <vt:variant>
        <vt:i4>1494</vt:i4>
      </vt:variant>
      <vt:variant>
        <vt:i4>0</vt:i4>
      </vt:variant>
      <vt:variant>
        <vt:i4>5</vt:i4>
      </vt:variant>
      <vt:variant>
        <vt:lpwstr>https://eur-lex.europa.eu/eli/reg/2024/1735</vt:lpwstr>
      </vt:variant>
      <vt:variant>
        <vt:lpwstr/>
      </vt:variant>
      <vt:variant>
        <vt:i4>8323176</vt:i4>
      </vt:variant>
      <vt:variant>
        <vt:i4>1491</vt:i4>
      </vt:variant>
      <vt:variant>
        <vt:i4>0</vt:i4>
      </vt:variant>
      <vt:variant>
        <vt:i4>5</vt:i4>
      </vt:variant>
      <vt:variant>
        <vt:lpwstr>https://eur-lex.europa.eu/eli/reg/2024/1679/oj/eng</vt:lpwstr>
      </vt:variant>
      <vt:variant>
        <vt:lpwstr/>
      </vt:variant>
      <vt:variant>
        <vt:i4>6946919</vt:i4>
      </vt:variant>
      <vt:variant>
        <vt:i4>1488</vt:i4>
      </vt:variant>
      <vt:variant>
        <vt:i4>0</vt:i4>
      </vt:variant>
      <vt:variant>
        <vt:i4>5</vt:i4>
      </vt:variant>
      <vt:variant>
        <vt:lpwstr>https://eur-lex.europa.eu/legal-content/PL/TXT/?uri=CELEX%3A32024R1252</vt:lpwstr>
      </vt:variant>
      <vt:variant>
        <vt:lpwstr/>
      </vt:variant>
      <vt:variant>
        <vt:i4>786457</vt:i4>
      </vt:variant>
      <vt:variant>
        <vt:i4>1485</vt:i4>
      </vt:variant>
      <vt:variant>
        <vt:i4>0</vt:i4>
      </vt:variant>
      <vt:variant>
        <vt:i4>5</vt:i4>
      </vt:variant>
      <vt:variant>
        <vt:lpwstr>https://eur-lex.europa.eu/legal-content/PL/TXT/PDF/?uri=CELEX:32023R0957</vt:lpwstr>
      </vt:variant>
      <vt:variant>
        <vt:lpwstr/>
      </vt:variant>
      <vt:variant>
        <vt:i4>5898323</vt:i4>
      </vt:variant>
      <vt:variant>
        <vt:i4>1482</vt:i4>
      </vt:variant>
      <vt:variant>
        <vt:i4>0</vt:i4>
      </vt:variant>
      <vt:variant>
        <vt:i4>5</vt:i4>
      </vt:variant>
      <vt:variant>
        <vt:lpwstr>https://eur-lex.europa.eu/eli/reg/2023/955/oj</vt:lpwstr>
      </vt:variant>
      <vt:variant>
        <vt:lpwstr/>
      </vt:variant>
      <vt:variant>
        <vt:i4>1638486</vt:i4>
      </vt:variant>
      <vt:variant>
        <vt:i4>1479</vt:i4>
      </vt:variant>
      <vt:variant>
        <vt:i4>0</vt:i4>
      </vt:variant>
      <vt:variant>
        <vt:i4>5</vt:i4>
      </vt:variant>
      <vt:variant>
        <vt:lpwstr>https://eur-lex.europa.eu/legal-content/PL/TXT/?uri=CELEX:32023R1805</vt:lpwstr>
      </vt:variant>
      <vt:variant>
        <vt:lpwstr/>
      </vt:variant>
      <vt:variant>
        <vt:i4>3670059</vt:i4>
      </vt:variant>
      <vt:variant>
        <vt:i4>1476</vt:i4>
      </vt:variant>
      <vt:variant>
        <vt:i4>0</vt:i4>
      </vt:variant>
      <vt:variant>
        <vt:i4>5</vt:i4>
      </vt:variant>
      <vt:variant>
        <vt:lpwstr>https://eur-lex.europa.eu/legal-content/PL/TXT/?uri=CELEX:32023R2405&amp;qid=1701689763262</vt:lpwstr>
      </vt:variant>
      <vt:variant>
        <vt:lpwstr/>
      </vt:variant>
      <vt:variant>
        <vt:i4>7143521</vt:i4>
      </vt:variant>
      <vt:variant>
        <vt:i4>1473</vt:i4>
      </vt:variant>
      <vt:variant>
        <vt:i4>0</vt:i4>
      </vt:variant>
      <vt:variant>
        <vt:i4>5</vt:i4>
      </vt:variant>
      <vt:variant>
        <vt:lpwstr>https://eur-lex.europa.eu/legal-content/PL/TXT/?uri=CELEX%3A32023R1542</vt:lpwstr>
      </vt:variant>
      <vt:variant>
        <vt:lpwstr/>
      </vt:variant>
      <vt:variant>
        <vt:i4>6684773</vt:i4>
      </vt:variant>
      <vt:variant>
        <vt:i4>1470</vt:i4>
      </vt:variant>
      <vt:variant>
        <vt:i4>0</vt:i4>
      </vt:variant>
      <vt:variant>
        <vt:i4>5</vt:i4>
      </vt:variant>
      <vt:variant>
        <vt:lpwstr>https://eur-lex.europa.eu/legal-content/PL/TXT/?uri=CELEX%3A32023R1804</vt:lpwstr>
      </vt:variant>
      <vt:variant>
        <vt:lpwstr/>
      </vt:variant>
      <vt:variant>
        <vt:i4>6619233</vt:i4>
      </vt:variant>
      <vt:variant>
        <vt:i4>1467</vt:i4>
      </vt:variant>
      <vt:variant>
        <vt:i4>0</vt:i4>
      </vt:variant>
      <vt:variant>
        <vt:i4>5</vt:i4>
      </vt:variant>
      <vt:variant>
        <vt:lpwstr>https://eur-lex.europa.eu/legal-content/PL/TXT/?uri=CELEX%3A32023R0857</vt:lpwstr>
      </vt:variant>
      <vt:variant>
        <vt:lpwstr/>
      </vt:variant>
      <vt:variant>
        <vt:i4>7012455</vt:i4>
      </vt:variant>
      <vt:variant>
        <vt:i4>1464</vt:i4>
      </vt:variant>
      <vt:variant>
        <vt:i4>0</vt:i4>
      </vt:variant>
      <vt:variant>
        <vt:i4>5</vt:i4>
      </vt:variant>
      <vt:variant>
        <vt:lpwstr>https://eur-lex.europa.eu/legal-content/PL/TXT/?uri=CELEX%3A32023R0839</vt:lpwstr>
      </vt:variant>
      <vt:variant>
        <vt:lpwstr/>
      </vt:variant>
      <vt:variant>
        <vt:i4>2031709</vt:i4>
      </vt:variant>
      <vt:variant>
        <vt:i4>1461</vt:i4>
      </vt:variant>
      <vt:variant>
        <vt:i4>0</vt:i4>
      </vt:variant>
      <vt:variant>
        <vt:i4>5</vt:i4>
      </vt:variant>
      <vt:variant>
        <vt:lpwstr>https://eur-lex.europa.eu/legal-content/PL/TXT/?uri=CELEX:32022R2299</vt:lpwstr>
      </vt:variant>
      <vt:variant>
        <vt:lpwstr/>
      </vt:variant>
      <vt:variant>
        <vt:i4>7012451</vt:i4>
      </vt:variant>
      <vt:variant>
        <vt:i4>1458</vt:i4>
      </vt:variant>
      <vt:variant>
        <vt:i4>0</vt:i4>
      </vt:variant>
      <vt:variant>
        <vt:i4>5</vt:i4>
      </vt:variant>
      <vt:variant>
        <vt:lpwstr>https://eur-lex.europa.eu/legal-content/PL/TXT/?uri=celex%3A32022R0869</vt:lpwstr>
      </vt:variant>
      <vt:variant>
        <vt:lpwstr/>
      </vt:variant>
      <vt:variant>
        <vt:i4>1114177</vt:i4>
      </vt:variant>
      <vt:variant>
        <vt:i4>1455</vt:i4>
      </vt:variant>
      <vt:variant>
        <vt:i4>0</vt:i4>
      </vt:variant>
      <vt:variant>
        <vt:i4>5</vt:i4>
      </vt:variant>
      <vt:variant>
        <vt:lpwstr>https://eur-lex.europa.eu/legal-content/PL/ALL/?uri=CELEX:32021R1119</vt:lpwstr>
      </vt:variant>
      <vt:variant>
        <vt:lpwstr/>
      </vt:variant>
      <vt:variant>
        <vt:i4>7012461</vt:i4>
      </vt:variant>
      <vt:variant>
        <vt:i4>1452</vt:i4>
      </vt:variant>
      <vt:variant>
        <vt:i4>0</vt:i4>
      </vt:variant>
      <vt:variant>
        <vt:i4>5</vt:i4>
      </vt:variant>
      <vt:variant>
        <vt:lpwstr>https://eur-lex.europa.eu/legal-content/pl/TXT/?uri=CELEX%3A32019R0331</vt:lpwstr>
      </vt:variant>
      <vt:variant>
        <vt:lpwstr/>
      </vt:variant>
      <vt:variant>
        <vt:i4>7209087</vt:i4>
      </vt:variant>
      <vt:variant>
        <vt:i4>1449</vt:i4>
      </vt:variant>
      <vt:variant>
        <vt:i4>0</vt:i4>
      </vt:variant>
      <vt:variant>
        <vt:i4>5</vt:i4>
      </vt:variant>
      <vt:variant>
        <vt:lpwstr>https://eur-lex.europa.eu/legal-content/PL/ALL/?uri=CELEX%3A32019R1842</vt:lpwstr>
      </vt:variant>
      <vt:variant>
        <vt:lpwstr/>
      </vt:variant>
      <vt:variant>
        <vt:i4>5046273</vt:i4>
      </vt:variant>
      <vt:variant>
        <vt:i4>1446</vt:i4>
      </vt:variant>
      <vt:variant>
        <vt:i4>0</vt:i4>
      </vt:variant>
      <vt:variant>
        <vt:i4>5</vt:i4>
      </vt:variant>
      <vt:variant>
        <vt:lpwstr>https://eur-lex.europa.eu/eli/reg/2018/1999/oj?locale=pl</vt:lpwstr>
      </vt:variant>
      <vt:variant>
        <vt:lpwstr/>
      </vt:variant>
      <vt:variant>
        <vt:i4>7143551</vt:i4>
      </vt:variant>
      <vt:variant>
        <vt:i4>1443</vt:i4>
      </vt:variant>
      <vt:variant>
        <vt:i4>0</vt:i4>
      </vt:variant>
      <vt:variant>
        <vt:i4>5</vt:i4>
      </vt:variant>
      <vt:variant>
        <vt:lpwstr>https://eur-lex.europa.eu/legal-content/PL/ALL/?uri=CELEX%3A32018R0841</vt:lpwstr>
      </vt:variant>
      <vt:variant>
        <vt:lpwstr/>
      </vt:variant>
      <vt:variant>
        <vt:i4>5046283</vt:i4>
      </vt:variant>
      <vt:variant>
        <vt:i4>1440</vt:i4>
      </vt:variant>
      <vt:variant>
        <vt:i4>0</vt:i4>
      </vt:variant>
      <vt:variant>
        <vt:i4>5</vt:i4>
      </vt:variant>
      <vt:variant>
        <vt:lpwstr>https://eur-lex.europa.eu/eli/reg/2017/1369/oj?locale=pl</vt:lpwstr>
      </vt:variant>
      <vt:variant>
        <vt:lpwstr/>
      </vt:variant>
      <vt:variant>
        <vt:i4>5832723</vt:i4>
      </vt:variant>
      <vt:variant>
        <vt:i4>1437</vt:i4>
      </vt:variant>
      <vt:variant>
        <vt:i4>0</vt:i4>
      </vt:variant>
      <vt:variant>
        <vt:i4>5</vt:i4>
      </vt:variant>
      <vt:variant>
        <vt:lpwstr>https://eur-lex.europa.eu/legal-content/PL/TXT/?uri=CELEX%3A32024L1275&amp;qid=1723469223172</vt:lpwstr>
      </vt:variant>
      <vt:variant>
        <vt:lpwstr/>
      </vt:variant>
      <vt:variant>
        <vt:i4>5898255</vt:i4>
      </vt:variant>
      <vt:variant>
        <vt:i4>1434</vt:i4>
      </vt:variant>
      <vt:variant>
        <vt:i4>0</vt:i4>
      </vt:variant>
      <vt:variant>
        <vt:i4>5</vt:i4>
      </vt:variant>
      <vt:variant>
        <vt:lpwstr>https://eur-lex.europa.eu/legal-content/EN/TXT/?uri=CELEX%3A32023L2413&amp;qid=1699364355105</vt:lpwstr>
      </vt:variant>
      <vt:variant>
        <vt:lpwstr/>
      </vt:variant>
      <vt:variant>
        <vt:i4>5111838</vt:i4>
      </vt:variant>
      <vt:variant>
        <vt:i4>1431</vt:i4>
      </vt:variant>
      <vt:variant>
        <vt:i4>0</vt:i4>
      </vt:variant>
      <vt:variant>
        <vt:i4>5</vt:i4>
      </vt:variant>
      <vt:variant>
        <vt:lpwstr>https://eur-lex.europa.eu/legal-content/EN/TXT/?uri=OJ%3AJOL_2023_231_R_0001&amp;qid=1695186598766</vt:lpwstr>
      </vt:variant>
      <vt:variant>
        <vt:lpwstr/>
      </vt:variant>
      <vt:variant>
        <vt:i4>7602273</vt:i4>
      </vt:variant>
      <vt:variant>
        <vt:i4>1428</vt:i4>
      </vt:variant>
      <vt:variant>
        <vt:i4>0</vt:i4>
      </vt:variant>
      <vt:variant>
        <vt:i4>5</vt:i4>
      </vt:variant>
      <vt:variant>
        <vt:lpwstr>https://eur-lex.europa.eu/legal-content/PL/TXT/?uri=CELEX%3A32023L0959</vt:lpwstr>
      </vt:variant>
      <vt:variant>
        <vt:lpwstr/>
      </vt:variant>
      <vt:variant>
        <vt:i4>720978</vt:i4>
      </vt:variant>
      <vt:variant>
        <vt:i4>1425</vt:i4>
      </vt:variant>
      <vt:variant>
        <vt:i4>0</vt:i4>
      </vt:variant>
      <vt:variant>
        <vt:i4>5</vt:i4>
      </vt:variant>
      <vt:variant>
        <vt:lpwstr>https://eur-lex.europa.eu/legal-content/PL/TXT/?uri=CELEX:32023L0958</vt:lpwstr>
      </vt:variant>
      <vt:variant>
        <vt:lpwstr/>
      </vt:variant>
      <vt:variant>
        <vt:i4>7405677</vt:i4>
      </vt:variant>
      <vt:variant>
        <vt:i4>1422</vt:i4>
      </vt:variant>
      <vt:variant>
        <vt:i4>0</vt:i4>
      </vt:variant>
      <vt:variant>
        <vt:i4>5</vt:i4>
      </vt:variant>
      <vt:variant>
        <vt:lpwstr>https://eur-lex.europa.eu/legal-content/PL/TXT/?uri=CELEX%3A32020L2184</vt:lpwstr>
      </vt:variant>
      <vt:variant>
        <vt:lpwstr/>
      </vt:variant>
      <vt:variant>
        <vt:i4>7798889</vt:i4>
      </vt:variant>
      <vt:variant>
        <vt:i4>1419</vt:i4>
      </vt:variant>
      <vt:variant>
        <vt:i4>0</vt:i4>
      </vt:variant>
      <vt:variant>
        <vt:i4>5</vt:i4>
      </vt:variant>
      <vt:variant>
        <vt:lpwstr>https://eur-lex.europa.eu/legal-content/pl/TXT/?uri=CELEX%3A32019L1161</vt:lpwstr>
      </vt:variant>
      <vt:variant>
        <vt:lpwstr/>
      </vt:variant>
      <vt:variant>
        <vt:i4>7798910</vt:i4>
      </vt:variant>
      <vt:variant>
        <vt:i4>1416</vt:i4>
      </vt:variant>
      <vt:variant>
        <vt:i4>0</vt:i4>
      </vt:variant>
      <vt:variant>
        <vt:i4>5</vt:i4>
      </vt:variant>
      <vt:variant>
        <vt:lpwstr>https://eur-lex.europa.eu/legal-content/PL/ALL/?uri=CELEX%3A32019L0944</vt:lpwstr>
      </vt:variant>
      <vt:variant>
        <vt:lpwstr/>
      </vt:variant>
      <vt:variant>
        <vt:i4>589897</vt:i4>
      </vt:variant>
      <vt:variant>
        <vt:i4>1413</vt:i4>
      </vt:variant>
      <vt:variant>
        <vt:i4>0</vt:i4>
      </vt:variant>
      <vt:variant>
        <vt:i4>5</vt:i4>
      </vt:variant>
      <vt:variant>
        <vt:lpwstr>https://eur-lex.europa.eu/legal-content/PL/ALL/?uri=CELEX:32019L0904</vt:lpwstr>
      </vt:variant>
      <vt:variant>
        <vt:lpwstr/>
      </vt:variant>
      <vt:variant>
        <vt:i4>7733357</vt:i4>
      </vt:variant>
      <vt:variant>
        <vt:i4>1410</vt:i4>
      </vt:variant>
      <vt:variant>
        <vt:i4>0</vt:i4>
      </vt:variant>
      <vt:variant>
        <vt:i4>5</vt:i4>
      </vt:variant>
      <vt:variant>
        <vt:lpwstr>https://eur-lex.europa.eu/legal-content/PL/TXT/?uri=celex%3A32018L2001</vt:lpwstr>
      </vt:variant>
      <vt:variant>
        <vt:lpwstr/>
      </vt:variant>
      <vt:variant>
        <vt:i4>7405675</vt:i4>
      </vt:variant>
      <vt:variant>
        <vt:i4>1407</vt:i4>
      </vt:variant>
      <vt:variant>
        <vt:i4>0</vt:i4>
      </vt:variant>
      <vt:variant>
        <vt:i4>5</vt:i4>
      </vt:variant>
      <vt:variant>
        <vt:lpwstr>https://eur-lex.europa.eu/legal-content/PL/TXT/?uri=CELEX%3A32016L2284</vt:lpwstr>
      </vt:variant>
      <vt:variant>
        <vt:lpwstr/>
      </vt:variant>
      <vt:variant>
        <vt:i4>6029407</vt:i4>
      </vt:variant>
      <vt:variant>
        <vt:i4>1404</vt:i4>
      </vt:variant>
      <vt:variant>
        <vt:i4>0</vt:i4>
      </vt:variant>
      <vt:variant>
        <vt:i4>5</vt:i4>
      </vt:variant>
      <vt:variant>
        <vt:lpwstr>https://eur-lex.europa.eu/eli/dir/2012/19/oj/pol</vt:lpwstr>
      </vt:variant>
      <vt:variant>
        <vt:lpwstr/>
      </vt:variant>
      <vt:variant>
        <vt:i4>786527</vt:i4>
      </vt:variant>
      <vt:variant>
        <vt:i4>1401</vt:i4>
      </vt:variant>
      <vt:variant>
        <vt:i4>0</vt:i4>
      </vt:variant>
      <vt:variant>
        <vt:i4>5</vt:i4>
      </vt:variant>
      <vt:variant>
        <vt:lpwstr>https://eur-lex.europa.eu/legal-content/PL/TXT/?uri=CELEX:32009L0125</vt:lpwstr>
      </vt:variant>
      <vt:variant>
        <vt:lpwstr/>
      </vt:variant>
      <vt:variant>
        <vt:i4>8257638</vt:i4>
      </vt:variant>
      <vt:variant>
        <vt:i4>1398</vt:i4>
      </vt:variant>
      <vt:variant>
        <vt:i4>0</vt:i4>
      </vt:variant>
      <vt:variant>
        <vt:i4>5</vt:i4>
      </vt:variant>
      <vt:variant>
        <vt:lpwstr>https://eur-lex.europa.eu/legal-content/PL/TXT/?uri=CELEX%3A32008L0098</vt:lpwstr>
      </vt:variant>
      <vt:variant>
        <vt:lpwstr/>
      </vt:variant>
      <vt:variant>
        <vt:i4>524377</vt:i4>
      </vt:variant>
      <vt:variant>
        <vt:i4>1395</vt:i4>
      </vt:variant>
      <vt:variant>
        <vt:i4>0</vt:i4>
      </vt:variant>
      <vt:variant>
        <vt:i4>5</vt:i4>
      </vt:variant>
      <vt:variant>
        <vt:lpwstr>https://eur-lex.europa.eu/legal-content/PL/TXT/?uri=CELEX:32008L0050</vt:lpwstr>
      </vt:variant>
      <vt:variant>
        <vt:lpwstr/>
      </vt:variant>
      <vt:variant>
        <vt:i4>8192115</vt:i4>
      </vt:variant>
      <vt:variant>
        <vt:i4>1392</vt:i4>
      </vt:variant>
      <vt:variant>
        <vt:i4>0</vt:i4>
      </vt:variant>
      <vt:variant>
        <vt:i4>5</vt:i4>
      </vt:variant>
      <vt:variant>
        <vt:lpwstr>https://eur-lex.europa.eu/legal-content/PL/ALL/?uri=CELEX%3A32006L0066</vt:lpwstr>
      </vt:variant>
      <vt:variant>
        <vt:lpwstr/>
      </vt:variant>
      <vt:variant>
        <vt:i4>917584</vt:i4>
      </vt:variant>
      <vt:variant>
        <vt:i4>1389</vt:i4>
      </vt:variant>
      <vt:variant>
        <vt:i4>0</vt:i4>
      </vt:variant>
      <vt:variant>
        <vt:i4>5</vt:i4>
      </vt:variant>
      <vt:variant>
        <vt:lpwstr>https://eur-lex.europa.eu/legal-content/PL/TXT/?uri=CELEX:32004L0107</vt:lpwstr>
      </vt:variant>
      <vt:variant>
        <vt:lpwstr/>
      </vt:variant>
      <vt:variant>
        <vt:i4>7733345</vt:i4>
      </vt:variant>
      <vt:variant>
        <vt:i4>1386</vt:i4>
      </vt:variant>
      <vt:variant>
        <vt:i4>0</vt:i4>
      </vt:variant>
      <vt:variant>
        <vt:i4>5</vt:i4>
      </vt:variant>
      <vt:variant>
        <vt:lpwstr>https://eur-lex.europa.eu/legal-content/PL/TXT/?uri=celex%3A32000L0060</vt:lpwstr>
      </vt:variant>
      <vt:variant>
        <vt:lpwstr/>
      </vt:variant>
      <vt:variant>
        <vt:i4>4259845</vt:i4>
      </vt:variant>
      <vt:variant>
        <vt:i4>1383</vt:i4>
      </vt:variant>
      <vt:variant>
        <vt:i4>0</vt:i4>
      </vt:variant>
      <vt:variant>
        <vt:i4>5</vt:i4>
      </vt:variant>
      <vt:variant>
        <vt:lpwstr>https://eur-lex.europa.eu/legal-content/PL/TXT/PDF/?uri=CELEX:02000L0053-20200306&amp;from=EN</vt:lpwstr>
      </vt:variant>
      <vt:variant>
        <vt:lpwstr/>
      </vt:variant>
      <vt:variant>
        <vt:i4>4718596</vt:i4>
      </vt:variant>
      <vt:variant>
        <vt:i4>1380</vt:i4>
      </vt:variant>
      <vt:variant>
        <vt:i4>0</vt:i4>
      </vt:variant>
      <vt:variant>
        <vt:i4>5</vt:i4>
      </vt:variant>
      <vt:variant>
        <vt:lpwstr>https://eur-lex.europa.eu/legal-content/PL/TXT/PDF/?uri=CELEX:01999L0031-20031120&amp;from=EN</vt:lpwstr>
      </vt:variant>
      <vt:variant>
        <vt:lpwstr/>
      </vt:variant>
      <vt:variant>
        <vt:i4>8126544</vt:i4>
      </vt:variant>
      <vt:variant>
        <vt:i4>1377</vt:i4>
      </vt:variant>
      <vt:variant>
        <vt:i4>0</vt:i4>
      </vt:variant>
      <vt:variant>
        <vt:i4>5</vt:i4>
      </vt:variant>
      <vt:variant>
        <vt:lpwstr>https://eur-lex.europa.eu/legal-content/PL/TXT/PDF/?uri=OJ:L_202500040</vt:lpwstr>
      </vt:variant>
      <vt:variant>
        <vt:lpwstr/>
      </vt:variant>
      <vt:variant>
        <vt:i4>6160389</vt:i4>
      </vt:variant>
      <vt:variant>
        <vt:i4>1374</vt:i4>
      </vt:variant>
      <vt:variant>
        <vt:i4>0</vt:i4>
      </vt:variant>
      <vt:variant>
        <vt:i4>5</vt:i4>
      </vt:variant>
      <vt:variant>
        <vt:lpwstr>https://eur-lex.europa.eu/legal-content/PL/TXT/PDF/?uri=CELEX:01994L0062-20180704&amp;from=RO</vt:lpwstr>
      </vt:variant>
      <vt:variant>
        <vt:lpwstr/>
      </vt:variant>
      <vt:variant>
        <vt:i4>4522062</vt:i4>
      </vt:variant>
      <vt:variant>
        <vt:i4>1353</vt:i4>
      </vt:variant>
      <vt:variant>
        <vt:i4>0</vt:i4>
      </vt:variant>
      <vt:variant>
        <vt:i4>5</vt:i4>
      </vt:variant>
      <vt:variant>
        <vt:lpwstr>https://sherpa.zmaik.pl/</vt:lpwstr>
      </vt:variant>
      <vt:variant>
        <vt:lpwstr/>
      </vt:variant>
      <vt:variant>
        <vt:i4>1835071</vt:i4>
      </vt:variant>
      <vt:variant>
        <vt:i4>434</vt:i4>
      </vt:variant>
      <vt:variant>
        <vt:i4>0</vt:i4>
      </vt:variant>
      <vt:variant>
        <vt:i4>5</vt:i4>
      </vt:variant>
      <vt:variant>
        <vt:lpwstr/>
      </vt:variant>
      <vt:variant>
        <vt:lpwstr>_Toc202966945</vt:lpwstr>
      </vt:variant>
      <vt:variant>
        <vt:i4>1835071</vt:i4>
      </vt:variant>
      <vt:variant>
        <vt:i4>428</vt:i4>
      </vt:variant>
      <vt:variant>
        <vt:i4>0</vt:i4>
      </vt:variant>
      <vt:variant>
        <vt:i4>5</vt:i4>
      </vt:variant>
      <vt:variant>
        <vt:lpwstr/>
      </vt:variant>
      <vt:variant>
        <vt:lpwstr>_Toc202966944</vt:lpwstr>
      </vt:variant>
      <vt:variant>
        <vt:i4>1835071</vt:i4>
      </vt:variant>
      <vt:variant>
        <vt:i4>422</vt:i4>
      </vt:variant>
      <vt:variant>
        <vt:i4>0</vt:i4>
      </vt:variant>
      <vt:variant>
        <vt:i4>5</vt:i4>
      </vt:variant>
      <vt:variant>
        <vt:lpwstr/>
      </vt:variant>
      <vt:variant>
        <vt:lpwstr>_Toc202966943</vt:lpwstr>
      </vt:variant>
      <vt:variant>
        <vt:i4>1835071</vt:i4>
      </vt:variant>
      <vt:variant>
        <vt:i4>416</vt:i4>
      </vt:variant>
      <vt:variant>
        <vt:i4>0</vt:i4>
      </vt:variant>
      <vt:variant>
        <vt:i4>5</vt:i4>
      </vt:variant>
      <vt:variant>
        <vt:lpwstr/>
      </vt:variant>
      <vt:variant>
        <vt:lpwstr>_Toc202966942</vt:lpwstr>
      </vt:variant>
      <vt:variant>
        <vt:i4>1835071</vt:i4>
      </vt:variant>
      <vt:variant>
        <vt:i4>410</vt:i4>
      </vt:variant>
      <vt:variant>
        <vt:i4>0</vt:i4>
      </vt:variant>
      <vt:variant>
        <vt:i4>5</vt:i4>
      </vt:variant>
      <vt:variant>
        <vt:lpwstr/>
      </vt:variant>
      <vt:variant>
        <vt:lpwstr>_Toc202966941</vt:lpwstr>
      </vt:variant>
      <vt:variant>
        <vt:i4>1835071</vt:i4>
      </vt:variant>
      <vt:variant>
        <vt:i4>404</vt:i4>
      </vt:variant>
      <vt:variant>
        <vt:i4>0</vt:i4>
      </vt:variant>
      <vt:variant>
        <vt:i4>5</vt:i4>
      </vt:variant>
      <vt:variant>
        <vt:lpwstr/>
      </vt:variant>
      <vt:variant>
        <vt:lpwstr>_Toc202966940</vt:lpwstr>
      </vt:variant>
      <vt:variant>
        <vt:i4>1769535</vt:i4>
      </vt:variant>
      <vt:variant>
        <vt:i4>398</vt:i4>
      </vt:variant>
      <vt:variant>
        <vt:i4>0</vt:i4>
      </vt:variant>
      <vt:variant>
        <vt:i4>5</vt:i4>
      </vt:variant>
      <vt:variant>
        <vt:lpwstr/>
      </vt:variant>
      <vt:variant>
        <vt:lpwstr>_Toc202966939</vt:lpwstr>
      </vt:variant>
      <vt:variant>
        <vt:i4>1769535</vt:i4>
      </vt:variant>
      <vt:variant>
        <vt:i4>392</vt:i4>
      </vt:variant>
      <vt:variant>
        <vt:i4>0</vt:i4>
      </vt:variant>
      <vt:variant>
        <vt:i4>5</vt:i4>
      </vt:variant>
      <vt:variant>
        <vt:lpwstr/>
      </vt:variant>
      <vt:variant>
        <vt:lpwstr>_Toc202966938</vt:lpwstr>
      </vt:variant>
      <vt:variant>
        <vt:i4>1769535</vt:i4>
      </vt:variant>
      <vt:variant>
        <vt:i4>386</vt:i4>
      </vt:variant>
      <vt:variant>
        <vt:i4>0</vt:i4>
      </vt:variant>
      <vt:variant>
        <vt:i4>5</vt:i4>
      </vt:variant>
      <vt:variant>
        <vt:lpwstr/>
      </vt:variant>
      <vt:variant>
        <vt:lpwstr>_Toc202966937</vt:lpwstr>
      </vt:variant>
      <vt:variant>
        <vt:i4>1769535</vt:i4>
      </vt:variant>
      <vt:variant>
        <vt:i4>380</vt:i4>
      </vt:variant>
      <vt:variant>
        <vt:i4>0</vt:i4>
      </vt:variant>
      <vt:variant>
        <vt:i4>5</vt:i4>
      </vt:variant>
      <vt:variant>
        <vt:lpwstr/>
      </vt:variant>
      <vt:variant>
        <vt:lpwstr>_Toc202966936</vt:lpwstr>
      </vt:variant>
      <vt:variant>
        <vt:i4>1769535</vt:i4>
      </vt:variant>
      <vt:variant>
        <vt:i4>374</vt:i4>
      </vt:variant>
      <vt:variant>
        <vt:i4>0</vt:i4>
      </vt:variant>
      <vt:variant>
        <vt:i4>5</vt:i4>
      </vt:variant>
      <vt:variant>
        <vt:lpwstr/>
      </vt:variant>
      <vt:variant>
        <vt:lpwstr>_Toc202966935</vt:lpwstr>
      </vt:variant>
      <vt:variant>
        <vt:i4>1769535</vt:i4>
      </vt:variant>
      <vt:variant>
        <vt:i4>368</vt:i4>
      </vt:variant>
      <vt:variant>
        <vt:i4>0</vt:i4>
      </vt:variant>
      <vt:variant>
        <vt:i4>5</vt:i4>
      </vt:variant>
      <vt:variant>
        <vt:lpwstr/>
      </vt:variant>
      <vt:variant>
        <vt:lpwstr>_Toc202966934</vt:lpwstr>
      </vt:variant>
      <vt:variant>
        <vt:i4>1769535</vt:i4>
      </vt:variant>
      <vt:variant>
        <vt:i4>362</vt:i4>
      </vt:variant>
      <vt:variant>
        <vt:i4>0</vt:i4>
      </vt:variant>
      <vt:variant>
        <vt:i4>5</vt:i4>
      </vt:variant>
      <vt:variant>
        <vt:lpwstr/>
      </vt:variant>
      <vt:variant>
        <vt:lpwstr>_Toc202966933</vt:lpwstr>
      </vt:variant>
      <vt:variant>
        <vt:i4>1769535</vt:i4>
      </vt:variant>
      <vt:variant>
        <vt:i4>356</vt:i4>
      </vt:variant>
      <vt:variant>
        <vt:i4>0</vt:i4>
      </vt:variant>
      <vt:variant>
        <vt:i4>5</vt:i4>
      </vt:variant>
      <vt:variant>
        <vt:lpwstr/>
      </vt:variant>
      <vt:variant>
        <vt:lpwstr>_Toc202966932</vt:lpwstr>
      </vt:variant>
      <vt:variant>
        <vt:i4>1769535</vt:i4>
      </vt:variant>
      <vt:variant>
        <vt:i4>350</vt:i4>
      </vt:variant>
      <vt:variant>
        <vt:i4>0</vt:i4>
      </vt:variant>
      <vt:variant>
        <vt:i4>5</vt:i4>
      </vt:variant>
      <vt:variant>
        <vt:lpwstr/>
      </vt:variant>
      <vt:variant>
        <vt:lpwstr>_Toc202966931</vt:lpwstr>
      </vt:variant>
      <vt:variant>
        <vt:i4>1769535</vt:i4>
      </vt:variant>
      <vt:variant>
        <vt:i4>344</vt:i4>
      </vt:variant>
      <vt:variant>
        <vt:i4>0</vt:i4>
      </vt:variant>
      <vt:variant>
        <vt:i4>5</vt:i4>
      </vt:variant>
      <vt:variant>
        <vt:lpwstr/>
      </vt:variant>
      <vt:variant>
        <vt:lpwstr>_Toc202966930</vt:lpwstr>
      </vt:variant>
      <vt:variant>
        <vt:i4>1703999</vt:i4>
      </vt:variant>
      <vt:variant>
        <vt:i4>338</vt:i4>
      </vt:variant>
      <vt:variant>
        <vt:i4>0</vt:i4>
      </vt:variant>
      <vt:variant>
        <vt:i4>5</vt:i4>
      </vt:variant>
      <vt:variant>
        <vt:lpwstr/>
      </vt:variant>
      <vt:variant>
        <vt:lpwstr>_Toc202966929</vt:lpwstr>
      </vt:variant>
      <vt:variant>
        <vt:i4>1703999</vt:i4>
      </vt:variant>
      <vt:variant>
        <vt:i4>332</vt:i4>
      </vt:variant>
      <vt:variant>
        <vt:i4>0</vt:i4>
      </vt:variant>
      <vt:variant>
        <vt:i4>5</vt:i4>
      </vt:variant>
      <vt:variant>
        <vt:lpwstr/>
      </vt:variant>
      <vt:variant>
        <vt:lpwstr>_Toc202966928</vt:lpwstr>
      </vt:variant>
      <vt:variant>
        <vt:i4>1703999</vt:i4>
      </vt:variant>
      <vt:variant>
        <vt:i4>326</vt:i4>
      </vt:variant>
      <vt:variant>
        <vt:i4>0</vt:i4>
      </vt:variant>
      <vt:variant>
        <vt:i4>5</vt:i4>
      </vt:variant>
      <vt:variant>
        <vt:lpwstr/>
      </vt:variant>
      <vt:variant>
        <vt:lpwstr>_Toc202966927</vt:lpwstr>
      </vt:variant>
      <vt:variant>
        <vt:i4>1703999</vt:i4>
      </vt:variant>
      <vt:variant>
        <vt:i4>320</vt:i4>
      </vt:variant>
      <vt:variant>
        <vt:i4>0</vt:i4>
      </vt:variant>
      <vt:variant>
        <vt:i4>5</vt:i4>
      </vt:variant>
      <vt:variant>
        <vt:lpwstr/>
      </vt:variant>
      <vt:variant>
        <vt:lpwstr>_Toc202966926</vt:lpwstr>
      </vt:variant>
      <vt:variant>
        <vt:i4>1703999</vt:i4>
      </vt:variant>
      <vt:variant>
        <vt:i4>314</vt:i4>
      </vt:variant>
      <vt:variant>
        <vt:i4>0</vt:i4>
      </vt:variant>
      <vt:variant>
        <vt:i4>5</vt:i4>
      </vt:variant>
      <vt:variant>
        <vt:lpwstr/>
      </vt:variant>
      <vt:variant>
        <vt:lpwstr>_Toc202966925</vt:lpwstr>
      </vt:variant>
      <vt:variant>
        <vt:i4>1703999</vt:i4>
      </vt:variant>
      <vt:variant>
        <vt:i4>308</vt:i4>
      </vt:variant>
      <vt:variant>
        <vt:i4>0</vt:i4>
      </vt:variant>
      <vt:variant>
        <vt:i4>5</vt:i4>
      </vt:variant>
      <vt:variant>
        <vt:lpwstr/>
      </vt:variant>
      <vt:variant>
        <vt:lpwstr>_Toc202966924</vt:lpwstr>
      </vt:variant>
      <vt:variant>
        <vt:i4>1703999</vt:i4>
      </vt:variant>
      <vt:variant>
        <vt:i4>302</vt:i4>
      </vt:variant>
      <vt:variant>
        <vt:i4>0</vt:i4>
      </vt:variant>
      <vt:variant>
        <vt:i4>5</vt:i4>
      </vt:variant>
      <vt:variant>
        <vt:lpwstr/>
      </vt:variant>
      <vt:variant>
        <vt:lpwstr>_Toc202966923</vt:lpwstr>
      </vt:variant>
      <vt:variant>
        <vt:i4>1703999</vt:i4>
      </vt:variant>
      <vt:variant>
        <vt:i4>296</vt:i4>
      </vt:variant>
      <vt:variant>
        <vt:i4>0</vt:i4>
      </vt:variant>
      <vt:variant>
        <vt:i4>5</vt:i4>
      </vt:variant>
      <vt:variant>
        <vt:lpwstr/>
      </vt:variant>
      <vt:variant>
        <vt:lpwstr>_Toc202966922</vt:lpwstr>
      </vt:variant>
      <vt:variant>
        <vt:i4>1703999</vt:i4>
      </vt:variant>
      <vt:variant>
        <vt:i4>290</vt:i4>
      </vt:variant>
      <vt:variant>
        <vt:i4>0</vt:i4>
      </vt:variant>
      <vt:variant>
        <vt:i4>5</vt:i4>
      </vt:variant>
      <vt:variant>
        <vt:lpwstr/>
      </vt:variant>
      <vt:variant>
        <vt:lpwstr>_Toc202966921</vt:lpwstr>
      </vt:variant>
      <vt:variant>
        <vt:i4>1703999</vt:i4>
      </vt:variant>
      <vt:variant>
        <vt:i4>284</vt:i4>
      </vt:variant>
      <vt:variant>
        <vt:i4>0</vt:i4>
      </vt:variant>
      <vt:variant>
        <vt:i4>5</vt:i4>
      </vt:variant>
      <vt:variant>
        <vt:lpwstr/>
      </vt:variant>
      <vt:variant>
        <vt:lpwstr>_Toc202966920</vt:lpwstr>
      </vt:variant>
      <vt:variant>
        <vt:i4>1638463</vt:i4>
      </vt:variant>
      <vt:variant>
        <vt:i4>278</vt:i4>
      </vt:variant>
      <vt:variant>
        <vt:i4>0</vt:i4>
      </vt:variant>
      <vt:variant>
        <vt:i4>5</vt:i4>
      </vt:variant>
      <vt:variant>
        <vt:lpwstr/>
      </vt:variant>
      <vt:variant>
        <vt:lpwstr>_Toc202966919</vt:lpwstr>
      </vt:variant>
      <vt:variant>
        <vt:i4>1638463</vt:i4>
      </vt:variant>
      <vt:variant>
        <vt:i4>272</vt:i4>
      </vt:variant>
      <vt:variant>
        <vt:i4>0</vt:i4>
      </vt:variant>
      <vt:variant>
        <vt:i4>5</vt:i4>
      </vt:variant>
      <vt:variant>
        <vt:lpwstr/>
      </vt:variant>
      <vt:variant>
        <vt:lpwstr>_Toc202966918</vt:lpwstr>
      </vt:variant>
      <vt:variant>
        <vt:i4>1638463</vt:i4>
      </vt:variant>
      <vt:variant>
        <vt:i4>266</vt:i4>
      </vt:variant>
      <vt:variant>
        <vt:i4>0</vt:i4>
      </vt:variant>
      <vt:variant>
        <vt:i4>5</vt:i4>
      </vt:variant>
      <vt:variant>
        <vt:lpwstr/>
      </vt:variant>
      <vt:variant>
        <vt:lpwstr>_Toc202966917</vt:lpwstr>
      </vt:variant>
      <vt:variant>
        <vt:i4>1638463</vt:i4>
      </vt:variant>
      <vt:variant>
        <vt:i4>260</vt:i4>
      </vt:variant>
      <vt:variant>
        <vt:i4>0</vt:i4>
      </vt:variant>
      <vt:variant>
        <vt:i4>5</vt:i4>
      </vt:variant>
      <vt:variant>
        <vt:lpwstr/>
      </vt:variant>
      <vt:variant>
        <vt:lpwstr>_Toc202966916</vt:lpwstr>
      </vt:variant>
      <vt:variant>
        <vt:i4>1638463</vt:i4>
      </vt:variant>
      <vt:variant>
        <vt:i4>254</vt:i4>
      </vt:variant>
      <vt:variant>
        <vt:i4>0</vt:i4>
      </vt:variant>
      <vt:variant>
        <vt:i4>5</vt:i4>
      </vt:variant>
      <vt:variant>
        <vt:lpwstr/>
      </vt:variant>
      <vt:variant>
        <vt:lpwstr>_Toc202966915</vt:lpwstr>
      </vt:variant>
      <vt:variant>
        <vt:i4>1638463</vt:i4>
      </vt:variant>
      <vt:variant>
        <vt:i4>248</vt:i4>
      </vt:variant>
      <vt:variant>
        <vt:i4>0</vt:i4>
      </vt:variant>
      <vt:variant>
        <vt:i4>5</vt:i4>
      </vt:variant>
      <vt:variant>
        <vt:lpwstr/>
      </vt:variant>
      <vt:variant>
        <vt:lpwstr>_Toc202966914</vt:lpwstr>
      </vt:variant>
      <vt:variant>
        <vt:i4>1638463</vt:i4>
      </vt:variant>
      <vt:variant>
        <vt:i4>242</vt:i4>
      </vt:variant>
      <vt:variant>
        <vt:i4>0</vt:i4>
      </vt:variant>
      <vt:variant>
        <vt:i4>5</vt:i4>
      </vt:variant>
      <vt:variant>
        <vt:lpwstr/>
      </vt:variant>
      <vt:variant>
        <vt:lpwstr>_Toc202966913</vt:lpwstr>
      </vt:variant>
      <vt:variant>
        <vt:i4>1638463</vt:i4>
      </vt:variant>
      <vt:variant>
        <vt:i4>236</vt:i4>
      </vt:variant>
      <vt:variant>
        <vt:i4>0</vt:i4>
      </vt:variant>
      <vt:variant>
        <vt:i4>5</vt:i4>
      </vt:variant>
      <vt:variant>
        <vt:lpwstr/>
      </vt:variant>
      <vt:variant>
        <vt:lpwstr>_Toc202966912</vt:lpwstr>
      </vt:variant>
      <vt:variant>
        <vt:i4>1638463</vt:i4>
      </vt:variant>
      <vt:variant>
        <vt:i4>230</vt:i4>
      </vt:variant>
      <vt:variant>
        <vt:i4>0</vt:i4>
      </vt:variant>
      <vt:variant>
        <vt:i4>5</vt:i4>
      </vt:variant>
      <vt:variant>
        <vt:lpwstr/>
      </vt:variant>
      <vt:variant>
        <vt:lpwstr>_Toc202966911</vt:lpwstr>
      </vt:variant>
      <vt:variant>
        <vt:i4>1638463</vt:i4>
      </vt:variant>
      <vt:variant>
        <vt:i4>224</vt:i4>
      </vt:variant>
      <vt:variant>
        <vt:i4>0</vt:i4>
      </vt:variant>
      <vt:variant>
        <vt:i4>5</vt:i4>
      </vt:variant>
      <vt:variant>
        <vt:lpwstr/>
      </vt:variant>
      <vt:variant>
        <vt:lpwstr>_Toc202966910</vt:lpwstr>
      </vt:variant>
      <vt:variant>
        <vt:i4>1572927</vt:i4>
      </vt:variant>
      <vt:variant>
        <vt:i4>218</vt:i4>
      </vt:variant>
      <vt:variant>
        <vt:i4>0</vt:i4>
      </vt:variant>
      <vt:variant>
        <vt:i4>5</vt:i4>
      </vt:variant>
      <vt:variant>
        <vt:lpwstr/>
      </vt:variant>
      <vt:variant>
        <vt:lpwstr>_Toc202966909</vt:lpwstr>
      </vt:variant>
      <vt:variant>
        <vt:i4>1572927</vt:i4>
      </vt:variant>
      <vt:variant>
        <vt:i4>212</vt:i4>
      </vt:variant>
      <vt:variant>
        <vt:i4>0</vt:i4>
      </vt:variant>
      <vt:variant>
        <vt:i4>5</vt:i4>
      </vt:variant>
      <vt:variant>
        <vt:lpwstr/>
      </vt:variant>
      <vt:variant>
        <vt:lpwstr>_Toc202966908</vt:lpwstr>
      </vt:variant>
      <vt:variant>
        <vt:i4>1572927</vt:i4>
      </vt:variant>
      <vt:variant>
        <vt:i4>206</vt:i4>
      </vt:variant>
      <vt:variant>
        <vt:i4>0</vt:i4>
      </vt:variant>
      <vt:variant>
        <vt:i4>5</vt:i4>
      </vt:variant>
      <vt:variant>
        <vt:lpwstr/>
      </vt:variant>
      <vt:variant>
        <vt:lpwstr>_Toc202966907</vt:lpwstr>
      </vt:variant>
      <vt:variant>
        <vt:i4>1572927</vt:i4>
      </vt:variant>
      <vt:variant>
        <vt:i4>200</vt:i4>
      </vt:variant>
      <vt:variant>
        <vt:i4>0</vt:i4>
      </vt:variant>
      <vt:variant>
        <vt:i4>5</vt:i4>
      </vt:variant>
      <vt:variant>
        <vt:lpwstr/>
      </vt:variant>
      <vt:variant>
        <vt:lpwstr>_Toc202966906</vt:lpwstr>
      </vt:variant>
      <vt:variant>
        <vt:i4>1572927</vt:i4>
      </vt:variant>
      <vt:variant>
        <vt:i4>194</vt:i4>
      </vt:variant>
      <vt:variant>
        <vt:i4>0</vt:i4>
      </vt:variant>
      <vt:variant>
        <vt:i4>5</vt:i4>
      </vt:variant>
      <vt:variant>
        <vt:lpwstr/>
      </vt:variant>
      <vt:variant>
        <vt:lpwstr>_Toc202966905</vt:lpwstr>
      </vt:variant>
      <vt:variant>
        <vt:i4>1572927</vt:i4>
      </vt:variant>
      <vt:variant>
        <vt:i4>188</vt:i4>
      </vt:variant>
      <vt:variant>
        <vt:i4>0</vt:i4>
      </vt:variant>
      <vt:variant>
        <vt:i4>5</vt:i4>
      </vt:variant>
      <vt:variant>
        <vt:lpwstr/>
      </vt:variant>
      <vt:variant>
        <vt:lpwstr>_Toc202966904</vt:lpwstr>
      </vt:variant>
      <vt:variant>
        <vt:i4>1572927</vt:i4>
      </vt:variant>
      <vt:variant>
        <vt:i4>182</vt:i4>
      </vt:variant>
      <vt:variant>
        <vt:i4>0</vt:i4>
      </vt:variant>
      <vt:variant>
        <vt:i4>5</vt:i4>
      </vt:variant>
      <vt:variant>
        <vt:lpwstr/>
      </vt:variant>
      <vt:variant>
        <vt:lpwstr>_Toc202966903</vt:lpwstr>
      </vt:variant>
      <vt:variant>
        <vt:i4>1572927</vt:i4>
      </vt:variant>
      <vt:variant>
        <vt:i4>176</vt:i4>
      </vt:variant>
      <vt:variant>
        <vt:i4>0</vt:i4>
      </vt:variant>
      <vt:variant>
        <vt:i4>5</vt:i4>
      </vt:variant>
      <vt:variant>
        <vt:lpwstr/>
      </vt:variant>
      <vt:variant>
        <vt:lpwstr>_Toc202966902</vt:lpwstr>
      </vt:variant>
      <vt:variant>
        <vt:i4>1572927</vt:i4>
      </vt:variant>
      <vt:variant>
        <vt:i4>170</vt:i4>
      </vt:variant>
      <vt:variant>
        <vt:i4>0</vt:i4>
      </vt:variant>
      <vt:variant>
        <vt:i4>5</vt:i4>
      </vt:variant>
      <vt:variant>
        <vt:lpwstr/>
      </vt:variant>
      <vt:variant>
        <vt:lpwstr>_Toc202966901</vt:lpwstr>
      </vt:variant>
      <vt:variant>
        <vt:i4>1572927</vt:i4>
      </vt:variant>
      <vt:variant>
        <vt:i4>164</vt:i4>
      </vt:variant>
      <vt:variant>
        <vt:i4>0</vt:i4>
      </vt:variant>
      <vt:variant>
        <vt:i4>5</vt:i4>
      </vt:variant>
      <vt:variant>
        <vt:lpwstr/>
      </vt:variant>
      <vt:variant>
        <vt:lpwstr>_Toc202966900</vt:lpwstr>
      </vt:variant>
      <vt:variant>
        <vt:i4>1114174</vt:i4>
      </vt:variant>
      <vt:variant>
        <vt:i4>158</vt:i4>
      </vt:variant>
      <vt:variant>
        <vt:i4>0</vt:i4>
      </vt:variant>
      <vt:variant>
        <vt:i4>5</vt:i4>
      </vt:variant>
      <vt:variant>
        <vt:lpwstr/>
      </vt:variant>
      <vt:variant>
        <vt:lpwstr>_Toc202966899</vt:lpwstr>
      </vt:variant>
      <vt:variant>
        <vt:i4>1114174</vt:i4>
      </vt:variant>
      <vt:variant>
        <vt:i4>152</vt:i4>
      </vt:variant>
      <vt:variant>
        <vt:i4>0</vt:i4>
      </vt:variant>
      <vt:variant>
        <vt:i4>5</vt:i4>
      </vt:variant>
      <vt:variant>
        <vt:lpwstr/>
      </vt:variant>
      <vt:variant>
        <vt:lpwstr>_Toc202966898</vt:lpwstr>
      </vt:variant>
      <vt:variant>
        <vt:i4>1114174</vt:i4>
      </vt:variant>
      <vt:variant>
        <vt:i4>146</vt:i4>
      </vt:variant>
      <vt:variant>
        <vt:i4>0</vt:i4>
      </vt:variant>
      <vt:variant>
        <vt:i4>5</vt:i4>
      </vt:variant>
      <vt:variant>
        <vt:lpwstr/>
      </vt:variant>
      <vt:variant>
        <vt:lpwstr>_Toc202966897</vt:lpwstr>
      </vt:variant>
      <vt:variant>
        <vt:i4>1114174</vt:i4>
      </vt:variant>
      <vt:variant>
        <vt:i4>140</vt:i4>
      </vt:variant>
      <vt:variant>
        <vt:i4>0</vt:i4>
      </vt:variant>
      <vt:variant>
        <vt:i4>5</vt:i4>
      </vt:variant>
      <vt:variant>
        <vt:lpwstr/>
      </vt:variant>
      <vt:variant>
        <vt:lpwstr>_Toc202966896</vt:lpwstr>
      </vt:variant>
      <vt:variant>
        <vt:i4>1114174</vt:i4>
      </vt:variant>
      <vt:variant>
        <vt:i4>134</vt:i4>
      </vt:variant>
      <vt:variant>
        <vt:i4>0</vt:i4>
      </vt:variant>
      <vt:variant>
        <vt:i4>5</vt:i4>
      </vt:variant>
      <vt:variant>
        <vt:lpwstr/>
      </vt:variant>
      <vt:variant>
        <vt:lpwstr>_Toc202966895</vt:lpwstr>
      </vt:variant>
      <vt:variant>
        <vt:i4>1114174</vt:i4>
      </vt:variant>
      <vt:variant>
        <vt:i4>128</vt:i4>
      </vt:variant>
      <vt:variant>
        <vt:i4>0</vt:i4>
      </vt:variant>
      <vt:variant>
        <vt:i4>5</vt:i4>
      </vt:variant>
      <vt:variant>
        <vt:lpwstr/>
      </vt:variant>
      <vt:variant>
        <vt:lpwstr>_Toc202966894</vt:lpwstr>
      </vt:variant>
      <vt:variant>
        <vt:i4>1114174</vt:i4>
      </vt:variant>
      <vt:variant>
        <vt:i4>122</vt:i4>
      </vt:variant>
      <vt:variant>
        <vt:i4>0</vt:i4>
      </vt:variant>
      <vt:variant>
        <vt:i4>5</vt:i4>
      </vt:variant>
      <vt:variant>
        <vt:lpwstr/>
      </vt:variant>
      <vt:variant>
        <vt:lpwstr>_Toc202966893</vt:lpwstr>
      </vt:variant>
      <vt:variant>
        <vt:i4>1114174</vt:i4>
      </vt:variant>
      <vt:variant>
        <vt:i4>116</vt:i4>
      </vt:variant>
      <vt:variant>
        <vt:i4>0</vt:i4>
      </vt:variant>
      <vt:variant>
        <vt:i4>5</vt:i4>
      </vt:variant>
      <vt:variant>
        <vt:lpwstr/>
      </vt:variant>
      <vt:variant>
        <vt:lpwstr>_Toc202966892</vt:lpwstr>
      </vt:variant>
      <vt:variant>
        <vt:i4>1114174</vt:i4>
      </vt:variant>
      <vt:variant>
        <vt:i4>110</vt:i4>
      </vt:variant>
      <vt:variant>
        <vt:i4>0</vt:i4>
      </vt:variant>
      <vt:variant>
        <vt:i4>5</vt:i4>
      </vt:variant>
      <vt:variant>
        <vt:lpwstr/>
      </vt:variant>
      <vt:variant>
        <vt:lpwstr>_Toc202966891</vt:lpwstr>
      </vt:variant>
      <vt:variant>
        <vt:i4>1114174</vt:i4>
      </vt:variant>
      <vt:variant>
        <vt:i4>104</vt:i4>
      </vt:variant>
      <vt:variant>
        <vt:i4>0</vt:i4>
      </vt:variant>
      <vt:variant>
        <vt:i4>5</vt:i4>
      </vt:variant>
      <vt:variant>
        <vt:lpwstr/>
      </vt:variant>
      <vt:variant>
        <vt:lpwstr>_Toc202966890</vt:lpwstr>
      </vt:variant>
      <vt:variant>
        <vt:i4>1048638</vt:i4>
      </vt:variant>
      <vt:variant>
        <vt:i4>98</vt:i4>
      </vt:variant>
      <vt:variant>
        <vt:i4>0</vt:i4>
      </vt:variant>
      <vt:variant>
        <vt:i4>5</vt:i4>
      </vt:variant>
      <vt:variant>
        <vt:lpwstr/>
      </vt:variant>
      <vt:variant>
        <vt:lpwstr>_Toc202966889</vt:lpwstr>
      </vt:variant>
      <vt:variant>
        <vt:i4>1048638</vt:i4>
      </vt:variant>
      <vt:variant>
        <vt:i4>92</vt:i4>
      </vt:variant>
      <vt:variant>
        <vt:i4>0</vt:i4>
      </vt:variant>
      <vt:variant>
        <vt:i4>5</vt:i4>
      </vt:variant>
      <vt:variant>
        <vt:lpwstr/>
      </vt:variant>
      <vt:variant>
        <vt:lpwstr>_Toc202966888</vt:lpwstr>
      </vt:variant>
      <vt:variant>
        <vt:i4>1048638</vt:i4>
      </vt:variant>
      <vt:variant>
        <vt:i4>86</vt:i4>
      </vt:variant>
      <vt:variant>
        <vt:i4>0</vt:i4>
      </vt:variant>
      <vt:variant>
        <vt:i4>5</vt:i4>
      </vt:variant>
      <vt:variant>
        <vt:lpwstr/>
      </vt:variant>
      <vt:variant>
        <vt:lpwstr>_Toc202966887</vt:lpwstr>
      </vt:variant>
      <vt:variant>
        <vt:i4>1048638</vt:i4>
      </vt:variant>
      <vt:variant>
        <vt:i4>80</vt:i4>
      </vt:variant>
      <vt:variant>
        <vt:i4>0</vt:i4>
      </vt:variant>
      <vt:variant>
        <vt:i4>5</vt:i4>
      </vt:variant>
      <vt:variant>
        <vt:lpwstr/>
      </vt:variant>
      <vt:variant>
        <vt:lpwstr>_Toc202966886</vt:lpwstr>
      </vt:variant>
      <vt:variant>
        <vt:i4>1048638</vt:i4>
      </vt:variant>
      <vt:variant>
        <vt:i4>74</vt:i4>
      </vt:variant>
      <vt:variant>
        <vt:i4>0</vt:i4>
      </vt:variant>
      <vt:variant>
        <vt:i4>5</vt:i4>
      </vt:variant>
      <vt:variant>
        <vt:lpwstr/>
      </vt:variant>
      <vt:variant>
        <vt:lpwstr>_Toc202966885</vt:lpwstr>
      </vt:variant>
      <vt:variant>
        <vt:i4>1048638</vt:i4>
      </vt:variant>
      <vt:variant>
        <vt:i4>68</vt:i4>
      </vt:variant>
      <vt:variant>
        <vt:i4>0</vt:i4>
      </vt:variant>
      <vt:variant>
        <vt:i4>5</vt:i4>
      </vt:variant>
      <vt:variant>
        <vt:lpwstr/>
      </vt:variant>
      <vt:variant>
        <vt:lpwstr>_Toc202966884</vt:lpwstr>
      </vt:variant>
      <vt:variant>
        <vt:i4>1048638</vt:i4>
      </vt:variant>
      <vt:variant>
        <vt:i4>62</vt:i4>
      </vt:variant>
      <vt:variant>
        <vt:i4>0</vt:i4>
      </vt:variant>
      <vt:variant>
        <vt:i4>5</vt:i4>
      </vt:variant>
      <vt:variant>
        <vt:lpwstr/>
      </vt:variant>
      <vt:variant>
        <vt:lpwstr>_Toc202966883</vt:lpwstr>
      </vt:variant>
      <vt:variant>
        <vt:i4>1048638</vt:i4>
      </vt:variant>
      <vt:variant>
        <vt:i4>56</vt:i4>
      </vt:variant>
      <vt:variant>
        <vt:i4>0</vt:i4>
      </vt:variant>
      <vt:variant>
        <vt:i4>5</vt:i4>
      </vt:variant>
      <vt:variant>
        <vt:lpwstr/>
      </vt:variant>
      <vt:variant>
        <vt:lpwstr>_Toc202966882</vt:lpwstr>
      </vt:variant>
      <vt:variant>
        <vt:i4>1048638</vt:i4>
      </vt:variant>
      <vt:variant>
        <vt:i4>50</vt:i4>
      </vt:variant>
      <vt:variant>
        <vt:i4>0</vt:i4>
      </vt:variant>
      <vt:variant>
        <vt:i4>5</vt:i4>
      </vt:variant>
      <vt:variant>
        <vt:lpwstr/>
      </vt:variant>
      <vt:variant>
        <vt:lpwstr>_Toc202966881</vt:lpwstr>
      </vt:variant>
      <vt:variant>
        <vt:i4>1048638</vt:i4>
      </vt:variant>
      <vt:variant>
        <vt:i4>44</vt:i4>
      </vt:variant>
      <vt:variant>
        <vt:i4>0</vt:i4>
      </vt:variant>
      <vt:variant>
        <vt:i4>5</vt:i4>
      </vt:variant>
      <vt:variant>
        <vt:lpwstr/>
      </vt:variant>
      <vt:variant>
        <vt:lpwstr>_Toc202966880</vt:lpwstr>
      </vt:variant>
      <vt:variant>
        <vt:i4>2031678</vt:i4>
      </vt:variant>
      <vt:variant>
        <vt:i4>38</vt:i4>
      </vt:variant>
      <vt:variant>
        <vt:i4>0</vt:i4>
      </vt:variant>
      <vt:variant>
        <vt:i4>5</vt:i4>
      </vt:variant>
      <vt:variant>
        <vt:lpwstr/>
      </vt:variant>
      <vt:variant>
        <vt:lpwstr>_Toc202966879</vt:lpwstr>
      </vt:variant>
      <vt:variant>
        <vt:i4>2031678</vt:i4>
      </vt:variant>
      <vt:variant>
        <vt:i4>32</vt:i4>
      </vt:variant>
      <vt:variant>
        <vt:i4>0</vt:i4>
      </vt:variant>
      <vt:variant>
        <vt:i4>5</vt:i4>
      </vt:variant>
      <vt:variant>
        <vt:lpwstr/>
      </vt:variant>
      <vt:variant>
        <vt:lpwstr>_Toc202966878</vt:lpwstr>
      </vt:variant>
      <vt:variant>
        <vt:i4>2031678</vt:i4>
      </vt:variant>
      <vt:variant>
        <vt:i4>26</vt:i4>
      </vt:variant>
      <vt:variant>
        <vt:i4>0</vt:i4>
      </vt:variant>
      <vt:variant>
        <vt:i4>5</vt:i4>
      </vt:variant>
      <vt:variant>
        <vt:lpwstr/>
      </vt:variant>
      <vt:variant>
        <vt:lpwstr>_Toc202966877</vt:lpwstr>
      </vt:variant>
      <vt:variant>
        <vt:i4>2031678</vt:i4>
      </vt:variant>
      <vt:variant>
        <vt:i4>20</vt:i4>
      </vt:variant>
      <vt:variant>
        <vt:i4>0</vt:i4>
      </vt:variant>
      <vt:variant>
        <vt:i4>5</vt:i4>
      </vt:variant>
      <vt:variant>
        <vt:lpwstr/>
      </vt:variant>
      <vt:variant>
        <vt:lpwstr>_Toc202966876</vt:lpwstr>
      </vt:variant>
      <vt:variant>
        <vt:i4>2031678</vt:i4>
      </vt:variant>
      <vt:variant>
        <vt:i4>14</vt:i4>
      </vt:variant>
      <vt:variant>
        <vt:i4>0</vt:i4>
      </vt:variant>
      <vt:variant>
        <vt:i4>5</vt:i4>
      </vt:variant>
      <vt:variant>
        <vt:lpwstr/>
      </vt:variant>
      <vt:variant>
        <vt:lpwstr>_Toc202966875</vt:lpwstr>
      </vt:variant>
      <vt:variant>
        <vt:i4>2031678</vt:i4>
      </vt:variant>
      <vt:variant>
        <vt:i4>8</vt:i4>
      </vt:variant>
      <vt:variant>
        <vt:i4>0</vt:i4>
      </vt:variant>
      <vt:variant>
        <vt:i4>5</vt:i4>
      </vt:variant>
      <vt:variant>
        <vt:lpwstr/>
      </vt:variant>
      <vt:variant>
        <vt:lpwstr>_Toc202966874</vt:lpwstr>
      </vt:variant>
      <vt:variant>
        <vt:i4>2031678</vt:i4>
      </vt:variant>
      <vt:variant>
        <vt:i4>2</vt:i4>
      </vt:variant>
      <vt:variant>
        <vt:i4>0</vt:i4>
      </vt:variant>
      <vt:variant>
        <vt:i4>5</vt:i4>
      </vt:variant>
      <vt:variant>
        <vt:lpwstr/>
      </vt:variant>
      <vt:variant>
        <vt:lpwstr>_Toc202966873</vt:lpwstr>
      </vt:variant>
      <vt:variant>
        <vt:i4>7733293</vt:i4>
      </vt:variant>
      <vt:variant>
        <vt:i4>0</vt:i4>
      </vt:variant>
      <vt:variant>
        <vt:i4>0</vt:i4>
      </vt:variant>
      <vt:variant>
        <vt:i4>5</vt:i4>
      </vt:variant>
      <vt:variant>
        <vt:lpwstr>https://population.un.org/dataportal/data/indicators/46/locations/616/start/1990/end/2100/table/pivotbylocation?df=46372193-4018-4af8-9f0a-06428d6b6ef5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Kocon Marta</dc:creator>
  <cp:keywords/>
  <dc:description/>
  <cp:lastModifiedBy>Madyniak Anna</cp:lastModifiedBy>
  <cp:revision>3</cp:revision>
  <cp:lastPrinted>2025-06-14T09:36:00Z</cp:lastPrinted>
  <dcterms:created xsi:type="dcterms:W3CDTF">2025-08-06T10:29:00Z</dcterms:created>
  <dcterms:modified xsi:type="dcterms:W3CDTF">2025-08-06T16:05:00Z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0x010100C6A0E0BFCF9A9445871829823D8E485C</vt:lpwstr>
  </property>
</Properties>
</file>